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94" w:lineRule="exact"/>
        <w:rPr>
          <w:sz w:val="24"/>
          <w:szCs w:val="24"/>
          <w:color w:val="auto"/>
        </w:rPr>
      </w:pPr>
    </w:p>
    <w:p>
      <w:pPr>
        <w:ind w:left="540" w:right="1120" w:hanging="391"/>
        <w:spacing w:after="0" w:line="349" w:lineRule="auto"/>
        <w:tabs>
          <w:tab w:leader="none" w:pos="546"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AND EXCHANGE ACT OF 1934 </w:t>
      </w:r>
      <w:r>
        <w:rPr>
          <w:rFonts w:ascii="Arial" w:cs="Arial" w:eastAsia="Arial" w:hAnsi="Arial"/>
          <w:sz w:val="18"/>
          <w:szCs w:val="18"/>
          <w:b w:val="1"/>
          <w:bCs w:val="1"/>
          <w:color w:val="auto"/>
        </w:rPr>
        <w:t>For the fiscal year ended December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8" w:lineRule="exact"/>
        <w:rPr>
          <w:sz w:val="24"/>
          <w:szCs w:val="24"/>
          <w:color w:val="auto"/>
        </w:rPr>
      </w:pPr>
    </w:p>
    <w:p>
      <w:pPr>
        <w:ind w:left="540" w:hanging="391"/>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AND EXCHANGE ACT OF 1934</w:t>
      </w:r>
    </w:p>
    <w:p>
      <w:pPr>
        <w:spacing w:after="0" w:line="94" w:lineRule="exact"/>
        <w:rPr>
          <w:sz w:val="24"/>
          <w:szCs w:val="24"/>
          <w:color w:val="auto"/>
        </w:rPr>
      </w:pPr>
    </w:p>
    <w:p>
      <w:pPr>
        <w:ind w:left="5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1-12154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53" w:lineRule="exact"/>
        <w:rPr>
          <w:sz w:val="24"/>
          <w:szCs w:val="24"/>
          <w:color w:val="auto"/>
        </w:rPr>
      </w:pPr>
    </w:p>
    <w:tbl>
      <w:tblPr>
        <w:tblLayout w:type="fixed"/>
        <w:tblInd w:w="28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5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4"/>
              </w:rPr>
              <w:t>Delaware</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700" w:type="dxa"/>
            <w:vAlign w:val="bottom"/>
          </w:tcPr>
          <w:p>
            <w:pPr>
              <w:jc w:val="right"/>
              <w:ind w:right="1628"/>
              <w:spacing w:after="0"/>
              <w:rPr>
                <w:sz w:val="20"/>
                <w:szCs w:val="20"/>
                <w:color w:val="auto"/>
              </w:rPr>
            </w:pPr>
            <w:r>
              <w:rPr>
                <w:rFonts w:ascii="Arial" w:cs="Arial" w:eastAsia="Arial" w:hAnsi="Arial"/>
                <w:sz w:val="14"/>
                <w:szCs w:val="14"/>
                <w:b w:val="1"/>
                <w:bCs w:val="1"/>
                <w:color w:val="auto"/>
              </w:rPr>
              <w:t>73-1309529</w:t>
            </w:r>
          </w:p>
        </w:tc>
        <w:tc>
          <w:tcPr>
            <w:tcW w:w="0" w:type="dxa"/>
            <w:vAlign w:val="bottom"/>
          </w:tcPr>
          <w:p>
            <w:pPr>
              <w:spacing w:after="0"/>
              <w:rPr>
                <w:sz w:val="1"/>
                <w:szCs w:val="1"/>
                <w:color w:val="auto"/>
              </w:rPr>
            </w:pPr>
          </w:p>
        </w:tc>
      </w:tr>
      <w:tr>
        <w:trPr>
          <w:trHeight w:val="149"/>
        </w:trPr>
        <w:tc>
          <w:tcPr>
            <w:tcW w:w="3320" w:type="dxa"/>
            <w:vAlign w:val="bottom"/>
            <w:gridSpan w:val="3"/>
          </w:tcPr>
          <w:p>
            <w:pPr>
              <w:jc w:val="center"/>
              <w:ind w:left="1268"/>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16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700" w:type="dxa"/>
            <w:vAlign w:val="bottom"/>
          </w:tcPr>
          <w:p>
            <w:pPr>
              <w:jc w:val="center"/>
              <w:ind w:right="1308"/>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3320" w:type="dxa"/>
            <w:vAlign w:val="bottom"/>
            <w:gridSpan w:val="3"/>
          </w:tcPr>
          <w:p>
            <w:pPr>
              <w:jc w:val="center"/>
              <w:ind w:left="1268"/>
              <w:spacing w:after="0"/>
              <w:rPr>
                <w:sz w:val="20"/>
                <w:szCs w:val="20"/>
                <w:color w:val="auto"/>
              </w:rPr>
            </w:pPr>
            <w:r>
              <w:rPr>
                <w:rFonts w:ascii="Arial" w:cs="Arial" w:eastAsia="Arial" w:hAnsi="Arial"/>
                <w:sz w:val="14"/>
                <w:szCs w:val="14"/>
                <w:i w:val="1"/>
                <w:iCs w:val="1"/>
                <w:color w:val="auto"/>
                <w:w w:val="97"/>
              </w:rPr>
              <w:t>incorporation or organization)</w:t>
            </w:r>
          </w:p>
        </w:tc>
        <w:tc>
          <w:tcPr>
            <w:tcW w:w="1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700" w:type="dxa"/>
            <w:vAlign w:val="bottom"/>
          </w:tcPr>
          <w:p>
            <w:pPr>
              <w:jc w:val="center"/>
              <w:ind w:right="132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205"/>
        </w:trPr>
        <w:tc>
          <w:tcPr>
            <w:tcW w:w="3320" w:type="dxa"/>
            <w:vAlign w:val="bottom"/>
            <w:gridSpan w:val="3"/>
          </w:tcPr>
          <w:p>
            <w:pPr>
              <w:jc w:val="center"/>
              <w:ind w:left="1268"/>
              <w:spacing w:after="0"/>
              <w:rPr>
                <w:sz w:val="20"/>
                <w:szCs w:val="20"/>
                <w:color w:val="auto"/>
              </w:rPr>
            </w:pPr>
            <w:r>
              <w:rPr>
                <w:rFonts w:ascii="Arial" w:cs="Arial" w:eastAsia="Arial" w:hAnsi="Arial"/>
                <w:sz w:val="14"/>
                <w:szCs w:val="14"/>
                <w:b w:val="1"/>
                <w:bCs w:val="1"/>
                <w:color w:val="auto"/>
                <w:w w:val="94"/>
              </w:rPr>
              <w:t>1001 Fannin Street</w:t>
            </w:r>
          </w:p>
        </w:tc>
        <w:tc>
          <w:tcPr>
            <w:tcW w:w="1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00" w:type="dxa"/>
            <w:vAlign w:val="bottom"/>
            <w:vMerge w:val="restart"/>
          </w:tcPr>
          <w:p>
            <w:pPr>
              <w:jc w:val="right"/>
              <w:ind w:right="1788"/>
              <w:spacing w:after="0"/>
              <w:rPr>
                <w:sz w:val="20"/>
                <w:szCs w:val="20"/>
                <w:color w:val="auto"/>
              </w:rPr>
            </w:pPr>
            <w:r>
              <w:rPr>
                <w:rFonts w:ascii="Arial" w:cs="Arial" w:eastAsia="Arial" w:hAnsi="Arial"/>
                <w:sz w:val="14"/>
                <w:szCs w:val="14"/>
                <w:b w:val="1"/>
                <w:bCs w:val="1"/>
                <w:color w:val="auto"/>
              </w:rPr>
              <w:t>77002</w:t>
            </w: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560" w:type="dxa"/>
            <w:vAlign w:val="bottom"/>
            <w:gridSpan w:val="2"/>
          </w:tcPr>
          <w:p>
            <w:pPr>
              <w:jc w:val="center"/>
              <w:ind w:right="348"/>
              <w:spacing w:after="0" w:line="153" w:lineRule="exact"/>
              <w:rPr>
                <w:sz w:val="20"/>
                <w:szCs w:val="20"/>
                <w:color w:val="auto"/>
              </w:rPr>
            </w:pPr>
            <w:r>
              <w:rPr>
                <w:rFonts w:ascii="Arial" w:cs="Arial" w:eastAsia="Arial" w:hAnsi="Arial"/>
                <w:sz w:val="14"/>
                <w:szCs w:val="14"/>
                <w:b w:val="1"/>
                <w:bCs w:val="1"/>
                <w:color w:val="auto"/>
                <w:w w:val="90"/>
              </w:rPr>
              <w:t>Houston, Texas</w:t>
            </w:r>
          </w:p>
        </w:tc>
        <w:tc>
          <w:tcPr>
            <w:tcW w:w="1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80" w:type="dxa"/>
            <w:vAlign w:val="bottom"/>
            <w:gridSpan w:val="5"/>
          </w:tcPr>
          <w:p>
            <w:pPr>
              <w:jc w:val="center"/>
              <w:ind w:right="2148"/>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700" w:type="dxa"/>
            <w:vAlign w:val="bottom"/>
          </w:tcPr>
          <w:p>
            <w:pPr>
              <w:jc w:val="center"/>
              <w:ind w:right="1328"/>
              <w:spacing w:after="0"/>
              <w:rPr>
                <w:sz w:val="20"/>
                <w:szCs w:val="20"/>
                <w:color w:val="auto"/>
              </w:rPr>
            </w:pPr>
            <w:r>
              <w:rPr>
                <w:rFonts w:ascii="Arial" w:cs="Arial" w:eastAsia="Arial" w:hAnsi="Arial"/>
                <w:sz w:val="14"/>
                <w:szCs w:val="14"/>
                <w:i w:val="1"/>
                <w:iCs w:val="1"/>
                <w:color w:val="auto"/>
                <w:w w:val="91"/>
              </w:rPr>
              <w:t>(Zip code)</w:t>
            </w: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2"/>
          </w:tcPr>
          <w:p>
            <w:pPr>
              <w:jc w:val="center"/>
              <w:ind w:right="28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(713) 512-6200</w:t>
            </w: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60" w:type="dxa"/>
            <w:vAlign w:val="bottom"/>
          </w:tcPr>
          <w:p>
            <w:pPr>
              <w:spacing w:after="0"/>
              <w:rPr>
                <w:sz w:val="18"/>
                <w:szCs w:val="18"/>
                <w:color w:val="auto"/>
              </w:rPr>
            </w:pPr>
          </w:p>
        </w:tc>
        <w:tc>
          <w:tcPr>
            <w:tcW w:w="15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1"/>
              </w:rPr>
              <w:t>Title of Each Class</w:t>
            </w:r>
          </w:p>
        </w:tc>
        <w:tc>
          <w:tcPr>
            <w:tcW w:w="1660" w:type="dxa"/>
            <w:vAlign w:val="bottom"/>
          </w:tcPr>
          <w:p>
            <w:pPr>
              <w:spacing w:after="0"/>
              <w:rPr>
                <w:sz w:val="18"/>
                <w:szCs w:val="18"/>
                <w:color w:val="auto"/>
              </w:rPr>
            </w:pPr>
          </w:p>
        </w:tc>
        <w:tc>
          <w:tcPr>
            <w:tcW w:w="4600" w:type="dxa"/>
            <w:vAlign w:val="bottom"/>
            <w:gridSpan w:val="2"/>
          </w:tcPr>
          <w:p>
            <w:pPr>
              <w:ind w:left="8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00" w:type="dxa"/>
            <w:vAlign w:val="bottom"/>
            <w:gridSpan w:val="2"/>
          </w:tcPr>
          <w:p>
            <w:pPr>
              <w:ind w:left="1440"/>
              <w:spacing w:after="0"/>
              <w:rPr>
                <w:sz w:val="20"/>
                <w:szCs w:val="20"/>
                <w:color w:val="auto"/>
              </w:rPr>
            </w:pPr>
            <w:r>
              <w:rPr>
                <w:rFonts w:ascii="Arial" w:cs="Arial" w:eastAsia="Arial" w:hAnsi="Arial"/>
                <w:sz w:val="14"/>
                <w:szCs w:val="14"/>
                <w:color w:val="auto"/>
                <w:w w:val="92"/>
              </w:rPr>
              <w:t>Common Stock, $.01 par</w:t>
            </w:r>
          </w:p>
        </w:tc>
        <w:tc>
          <w:tcPr>
            <w:tcW w:w="420" w:type="dxa"/>
            <w:vAlign w:val="bottom"/>
          </w:tcPr>
          <w:p>
            <w:pPr>
              <w:ind w:left="20"/>
              <w:spacing w:after="0"/>
              <w:rPr>
                <w:sz w:val="20"/>
                <w:szCs w:val="20"/>
                <w:color w:val="auto"/>
              </w:rPr>
            </w:pPr>
            <w:r>
              <w:rPr>
                <w:rFonts w:ascii="Arial" w:cs="Arial" w:eastAsia="Arial" w:hAnsi="Arial"/>
                <w:sz w:val="14"/>
                <w:szCs w:val="14"/>
                <w:color w:val="auto"/>
              </w:rPr>
              <w:t>value</w:t>
            </w:r>
          </w:p>
        </w:tc>
        <w:tc>
          <w:tcPr>
            <w:tcW w:w="1660" w:type="dxa"/>
            <w:vAlign w:val="bottom"/>
          </w:tcPr>
          <w:p>
            <w:pPr>
              <w:spacing w:after="0"/>
              <w:rPr>
                <w:sz w:val="14"/>
                <w:szCs w:val="14"/>
                <w:color w:val="auto"/>
              </w:rPr>
            </w:pPr>
          </w:p>
        </w:tc>
        <w:tc>
          <w:tcPr>
            <w:tcW w:w="4600" w:type="dxa"/>
            <w:vAlign w:val="bottom"/>
            <w:gridSpan w:val="2"/>
          </w:tcPr>
          <w:p>
            <w:pPr>
              <w:jc w:val="center"/>
              <w:ind w:left="428"/>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40"/>
        </w:trPr>
        <w:tc>
          <w:tcPr>
            <w:tcW w:w="68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by Rule 405 of the Securities Act.</w:t>
            </w:r>
          </w:p>
        </w:tc>
        <w:tc>
          <w:tcPr>
            <w:tcW w:w="270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7"/>
        </w:trPr>
        <w:tc>
          <w:tcPr>
            <w:tcW w:w="68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270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20" w:firstLine="25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w:t>
      </w:r>
    </w:p>
    <w:p>
      <w:pPr>
        <w:spacing w:after="0" w:line="1" w:lineRule="exact"/>
        <w:rPr>
          <w:sz w:val="24"/>
          <w:szCs w:val="24"/>
          <w:color w:val="auto"/>
        </w:rPr>
      </w:pPr>
    </w:p>
    <w:p>
      <w:pPr>
        <w:ind w:left="20"/>
        <w:spacing w:after="0" w:line="161" w:lineRule="exact"/>
        <w:tabs>
          <w:tab w:leader="none" w:pos="1480" w:val="left"/>
        </w:tabs>
        <w:rPr>
          <w:sz w:val="20"/>
          <w:szCs w:val="20"/>
          <w:color w:val="auto"/>
        </w:rPr>
      </w:pPr>
      <w:r>
        <w:rPr>
          <w:rFonts w:ascii="Arial" w:cs="Arial" w:eastAsia="Arial" w:hAnsi="Arial"/>
          <w:sz w:val="14"/>
          <w:szCs w:val="14"/>
          <w:color w:val="auto"/>
        </w:rPr>
        <w:t xml:space="preserve">post such files).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ind w:left="20" w:right="20" w:firstLine="259"/>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5" w:lineRule="exact"/>
        <w:rPr>
          <w:sz w:val="24"/>
          <w:szCs w:val="24"/>
          <w:color w:val="auto"/>
        </w:rPr>
      </w:pPr>
    </w:p>
    <w:p>
      <w:pPr>
        <w:ind w:left="20" w:firstLine="259"/>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20"/>
          </w:cols>
          <w:pgMar w:left="740" w:top="233" w:right="739" w:bottom="1440" w:gutter="0" w:footer="0" w:header="0"/>
        </w:sectPr>
      </w:pPr>
    </w:p>
    <w:p>
      <w:pPr>
        <w:spacing w:after="0" w:line="124"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50" w:lineRule="exact"/>
        <w:tabs>
          <w:tab w:leader="none" w:pos="62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0" w:lineRule="exact"/>
        <w:rPr>
          <w:sz w:val="24"/>
          <w:szCs w:val="24"/>
          <w:color w:val="auto"/>
        </w:rPr>
      </w:pPr>
    </w:p>
    <w:p>
      <w:pPr>
        <w:spacing w:after="0" w:line="161" w:lineRule="exact"/>
        <w:tabs>
          <w:tab w:leader="none" w:pos="56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3" w:lineRule="exact"/>
        <w:rPr>
          <w:sz w:val="24"/>
          <w:szCs w:val="24"/>
          <w:color w:val="auto"/>
        </w:rPr>
      </w:pPr>
    </w:p>
    <w:p>
      <w:pPr>
        <w:sectPr>
          <w:pgSz w:w="11900" w:h="16838" w:orient="portrait"/>
          <w:cols w:equalWidth="0" w:num="2">
            <w:col w:w="2320" w:space="720"/>
            <w:col w:w="7380"/>
          </w:cols>
          <w:pgMar w:left="740" w:top="233" w:right="739" w:bottom="1440" w:gutter="0" w:footer="0" w:header="0"/>
          <w:type w:val="continuous"/>
        </w:sectPr>
      </w:pPr>
    </w:p>
    <w:p>
      <w:pPr>
        <w:spacing w:after="0" w:line="8" w:lineRule="exact"/>
        <w:rPr>
          <w:sz w:val="24"/>
          <w:szCs w:val="24"/>
          <w:color w:val="auto"/>
        </w:rPr>
      </w:pPr>
    </w:p>
    <w:p>
      <w:pPr>
        <w:jc w:val="both"/>
        <w:ind w:left="20" w:right="2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280"/>
        <w:spacing w:after="0" w:line="161" w:lineRule="exact"/>
        <w:tabs>
          <w:tab w:leader="none" w:pos="6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jc w:val="both"/>
        <w:ind w:left="20" w:firstLine="259"/>
        <w:spacing w:after="0" w:line="238"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2017 was approximately $32.2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The number of shares of Common Stock, $0.01 par value, of the registrant outstanding as of February 8, 2018 was 433,673,878 (excluding treasury shares of 196,608,583).</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060" w:type="dxa"/>
            <w:vAlign w:val="bottom"/>
            <w:gridSpan w:val="2"/>
          </w:tcPr>
          <w:p>
            <w:pPr>
              <w:jc w:val="center"/>
              <w:ind w:right="4348"/>
              <w:spacing w:after="0"/>
              <w:rPr>
                <w:sz w:val="20"/>
                <w:szCs w:val="20"/>
                <w:color w:val="auto"/>
              </w:rPr>
            </w:pPr>
            <w:r>
              <w:rPr>
                <w:rFonts w:ascii="Arial" w:cs="Arial" w:eastAsia="Arial" w:hAnsi="Arial"/>
                <w:sz w:val="14"/>
                <w:szCs w:val="14"/>
                <w:b w:val="1"/>
                <w:bCs w:val="1"/>
                <w:color w:val="auto"/>
                <w:w w:val="93"/>
              </w:rPr>
              <w:t>Document</w:t>
            </w:r>
          </w:p>
        </w:tc>
        <w:tc>
          <w:tcPr>
            <w:tcW w:w="312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3"/>
              </w:rPr>
              <w:t>Incorporated as to</w:t>
            </w:r>
          </w:p>
        </w:tc>
      </w:tr>
      <w:tr>
        <w:trPr>
          <w:trHeight w:val="123"/>
        </w:trPr>
        <w:tc>
          <w:tcPr>
            <w:tcW w:w="2240" w:type="dxa"/>
            <w:vAlign w:val="bottom"/>
          </w:tcPr>
          <w:p>
            <w:pPr>
              <w:ind w:left="1880"/>
              <w:spacing w:after="0" w:line="123" w:lineRule="exact"/>
              <w:rPr>
                <w:sz w:val="20"/>
                <w:szCs w:val="20"/>
                <w:color w:val="auto"/>
              </w:rPr>
            </w:pPr>
            <w:r>
              <w:rPr>
                <w:rFonts w:ascii="Arial" w:cs="Arial" w:eastAsia="Arial" w:hAnsi="Arial"/>
                <w:sz w:val="14"/>
                <w:szCs w:val="14"/>
                <w:color w:val="auto"/>
                <w:w w:val="94"/>
              </w:rPr>
              <w:t>Proxy</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7"/>
              </w:rPr>
              <w:t>Statement</w:t>
            </w:r>
          </w:p>
        </w:tc>
        <w:tc>
          <w:tcPr>
            <w:tcW w:w="4420" w:type="dxa"/>
            <w:vAlign w:val="bottom"/>
          </w:tcPr>
          <w:p>
            <w:pPr>
              <w:spacing w:after="0" w:line="123" w:lineRule="exact"/>
              <w:rPr>
                <w:sz w:val="20"/>
                <w:szCs w:val="20"/>
                <w:color w:val="auto"/>
              </w:rPr>
            </w:pPr>
            <w:r>
              <w:rPr>
                <w:rFonts w:ascii="Arial" w:cs="Arial" w:eastAsia="Arial" w:hAnsi="Arial"/>
                <w:sz w:val="14"/>
                <w:szCs w:val="14"/>
                <w:color w:val="auto"/>
              </w:rPr>
              <w:t>for the</w:t>
            </w: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Part III</w:t>
            </w:r>
          </w:p>
        </w:tc>
        <w:tc>
          <w:tcPr>
            <w:tcW w:w="1980" w:type="dxa"/>
            <w:vAlign w:val="bottom"/>
          </w:tcPr>
          <w:p>
            <w:pPr>
              <w:spacing w:after="0"/>
              <w:rPr>
                <w:sz w:val="10"/>
                <w:szCs w:val="10"/>
                <w:color w:val="auto"/>
              </w:rPr>
            </w:pPr>
          </w:p>
        </w:tc>
      </w:tr>
      <w:tr>
        <w:trPr>
          <w:trHeight w:val="182"/>
        </w:trPr>
        <w:tc>
          <w:tcPr>
            <w:tcW w:w="7300" w:type="dxa"/>
            <w:vAlign w:val="bottom"/>
            <w:gridSpan w:val="3"/>
          </w:tcPr>
          <w:p>
            <w:pPr>
              <w:jc w:val="center"/>
              <w:ind w:right="2108"/>
              <w:spacing w:after="0"/>
              <w:rPr>
                <w:sz w:val="20"/>
                <w:szCs w:val="20"/>
                <w:color w:val="auto"/>
              </w:rPr>
            </w:pPr>
            <w:r>
              <w:rPr>
                <w:rFonts w:ascii="Arial" w:cs="Arial" w:eastAsia="Arial" w:hAnsi="Arial"/>
                <w:sz w:val="14"/>
                <w:szCs w:val="14"/>
                <w:color w:val="auto"/>
                <w:w w:val="94"/>
              </w:rPr>
              <w:t>2018 Annual Meeting of Stockholders</w:t>
            </w:r>
          </w:p>
        </w:tc>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41"/>
        </w:trPr>
        <w:tc>
          <w:tcPr>
            <w:tcW w:w="2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763"/>
        </w:trPr>
        <w:tc>
          <w:tcPr>
            <w:tcW w:w="2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00" w:type="dxa"/>
            <w:vAlign w:val="bottom"/>
            <w:gridSpan w:val="19"/>
          </w:tcPr>
          <w:p>
            <w:pPr>
              <w:jc w:val="center"/>
              <w:ind w:right="25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12"/>
            <w:vMerge w:val="restart"/>
          </w:tcPr>
          <w:p>
            <w:pPr>
              <w:jc w:val="center"/>
              <w:ind w:right="35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160" w:type="dxa"/>
            <w:vAlign w:val="bottom"/>
            <w:gridSpan w:val="1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3"/>
          </w:tcPr>
          <w:p>
            <w:pPr>
              <w:spacing w:after="0"/>
              <w:rPr>
                <w:sz w:val="18"/>
                <w:szCs w:val="18"/>
                <w:color w:val="auto"/>
              </w:rPr>
            </w:pPr>
          </w:p>
        </w:tc>
        <w:tc>
          <w:tcPr>
            <w:tcW w:w="35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8"/>
                <w:szCs w:val="18"/>
                <w:color w:val="auto"/>
              </w:rPr>
            </w:pPr>
          </w:p>
        </w:tc>
        <w:tc>
          <w:tcPr>
            <w:tcW w:w="3580" w:type="dxa"/>
            <w:vAlign w:val="bottom"/>
            <w:gridSpan w:val="10"/>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260" w:type="dxa"/>
            <w:vAlign w:val="bottom"/>
          </w:tcPr>
          <w:p>
            <w:pPr>
              <w:spacing w:after="0"/>
              <w:rPr>
                <w:sz w:val="17"/>
                <w:szCs w:val="17"/>
                <w:color w:val="auto"/>
              </w:rPr>
            </w:pPr>
          </w:p>
        </w:tc>
        <w:tc>
          <w:tcPr>
            <w:tcW w:w="7740" w:type="dxa"/>
            <w:vAlign w:val="bottom"/>
            <w:gridSpan w:val="3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1B.</w:t>
              </w:r>
            </w:hyperlink>
          </w:p>
        </w:tc>
        <w:tc>
          <w:tcPr>
            <w:tcW w:w="260" w:type="dxa"/>
            <w:vAlign w:val="bottom"/>
          </w:tcPr>
          <w:p>
            <w:pPr>
              <w:spacing w:after="0"/>
              <w:rPr>
                <w:sz w:val="17"/>
                <w:szCs w:val="17"/>
                <w:color w:val="auto"/>
              </w:rPr>
            </w:pPr>
          </w:p>
        </w:tc>
        <w:tc>
          <w:tcPr>
            <w:tcW w:w="7740" w:type="dxa"/>
            <w:vAlign w:val="bottom"/>
            <w:gridSpan w:val="3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570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400" w:type="dxa"/>
            <w:vAlign w:val="bottom"/>
            <w:gridSpan w:val="3"/>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40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w:t>
              </w:r>
            </w:hyperlink>
          </w:p>
        </w:tc>
        <w:tc>
          <w:tcPr>
            <w:tcW w:w="354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400" w:type="dxa"/>
            <w:vAlign w:val="bottom"/>
            <w:gridSpan w:val="3"/>
          </w:tcPr>
          <w:p>
            <w:pPr>
              <w:spacing w:after="0"/>
              <w:rPr>
                <w:sz w:val="17"/>
                <w:szCs w:val="17"/>
                <w:color w:val="auto"/>
              </w:rPr>
            </w:pPr>
          </w:p>
        </w:tc>
        <w:tc>
          <w:tcPr>
            <w:tcW w:w="7740" w:type="dxa"/>
            <w:vAlign w:val="bottom"/>
            <w:gridSpan w:val="30"/>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Market for Registrant’s Common Equity, Related Stockholder Matters and Issuer Purchases of Equity</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Securities</w:t>
              </w:r>
            </w:hyperlink>
          </w:p>
        </w:tc>
        <w:tc>
          <w:tcPr>
            <w:tcW w:w="4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400" w:type="dxa"/>
            <w:vAlign w:val="bottom"/>
            <w:gridSpan w:val="3"/>
          </w:tcPr>
          <w:p>
            <w:pPr>
              <w:spacing w:after="0"/>
              <w:rPr>
                <w:sz w:val="17"/>
                <w:szCs w:val="17"/>
                <w:color w:val="auto"/>
              </w:rPr>
            </w:pP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Selected Financial Data</w:t>
              </w:r>
            </w:hyperlink>
          </w:p>
        </w:tc>
        <w:tc>
          <w:tcPr>
            <w:tcW w:w="602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7.</w:t>
              </w:r>
            </w:hyperlink>
          </w:p>
        </w:tc>
        <w:tc>
          <w:tcPr>
            <w:tcW w:w="400" w:type="dxa"/>
            <w:vAlign w:val="bottom"/>
            <w:gridSpan w:val="3"/>
          </w:tcPr>
          <w:p>
            <w:pPr>
              <w:spacing w:after="0"/>
              <w:rPr>
                <w:sz w:val="17"/>
                <w:szCs w:val="17"/>
                <w:color w:val="auto"/>
              </w:rPr>
            </w:pPr>
          </w:p>
        </w:tc>
        <w:tc>
          <w:tcPr>
            <w:tcW w:w="774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Item 7A.</w:t>
              </w:r>
            </w:hyperlink>
          </w:p>
        </w:tc>
        <w:tc>
          <w:tcPr>
            <w:tcW w:w="260" w:type="dxa"/>
            <w:vAlign w:val="bottom"/>
          </w:tcPr>
          <w:p>
            <w:pPr>
              <w:spacing w:after="0"/>
              <w:rPr>
                <w:sz w:val="17"/>
                <w:szCs w:val="17"/>
                <w:color w:val="auto"/>
              </w:rPr>
            </w:pPr>
          </w:p>
        </w:tc>
        <w:tc>
          <w:tcPr>
            <w:tcW w:w="7740" w:type="dxa"/>
            <w:vAlign w:val="bottom"/>
            <w:gridSpan w:val="3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10"/>
          </w:tcPr>
          <w:p>
            <w:pPr>
              <w:spacing w:after="0"/>
              <w:rPr>
                <w:sz w:val="17"/>
                <w:szCs w:val="17"/>
                <w:color w:val="auto"/>
              </w:rPr>
            </w:pPr>
          </w:p>
        </w:tc>
        <w:tc>
          <w:tcPr>
            <w:tcW w:w="33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Item 9.</w:t>
              </w:r>
            </w:hyperlink>
          </w:p>
        </w:tc>
        <w:tc>
          <w:tcPr>
            <w:tcW w:w="400" w:type="dxa"/>
            <w:vAlign w:val="bottom"/>
            <w:gridSpan w:val="3"/>
          </w:tcPr>
          <w:p>
            <w:pPr>
              <w:spacing w:after="0"/>
              <w:rPr>
                <w:sz w:val="17"/>
                <w:szCs w:val="17"/>
                <w:color w:val="auto"/>
              </w:rPr>
            </w:pPr>
          </w:p>
        </w:tc>
        <w:tc>
          <w:tcPr>
            <w:tcW w:w="6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Changes in and Disagreements with Accountants on Accounting and Financial Disclosure</w:t>
              </w:r>
            </w:hyperlink>
          </w:p>
        </w:tc>
        <w:tc>
          <w:tcPr>
            <w:tcW w:w="12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Item 9A.</w:t>
              </w:r>
            </w:hyperlink>
          </w:p>
        </w:tc>
        <w:tc>
          <w:tcPr>
            <w:tcW w:w="26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Controls and Procedures</w:t>
              </w:r>
            </w:hyperlink>
          </w:p>
        </w:tc>
        <w:tc>
          <w:tcPr>
            <w:tcW w:w="59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9B.</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0000EE"/>
            </w:tcBorders>
            <w:gridSpan w:val="8"/>
          </w:tcPr>
          <w:p>
            <w:pPr>
              <w:jc w:val="cente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PART III</w:t>
              </w:r>
            </w:hyperlink>
          </w:p>
        </w:tc>
        <w:tc>
          <w:tcPr>
            <w:tcW w:w="350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10.</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Item 11.</w:t>
              </w:r>
            </w:hyperlink>
          </w:p>
        </w:tc>
        <w:tc>
          <w:tcPr>
            <w:tcW w:w="320" w:type="dxa"/>
            <w:vAlign w:val="bottom"/>
            <w:gridSpan w:val="2"/>
          </w:tcPr>
          <w:p>
            <w:pPr>
              <w:spacing w:after="0"/>
              <w:rPr>
                <w:sz w:val="17"/>
                <w:szCs w:val="17"/>
                <w:color w:val="auto"/>
              </w:rPr>
            </w:pPr>
          </w:p>
        </w:tc>
        <w:tc>
          <w:tcPr>
            <w:tcW w:w="4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Executive Compensation</w:t>
              </w:r>
            </w:hyperlink>
          </w:p>
        </w:tc>
        <w:tc>
          <w:tcPr>
            <w:tcW w:w="36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12.</w:t>
              </w:r>
            </w:hyperlink>
          </w:p>
        </w:tc>
        <w:tc>
          <w:tcPr>
            <w:tcW w:w="7740" w:type="dxa"/>
            <w:vAlign w:val="bottom"/>
            <w:gridSpan w:val="30"/>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13.</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Certain Relationships and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Item 14.</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Principal Accounting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4"/>
          </w:tcPr>
          <w:p>
            <w:pPr>
              <w:jc w:val="center"/>
              <w:ind w:right="3520"/>
              <w:spacing w:after="0" w:line="196" w:lineRule="exact"/>
              <w:rPr>
                <w:rFonts w:ascii="Arial" w:cs="Arial" w:eastAsia="Arial" w:hAnsi="Arial"/>
                <w:sz w:val="18"/>
                <w:szCs w:val="18"/>
                <w:b w:val="1"/>
                <w:bCs w:val="1"/>
                <w:color w:val="0000EE"/>
                <w:w w:val="98"/>
              </w:rPr>
            </w:pPr>
            <w:hyperlink w:anchor="page127">
              <w:r>
                <w:rPr>
                  <w:rFonts w:ascii="Arial" w:cs="Arial" w:eastAsia="Arial" w:hAnsi="Arial"/>
                  <w:sz w:val="18"/>
                  <w:szCs w:val="18"/>
                  <w:b w:val="1"/>
                  <w:bCs w:val="1"/>
                  <w:color w:val="0000EE"/>
                  <w:w w:val="98"/>
                </w:rPr>
                <w:t>PART IV</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Item 15.</w:t>
              </w:r>
            </w:hyperlink>
          </w:p>
        </w:tc>
        <w:tc>
          <w:tcPr>
            <w:tcW w:w="3520" w:type="dxa"/>
            <w:vAlign w:val="bottom"/>
            <w:gridSpan w:val="16"/>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35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Item 16.</w:t>
              </w:r>
            </w:hyperlink>
          </w:p>
        </w:tc>
        <w:tc>
          <w:tcPr>
            <w:tcW w:w="7740" w:type="dxa"/>
            <w:vAlign w:val="bottom"/>
            <w:gridSpan w:val="3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Form 10-K Summary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Borders>
              <w:top w:val="single" w:sz="8" w:color="0000EE"/>
            </w:tcBorders>
            <w:gridSpan w:val="7"/>
          </w:tcPr>
          <w:p>
            <w:pPr>
              <w:spacing w:after="0"/>
              <w:rPr>
                <w:sz w:val="24"/>
                <w:szCs w:val="24"/>
                <w:color w:val="auto"/>
              </w:rPr>
            </w:pPr>
          </w:p>
        </w:tc>
        <w:tc>
          <w:tcPr>
            <w:tcW w:w="2540" w:type="dxa"/>
            <w:vAlign w:val="bottom"/>
            <w:gridSpan w:val="12"/>
          </w:tcPr>
          <w:p>
            <w:pPr>
              <w:jc w:val="right"/>
              <w:ind w:right="35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details on the financial position, results of operations and cash flows of WM, WM Holdings and their subsidiaries, see Note 21 to the Consolidated Financial Statements.</w:t>
      </w:r>
    </w:p>
    <w:p>
      <w:pPr>
        <w:spacing w:after="0" w:line="18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Our principal executive offices are located at 1001 Fannin Street, Houston, Texas 77002. Our telephone number is (713) 512</w:t>
      </w:r>
      <w:r>
        <w:rPr>
          <w:rFonts w:ascii="MS PGothic" w:cs="MS PGothic" w:eastAsia="MS PGothic" w:hAnsi="MS PGothic"/>
          <w:sz w:val="17"/>
          <w:szCs w:val="17"/>
          <w:color w:val="auto"/>
        </w:rPr>
        <w:t>‑</w:t>
      </w:r>
      <w:r>
        <w:rPr>
          <w:rFonts w:ascii="Arial" w:cs="Arial" w:eastAsia="Arial" w:hAnsi="Arial"/>
          <w:sz w:val="17"/>
          <w:szCs w:val="17"/>
          <w:color w:val="auto"/>
        </w:rPr>
        <w:t>6200. Our website address is www.wm.com. Our annual reports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and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are all available, free of charge, on our website as soon as practicable after we file the reports with the SEC. Our stock is traded on the New York Stock Exchange under the symbol “WM.”</w:t>
      </w:r>
    </w:p>
    <w:p>
      <w:pPr>
        <w:spacing w:after="0" w:line="2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 (“U.S.”). During 2017, our largest customer represented 1% of annual revenues. We employed approximately 42,300 people as of December 31, 2017.</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own or operate 249 landfill sites, which is the largest network of landfills in North America. In order to make disposal more practical for larger urban markets, where the distance to landfills is typically farther, we manage 305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and metal. We provide cost-efficient, environmentally sound recycling programs for municipalities, businesses and households across the U.S. and Canada as well as other services that supplement our Traditional Solid Waste business.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innovation through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execution of our strategy will deliver shareholder value and leadership in a dynamic industry. In addition, we intend to continue to return value to our stockholders through dividend payments and our common stock repurchase program. In December 2017, we announced that our Board of Directors expects to increase the quarterly dividend from $0.425 to $0.465 per share for dividends declared in 2018, which is a 9.4% increase from the quarterly dividends we declared in 2017. This is an indication of our ability to generate strong and consistent cash flows and marks the 15th consecutive year of dividend increases. All quarterly dividends will be declared at the discretion of our Board of Directors.</w:t>
      </w:r>
    </w:p>
    <w:p>
      <w:pPr>
        <w:spacing w:after="0" w:line="161" w:lineRule="exact"/>
        <w:rPr>
          <w:sz w:val="20"/>
          <w:szCs w:val="20"/>
          <w:color w:val="auto"/>
        </w:rPr>
      </w:pPr>
    </w:p>
    <w:p>
      <w:pPr>
        <w:jc w:val="center"/>
        <w:ind w:right="8200"/>
        <w:spacing w:after="0"/>
        <w:rPr>
          <w:sz w:val="20"/>
          <w:szCs w:val="20"/>
          <w:color w:val="auto"/>
        </w:rPr>
      </w:pPr>
      <w:r>
        <w:rPr>
          <w:rFonts w:ascii="Arial" w:cs="Arial" w:eastAsia="Arial" w:hAnsi="Arial"/>
          <w:sz w:val="16"/>
          <w:szCs w:val="16"/>
          <w:b w:val="1"/>
          <w:bCs w:val="1"/>
          <w:color w:val="auto"/>
        </w:rPr>
        <w:t>Operations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See Note 19 to the Consolidated Financial Statements for additional information about our reportable segments. We also provide additional services that are not managed through our Solid Waste business as described below. These operations are presented in this report as “Other.”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services we currently provide include collection, landfill (solid and hazardous waste landfills), transfer, recycling and resource recovery and other services, as described below. The following table shows revenues contributed by these services for the years ended December 31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Collection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Landfill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Recycling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r>
      <w:tr>
        <w:trPr>
          <w:trHeight w:val="217"/>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Collection. </w:t>
      </w:r>
      <w:r>
        <w:rPr>
          <w:rFonts w:ascii="Arial" w:cs="Arial" w:eastAsia="Arial" w:hAnsi="Arial"/>
          <w:sz w:val="17"/>
          <w:szCs w:val="17"/>
          <w:color w:val="auto"/>
        </w:rPr>
        <w:t>Our commitment to customers begins with a vast waste collection network. Collection involves picking up</w:t>
      </w:r>
      <w:r>
        <w:rPr>
          <w:rFonts w:ascii="Arial" w:cs="Arial" w:eastAsia="Arial" w:hAnsi="Arial"/>
          <w:sz w:val="17"/>
          <w:szCs w:val="17"/>
          <w:i w:val="1"/>
          <w:iCs w:val="1"/>
          <w:color w:val="auto"/>
        </w:rPr>
        <w:t xml:space="preserve"> </w:t>
      </w:r>
      <w:r>
        <w:rPr>
          <w:rFonts w:ascii="Arial" w:cs="Arial" w:eastAsia="Arial" w:hAnsi="Arial"/>
          <w:sz w:val="17"/>
          <w:szCs w:val="17"/>
          <w:color w:val="auto"/>
        </w:rPr>
        <w:t>and transporting waste and recyclable materials from where it was generated to a transfer station, material recovery facility (“MRF”) or disposal site. We generally provide collection services under one of two types of arrangements:</w:t>
      </w:r>
    </w:p>
    <w:p>
      <w:pPr>
        <w:spacing w:after="0" w:line="166" w:lineRule="exact"/>
        <w:rPr>
          <w:sz w:val="20"/>
          <w:szCs w:val="20"/>
          <w:color w:val="auto"/>
        </w:rPr>
      </w:pPr>
    </w:p>
    <w:p>
      <w:pPr>
        <w:jc w:val="both"/>
        <w:ind w:left="660" w:hanging="333"/>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eight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 </w:t>
      </w:r>
      <w:r>
        <w:rPr>
          <w:rFonts w:ascii="Arial" w:cs="Arial" w:eastAsia="Arial" w:hAnsi="Arial"/>
          <w:sz w:val="16"/>
          <w:szCs w:val="16"/>
          <w:color w:val="auto"/>
        </w:rPr>
        <w:t>Landfills are the main depositories for solid waste in North America. As of December 31, 2017, we owned or</w:t>
      </w:r>
      <w:r>
        <w:rPr>
          <w:rFonts w:ascii="Arial" w:cs="Arial" w:eastAsia="Arial" w:hAnsi="Arial"/>
          <w:sz w:val="16"/>
          <w:szCs w:val="16"/>
          <w:i w:val="1"/>
          <w:iCs w:val="1"/>
          <w:color w:val="auto"/>
        </w:rPr>
        <w:t xml:space="preserve"> </w:t>
      </w:r>
      <w:r>
        <w:rPr>
          <w:rFonts w:ascii="Arial" w:cs="Arial" w:eastAsia="Arial" w:hAnsi="Arial"/>
          <w:sz w:val="16"/>
          <w:szCs w:val="16"/>
          <w:color w:val="auto"/>
        </w:rPr>
        <w:t>operated 244 solid waste landfills and five secure hazardous waste landfills, 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solid waste management companies must have access to a disposal facility, such as a solid waste landfill. The significant capital requirements of developing and operating a landfill serve as a barrier to landfill ownership and, thus,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8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As of December 31, 2017, we owned or operated 305 transfer stations in North America. We deposit waste at</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stations, as do other waste haulers. The solid waste is then consolidated and compacted to reduce the volume and increase the density of the waste and transported by transfer trucks or by rail to disposal sites.</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Access to transfer stations is critical to haulers who collect waste in areas not in close proximity to disposal facilities. Fees charged to third parties at transfer stations are usually based on the type and volume or weight of the waste deposited at the transfer station, the distance to the disposal site, market rates for disposal costs and other general market factors.</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transfer stations that we operate but do not own generally are operated through lease agreements under which we lease property from third parties. There are some instances where transfer stations are operated under contract, generally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municipalities. In most cases, we own the permits and will be responsible for any regulatory requirements relating to the operation and closure of the transfer station.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Recycling. </w:t>
      </w:r>
      <w:r>
        <w:rPr>
          <w:rFonts w:ascii="Arial" w:cs="Arial" w:eastAsia="Arial" w:hAnsi="Arial"/>
          <w:sz w:val="16"/>
          <w:szCs w:val="16"/>
          <w:color w:val="auto"/>
        </w:rPr>
        <w:t>Our recycling operations provide communities and businesses with an alternative to traditional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and support our strategic goals to extract more value from the materials we manage. We were the first major solid waste company to focus on residential single-stream recycling, which allows customers to mix recyclable paper, plastic and glass in one bin. Residential single-stream programs have greatly increased the recycling volumes.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167" w:lineRule="exact"/>
        <w:rPr>
          <w:sz w:val="20"/>
          <w:szCs w:val="20"/>
          <w:color w:val="auto"/>
        </w:rPr>
      </w:pPr>
    </w:p>
    <w:p>
      <w:pPr>
        <w:jc w:val="both"/>
        <w:ind w:left="320" w:firstLine="324"/>
        <w:spacing w:after="0" w:line="259" w:lineRule="auto"/>
        <w:rPr>
          <w:sz w:val="20"/>
          <w:szCs w:val="20"/>
          <w:color w:val="auto"/>
        </w:rPr>
      </w:pPr>
      <w:r>
        <w:rPr>
          <w:rFonts w:ascii="Arial" w:cs="Arial" w:eastAsia="Arial" w:hAnsi="Arial"/>
          <w:sz w:val="18"/>
          <w:szCs w:val="18"/>
          <w:i w:val="1"/>
          <w:iCs w:val="1"/>
          <w:color w:val="auto"/>
        </w:rPr>
        <w:t xml:space="preserve">Materials processing — </w:t>
      </w:r>
      <w:r>
        <w:rPr>
          <w:rFonts w:ascii="Arial" w:cs="Arial" w:eastAsia="Arial" w:hAnsi="Arial"/>
          <w:sz w:val="18"/>
          <w:szCs w:val="18"/>
          <w:color w:val="auto"/>
        </w:rPr>
        <w:t>Through our collection operations, we collect recyclable materials from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and industrial customers and direct these materials to one of our MRFs for processing. As of December 31, 2017, we operated 90 MRFs where paper, cardboard, metals, plastics, glass, construction and demolition materials and other recycling commodities are recovered for resale.</w:t>
      </w:r>
    </w:p>
    <w:p>
      <w:pPr>
        <w:spacing w:after="0" w:line="187" w:lineRule="exact"/>
        <w:rPr>
          <w:sz w:val="20"/>
          <w:szCs w:val="20"/>
          <w:color w:val="auto"/>
        </w:rPr>
      </w:pPr>
    </w:p>
    <w:p>
      <w:pPr>
        <w:jc w:val="both"/>
        <w:ind w:left="320" w:firstLine="324"/>
        <w:spacing w:after="0" w:line="264" w:lineRule="auto"/>
        <w:rPr>
          <w:sz w:val="20"/>
          <w:szCs w:val="20"/>
          <w:color w:val="auto"/>
        </w:rPr>
      </w:pPr>
      <w:r>
        <w:rPr>
          <w:rFonts w:ascii="Arial" w:cs="Arial" w:eastAsia="Arial" w:hAnsi="Arial"/>
          <w:sz w:val="18"/>
          <w:szCs w:val="18"/>
          <w:i w:val="1"/>
          <w:iCs w:val="1"/>
          <w:color w:val="auto"/>
        </w:rPr>
        <w:t xml:space="preserve">Recycling commodities — </w:t>
      </w:r>
      <w:r>
        <w:rPr>
          <w:rFonts w:ascii="Arial" w:cs="Arial" w:eastAsia="Arial" w:hAnsi="Arial"/>
          <w:sz w:val="18"/>
          <w:szCs w:val="18"/>
          <w:color w:val="auto"/>
        </w:rPr>
        <w:t>We market and resell recycling commodities globally. We manage the marketing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that are processed in our facilities by maintaining comprehensive service centers that continuously analyze market prices, logistics, market demands and product quality.</w:t>
      </w:r>
    </w:p>
    <w:p>
      <w:pPr>
        <w:spacing w:after="0" w:line="181"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i w:val="1"/>
          <w:iCs w:val="1"/>
          <w:color w:val="auto"/>
        </w:rPr>
        <w:t xml:space="preserve">Recycling brokerage services </w:t>
      </w:r>
      <w:r>
        <w:rPr>
          <w:rFonts w:ascii="Arial" w:cs="Arial" w:eastAsia="Arial" w:hAnsi="Arial"/>
          <w:sz w:val="18"/>
          <w:szCs w:val="18"/>
          <w:color w:val="auto"/>
        </w:rPr>
        <w:t>— We also provide recycling brokerage services, which involve managing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recyclable materials for third parties. The experience of our recycling operations in managing recycling commodities for our own operations gives us the expertise needed to effectively manage volumes for third parties. Utilizing the resources and knowledge of our recycling operations’ service centers, we can assist customers in marketing and selling their recycling commodities with minimal capital requirements.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Some of the recyclable materials processed in our MRFs are purchased from various sources, including third parties and our own operations. The price we pay for recyclable materials is often referred to as a “rebate.” In some cases, rebates are based on fixed contractual rates or on defined minimum per-ton rates but are generally based upon the price we receive for sales of processed goods, market conditions and transportation costs. As a result, changes in commodity prices for recycled materials also significantly affect the rebates we pay to our suppliers, which are recorded as operating expenses within our Consolidated Statements of Operations. In recent years, we have been focused on revising our rebate structures to ensure that we cover our cost of handling and processing the materials and generate an acceptable margin on the materials we process and sell.</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services we provide include the following:</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Although many waste management services such as collection and disposal are local services, our strategic accounts organization, which is managed by our Strategic Business Solutions (“WMSBS”) organization, works with customers whose locations span the U.S. Our strategic accounts program provides centralized customer service, billing and management of accounts to streamline the administration of customers’ multiple and nationwide locations’ waste management needs.</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Energy and Environmental Services (“EES”)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EES organization but reflected principally in our collection line of business and (iv) specialized disposal services for oil and gas exploration and production operations; revenues for this service are also reflected principally in our collection line of business. Our vertically integrated waste management operations enable us to provide customers with full management of their waste. The breadth of our service offerings and the familiarity we have with waste management practices gives us the unique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develop, operate and promote projects for the beneficial use of landfill gas through our WM Renewable Energy organization. Landfill gas is produced naturally as waste decomposes in a landfill. The methane component of the landfill gas is a readily available, renewable energy source that can be gathered and used beneficially as an alternative to fossil fuel. The U.S. Environmental Protection Agency (“EPA”) endorses landfill gas as a renewable energy resource, in the same category as wind, solar and geothermal resources. As of December 31, 2017, we had 127 landfill gas beneficial use projects producing commercial quantities of methane gas at owned or operated landfills. For 102 of these projects, the processed gas is used to fuel electricity generators. The electricity is then sold to public utilities, municipal utilities or power cooperatives. For 13 of these projects, the gas is used at the landfill or delivered by pipeline to industrial customers as a direct substitute for fossil fuels in industrial processes. For 12 of these projects, the landfill gas is processed to pipeline-quality natural gas and then sold to natural gas suppliers.</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Arial" w:cs="Arial" w:eastAsia="Arial" w:hAnsi="Arial"/>
          <w:sz w:val="8"/>
          <w:szCs w:val="8"/>
          <w:color w:val="auto"/>
        </w:rPr>
        <w:t>®</w:t>
      </w:r>
      <w:r>
        <w:rPr>
          <w:rFonts w:ascii="Arial" w:cs="Arial" w:eastAsia="Arial" w:hAnsi="Arial"/>
          <w:sz w:val="18"/>
          <w:szCs w:val="18"/>
          <w:color w:val="auto"/>
        </w:rPr>
        <w:t xml:space="preserve"> program; the development, operation and marketing of plasma gasification facilities; operation of a landfill gas-to-liquid natural gas plant; solar powered trash compactors and organic waste-to-fuel conversion technology. We also have expanded service offerings and solutions including portable self-storage and long distance moving services; fluorescent bulb and universal waste mail-back through our LampTracker</w:t>
      </w:r>
      <w:r>
        <w:rPr>
          <w:rFonts w:ascii="Arial" w:cs="Arial" w:eastAsia="Arial" w:hAnsi="Arial"/>
          <w:sz w:val="8"/>
          <w:szCs w:val="8"/>
          <w:color w:val="auto"/>
        </w:rPr>
        <w:t>®</w:t>
      </w:r>
      <w:r>
        <w:rPr>
          <w:rFonts w:ascii="Arial" w:cs="Arial" w:eastAsia="Arial" w:hAnsi="Arial"/>
          <w:sz w:val="18"/>
          <w:szCs w:val="18"/>
          <w:color w:val="auto"/>
        </w:rPr>
        <w:t xml:space="preserve"> program; portable restroom servicing under the name Port-o-Let</w:t>
      </w:r>
      <w:r>
        <w:rPr>
          <w:rFonts w:ascii="Arial" w:cs="Arial" w:eastAsia="Arial" w:hAnsi="Arial"/>
          <w:sz w:val="8"/>
          <w:szCs w:val="8"/>
          <w:color w:val="auto"/>
        </w:rPr>
        <w:t>®</w:t>
      </w:r>
      <w:r>
        <w:rPr>
          <w:rFonts w:ascii="Arial" w:cs="Arial" w:eastAsia="Arial" w:hAnsi="Arial"/>
          <w:sz w:val="18"/>
          <w:szCs w:val="18"/>
          <w:color w:val="auto"/>
        </w:rPr>
        <w:t>; and street and parking lot sweeping services. In addition, we hold interests in oil and gas producing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primarily of three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In recent years, the industry has seen some additional consolidation, though the industry remains intensely competitive. The industry’s national and regional competitors often face significant competitors in local markets. We compete with these companies as well as with counties and municipalities that maintain their own waste collection and disposal operations and waste brokers that rely upon haulers in local markets to address customer needs.</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had approximately 42,300 full-time employees, of which approximately 7,900 were employed in administrative and sales positions and the balance in operations. Approximately 8,100 of our employees are covered by collective bargaining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Assurance and Insurance Obligations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Financial Assurance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Surety bonds and insurance policies are supported by (i) a diverse group of third-party surety and insurance companies;</w:t>
      </w:r>
    </w:p>
    <w:p>
      <w:pPr>
        <w:spacing w:after="0" w:line="46" w:lineRule="exact"/>
        <w:rPr>
          <w:sz w:val="20"/>
          <w:szCs w:val="20"/>
          <w:color w:val="auto"/>
        </w:rPr>
      </w:pPr>
    </w:p>
    <w:p>
      <w:pPr>
        <w:jc w:val="both"/>
        <w:ind w:firstLine="3"/>
        <w:spacing w:after="0" w:line="254"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entity in which we have a noncontrolling financial interest or (iii) a wholly-owned insurance captive, the sole business of which is to issue surety bonds and/or insurance policies on our behalf. Letters of credit generally are supported by our long-term U.S. revolving credit facility (“$2.25 billion revolving credit facility”) and other credit facilities established for that purpose.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carry a broad range of insurance coverages, including general 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In December 2017, we elected to use a wholly-owned insurance captive to insure the deductibles for our general liability, automobile liability and workers’ compensation claims programs. As of December 31, 2017, both our commercial General Liability Insurance Policy and our workers’ compensation insurance program carried self-insurance exposures of up to $5 million per incident. As of December 31, 2017, our automobile liability insurance program included a per-incident deductible of up to $10 million. We do not expect the impact of any known casualty, property, environmental or other contingency to have a material impact on our financial condition, results of operations or cash flows. Our estimated insurance liabilities as of December 31, 2017 are summarized in Note 10 to the Consolidated Financial Statements.</w:t>
      </w:r>
    </w:p>
    <w:p>
      <w:pPr>
        <w:spacing w:after="0" w:line="16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previously chose to maintain a Directors’ and Officers’ Liability Insurance policy that covered only individual executive liability, often referred to as “Broad Form Side A." During 2017, due to attractive pricing, we converted to a traditional full coverage policy, and subject to the terms of that policy, the Company is now insured for money it advances for defense costs or pays as indemnity to the insured directors and officers in excess of applicable deductibles.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subject to extensive and evolving federal, state or provincial and local environmental, health, safety and transportation laws and regulations. These laws and regulations are administered by the EPA, Environment Canada, and various other federal, state, provincial and local environmental, zoning, transportation, land use, health and safety agencies in the U.S. and Canada. Many of these agencies regularly examine our operations to monitor compliance with these laws and regulations and have the power to enforce compliance, obtain injunctions or impose civil or criminal penalties in case of violations.</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Because the primary mission of our business is to collect and manage solid waste in an environmentally sound manner, a significant amount of our capital expenditures is related, either directly or indirectly, to environmental protection measures, including compliance with federal, state, provincial and local rules. There are costs associated with siting, design, permitting, operations, monitoring, site maintenance, corrective actions, financial assurance, and facility closure and post-closure obligations. With acquisition, development or expansion of a waste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6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recent years, we perceived an increase in both the amount of government regulation and the number of enforcement actions being brought by regulatory entities against operations in the waste services industry. The current U.S. presidential administration has called for substantial changes to foreign trade policy and has generally appeared to be in favor of reducing regulation, including environmental regulation. We cannot predict what impact the current administration will have on the political and regulatory environment in the U.S., the timing of any such changes, or the impact of any such changes on our business. Reduction of regulation may have a favorable impact on our operating costs, but the extensive environmental regulation applicable to landfills is a substantial barrier to entry that benefits our Company. Moreover, the risk reduction provided by stringent regulation is valuable to our customers and the communities we serve. It is likely that some policies adopted by the current administration will benefit us and others will negatively affect us. It also appears that pending litigation has blunted the impact of deregulation for the immediate future.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U.S. federal statutes affecting our business are summarized below:</w:t>
      </w:r>
    </w:p>
    <w:p>
      <w:pPr>
        <w:spacing w:after="0" w:line="117" w:lineRule="exact"/>
        <w:rPr>
          <w:sz w:val="20"/>
          <w:szCs w:val="20"/>
          <w:color w:val="auto"/>
        </w:rPr>
      </w:pPr>
    </w:p>
    <w:p>
      <w:pPr>
        <w:jc w:val="both"/>
        <w:ind w:left="660" w:hanging="333"/>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70"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of hazardous substances, even resulting from lawful, unintentional and attentive action,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include obligations to a potentially responsible party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63" w:lineRule="exact"/>
        <w:rPr>
          <w:sz w:val="20"/>
          <w:szCs w:val="20"/>
          <w:color w:val="auto"/>
        </w:rPr>
      </w:pPr>
    </w:p>
    <w:p>
      <w:pPr>
        <w:jc w:val="both"/>
        <w:ind w:left="660" w:hanging="333"/>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our operations discharge any pollutants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Also, if a landfill or other facility discharges wastewater through a sewage system to a publicly-owned treatment works, the facility must comply with discharge limits imposed by the treatment works. Further,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74" w:lineRule="exact"/>
        <w:rPr>
          <w:rFonts w:ascii="Arial" w:cs="Arial" w:eastAsia="Arial" w:hAnsi="Arial"/>
          <w:sz w:val="17"/>
          <w:szCs w:val="17"/>
          <w:color w:val="auto"/>
        </w:rPr>
      </w:pPr>
    </w:p>
    <w:p>
      <w:pPr>
        <w:jc w:val="both"/>
        <w:ind w:left="660" w:hanging="333"/>
        <w:spacing w:after="0" w:line="28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Clean Air Act of 1970, as amended, provides for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controlling landfill gases from new and existing large landfills. In January 2003, the EPA issued Maximum Achievable Control Technology (“MACT”) standards for municipal solid waste landfills subject to the NSPS. These regulations impose limits on air emissions from large municipal solid waste landfills, subject most of these landfills to certain operating permit requirements under Title V of the Clean Air Act and, in many instances, require installation of landfill gas collection and control systems to control emissions or to treat and utilize landfill gas on- or off-site. On August 29, 2016, the EPA published two rules with new requirements for landfill gas control and monitoring at both new municipal solid waste landfills (constructed or modified after July 17, 2014) as well as existing landfills (operating after November 8, 1987 and not modified after July 17, 2014). Working with our trade associations and other landfill owners and operators, we identified significant legal, technical and implementation concerns with the rules and together filed administrative petitions asking that the EPA stay the rules and initiate a rulemaking process to address our concerns, while also filing a petition for judicial review. The EPA has agreed to initiate a rulemaking process to address legal and technical concerns and revise the final rules. The EPA is also reviewing the landfill MACT standards to determine whether revisions are warranted. A court has required that this Risk Technology Review must be completed and a final rule issued by March 2020. We cannot predict the final outcome of either rulemaking process; however, we do not believe regulatory changes, if determined, will have a material adverse impact on our business as a whole.</w:t>
      </w:r>
    </w:p>
    <w:p>
      <w:pPr>
        <w:spacing w:after="0" w:line="62"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The EPA and the Department of Transportation finalized Greenhouse Gas Emissions and Fuel Efficiency Standards for Medium and Heavy-Duty Engines and Vehicles – Phase 2 on August 16, 2016. The rule will increase fuel economy standards and reduce vehicle emissions standards for our collection fleet between model years 2021 and 2027. We expect to be able to purchase fully compliant vehicles that will meet our operational needs, and while the regulations could increase the costs of operating our fleet, we do not believe any such regulations would have a material adverse impact on our business as a whole.</w:t>
      </w:r>
    </w:p>
    <w:p>
      <w:pPr>
        <w:spacing w:after="0" w:line="85" w:lineRule="exact"/>
        <w:rPr>
          <w:rFonts w:ascii="Arial" w:cs="Arial" w:eastAsia="Arial" w:hAnsi="Arial"/>
          <w:sz w:val="16"/>
          <w:szCs w:val="16"/>
          <w:color w:val="auto"/>
        </w:rPr>
      </w:pPr>
    </w:p>
    <w:p>
      <w:pPr>
        <w:jc w:val="both"/>
        <w:ind w:left="660" w:hanging="333"/>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are also actively monitoring the following recent developments in U.S. federal regulations affecting our business:</w:t>
      </w:r>
    </w:p>
    <w:p>
      <w:pPr>
        <w:spacing w:after="0" w:line="129" w:lineRule="exact"/>
        <w:rPr>
          <w:sz w:val="20"/>
          <w:szCs w:val="20"/>
          <w:color w:val="auto"/>
        </w:rPr>
      </w:pPr>
    </w:p>
    <w:p>
      <w:pPr>
        <w:jc w:val="both"/>
        <w:ind w:left="660" w:hanging="333"/>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2010, the EPA issued the Prevention of Significant Deterioration (“PSD”) and Title V Greenhouse Gas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w:t>
      </w:r>
    </w:p>
    <w:p>
      <w:pPr>
        <w:spacing w:after="0" w:line="64" w:lineRule="exact"/>
        <w:rPr>
          <w:rFonts w:ascii="Arial" w:cs="Arial" w:eastAsia="Arial" w:hAnsi="Arial"/>
          <w:sz w:val="17"/>
          <w:szCs w:val="17"/>
          <w:color w:val="auto"/>
        </w:rPr>
      </w:pPr>
    </w:p>
    <w:p>
      <w:pPr>
        <w:jc w:val="both"/>
        <w:ind w:left="660"/>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Further, in June 2014, the U.S. Supreme Court issued a decision that significantly limited the applicability and scope of EPA permitting requirements for GHGs from stationary sources. Following this ruling, the EPA issued a policy memorandum in July 2014 advising that the U.S. Supreme Court ruling effectively narrows the scope of biogenic carbon dioxide (“CO2”) permitting issues that remain for the EPA to address. Further, on October 3, 2016, the EPA proposed revisions to the PSD and Title V GHG permitting regulations establishing a significant emissions rate (“SER”) of 75,000 tons of CO2 equivalent, below which sources would not be required to implement additional control technologies for their GHG emissions. This SER threshold should prevent most of our operational changes, such as landfill expansions and beneficial gas recovery projects, from being subject to PSD or Title V permit requirements due to our GHG emissions – assuming the EPA classifies biogenic CO2 emissions from municipal solid waste and landfill gas as carbon neutral. The EPA plans to finalize the rulemaking in 2018. The EPA has not yet finalized its policy for addressing biogenic CO2 emissions from waste management; however, the EPA’s independent Science Advisory Board has recommended it treat waste-derived CO2 emissions as carbon-neutral. The result of the U.S. Supreme Court ruling and anticipated EPA policy and regulatory action should significantly reduce the potential impact of the PSD and Title V GHG Tailoring Rule on our air permits, compliance and operating requirements.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The adoption of climate change legislation or regulations restricting</w:t>
      </w:r>
      <w:r>
        <w:rPr>
          <w:rFonts w:ascii="Arial" w:cs="Arial" w:eastAsia="Arial" w:hAnsi="Arial"/>
          <w:sz w:val="16"/>
          <w:szCs w:val="16"/>
          <w:color w:val="auto"/>
        </w:rPr>
        <w:t xml:space="preserve"> </w:t>
      </w:r>
      <w:r>
        <w:rPr>
          <w:rFonts w:ascii="Arial" w:cs="Arial" w:eastAsia="Arial" w:hAnsi="Arial"/>
          <w:sz w:val="16"/>
          <w:szCs w:val="16"/>
          <w:i w:val="1"/>
          <w:iCs w:val="1"/>
          <w:color w:val="auto"/>
        </w:rPr>
        <w:t>emissions of “greenhouse gases” could increase our costs to operate.</w:t>
      </w:r>
    </w:p>
    <w:p>
      <w:pPr>
        <w:spacing w:after="0" w:line="69"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Other recent final and proposed rules to increase the stringency of certain National Ambient Air Quality Standards (“NAAQS”) could affect the cost, timeliness and availability of air permits for new and modified large municipal solid waste landfills and landfill gas-to-energy facilities. However, the EPA under the current administration is reviewing the implementation of the new NAAQS and considering revisions to make the regulations less stringent. While we cannot predict the ultimate outcome of potential revisions to NAAQS, we do not believe that the ultimate requirements will have a material adverse impact on our business as a whole.</w:t>
      </w:r>
    </w:p>
    <w:p>
      <w:pPr>
        <w:spacing w:after="0" w:line="70"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We continue to anticipate the needs of our customers, which includes investing in and developing ever-more-advanced recycling and reuse technologies. Potential climate change, GHG regulatory, and corporate sustainability initiatives have influenced our business strategy to provide low-carbon services to our customers, and we increasingly view our ability to offer lower carbon services as a key component of our business growth. If the U.S. were to impose a carbon tax or other form of GHG regulation increasing demand for low-carbon service offerings in the future, the services we are developing will be increasingly valuable.</w:t>
      </w:r>
    </w:p>
    <w:p>
      <w:pPr>
        <w:spacing w:after="0" w:line="70"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2011, the EPA published the Non-Hazardous Secondary Materials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(“CISWI”) and Maximum Achievable Control Technology Standards for commercial and industrial boilers (“Boiler MACT”). The EPA published clarifications and amendments to the three rules in 2013 and legal challenges to the rules were subsequently filed by both industry and environmental groups. In May 2015, the Court of Appeals for the D.C. Circuit upheld the NHSM Rule together with the amendments to the rule that support some of our projects in which we are seeking to convert biomass or other secondary materials into products, fuels or energy. Through rulings in July and December of 2016 related to the CISWI and Boiler MACT challenges, the Court vacated certain elements of those rules while remanding other aspects of the rules to the EPA for reconsideration. We believe the ultimate rules and administrative determinations will not have a material adverse impact on our business as a whole and are more likely to facilitate our efforts to reuse or recover energy value from secondary material streams.</w:t>
      </w:r>
    </w:p>
    <w:p>
      <w:pPr>
        <w:spacing w:after="0" w:line="66" w:lineRule="exact"/>
        <w:rPr>
          <w:rFonts w:ascii="Arial" w:cs="Arial" w:eastAsia="Arial" w:hAnsi="Arial"/>
          <w:sz w:val="16"/>
          <w:szCs w:val="16"/>
          <w:color w:val="auto"/>
        </w:rPr>
      </w:pPr>
    </w:p>
    <w:p>
      <w:pPr>
        <w:jc w:val="both"/>
        <w:ind w:left="660" w:hanging="333"/>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December 2014, the EPA issued a final rule regulating the disposal and beneficial use of coal combustion residuals (“CCR”). This codification of the CCR rule provides utilities with a stable regulatory regime and encourages beneficial use of CCR in encapsulated uses (e.g., used in cement or wallboard), and use according to</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 new standards are consistent with our approach to handling CCR at our sites currently, and the new standards have provided a growth opportunity for the Company. States may impose standards more stringent than the federal program, and under the 2016 Water Infrastructure Improvements for the Nation Act, may receive approval to run permitting programs for CCR in their states. In 2017, the EPA provided guidance to facilitate approval of state programs.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State, Provincial and Local Regulations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landfill operations are affected by the increasing preference for alternatives to landfill disposal. Many state and local governments mandate recycling and waste reduction at the source and prohibit the disposal of certain types of waste, such as yard waste, food waste and electronics at landfills. The number of state and local governments with recycling requirements and disposal bans continues to grow, while the logistics and economics of recycling the items remain challenging.</w:t>
      </w:r>
    </w:p>
    <w:p>
      <w:pPr>
        <w:spacing w:after="0" w:line="15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U.S. Supreme Court ruled that a flow control ordinance that gave preference to a local facility that was privately owned was unconstitutional, but in 2007, the Court ruled that an ordinance directing waste to a facility owned by the local government was constitutional. The U.S.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take,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Many states, provinces and local jurisdictions have enacted “fitness” laws that allow the agencies that have jurisdiction over waste services contracts or permits to deny or revoke these contracts or permits based on the 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 While fitness laws can present potential increased costs and barriers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entry into market areas, these laws have not, and are not expected to have a material adverse impact on our business as a whole.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Foreign Import and Export Regulations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Enforcement or implementation of foreign and domestic regulations can affect our ability to export products. A significant portion of the fiber that we market is shipped to export markets across the globe, particularly China. In 2013, the Chinese government began to strictly enforce regulations that establish limits on moisture and non-conforming materials that may be contained in imported recycled paper and plastics and restrict the import of certain other plastic recyclables. In 2017, the Chinese government announced a ban on certain materials, including mixed waste paper and mixed plastics, effective January 1, 2018, as well as extremely restrictive quality requirements effective March 1, 2018 that will be difficult for the industry to achieve. Single stream MRFs process a wide range of commingled materials and tend to receive a higher percentage of non-recyclables, which results in increased processing and residual disposal costs to achieve quality standards. Also in 2017, the Chinese government began to limit the flow of material into the country by restricting the issuance of required import licenses. The use of restrictions on import licenses to restrict flow into China is expected to continue in 2018. Additionally, increased container weight tracking and port fees have driven up operating costs in the recycling industry and have resulted in increased price volatility. The current U.S. presidential administration has called for substantial changes to foreign trade policy and has raised the possibility of imposing significant increases in tariffs on international trade. Restrictions and tariffs on exporting would have a significant impact on our recycling operations.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recent years, we have been revising our service agreements to address increased costs and are working with stakeholders to educate the public on the need to recycle properly. We are investing time and labor and working with customers to help improve quality. However, there is uncertainty about the industry’s ability to adapt to the Chinese government’s regulations. We have been actively working to identify alternative markets for recycled commodities, but it is possible there may not be sufficient demand for all of the material we produce, resulting in price decreases and volatility. Industry trade organizations and government agencies are engaged in discussions to mitigate long-term impacts to recycling programs and the industry as a whole.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Hydraulic Fracturing Regulation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EES organization provides specialized environmental management and disposal services for oil and gas exploration and production operations. There remains heightened attention from the public, some states and the EPA on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hydraulic fracturing and new rules regarding the treatment and disposal of wastes associated with exploration and production operations could increase our costs to provide oilfield services and reduce our margins and revenue from such services. On the other hand,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Emissions from Natural Gas Fueling and Infrastructure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As of December 31, 2017, we were operating 6,525 natural gas trucks and 106 natural gas fueling facilities, of which 101 are in the U.S. and five are in Canadian provinces; 29 of these fueling stations also serve the public or pre-approved third parties.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 this comprehensive study of emissions from our heavy-duty fleet may ultimately help inform regulations that will affect equipment manufacturers and will define operating procedures across the industry. Additional regulation of, or restrictions on, natural gas fueling infrastructure or reductions in associated tax</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incentives could increase our operating costs. We are not yet able to evaluate potential operating changes or costs associated with such regulations, but we do not anticipate that such regulations would have a material adverse impact on our business or our future investment in natural gas vehicles.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Federal, State and Local Climate Change Initiatives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 Despite the announcement that the U.S. will withdraw from the Paris Climate Accords, we have seen no reduction in customer demand for services aligned with their GHG reduction goals and strategies.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80"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2018 and beyond and that could cause actual results to be materially different from those that may be set forth in forward-looking statements made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primarily of three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In recent years, the industry has seen some additional consolidation, though the industry remains intensely competitive. The industry’s national and regional competitors are often significant competitors in local markets. We compete with these companies as well as with counties and municipalities that maintain their own waste collection and disposal operations and waste brokers that rely upon haulers in local markets to address customer needs.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18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fail to implement our business strategy, our financial performance and our growth could be materially and adversely affected.</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7. </w:t>
      </w:r>
      <w:r>
        <w:rPr>
          <w:rFonts w:ascii="Arial" w:cs="Arial" w:eastAsia="Arial" w:hAnsi="Arial"/>
          <w:sz w:val="16"/>
          <w:szCs w:val="16"/>
          <w:i w:val="1"/>
          <w:iCs w:val="1"/>
          <w:color w:val="auto"/>
        </w:rPr>
        <w:t>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Financial Condition and Results of Operations — Overview </w:t>
      </w:r>
      <w:r>
        <w:rPr>
          <w:rFonts w:ascii="Arial" w:cs="Arial" w:eastAsia="Arial" w:hAnsi="Arial"/>
          <w:sz w:val="16"/>
          <w:szCs w:val="16"/>
          <w:color w:val="auto"/>
        </w:rPr>
        <w:t>for more information on our business strategy.</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risks involved in pursuing our strategy, including the following:</w:t>
      </w:r>
    </w:p>
    <w:p>
      <w:pPr>
        <w:spacing w:after="0" w:line="117"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employees, customers or investors may not embrace and support our strategy.</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hire or retain the personnel necessary to manage our strategy effectively.</w:t>
      </w:r>
    </w:p>
    <w:p>
      <w:pPr>
        <w:spacing w:after="0" w:line="117"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We have also continued our environmental fee, fuel surcharge and regulatory recovery fee to offset costs. The loss of volumes as a result of price increases and our unwillingness to pursue lower margin volumes may negatively affect our cash flows or results of operations. Additionally, we have in the past and continue to face purported class action lawsuits related to our customer service agreements, prices and fees.</w:t>
      </w:r>
    </w:p>
    <w:p>
      <w:pPr>
        <w:spacing w:after="0" w:line="8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unsuccessful in implementing improvements to operational efficiency and such efforts may not yield the intended result.</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maintain cost savings achieved through restructuring efforts.</w:t>
      </w:r>
    </w:p>
    <w:p>
      <w:pPr>
        <w:spacing w:after="0" w:line="117"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Strategic decisions with respect to our asset portfolio may result in impairments to our assets. See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w:t>
      </w:r>
      <w:r>
        <w:rPr>
          <w:rFonts w:ascii="Arial" w:cs="Arial" w:eastAsia="Arial" w:hAnsi="Arial"/>
          <w:sz w:val="17"/>
          <w:szCs w:val="17"/>
          <w:i w:val="1"/>
          <w:iCs w:val="1"/>
          <w:color w:val="auto"/>
        </w:rPr>
        <w:t xml:space="preserve"> We may record material charges against our earnings due to impairments to our assets</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make strategic acquisitions depends on our ability to identify desirable acquisition targets, negotiate advantageous transactions despite competition for such opportunities, fund such acquisitions on favorable terms, obtain regulatory approvals and realize the benefits we expect from those transactions.</w:t>
      </w:r>
    </w:p>
    <w:p>
      <w:pPr>
        <w:spacing w:after="0" w:line="57"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of acquisitions and/or new services offerings could increase our exposure to the risk of inadvertent noncompliance with applicable laws and regulations.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Liabilities associated with acquisitions, including ones that may exist only because of past operations of an acquired business, may prove to be more difficult or costly to address than anticipated.</w:t>
      </w:r>
    </w:p>
    <w:p>
      <w:pPr>
        <w:spacing w:after="0" w:line="62"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38"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165"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Stringent government regulations at the federal, state, provincial and local level in the U.S. and Canada have a substantial impact on our business, and compliance with such regulations is costly. A large number of complex laws, rules, orders and interpretations govern environmental protection, health, safety, land use, zoning, transportation and related matters. Among other things, governmental regulations and enforcement actions may restrict our operations and adversely affect our financial condition, results of operations and cash flows by imposing conditions such as:</w:t>
      </w:r>
    </w:p>
    <w:p>
      <w:pPr>
        <w:spacing w:after="0" w:line="64" w:lineRule="exact"/>
        <w:rPr>
          <w:sz w:val="20"/>
          <w:szCs w:val="20"/>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siting and constructing new waste disposal, transfer, recycling or processing facilities or on expanding existing facilities;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mandates regarding the management of solid waste, including requirements to recycle, divert or otherwise process certain waste, recycling and other streams; or</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restrictions on the recycling, processing or transformation of waste, recycling and other streams.</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have significant financial obligations relating to final capping, closure, post-closure and environmental remediation at our existing landfills. We establish accruals for these estimated costs, but we could underestimate such accruals because of the types of waste collected and manner in which it is transported and disposed of, including actions taken in the past by companies we have acquired or third-party landfill operators, among other reasons. Environmental regulatory changes could accelerate or increase capping, closure, post-closure and remediation costs, requiring our expenditures to materially exceed our current accruals.</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order to develop, expand or operate a landfill or other waste management facility, we must have various facility permits and other governmental approvals, including those relating to zoning, environmental protection and land use.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permits and approvals are often difficult, time consuming and costly to obtain and could contain conditions that limit our operations.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Various states have enacted, or are considering enacting, laws that restrict the disposal within the state of solid waste generated outside the state. From time to time, the U.S.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regulations establishing extended producer responsibility (“EPR”) are being considered or implemented in many places around the world, including in the U.S. and Canada.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recent years, we perceived an increase in both the amount of government regulation and the number of enforcement actions being brought by regulatory entities against operations in the waste services industry. The current U.S. presidential administration has called for substantial changes to foreign trade policy and has generally appeared to be in favor of reducing regulation, including environmental regulation. We cannot predict what impact the current administration will have on the political and regulatory environment in the U.S., the timing of any such changes, or the impact of any such changes on our business. Reduction of regulation may have a favorable impact on our operating costs, but the extensive environmental regulation applicable to landfills is a substantial barrier to entry that benefits our Company. Moreover, the risk reduction provided by stringent regulation is valuable to our customers and the communities we serve. It is likely that some policies adopted by the current administration will benefit us and others will negatively affect us.</w:t>
      </w:r>
    </w:p>
    <w:p>
      <w:pPr>
        <w:spacing w:after="0" w:line="167"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Our revenues, earnings and cash flows will fluctuate based on changes in commodity prices, and commodity prices for recyclable materials are particularly susceptible to volatility based on regulations that affect our ability to export products.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plastics, which are subject to significant market price fluctuations. The majority of the recyclables that we process for sale are paper fibers, including old corrugated cardboard and old newsprint, and a significant portion of the fiber that we market is shipped to export markets across the globe, particularly China. In 2013, the Chinese government began to strictly enforce regulations that establish limits on moisture and non-conforming materials that may be contained in imported recycled paper and plastics and restrict the import of certain other plastic recyclables. In 2017, the Chinese government announced a ban on certain materials, including mixed waste paper and mixed plastics, effective January 1, 2018, as well as extremely restrictive quality requirements effective March 1, 2018 that will be difficult for the industry to achieve. Single stream MRFs process a wide range of commingled materials and tend to receive a higher percentage of non-recyclables, which results in increased processing and residual disposal costs to achieve quality standards. Also in 2017, the Chinese government began to limit the flow of material into the country by restricting the issuance of required import licenses. The use of restrictions on import licenses to restrict flow into China is expected to continue in 2018.</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uncertainty about the industry’s ability to adapt to the Chinese government’s regulations. We have been actively working to identify alternative markets for recycled commodities, but it is possible there may not be sufficient demand for all of the material we produce, resulting in price decreases and increased volatility. The fluctuations in the market prices or demand for these commodities can affect our operating income and cash flows positively, as we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experienced in 2017 and 2016, or negatively, as we experienced in 2015. As we have increased the size of our recycling operations, we have also increased our exposure to commodity price fluctuations.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increase in market prices in 2017 and 2016 for commodities resulted in increases in revenue of $237 million and $51 million, respectively. The decline in market prices in 2015 for commodities resulted in a decrease in revenue of $138 million. Additionally, under some agreements, our recycling operations are required to pay rebates to suppliers. In some cases, if we experience higher revenues based on increased market prices for recycling commodities, the rebates we pay will also increase. In other circumstances, the rebates may be subject to a floor, such that as market prices decrease, any expected profit margins on materials subject to the rebate floor are reduced or eliminated. As we work to revise service agreements to mitigate the impact of commodity price fluctuations, the potential increase in the cost for recycling services may make it more difficult for us to win bids and may slow the growth of recycling overall. If the Chinese government’s regulations, or other similar regulations or initiatives, such as increased container weight tracking and port fees or restrictions and tariffs on exporting, result in reduced demand or increased operating costs, such regulations, initiatives, restrictions and tariffs could have a material adverse effect on the profitability of our recycling operations.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Fluctuation in energy prices also affects our business, including recycling of plastics manufactured from petroleum products. Significant variations in the price of methane gas, electricity and other energy-related products that are marketed and sold by our landfill gas recovery operations can result in a corresponding significant impact to our revenue from yield from such operations. Additionally, we provide specialized disposal services for oil and gas exploration and production operations through our EES organization. Demand for these services decreases when drilling activity slows due to depressed oil and gas prices, such as the low prices throughout the last few years. Any of the commodity prices to which we are subject may fluctuate substantially and without notice in the future.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Changes in regulations applicable to oil and gas drilling and production could adversely affect our EES organization.</w:t>
      </w:r>
    </w:p>
    <w:p>
      <w:pPr>
        <w:spacing w:after="0" w:line="2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EES organization demand may also be adversely affected if drilling activity slows due to industry conditions beyond our control, in addition to changes in oil and gas prices. Changes in laws or government regulations regarding GHG emissions from oil and gas operations and/or hydraulic fracturing could increase our customers’ costs of doing business and reduce oil and gas exploration and production by customers. There remains heightened attention from the public, some states and the EPA to the alleged potential for hydraulic fracturing to impact drinking water supplies. There is also heightened federal regulatory focus on emissions of methane that occur during drilling and transportation of natural gas with regulations promulgated in 2012 and 2015 as well as state attention to protective disposal of drilling residuals. Increased regulation of oil and gas exploration and production and new rules regarding the treatment and disposal of wastes associated with exploration and production operations could increase our costs to provide oilfield services and reduce our margins and revenue from such services.</w:t>
      </w:r>
    </w:p>
    <w:p>
      <w:pPr>
        <w:spacing w:after="0" w:line="17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Increasing customer preference for alternatives to landfill disposal could reduce our landfill volumes and cause our revenues and operating results to decline.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customers are increasingly diverting waste to alternatives to landfill disposal, such as recycling and composting, while also working to reduce the amount of waste they generate. In addition, many state and local governments mandate diversion, recycling and waste reduction at the source and prohibit the disposal of certain types of waste, such as yard waste, food waste and electronics at landfills. Where such organic waste is not banned from the landfill,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our highest income from operations margins. If we are not successful in expanding our service offerings and growing lines of businesses to service waste streams that do not go to landfills and to provide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 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business depends on our reputation and the value of our brand.</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17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73" w:lineRule="exact"/>
        <w:rPr>
          <w:sz w:val="20"/>
          <w:szCs w:val="20"/>
          <w:color w:val="auto"/>
        </w:rPr>
      </w:pPr>
    </w:p>
    <w:p>
      <w:pPr>
        <w:jc w:val="both"/>
        <w:ind w:left="660" w:hanging="333"/>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5"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General economic conditions can directly and adversely affect our revenues and our income from operations margins.</w:t>
      </w:r>
    </w:p>
    <w:p>
      <w:pPr>
        <w:spacing w:after="0" w:line="2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 Additionally, a prolonged economic downturn in China could significantly impact prices for post-consumer fiber and metals processed by our recycling operations.</w:t>
      </w:r>
    </w:p>
    <w:p>
      <w:pPr>
        <w:spacing w:after="0" w:line="17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provide service to a number of governmental entities and municipalities, some of which have suffered significant financial difficulties in recent years, due in part to reduced tax revenue and/or high cost structures. Some of these entities could be unable to pay amounts owed to us or renew contracts with us at previous or increased rates.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non-governmental customers have also suffered serious financial difficulties, including bankruptcy in some cases. Purchasers of our recycling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the financial difficulties of municipalities could result in a decline in investors’ demand for municipal bonds and a correlating increase in interest rates. As of December 31, 2017, we had $831 million of tax-exempt bonds with term interest rate periods that expire within the next 12 months and $328 million of variable-rate tax-exempt bonds with interest rates reset on either a daily or a weekly basis through a remarketing process, which is prior to their scheduled maturities. If market dynamics resulted in repricing of our tax-exempt bonds at significantly higher interest rates, we would incur increased interest expenses that may negatively affect our operating results and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 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financial condition, results of operations and cash flows.</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Significant shortages in diesel fuel supply or increases in diesel fuel prices will increase our operating expenses.</w:t>
      </w:r>
    </w:p>
    <w:p>
      <w:pPr>
        <w:spacing w:after="0" w:line="24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lawsuits have challenged our fuel and environmental charges included on our invoices. Regardless of any offsetting surcharge programs, increased operating costs due to higher diesel fuel prices will decrease our income from operations margins.</w:t>
      </w:r>
    </w:p>
    <w:p>
      <w:pPr>
        <w:spacing w:after="0" w:line="183"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have an extensive natural gas truck fleet, which makes us partially dependent on the availability of natural gas and fueling infrastructure and vulnerable to natural gas prices.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a large fleet of natural gas vehicles, and we plan to continue to invest in these assets for our collection fleet. However, natural gas fueling infrastructure is not yet broadly available in North America; as a result, we have constructed and operate natural gas fueling stations, some of which also serve the public or pre-approved third parties. It will remain necessary for us to invest capital in fueling infrastructure in order to power our natural gas fleet. Concerns have been raised about the potential for emissions from fueling infrastructure that serve natural gas-fueled vehicles. New regulation of, or restrictions on, natural gas fueling infrastructure or reductions in associated tax incentives could increase our operating costs. Additionally, fluctuations in the price and supply of natural gas could substantially increase our operating expenses, and a reduction in the existing cost differential between natural gas and diesel fuel could materially reduce the benefits we anticipate from our investment in natural gas vehicles. Further, our fuel surcharge program is currently indexed to diesel fuel prices, and price fluctuations for natural gas may not effectively be recovered by this program.</w:t>
      </w:r>
    </w:p>
    <w:p>
      <w:pPr>
        <w:spacing w:after="0" w:line="16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any systems failures could impede our ability to timely collect and report financial results in accordance with applicable laws and regulations.</w:t>
      </w:r>
    </w:p>
    <w:p>
      <w:pPr>
        <w:spacing w:after="0" w:line="170"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A cybersecurity incident could negatively impact our business and our relationships with customers and expose us to litigation risk.</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w:t>
      </w:r>
    </w:p>
    <w:p>
      <w:pPr>
        <w:spacing w:after="0" w:line="1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operating expenses could increase as a result of labor unions organizing or changes in regulations related to labor unions.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would enhance organized labor’s leverage to obtain higher than expected wage and benefits costs and resist the introduction of new technology and other initiatives, which can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could face significant liabilities for withdrawal from Multiemployer Pension Plans.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participating employer in a number of trustee-managed multiemployer defined benefit pension plans (“Multiemployer Pension Plans”) for employees who are covered by collective bargaining agreements. In the event of our withdrawal from a Multiemployer Pension Plan, we may incur expenses associated with our obligations for unfunded vested benefits at the time of the withdrawal. Depending on various factors, future withdrawals could have a material adverse effect on results of operations or cash flows for a particular reporting period. We have previously withdrawn several employee bargaining units from underfunded Multiemployer Pension Plans, and we recognized related expenses of $12 million and $51 million in 2017 and 2015, respectively. In 2016, we did not recognize any charges for the withdrawal from Multiemployer Pension Plans. See Notes 9 and 10 to the Consolidated Financial Statements for more information related to our participation in Multiemployer Pension Plans.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business is subject to operational and safety risks, including the risk of personal injury to employees and others.</w:t>
      </w:r>
    </w:p>
    <w:p>
      <w:pPr>
        <w:spacing w:after="0" w:line="26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Providing environmental and waste management services, including constructing and operating landfills, involves risks such as truck accidents, equipment defects, malfunctions and failures. Additionally, we closely monitor and manage landfills to minimize the risk of waste mass instability, releases of hazardous materials, and odors that could be triggered by weather or natural disasters. There may also be risks presented by the potential for subsurface heat reactions causing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elevated landfill temperatures and increased production of leachate, landfill gas and odors. We also build and operate natural gas fueling stations, some of which also serve the public or third parties. Operation of fueling stations and landfill gas collection and control systems involves additional risks of fire and explosion. Any of these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seek to minimize our exposure to such risks through comprehensive training, compliance and response and recovery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193" w:lineRule="exact"/>
        <w:rPr>
          <w:sz w:val="20"/>
          <w:szCs w:val="20"/>
          <w:color w:val="auto"/>
        </w:rPr>
      </w:pPr>
    </w:p>
    <w:p>
      <w:pPr>
        <w:jc w:val="both"/>
        <w:ind w:left="140"/>
        <w:spacing w:after="0" w:line="264" w:lineRule="auto"/>
        <w:rPr>
          <w:sz w:val="20"/>
          <w:szCs w:val="20"/>
          <w:color w:val="auto"/>
        </w:rPr>
      </w:pPr>
      <w:r>
        <w:rPr>
          <w:rFonts w:ascii="Arial" w:cs="Arial" w:eastAsia="Arial" w:hAnsi="Arial"/>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may record material charges against our earnings due to impairments to our assets.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accordance with U.S. Generally Accepted Accounting Principles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Sheets, which is required to be assessed for impairment annually, and more frequently in the case of certain triggering events. We may be required to incur charges against earnings if such impairment tests indicate that the fair value of a reporting unit is below its carrying amount. Any such charges could have a material adverse effect on our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Our capital requirements and our business strategy could increase our expenses, cause us to change our growth and development plans, or result in an inability to maintain our desired credit profile.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credit ratings on our senior debt. The credit rating process is contingent upon our credit profile, as well as a number of other factors, many of which are beyond our control, including methodologies established and interpreted by third-party rating agencies. If we were unable to maintain our investment grade credit ratings in the future, our interest expense would increase and our ability to obtain financing on favorable terms could be adversely affected.</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we have $1.8 billion of debt as of December 31, 2017 that is exposed to changes in market interest rates within the next 12 months because of the combined impact of our tax-exempt bonds and outstanding borrowings under our commercial paper program and our Canadian term loan. If interest rates increase, our interest expense would also increase, lowering our net income and decreasing our cash flow.</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use our $2.25 billion revolving credit facility and our C$50 million Canadian revolving credit facility (“Canadian revolving credit facility”) to meet our cash needs, to the extent available, until maturity in July 2020 and March 2019, respectively. As of December 31, 2017, we had $642 million of letters of credit issued and $515 million of outstanding borrowings under our commercial paper program both supported by our $2.25 billion revolving credit facility, leaving unused and available credit capacity of $1,093 million, and we had no outstanding borrowings under both our $2.25 billion revolving credit facility and Canadian revolving credit facility. In the event of a default under our credit facilities,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7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GHG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178"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severe weather events and event driven special projects cause our results to fluctuate, and prior performance is not necessarily indicative of our future results.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181" w:lineRule="exact"/>
        <w:rPr>
          <w:sz w:val="20"/>
          <w:szCs w:val="20"/>
          <w:color w:val="auto"/>
        </w:rPr>
      </w:pPr>
    </w:p>
    <w:p>
      <w:pPr>
        <w:ind w:left="140"/>
        <w:spacing w:after="0" w:line="381" w:lineRule="auto"/>
        <w:rPr>
          <w:sz w:val="20"/>
          <w:szCs w:val="20"/>
          <w:color w:val="auto"/>
        </w:rPr>
      </w:pPr>
      <w:r>
        <w:rPr>
          <w:rFonts w:ascii="Arial" w:cs="Arial" w:eastAsia="Arial" w:hAnsi="Arial"/>
          <w:sz w:val="15"/>
          <w:szCs w:val="15"/>
          <w:b w:val="1"/>
          <w:bCs w:val="1"/>
          <w:i w:val="1"/>
          <w:iCs w:val="1"/>
          <w:color w:val="auto"/>
        </w:rPr>
        <w:t>We could be subject to significant fines and penalties, and our reputation could be adversely affected, if our businesses, or third parties with whom we have a relationship, were to fail to comply with U.S. or foreign laws or regulations.</w:t>
      </w:r>
    </w:p>
    <w:p>
      <w:pPr>
        <w:spacing w:after="0" w:line="10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65"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are involved in governmental proceedings relating to the conduct of our business. We are also party to civil litigation. As a large company with operations across the U.S. and Canada, we are subject to various proceedings, lawsuits, disputes and claims arising in the ordinary course of our business. Actions that have been filed against us, and that may be filed against us in the future, include personal injury, property damage, commercial, customer, and employment-related claims, including purported state and national class action lawsuits related to:</w:t>
      </w:r>
    </w:p>
    <w:p>
      <w:pPr>
        <w:spacing w:after="0" w:line="64"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environmental contamination, including releases of hazardous materials and odors;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practices, customer service agreements, prices and fees;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and state wage and hour and other laws.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181" w:lineRule="exact"/>
        <w:rPr>
          <w:sz w:val="20"/>
          <w:szCs w:val="20"/>
          <w:color w:val="auto"/>
        </w:rPr>
      </w:pPr>
    </w:p>
    <w:p>
      <w:pPr>
        <w:ind w:left="14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executive offices are in Houston, Texas, where we occupy approximately 345,000 square feet under leases expiring through 2020. We also have administrative offices in Arizona, Illinois, Connecticut and India. We own or lease real property in most locations where we have operations or administrative functions. We have operations in all 50 states, the District of Columbia and throughout Canada.</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Our principal property and equipment consists of land (primarily landfills and other disposal facilities, transfer stations and bases for collection operations), buildings, vehicles and equipment. We believe that our operating properties, vehicles and equipment are adequately maintained and sufficient for our current operations. However, we expect to continue to make investments in additional property and equipment for expansion, for replacement of assets and to support our strategy of continuous improvement through efficiency and innovation. For more information, see Item 7.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included within this report.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various operations as of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r>
      <w:tr>
        <w:trPr>
          <w:trHeight w:val="210"/>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Landfills owned or operated (a)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7140" w:type="dxa"/>
            <w:vAlign w:val="bottom"/>
            <w:gridSpan w:val="2"/>
          </w:tcPr>
          <w:p>
            <w:pPr>
              <w:spacing w:after="0"/>
              <w:rPr>
                <w:sz w:val="20"/>
                <w:szCs w:val="20"/>
                <w:color w:val="auto"/>
              </w:rPr>
            </w:pPr>
            <w:r>
              <w:rPr>
                <w:rFonts w:ascii="Arial" w:cs="Arial" w:eastAsia="Arial" w:hAnsi="Arial"/>
                <w:sz w:val="18"/>
                <w:szCs w:val="18"/>
                <w:color w:val="auto"/>
              </w:rPr>
              <w:t>Transfer stations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 recovery facilities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108"/>
        </w:trPr>
        <w:tc>
          <w:tcPr>
            <w:tcW w:w="228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As of December 31, 2017 and 2016, our landfills owned or operated consisted of total acreage of 156,784 and 158,054; permitted acreage of 42,590 and 42,182; and expansion acreage of 821 and 905, respectively. Total acreage includes permitted acreage, expansion acreage, other acreage available for future disposal that has not been permitted, buffer land and other land. Permitted acreage consists of all acreage at the landfill encompassed by an active permit to dispose of waste. Expansion acreage consists of unpermitted acreage where the related expansion efforts meet our criteria to be included as expansion airspace. A discussion of the related criteria is included within Item 7.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Critical Accounting Estimates and Assumptions </w:t>
      </w:r>
      <w:r>
        <w:rPr>
          <w:rFonts w:ascii="Arial" w:cs="Arial" w:eastAsia="Arial" w:hAnsi="Arial"/>
          <w:sz w:val="18"/>
          <w:szCs w:val="18"/>
          <w:color w:val="auto"/>
        </w:rPr>
        <w:t>included within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10 to the Consolidated Financial Statements included within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6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common stock is traded on the New York Stock Exchange (“NYSE”) under the symbol “WM.” The following table sets forth the range of the high and low per share sales prices for our common stock as reported on the NYSE: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High</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59.99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73.90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First Quarter (through February 8, 2018)</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89.73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8, 2018, the closing sales price as reported on the NYSE was $79.12 per share. The number of holders of record of our common stock on February 8, 2018 was 9,248.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Inc. common stock, the S&amp;P 500 Index and the Dow Jones Waste &amp; Disposal Services Index for the last five years, assuming reinvestment of dividends at date of payment into the common stock. The graph is presented pursuant to SEC rules and is not meant to be an indication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127635</wp:posOffset>
            </wp:positionV>
            <wp:extent cx="5548630" cy="3593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12/31/12</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12/31/14</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12/31/16</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12/31/17</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S&amp;P 500 Index</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Dow Jones Waste &amp; Disposal Services Index</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$750 million in 2017, or $1.70 per common share, $726 million in 2016, or $1.64 per common share, and $695 million in 2015, or $1.54 per common share.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2017, we announced that our Board of Directors expects to increase the quarterly dividend from $0.425 to $0.465 per share for dividends declared in 2018.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We announced in December 2016 that the Board of Directors authorized up to $750 million in future share repurchases. During 2017, we repurchased an aggregate of $750 million of our common stock under accelerated share repurchase (“ASR”) agreements. We received a total of 9.7 million shares pursuant to these ASR agreements with a weighted average per share purchase price of $77.67. See Note 13 to the Consolidated Financial Statements for additional information.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following table summarizes common stock repurchases made during the fourth quarter of 2017 (shares in millions):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80" w:type="dxa"/>
            <w:vAlign w:val="bottom"/>
          </w:tcPr>
          <w:p>
            <w:pPr>
              <w:spacing w:after="0"/>
              <w:rPr>
                <w:sz w:val="12"/>
                <w:szCs w:val="12"/>
                <w:color w:val="auto"/>
              </w:rPr>
            </w:pPr>
          </w:p>
        </w:tc>
        <w:tc>
          <w:tcPr>
            <w:tcW w:w="2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91"/>
              </w:rPr>
              <w:t>Price Paid</w:t>
            </w:r>
          </w:p>
        </w:tc>
        <w:tc>
          <w:tcPr>
            <w:tcW w:w="2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per Share</w:t>
            </w:r>
          </w:p>
        </w:tc>
        <w:tc>
          <w:tcPr>
            <w:tcW w:w="2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31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November 1 — 30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 31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79.47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(a) $</w:t>
            </w: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5"/>
              </w:rPr>
              <w:t>1.25 billion (b)</w:t>
            </w:r>
          </w:p>
        </w:tc>
        <w:tc>
          <w:tcPr>
            <w:tcW w:w="0" w:type="dxa"/>
            <w:vAlign w:val="bottom"/>
          </w:tcPr>
          <w:p>
            <w:pPr>
              <w:spacing w:after="0"/>
              <w:rPr>
                <w:sz w:val="1"/>
                <w:szCs w:val="1"/>
                <w:color w:val="auto"/>
              </w:rPr>
            </w:pPr>
          </w:p>
        </w:tc>
      </w:tr>
      <w:tr>
        <w:trPr>
          <w:trHeight w:val="217"/>
        </w:trPr>
        <w:tc>
          <w:tcPr>
            <w:tcW w:w="366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79.47</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August 2017, we entered into an ASR agreement to repurchase $500 million of our common stock, and the “Average Price Paid per Share” in the table above is the final weighted average per share purchase price paid for all shares repurchased pursuant to the ASR agreement. At the beginning of the repurchase period, we delivered $500 million in cash and received 5.3 million shares based on a stock price of $75.25 per share. The ASR agreement completed in December 2017, at which time we received 1.0 million additional shares.</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announced in December 2017 that the Board of Directors has authorized up to $1.25 billion in future share repurchases.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future share repurchases will be made at the discretion of management and will depend on factors similar to those considered by the Board of Directors in making dividend declarations.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below was derived from the audited Consolidated Financial Statements included within this report and in previous annual reports we filed with the SEC. This information should be read together with those Consolidated Financial Statements and the notes thereto. These historical results are not necessarily indicative of the results to be expected in the future.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131"/>
              <w:spacing w:after="0"/>
              <w:rPr>
                <w:sz w:val="20"/>
                <w:szCs w:val="20"/>
                <w:color w:val="auto"/>
              </w:rPr>
            </w:pPr>
            <w:r>
              <w:rPr>
                <w:rFonts w:ascii="Arial" w:cs="Arial" w:eastAsia="Arial" w:hAnsi="Arial"/>
                <w:sz w:val="14"/>
                <w:szCs w:val="14"/>
                <w:b w:val="1"/>
                <w:bCs w:val="1"/>
                <w:color w:val="auto"/>
                <w:w w:val="91"/>
              </w:rPr>
              <w:t>Years Ended December 31,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5"/>
              </w:rPr>
              <w:t>2017(a)</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1"/>
              </w:rPr>
              <w:t>2016(a)</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91"/>
              <w:spacing w:after="0" w:line="142" w:lineRule="exact"/>
              <w:rPr>
                <w:sz w:val="20"/>
                <w:szCs w:val="20"/>
                <w:color w:val="auto"/>
              </w:rPr>
            </w:pPr>
            <w:r>
              <w:rPr>
                <w:rFonts w:ascii="Arial" w:cs="Arial" w:eastAsia="Arial" w:hAnsi="Arial"/>
                <w:sz w:val="14"/>
                <w:szCs w:val="14"/>
                <w:b w:val="1"/>
                <w:bCs w:val="1"/>
                <w:color w:val="auto"/>
                <w:w w:val="95"/>
              </w:rPr>
              <w:t>2015(a)</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r>
      <w:tr>
        <w:trPr>
          <w:trHeight w:val="142"/>
        </w:trPr>
        <w:tc>
          <w:tcPr>
            <w:tcW w:w="2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(In Millions, Except per Share Amounts)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98"/>
              </w:rPr>
              <w:t>14,485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13,609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4"/>
              </w:rPr>
              <w:t>12,961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1"/>
              <w:spacing w:after="0"/>
              <w:rPr>
                <w:sz w:val="20"/>
                <w:szCs w:val="20"/>
                <w:color w:val="auto"/>
              </w:rPr>
            </w:pPr>
            <w:r>
              <w:rPr>
                <w:rFonts w:ascii="Arial" w:cs="Arial" w:eastAsia="Arial" w:hAnsi="Arial"/>
                <w:sz w:val="18"/>
                <w:szCs w:val="18"/>
                <w:color w:val="auto"/>
                <w:w w:val="90"/>
              </w:rPr>
              <w:t>13,996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13,983</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98"/>
              </w:rPr>
              <w:t>21,829</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20,859</w:t>
            </w:r>
          </w:p>
        </w:tc>
        <w:tc>
          <w:tcPr>
            <w:tcW w:w="18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4"/>
              </w:rPr>
              <w:t>20,367</w:t>
            </w:r>
          </w:p>
        </w:tc>
        <w:tc>
          <w:tcPr>
            <w:tcW w:w="20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w w:val="90"/>
              </w:rPr>
              <w:t>21,252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22,441</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9,491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9,310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8,929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9,390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10,177</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Total Waste Management, Inc. stockholders’ equity</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6,019</w:t>
            </w:r>
          </w:p>
        </w:tc>
        <w:tc>
          <w:tcPr>
            <w:tcW w:w="220" w:type="dxa"/>
            <w:vAlign w:val="bottom"/>
          </w:tcPr>
          <w:p>
            <w:pPr>
              <w:spacing w:after="0"/>
              <w:rPr>
                <w:sz w:val="18"/>
                <w:szCs w:val="18"/>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5,297</w:t>
            </w:r>
          </w:p>
        </w:tc>
        <w:tc>
          <w:tcPr>
            <w:tcW w:w="180" w:type="dxa"/>
            <w:vAlign w:val="bottom"/>
          </w:tcPr>
          <w:p>
            <w:pPr>
              <w:spacing w:after="0"/>
              <w:rPr>
                <w:sz w:val="18"/>
                <w:szCs w:val="18"/>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5,345</w:t>
            </w:r>
          </w:p>
        </w:tc>
        <w:tc>
          <w:tcPr>
            <w:tcW w:w="200" w:type="dxa"/>
            <w:vAlign w:val="bottom"/>
          </w:tcPr>
          <w:p>
            <w:pPr>
              <w:spacing w:after="0"/>
              <w:rPr>
                <w:sz w:val="18"/>
                <w:szCs w:val="18"/>
                <w:color w:val="auto"/>
              </w:rPr>
            </w:pPr>
          </w:p>
        </w:tc>
        <w:tc>
          <w:tcPr>
            <w:tcW w:w="660" w:type="dxa"/>
            <w:vAlign w:val="bottom"/>
          </w:tcPr>
          <w:p>
            <w:pPr>
              <w:jc w:val="right"/>
              <w:ind w:right="51"/>
              <w:spacing w:after="0"/>
              <w:rPr>
                <w:sz w:val="20"/>
                <w:szCs w:val="20"/>
                <w:color w:val="auto"/>
              </w:rPr>
            </w:pPr>
            <w:r>
              <w:rPr>
                <w:rFonts w:ascii="Arial" w:cs="Arial" w:eastAsia="Arial" w:hAnsi="Arial"/>
                <w:sz w:val="18"/>
                <w:szCs w:val="18"/>
                <w:color w:val="auto"/>
              </w:rPr>
              <w:t>5,866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5,707</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6,042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5,367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5,889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r>
      <w:tr>
        <w:trPr>
          <w:trHeight w:val="115"/>
        </w:trPr>
        <w:tc>
          <w:tcPr>
            <w:tcW w:w="2280" w:type="dxa"/>
            <w:vAlign w:val="bottom"/>
            <w:tcBorders>
              <w:bottom w:val="single" w:sz="8" w:color="auto"/>
            </w:tcBorders>
          </w:tcPr>
          <w:p>
            <w:pPr>
              <w:spacing w:after="0"/>
              <w:rPr>
                <w:sz w:val="10"/>
                <w:szCs w:val="10"/>
                <w:color w:val="auto"/>
              </w:rPr>
            </w:pPr>
          </w:p>
        </w:tc>
        <w:tc>
          <w:tcPr>
            <w:tcW w:w="2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more information see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This section includes a discussion of our results of operations for the three years ended December 31, 2017.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discussion should be read considering those disclosures and together with the Consolidated Financial Statements and the notes thereto.</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innovation through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items of our 2017 financial results include:</w:t>
      </w:r>
    </w:p>
    <w:p>
      <w:pPr>
        <w:spacing w:after="0" w:line="117" w:lineRule="exact"/>
        <w:rPr>
          <w:sz w:val="20"/>
          <w:szCs w:val="20"/>
          <w:color w:val="auto"/>
        </w:rPr>
      </w:pPr>
    </w:p>
    <w:p>
      <w:pPr>
        <w:jc w:val="both"/>
        <w:ind w:left="660" w:hanging="333"/>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of $14,485 million for 2017 compared with $13,609 million in 2016, an increase of $876 million, or 6.4%. This increase is primarily attributable to (i) yield and volume growth in our collection and disposal lines of business, which contributed $536 million of revenues; (ii) higher market prices for recycling commodities, which contributed $237 million of revenue growth in our recycling line of business and (iii) increased fuel surcharge and mandated fees of $73 million;</w:t>
      </w:r>
    </w:p>
    <w:p>
      <w:pPr>
        <w:spacing w:after="0" w:line="80" w:lineRule="exact"/>
        <w:rPr>
          <w:rFonts w:ascii="Arial" w:cs="Arial" w:eastAsia="Arial" w:hAnsi="Arial"/>
          <w:sz w:val="18"/>
          <w:szCs w:val="18"/>
          <w:color w:val="auto"/>
        </w:rPr>
      </w:pPr>
    </w:p>
    <w:p>
      <w:pPr>
        <w:jc w:val="both"/>
        <w:ind w:left="660" w:hanging="333"/>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Operating expenses of $9,021 million in 2017, or 62.3% of revenues, compared with $8,486 million, or 62.4% of revenues, in 2016. This increase of $535 million is primarily attributable to (i) increased cost of goods sold due to higher market prices for recycling commodities; (ii) higher volumes; (iii) increased maintenance and repairs costs; (iv) increased labor and related benefits costs, primarily due to merit and headcount increases and (v) increased fuel costs, primarily due to higher fuel prices and the expiration of certain natural gas fuel excise tax credits. These increases were partially offset by decreased landfill leachate management costs;</w:t>
      </w:r>
    </w:p>
    <w:p>
      <w:pPr>
        <w:spacing w:after="0" w:line="70" w:lineRule="exact"/>
        <w:rPr>
          <w:rFonts w:ascii="Arial" w:cs="Arial" w:eastAsia="Arial" w:hAnsi="Arial"/>
          <w:sz w:val="17"/>
          <w:szCs w:val="17"/>
          <w:color w:val="auto"/>
        </w:rPr>
      </w:pPr>
    </w:p>
    <w:p>
      <w:pPr>
        <w:ind w:left="660" w:hanging="333"/>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Selling, general and administrative expenses of $1,468 million in 2017, or 10.1% of revenues, compared with</w:t>
      </w:r>
    </w:p>
    <w:p>
      <w:pPr>
        <w:spacing w:after="0" w:line="35" w:lineRule="exact"/>
        <w:rPr>
          <w:sz w:val="20"/>
          <w:szCs w:val="20"/>
          <w:color w:val="auto"/>
        </w:rPr>
      </w:pPr>
    </w:p>
    <w:p>
      <w:pPr>
        <w:jc w:val="both"/>
        <w:ind w:left="660"/>
        <w:spacing w:after="0" w:line="265" w:lineRule="auto"/>
        <w:rPr>
          <w:sz w:val="20"/>
          <w:szCs w:val="20"/>
          <w:color w:val="auto"/>
        </w:rPr>
      </w:pPr>
      <w:r>
        <w:rPr>
          <w:rFonts w:ascii="Arial" w:cs="Arial" w:eastAsia="Arial" w:hAnsi="Arial"/>
          <w:sz w:val="17"/>
          <w:szCs w:val="17"/>
          <w:color w:val="auto"/>
        </w:rPr>
        <w:t>$1,410 million, or 10.4% of revenues, in 2016. This increase of $58 million is primarily attributable to (i) the impact of favorable litigation settlements in 2016; (ii) merit increases; (iii) an increase in certain costs that vary with revenue and earnings growth, including incentive compensation accruals; (iv) higher severance costs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 charitable contributions made for hurricane relief efforts;</w:t>
      </w:r>
    </w:p>
    <w:p>
      <w:pPr>
        <w:spacing w:after="0" w:line="102" w:lineRule="exact"/>
        <w:rPr>
          <w:sz w:val="20"/>
          <w:szCs w:val="20"/>
          <w:color w:val="auto"/>
        </w:rPr>
      </w:pPr>
    </w:p>
    <w:p>
      <w:pPr>
        <w:ind w:left="66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from operations of $2,636 million, or 18.2% of revenues, in 2017 compared with $2,296 million, or 16.9% of revenues, in 2016, an increase of $340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$1,949 million, or $4.41 per diluted share, for 2017 as compared with $1,182 million, or $2.65 per diluted share, for 2016;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2017, we returned $1,500 million to our shareholders through dividends and share repurchases compared with $1,451 million in 2016.</w:t>
      </w:r>
    </w:p>
    <w:p>
      <w:pPr>
        <w:spacing w:after="0" w:line="170" w:lineRule="exact"/>
        <w:rPr>
          <w:sz w:val="20"/>
          <w:szCs w:val="20"/>
          <w:color w:val="auto"/>
        </w:rPr>
      </w:pPr>
    </w:p>
    <w:p>
      <w:pPr>
        <w:jc w:val="both"/>
        <w:ind w:firstLine="259"/>
        <w:spacing w:after="0" w:line="269" w:lineRule="auto"/>
        <w:rPr>
          <w:sz w:val="20"/>
          <w:szCs w:val="20"/>
          <w:color w:val="auto"/>
        </w:rPr>
      </w:pPr>
      <w:r>
        <w:rPr>
          <w:rFonts w:ascii="Arial" w:cs="Arial" w:eastAsia="Arial" w:hAnsi="Arial"/>
          <w:sz w:val="17"/>
          <w:szCs w:val="17"/>
          <w:color w:val="auto"/>
        </w:rPr>
        <w:t>Our business performed exceptionally well in 2017, as our strategy of improving pricing, adding profitable volume and controlling costs led to another year of significant earnings improvement. Our focus on delivering exceptional customer service while bolstering employee engagement yielded consistently positive operational performance throughout the year. Our cash flow generation has also continued to exceed expectations, allowing us to invest in assets that support continuous improvement through efficiency and innovation and return $1.5 billion to our shareholders in dividends and share repurchases in 2017. The success that we achieved in 2017 reinforces our foundation for earnings and cash flow growth in 2018, despite anticipated disruption and downward price pressure in the global market for recycling commodities. With the reduction in our cash taxes due to enactment of tax reform, we are investing in our front-line employees, technology and revenue generating assets to continue to grow our business and improve customer service. These investments, together with our long-held commitments to maintain a strong balance sheet, return cash to shareholders and pursue attractive strategic growth opportunities, position the Company to capitalize on its momentum as we work to deliver superior performance again in 2018.</w:t>
      </w:r>
    </w:p>
    <w:p>
      <w:pPr>
        <w:spacing w:after="0" w:line="1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explanations of certain items that affected the comparability of the years presented has been provided to support investors’ understanding of our performance. Our 2017 results were affected by the following:</w:t>
      </w:r>
    </w:p>
    <w:p>
      <w:pPr>
        <w:spacing w:after="0" w:line="62" w:lineRule="exact"/>
        <w:rPr>
          <w:sz w:val="20"/>
          <w:szCs w:val="20"/>
          <w:color w:val="auto"/>
        </w:rPr>
      </w:pPr>
    </w:p>
    <w:p>
      <w:pPr>
        <w:jc w:val="both"/>
        <w:ind w:left="660" w:hanging="333"/>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income tax benefit of $529 million related to enactment of the Tax Cuts and Jobs Act, consisting of a net tax benefit of $595 million for the re-measurement of our deferred income tax assets and liabilities, partially offset by income tax expense of $66 million for a one-time, mandatory transition tax on the deemed repatriation of previously tax-deferred and unremitted foreign earnings. This net tax benefit had a favorable impact of $1.20 on our diluted earnings per share;</w:t>
      </w:r>
    </w:p>
    <w:p>
      <w:pPr>
        <w:spacing w:after="0" w:line="80" w:lineRule="exact"/>
        <w:rPr>
          <w:rFonts w:ascii="Arial" w:cs="Arial" w:eastAsia="Arial" w:hAnsi="Arial"/>
          <w:sz w:val="18"/>
          <w:szCs w:val="18"/>
          <w:color w:val="auto"/>
        </w:rPr>
      </w:pPr>
    </w:p>
    <w:p>
      <w:pPr>
        <w:jc w:val="both"/>
        <w:ind w:left="660"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recognition of net pre-tax charges aggregating to $36 million, primarily related to (i) $37 million of impairment charges related to investments in waste diversion technology companies; (ii) $34 million of goodwill impairment charges for certain ancillary services businesses; (iii) an $11 million charge for the withdrawal from an underfunded Multiemployer Pension Plan; (iv) $11 million of charges to adjust our subsidiary’s estimated potential share of an environmental remediation liability and related costs for a closed site in Harris County, Texas and (v) a charge of $6 million related to the early extinguishment of $590 million of 6.1% senior notes. These charges were partially offset by gains of $31 million from the sale of certain oil and gas producing properties and a $30 million reduction in post-closing, performance-based contingent consideration obligations associated with an acquired business in our EES organization. These net charges had a negative impact of $0.08 on our diluted earnings per share; and</w:t>
      </w:r>
    </w:p>
    <w:p>
      <w:pPr>
        <w:spacing w:after="0" w:line="58"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 benefit of $32 million for excess tax benefits related to the vesting or exercise of equity-based compensation awards, which had a favorable impact of $0.07 on our diluted earnings per share.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2016 results were affected by the following:</w:t>
      </w:r>
    </w:p>
    <w:p>
      <w:pPr>
        <w:spacing w:after="0" w:line="117" w:lineRule="exact"/>
        <w:rPr>
          <w:sz w:val="20"/>
          <w:szCs w:val="20"/>
          <w:color w:val="auto"/>
        </w:rPr>
      </w:pPr>
    </w:p>
    <w:p>
      <w:pPr>
        <w:jc w:val="both"/>
        <w:ind w:left="660" w:hanging="333"/>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recognition of pre-tax charges aggregating to $151 million, primarily related to (i) a $43 million impairment charge due to a loss of expected volumes for a landfill; (ii) a $42 million charge to adjust our subsidiary’s estimated potential share of an environmental remediation liability and related costs for a closed site in Harris County, Texas; (iii) $41 million of impairment charges related to investments in waste diversion technology companies; (iv) a $10 million goodwill impairment charge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and (v) an $8 million loss on the sale of a majority-owned organics company. These charges had a negative impact of $0.26 on our diluted earnings per share.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calculation of free cash flow and reconciliation to net cash provided by operating activities is shown in the table below for the years ended December 31 (in millions), and may not be calculated the same as similarly-titled measures presented by other companies: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7"/>
        </w:trPr>
        <w:tc>
          <w:tcPr>
            <w:tcW w:w="6300" w:type="dxa"/>
            <w:vAlign w:val="bottom"/>
            <w:gridSpan w:val="2"/>
          </w:tcPr>
          <w:p>
            <w:pPr>
              <w:spacing w:after="0"/>
              <w:rPr>
                <w:sz w:val="20"/>
                <w:szCs w:val="20"/>
                <w:color w:val="auto"/>
              </w:rPr>
            </w:pPr>
            <w:r>
              <w:rPr>
                <w:rFonts w:ascii="Arial" w:cs="Arial" w:eastAsia="Arial" w:hAnsi="Arial"/>
                <w:sz w:val="18"/>
                <w:szCs w:val="18"/>
                <w:color w:val="auto"/>
              </w:rPr>
              <w:t>Free cash flow (a)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108"/>
        </w:trPr>
        <w:tc>
          <w:tcPr>
            <w:tcW w:w="228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21" w:lineRule="exact"/>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Accounting Standards Update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09, which is discussed below in </w:t>
      </w:r>
      <w:r>
        <w:rPr>
          <w:rFonts w:ascii="Arial" w:cs="Arial" w:eastAsia="Arial" w:hAnsi="Arial"/>
          <w:sz w:val="18"/>
          <w:szCs w:val="18"/>
          <w:i w:val="1"/>
          <w:iCs w:val="1"/>
          <w:color w:val="auto"/>
        </w:rPr>
        <w:t>Adoption of New Accounting Standards</w:t>
      </w:r>
      <w:r>
        <w:rPr>
          <w:rFonts w:ascii="Arial" w:cs="Arial" w:eastAsia="Arial" w:hAnsi="Arial"/>
          <w:sz w:val="18"/>
          <w:szCs w:val="18"/>
          <w:color w:val="auto"/>
        </w:rPr>
        <w:t>, and conform to our current year presentation. See Note 2 to the Consolidated Financial Statements.</w:t>
      </w:r>
    </w:p>
    <w:p>
      <w:pPr>
        <w:spacing w:after="0" w:line="202"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Our net cash flows provided by operating activities increased by $174 million for the year ended December 31, 2017 compared with 2016, impacted by (i) higher earnings from our Traditional Solid Waste and recycling businesses and</w:t>
      </w:r>
    </w:p>
    <w:p>
      <w:pPr>
        <w:jc w:val="both"/>
        <w:ind w:firstLine="3"/>
        <w:spacing w:after="0" w:line="302" w:lineRule="auto"/>
        <w:tabs>
          <w:tab w:leader="none" w:pos="2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favorable changes in assets and liabilities, net of effects of acquisitions and divestitures. These increases were partially offset by (i) higher income tax payments of $120 million in 2017; (ii) cash proceeds of $67 million from the termination of our cross-currency swaps in 2016 and (iii) higher annual incentive plan cash payments of $41 million in 2017.</w:t>
      </w:r>
    </w:p>
    <w:p>
      <w:pPr>
        <w:spacing w:after="0" w:line="1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cash flows provided by operating activities increased by $478 million for the year ended December 31, 2016 compared with 2015, impacted by (i) higher earnings from our Traditional Solid Waste and recycling businesses; (ii) cash proceeds of $67 million from the termination of our cross-currency swaps in 2016; (iii) Multiemployer Pension Plan settlement payments of approximately $60 million in 2015 and (iv) lower annual incentive plan cash payments of $46 million in 2016; partially offset by higher income tax payments of $23 million in 2016. Additionally, we experienced favorable changes in assets and liabilities, net of effects of acquisitions and divestitures, particularly non-trade related items including payroll and incentive accruals.</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Capital expenditures increased by $170 million when comparing 2017 with 2016 and $106 million when comparing 2016 with 2015. The Company continues to maintain a disciplined focus on capital management and fluctuations in our capital expenditures are a result of new business opportunities, growth in our existing business, timing of replacement of aging assets and investment in assets that support our strategy of continuous improvement through efficiency and innovation.</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Southern Waste Systems/Sun Recycling (“SWS”) </w:t>
      </w:r>
      <w:r>
        <w:rPr>
          <w:rFonts w:ascii="Arial" w:cs="Arial" w:eastAsia="Arial" w:hAnsi="Arial"/>
          <w:sz w:val="16"/>
          <w:szCs w:val="16"/>
          <w:color w:val="auto"/>
        </w:rPr>
        <w:t>— On January 8, 2016, Waste Management Inc. of Florida, an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wholly-owned subsidiary of 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1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Deffenbaugh Disposal, Inc. (“Deffenbaugh”) </w:t>
      </w:r>
      <w:r>
        <w:rPr>
          <w:rFonts w:ascii="Arial" w:cs="Arial" w:eastAsia="Arial" w:hAnsi="Arial"/>
          <w:sz w:val="17"/>
          <w:szCs w:val="17"/>
          <w:color w:val="auto"/>
        </w:rPr>
        <w:t>— On March 26, 2015, we acquired Deffenbaugh, one of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 owned collection and disposal firms in the Midwest, for total consideration, net of cash acquired, of $400 million. Deffenbaugh’s assets include collection operations, transfer stations, recycling facilities and landfills.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Equity-Based Compensation — </w:t>
      </w:r>
      <w:r>
        <w:rPr>
          <w:rFonts w:ascii="Arial" w:cs="Arial" w:eastAsia="Arial" w:hAnsi="Arial"/>
          <w:sz w:val="18"/>
          <w:szCs w:val="18"/>
          <w:color w:val="auto"/>
        </w:rPr>
        <w:t>In March 2016, the Financial Accounting Standards Board (“FASB”)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ASU 2016</w:t>
      </w:r>
      <w:r>
        <w:rPr>
          <w:rFonts w:ascii="MS PGothic" w:cs="MS PGothic" w:eastAsia="MS PGothic" w:hAnsi="MS PGothic"/>
          <w:sz w:val="18"/>
          <w:szCs w:val="18"/>
          <w:color w:val="auto"/>
        </w:rPr>
        <w:t>‑</w:t>
      </w:r>
      <w:r>
        <w:rPr>
          <w:rFonts w:ascii="Arial" w:cs="Arial" w:eastAsia="Arial" w:hAnsi="Arial"/>
          <w:sz w:val="18"/>
          <w:szCs w:val="18"/>
          <w:color w:val="auto"/>
        </w:rPr>
        <w:t>09 associated with equity-based compensation as part of its simplification initiative to reduce the cost and complexity of compliance with GAAP, while maintaining or improving the usefulness of the information provided. This amended guidance was effective for the Company on January 1, 2017 and required the following changes to the presentation of our financial statements:</w:t>
      </w:r>
    </w:p>
    <w:p>
      <w:pPr>
        <w:spacing w:after="0" w:line="97" w:lineRule="exact"/>
        <w:rPr>
          <w:sz w:val="20"/>
          <w:szCs w:val="20"/>
          <w:color w:val="auto"/>
        </w:rPr>
      </w:pPr>
    </w:p>
    <w:p>
      <w:pPr>
        <w:jc w:val="both"/>
        <w:ind w:left="660" w:hanging="333"/>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8 to the Consolidated Financial Statements for discussion of the current year impact;</w:t>
      </w:r>
    </w:p>
    <w:p>
      <w:pPr>
        <w:spacing w:after="0" w:line="8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73"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$28 million and $15 million for the years ended December 31, 2016 and 2015, respectively;</w:t>
      </w:r>
    </w:p>
    <w:p>
      <w:pPr>
        <w:spacing w:after="0" w:line="46"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increase to net cash used in financing activities of $18 million and $15 million for the years ended December 31, 2016 and 2015, respectively; and</w:t>
      </w:r>
    </w:p>
    <w:p>
      <w:pPr>
        <w:spacing w:after="0" w:line="8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elected to continue to estimate forfeitures rather than account for forfeitures as they occur.</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Goodwill Impairment Testing — </w:t>
      </w:r>
      <w:r>
        <w:rPr>
          <w:rFonts w:ascii="Arial" w:cs="Arial" w:eastAsia="Arial" w:hAnsi="Arial"/>
          <w:sz w:val="18"/>
          <w:szCs w:val="18"/>
          <w:color w:val="auto"/>
        </w:rPr>
        <w:t>In January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04 which simplifies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by eliminating Step 2 of the quantitative assessment and should reduce the cost and complexity of evaluating goodwill for impairment. Under the amended guidance, when a quantitative assessment is required, an entity will perform a goodwill impairment test by comparing the estimated fair value of a reporting unit with its carrying amount. An impairment charge will be measured as the amount by which the carrying amount exceeds the reporting unit’s estimated fair value, not to exceed the total amount of recorded goodwill. This amended guidance, effective for the Company on January 1, 2020, permits early adoption. The Company’s early adoption on January 1, 2017 did not have a material impact on our consolidated financial statements.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Landfills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Accounting for landfills requires that significant estimates and assumptions be made regarding (i) the cost to construct and develop each landfill asset; (ii) 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5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Landfill Costs — </w:t>
      </w:r>
      <w:r>
        <w:rPr>
          <w:rFonts w:ascii="Arial" w:cs="Arial" w:eastAsia="Arial" w:hAnsi="Arial"/>
          <w:sz w:val="16"/>
          <w:szCs w:val="16"/>
          <w:color w:val="auto"/>
        </w:rPr>
        <w:t>We estimate the total cost to develop each of our landfill sites to its remaining permitted and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This estimate 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Final Capping Costs — </w:t>
      </w:r>
      <w:r>
        <w:rPr>
          <w:rFonts w:ascii="Arial" w:cs="Arial" w:eastAsia="Arial" w:hAnsi="Arial"/>
          <w:sz w:val="16"/>
          <w:szCs w:val="16"/>
          <w:color w:val="auto"/>
        </w:rPr>
        <w:t>We estimate the cost for each final capping event based on the area to be capped and the capping</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and activities required. The estimates also consider when these costs are anticipated to be paid and factor in inflation and discount rates. Our engineering personnel allocate landfill final 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Closure and Post-Closure Costs — </w:t>
      </w:r>
      <w:r>
        <w:rPr>
          <w:rFonts w:ascii="Arial" w:cs="Arial" w:eastAsia="Arial" w:hAnsi="Arial"/>
          <w:sz w:val="17"/>
          <w:szCs w:val="17"/>
          <w:color w:val="auto"/>
        </w:rPr>
        <w:t>We base our estimates for closure and post-closure costs on our interpretations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permit and regulatory 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Remaining Permitted Airspace — </w:t>
      </w:r>
      <w:r>
        <w:rPr>
          <w:rFonts w:ascii="Arial" w:cs="Arial" w:eastAsia="Arial" w:hAnsi="Arial"/>
          <w:sz w:val="16"/>
          <w:szCs w:val="16"/>
          <w:color w:val="auto"/>
        </w:rPr>
        <w:t>Our engineers, in consultation with third-party engineering consultants and surveyors,</w:t>
      </w:r>
      <w:r>
        <w:rPr>
          <w:rFonts w:ascii="Arial" w:cs="Arial" w:eastAsia="Arial" w:hAnsi="Arial"/>
          <w:sz w:val="16"/>
          <w:szCs w:val="16"/>
          <w:i w:val="1"/>
          <w:iCs w:val="1"/>
          <w:color w:val="auto"/>
        </w:rPr>
        <w:t xml:space="preserve"> </w:t>
      </w:r>
      <w:r>
        <w:rPr>
          <w:rFonts w:ascii="Arial" w:cs="Arial" w:eastAsia="Arial" w:hAnsi="Arial"/>
          <w:sz w:val="16"/>
          <w:szCs w:val="16"/>
          <w:color w:val="auto"/>
        </w:rPr>
        <w:t>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0" w:lineRule="exact"/>
        <w:rPr>
          <w:sz w:val="20"/>
          <w:szCs w:val="20"/>
          <w:color w:val="auto"/>
        </w:rPr>
      </w:pPr>
    </w:p>
    <w:p>
      <w:pPr>
        <w:ind w:left="660" w:hanging="333"/>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15 landfill sites with expansions included as of December 31, 2017, three landfills required the Chief Financial Officer to approve the inclusion of the unpermitted airspace. One landfill required approval by our Chief Financial Officer because of community or political opposition that could impede the expansion process. The remaining two landfills required approval because the permit application process did not meet the one- or five-year requirements.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Environmental Remediation Liabilities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PRP investigations, settlements, and certain legal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57"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(income) expense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 </w:t>
      </w:r>
      <w:r>
        <w:rPr>
          <w:rFonts w:ascii="Arial" w:cs="Arial" w:eastAsia="Arial" w:hAnsi="Arial"/>
          <w:sz w:val="16"/>
          <w:szCs w:val="16"/>
          <w:color w:val="auto"/>
        </w:rPr>
        <w:t>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Indefinite-Lived Intangible Assets, Including Goodwill — </w:t>
      </w:r>
      <w:r>
        <w:rPr>
          <w:rFonts w:ascii="Arial" w:cs="Arial" w:eastAsia="Arial" w:hAnsi="Arial"/>
          <w:sz w:val="16"/>
          <w:szCs w:val="16"/>
          <w:color w:val="auto"/>
        </w:rPr>
        <w:t>At least annually, and more frequently if warranted, we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indefinite-lived intangible assets, including the goodwill of our reporting units for impairment using Level 3 inputs.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assess whether an impairment exists using a quantitative assessment. Our quantitative assessment identifies potential impairments by comparing the estimated fair value of a reporting unit to its carrying amount, including goodwill. An impairment charge is recognized if the asset’s estimated fair value is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from Divestitures, Asset Impairments and Unusual Items, Net </w:t>
      </w:r>
      <w:r>
        <w:rPr>
          <w:rFonts w:ascii="Arial" w:cs="Arial" w:eastAsia="Arial" w:hAnsi="Arial"/>
          <w:sz w:val="18"/>
          <w:szCs w:val="18"/>
          <w:color w:val="auto"/>
        </w:rPr>
        <w:t>and Note 6 to the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information related to goodwill impairments recognized during the reported periods.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Insured and Self-Insured Claims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are based on an actuarial valuations and internal estimates. The accruals for these liabilities could be revised if future occurrences or loss developments significantly differ from our assumptions used. Estimated recoveries associated with our insured claims are recorded as assets when we believe that the receipt of such amounts is probable.</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2017, we elected to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comprised of equal parts cash and an intercompany note, for the estimated losses based on the external actuarial analysis. These premiums will be held in a restricted escrow account to be used solely for paying insurance claims, resulting in a transfer of risk from WM to the insurance captive.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operating revenues set forth below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MRF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collection, disposal, transfer and recycling services generally include fuel surcharges, which are indexed to current market costs for diesel fuel. We also provide additional services that are not managed through our Solid Waste business, including both our WMSBS and EES organizations, recycling brokerage services, landfill gas-to-energy services and expanded service offerings and solutions. Our expanded service offerings and solutions include (i) portable self-storage and long distance moving services; (ii) fluorescent bulb and universal waste mail-back through our LampTracker</w:t>
      </w:r>
      <w:r>
        <w:rPr>
          <w:rFonts w:ascii="Arial" w:cs="Arial" w:eastAsia="Arial" w:hAnsi="Arial"/>
          <w:sz w:val="8"/>
          <w:szCs w:val="8"/>
          <w:color w:val="auto"/>
        </w:rPr>
        <w:t>®</w:t>
      </w:r>
      <w:r>
        <w:rPr>
          <w:rFonts w:ascii="Arial" w:cs="Arial" w:eastAsia="Arial" w:hAnsi="Arial"/>
          <w:sz w:val="17"/>
          <w:szCs w:val="17"/>
          <w:color w:val="auto"/>
        </w:rPr>
        <w:t xml:space="preserve"> program; (iii) portable restroom servicing under the name Port-o-Let</w:t>
      </w:r>
      <w:r>
        <w:rPr>
          <w:rFonts w:ascii="Arial" w:cs="Arial" w:eastAsia="Arial" w:hAnsi="Arial"/>
          <w:sz w:val="8"/>
          <w:szCs w:val="8"/>
          <w:color w:val="auto"/>
        </w:rPr>
        <w:t>®</w:t>
      </w:r>
      <w:r>
        <w:rPr>
          <w:rFonts w:ascii="Arial" w:cs="Arial" w:eastAsia="Arial" w:hAnsi="Arial"/>
          <w:sz w:val="17"/>
          <w:szCs w:val="17"/>
          <w:color w:val="auto"/>
        </w:rPr>
        <w:t xml:space="preserve"> and (iv) street and parking lot sweeping services. In addition, we hold interests in oil and gas producing properties. These operations are presented in our “Other” segment in the table below. The following table summarizes revenues during the years ended December 31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13,285</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r>
      <w:tr>
        <w:trPr>
          <w:trHeight w:val="217"/>
        </w:trPr>
        <w:tc>
          <w:tcPr>
            <w:tcW w:w="642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14,485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12,961</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mix of operating revenues from our major lines of business is reflected in the table below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12,961</w:t>
            </w:r>
          </w:p>
        </w:tc>
      </w:tr>
      <w:tr>
        <w:trPr>
          <w:trHeight w:val="108"/>
        </w:trPr>
        <w:tc>
          <w:tcPr>
            <w:tcW w:w="228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5"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our expanded service offerings and solutions, such as portable self-storage and long distance moving services, and interests we hold in oil and gas producing properties. In addition, our “Other” line of business reflects the results of non-operating entities that provide financial assurance and self-insurance support, net of intercompany activity.</w:t>
      </w:r>
    </w:p>
    <w:p>
      <w:pPr>
        <w:spacing w:after="0" w:line="85"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2017 vs. 2016</w:t>
            </w:r>
          </w:p>
        </w:tc>
        <w:tc>
          <w:tcPr>
            <w:tcW w:w="17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6"/>
              </w:rPr>
              <w:t>Company(a)</w:t>
            </w: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Company(a)</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yield (b)</w:t>
            </w:r>
          </w:p>
        </w:tc>
        <w:tc>
          <w:tcPr>
            <w:tcW w:w="3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Volume</w:t>
            </w:r>
          </w:p>
        </w:tc>
        <w:tc>
          <w:tcPr>
            <w:tcW w:w="3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Acquisitions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w:t>
            </w:r>
          </w:p>
        </w:tc>
        <w:tc>
          <w:tcPr>
            <w:tcW w:w="3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total Company revenue, adjusted to exclude the impacts of divestitures for the current year ($13,582 million and $12,931 million for 2017 and 2016, respectively).</w:t>
      </w:r>
    </w:p>
    <w:p>
      <w:pPr>
        <w:spacing w:after="0" w:line="73" w:lineRule="exact"/>
        <w:rPr>
          <w:rFonts w:ascii="Arial" w:cs="Arial" w:eastAsia="Arial" w:hAnsi="Arial"/>
          <w:sz w:val="18"/>
          <w:szCs w:val="18"/>
          <w:color w:val="auto"/>
        </w:rPr>
      </w:pPr>
    </w:p>
    <w:p>
      <w:pPr>
        <w:jc w:val="both"/>
        <w:ind w:left="320" w:hanging="317"/>
        <w:spacing w:after="0" w:line="257"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 We also analyze the changes in average yield in terms of related business revenues in order to differentiate the changes in yield attributable to our pricing strategies from the changes that are caused by market-driven price changes in commodities. The following table summarizes the period-to-period change in revenues from average yield on a related business basis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2017 vs. 2016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Related</w:t>
            </w:r>
          </w:p>
        </w:tc>
        <w:tc>
          <w:tcPr>
            <w:tcW w:w="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Business(i)</w:t>
            </w:r>
          </w:p>
        </w:tc>
        <w:tc>
          <w:tcPr>
            <w:tcW w:w="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Business(i)</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Average yield:</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Collection and disposal</w:t>
            </w:r>
          </w:p>
        </w:tc>
        <w:tc>
          <w:tcPr>
            <w:tcW w:w="15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241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267</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Fuel surcharges and mandated fees</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551</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33"/>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by the prior year’s related business revenue, adjusted to exclude the impacts of divestitures for the current year.</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revenues increased $876 million, or 6.4%, for the year ended December 31, 2017 as compared with the prior year, driven primarily by (i) higher volumes; (ii) revenue growth from yield on our collection and disposal lines of business</w:t>
      </w:r>
    </w:p>
    <w:p>
      <w:pPr>
        <w:ind w:firstLine="3"/>
        <w:spacing w:after="0" w:line="261" w:lineRule="auto"/>
        <w:tabs>
          <w:tab w:leader="none" w:pos="3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market prices for the recycling commodities we sell and (iv) higher revenues from our fuel surcharge program due to higher diesel fuel prices.</w:t>
      </w:r>
    </w:p>
    <w:p>
      <w:pPr>
        <w:spacing w:after="0" w:line="1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revenues increased $648 million, or 5.0%, for the year ended December 31, 2016 as compared with the prior year, driven by (i) acquisitions, primarily the acquired operations of SWS in January 2016; (ii) revenue growth from yield on our collection and disposal lines of business; (iii) higher volumes and (iv) higher market prices for the recycling commodities we sell. Partially offsetting these revenue increases were (i) lower revenues from our fuel surcharge program due to lower diesel fuel prices; (ii) divestitures and (iii) foreign currency translation which affects revenues from our Canadian operations.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further details about our period-to-period change in 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operations, exclusive of volume changes. Revenue growth from collection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growth from collection and disposal average yield was $241 million, or 2.0%, and $267 million, or 2.4%, for the years ended December 31, 2017 and 2016, respectively. We experienced growth in yield for all of our collection and disposal lines of business in both 2017 and 2016. The period-to-period changes are as follows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565"/>
              <w:spacing w:after="0"/>
              <w:rPr>
                <w:sz w:val="20"/>
                <w:szCs w:val="20"/>
                <w:color w:val="auto"/>
              </w:rPr>
            </w:pPr>
            <w:r>
              <w:rPr>
                <w:rFonts w:ascii="Arial" w:cs="Arial" w:eastAsia="Arial" w:hAnsi="Arial"/>
                <w:sz w:val="14"/>
                <w:szCs w:val="14"/>
                <w:b w:val="1"/>
                <w:bCs w:val="1"/>
                <w:color w:val="auto"/>
              </w:rPr>
              <w:t>2017 vs. 2016</w:t>
            </w:r>
          </w:p>
        </w:tc>
        <w:tc>
          <w:tcPr>
            <w:tcW w:w="15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40" w:type="dxa"/>
            <w:vAlign w:val="bottom"/>
            <w:gridSpan w:val="3"/>
          </w:tcPr>
          <w:p>
            <w:pPr>
              <w:jc w:val="center"/>
              <w:ind w:right="265"/>
              <w:spacing w:after="0" w:line="149" w:lineRule="exact"/>
              <w:rPr>
                <w:sz w:val="20"/>
                <w:szCs w:val="20"/>
                <w:color w:val="auto"/>
              </w:rPr>
            </w:pPr>
            <w:r>
              <w:rPr>
                <w:rFonts w:ascii="Arial" w:cs="Arial" w:eastAsia="Arial" w:hAnsi="Arial"/>
                <w:sz w:val="14"/>
                <w:szCs w:val="14"/>
                <w:b w:val="1"/>
                <w:bCs w:val="1"/>
                <w:color w:val="auto"/>
                <w:w w:val="94"/>
              </w:rPr>
              <w:t>Related</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265"/>
              <w:spacing w:after="0"/>
              <w:rPr>
                <w:sz w:val="20"/>
                <w:szCs w:val="20"/>
                <w:color w:val="auto"/>
              </w:rPr>
            </w:pPr>
            <w:r>
              <w:rPr>
                <w:rFonts w:ascii="Arial" w:cs="Arial" w:eastAsia="Arial" w:hAnsi="Arial"/>
                <w:sz w:val="14"/>
                <w:szCs w:val="14"/>
                <w:b w:val="1"/>
                <w:bCs w:val="1"/>
                <w:color w:val="auto"/>
                <w:w w:val="83"/>
              </w:rPr>
              <w:t>Business</w:t>
            </w: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6"/>
              </w:rPr>
              <w:t>Business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5"/>
              </w:rPr>
              <w:t>4.2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Industrial</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95"/>
              </w:rPr>
              <w:t>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w w:val="95"/>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5"/>
              </w:rPr>
              <w:t>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w w:val="95"/>
              </w:rPr>
              <w:t>2.5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2.0 %</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w w:val="91"/>
              </w:rPr>
              <w:t>2.4 %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increase in collection and disposal yield for the years ended December 31, 2017 and 2016, compared with the prior years, includes increased revenues from our environmental fees of $67 million and $72 million, respectively.</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Recycling Commodities — </w:t>
      </w:r>
      <w:r>
        <w:rPr>
          <w:rFonts w:ascii="Arial" w:cs="Arial" w:eastAsia="Arial" w:hAnsi="Arial"/>
          <w:sz w:val="17"/>
          <w:szCs w:val="17"/>
          <w:color w:val="auto"/>
        </w:rPr>
        <w:t>Increases in the market prices for recycling commodities resulted in revenue growth of $237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$51 million for the years ended December 31, 2017 and 2016, respectively, as compared with the prior years due to the increase in the market prices of the recycling commodities we sell at our recycling facilities and through our recycling brokerage business. However, beginning in September 2017, disruptions in the global movement of recycling commodities and the impact of natural disasters along the Gulf Coast decreased market prices for recycling commodities, which reduced our revenues in the fourth quarter of 2017 as compared with the prior year period. We expect these disruptions in the market for recycling commodities to extend through the first half of 2018, which will continue to put downward pressure on average market prices for recycling commodities.</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Fuel Surcharges and Mandated Fees — </w:t>
      </w:r>
      <w:r>
        <w:rPr>
          <w:rFonts w:ascii="Arial" w:cs="Arial" w:eastAsia="Arial" w:hAnsi="Arial"/>
          <w:sz w:val="18"/>
          <w:szCs w:val="18"/>
          <w:color w:val="auto"/>
        </w:rPr>
        <w:t>These revenues, which are predominantly generated by our fuel surcharge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increased $73 million for the year ended December 31, 2017 and decreased $67 million for the year ended December 31, 2016, as compared with the prior years. These revenues fluctuate in response to changes in the national average prices for diesel fuel on which our surcharge is based. Market prices for diesel fuel increased 15% for the year ended December 31, 2017 and decreased 14% for the year ended December 31, 2016, compared with the prior years.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 presented.</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 increased $289 million, or 2.1%, and $186 million, or 1.4%, for the years ended December 31, 2017 and 2016, respectively, as compared with the prior years. The comparison does not include volumes from acquisitions.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experienced higher volumes due to improving market conditions and strong sales performance. Our focus on customer service and disciplined growth delivered consistent results throughout 2017 and 2016. The most significant contributors to our volume growth were commercial and industrial collection; municipal solid waste and construction and demolition landfills; and transfer stations. Our residential line of business experienced volume declines in 2017 and 2016 due to our continued focus on renegotiating existing contracts and winning only those new contracts with a reasonable rate of return.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drivers affecting the comparability of volumes for 2017 to 2016 are as follows:</w:t>
      </w:r>
    </w:p>
    <w:p>
      <w:pPr>
        <w:spacing w:after="0" w:line="117" w:lineRule="exact"/>
        <w:rPr>
          <w:sz w:val="20"/>
          <w:szCs w:val="20"/>
          <w:color w:val="auto"/>
        </w:rPr>
      </w:pPr>
    </w:p>
    <w:p>
      <w:pPr>
        <w:jc w:val="both"/>
        <w:ind w:left="660" w:hanging="333"/>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 $60 million of our landfill volume increases resulted from events during 2017 that may not repeat, including natural disasters throughout the U.S. primarily in the fourth quarter of 2017 and from an eleven-month outage at a waste-to-energy facility in Virginia that ended in mid-December;</w:t>
      </w:r>
    </w:p>
    <w:p>
      <w:pPr>
        <w:spacing w:after="0" w:line="73"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large new contract additions in 2017 that favorably impacted our volume growth;</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WMSBS organization experienced favorable volume growth;</w:t>
      </w:r>
    </w:p>
    <w:p>
      <w:pPr>
        <w:spacing w:after="0" w:line="117"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completion of certain project work performed throughout 2016 in our collection line of business in Southern California and other line of business from our EES organization negatively impacted our volume growth; and</w:t>
      </w:r>
    </w:p>
    <w:p>
      <w:pPr>
        <w:spacing w:after="0" w:line="38" w:lineRule="exact"/>
        <w:rPr>
          <w:rFonts w:ascii="Arial" w:cs="Arial" w:eastAsia="Arial" w:hAnsi="Arial"/>
          <w:sz w:val="17"/>
          <w:szCs w:val="17"/>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One less workday in 2017 negatively impacted our volume growth.</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drivers affecting the comparability of volumes for 2016 to 2015 are as follows:</w:t>
      </w:r>
    </w:p>
    <w:p>
      <w:pPr>
        <w:spacing w:after="0" w:line="117" w:lineRule="exact"/>
        <w:rPr>
          <w:sz w:val="20"/>
          <w:szCs w:val="20"/>
          <w:color w:val="auto"/>
        </w:rPr>
      </w:pPr>
    </w:p>
    <w:p>
      <w:pPr>
        <w:jc w:val="both"/>
        <w:ind w:left="660" w:hanging="333"/>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our ancillary services businesses, we experienced higher volumes in 2016 as compared with 2015 resulting from our EES organization, particularly our remediation and construction services, our WM Renewable Energy organization and our portable self-storage business. These volume increases were partially offset by lower volumes due to lower oil prices, which negatively affected both our oil and gas producing properties and our oilfield services business; and</w:t>
      </w:r>
    </w:p>
    <w:p>
      <w:pPr>
        <w:spacing w:after="0" w:line="80"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additional workday in 2016 favorably impacted our volume growth.</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Acquisitions increased revenues $48 million and $268 million for the years ended December 31, 2017 and 2016, respectively, as compared with the prior years. The increase in revenues in 2016 was principally due to the acquired operations of SWS in January 2016. These revenues were partially offset by revenue decreases due to divestitures of $27 million and $30 million for the years ended December 31, 2017 and 2016, respectively, as compared with the prior years.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operating expenses are comprised of (i) labor and related benefits costs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costs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includes the cost to purchase recycling materials for our recycling business, including rebates paid to suppliers; (vi) fuel costs, which represent the costs of fuel and oil to operate our truck fleet and landfill operating equipment;</w:t>
      </w:r>
    </w:p>
    <w:p>
      <w:pPr>
        <w:spacing w:after="0" w:line="1" w:lineRule="exact"/>
        <w:rPr>
          <w:sz w:val="20"/>
          <w:szCs w:val="20"/>
          <w:color w:val="auto"/>
        </w:rPr>
      </w:pPr>
    </w:p>
    <w:p>
      <w:pPr>
        <w:jc w:val="both"/>
        <w:ind w:firstLine="3"/>
        <w:spacing w:after="0" w:line="281" w:lineRule="auto"/>
        <w:tabs>
          <w:tab w:leader="none" w:pos="384"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general liability, automobile liability, workers’ compensation and insurance and claim costs and</w:t>
      </w:r>
    </w:p>
    <w:p>
      <w:pPr>
        <w:spacing w:after="0" w:line="3" w:lineRule="exact"/>
        <w:rPr>
          <w:rFonts w:ascii="Arial" w:cs="Arial" w:eastAsia="Arial" w:hAnsi="Arial"/>
          <w:sz w:val="16"/>
          <w:szCs w:val="16"/>
          <w:color w:val="auto"/>
        </w:rPr>
      </w:pPr>
    </w:p>
    <w:p>
      <w:pPr>
        <w:ind w:firstLine="3"/>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operating costs, which include telecommunications, equipment and facility lease expenses, property taxes, utilities and supplies.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2"/>
        </w:trPr>
        <w:tc>
          <w:tcPr>
            <w:tcW w:w="6460" w:type="dxa"/>
            <w:vAlign w:val="bottom"/>
            <w:gridSpan w:val="9"/>
          </w:tcPr>
          <w:p>
            <w:pPr>
              <w:ind w:left="320"/>
              <w:spacing w:after="0"/>
              <w:rPr>
                <w:sz w:val="20"/>
                <w:szCs w:val="20"/>
                <w:color w:val="auto"/>
              </w:rPr>
            </w:pPr>
            <w:r>
              <w:rPr>
                <w:rFonts w:ascii="Arial" w:cs="Arial" w:eastAsia="Arial" w:hAnsi="Arial"/>
                <w:sz w:val="18"/>
                <w:szCs w:val="18"/>
                <w:color w:val="auto"/>
              </w:rPr>
              <w:t>The  following  table  summarizes  the  major  components  of  our  operating</w:t>
            </w:r>
          </w:p>
        </w:tc>
        <w:tc>
          <w:tcPr>
            <w:tcW w:w="2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w w:val="88"/>
              </w:rPr>
              <w:t>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for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the  years</w:t>
            </w: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December 31 (dollars in millions):</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Period-to- Period</w:t>
            </w: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Period-to- Period</w:t>
            </w: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Transfer and disposal costs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Subcontractor costs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Fuel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(16.9)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Landfill operating costs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62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7"/>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535</w:t>
            </w:r>
          </w:p>
        </w:tc>
        <w:tc>
          <w:tcPr>
            <w:tcW w:w="86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6.3 %</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8,486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255</w:t>
            </w:r>
          </w:p>
        </w:tc>
        <w:tc>
          <w:tcPr>
            <w:tcW w:w="880" w:type="dxa"/>
            <w:vAlign w:val="bottom"/>
            <w:tcBorders>
              <w:top w:val="single" w:sz="8" w:color="CCEEFF"/>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3.1 %</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expenses increased $535 million, or 6.3%, when comparing 2017 with 2016 and $255 million, or 3.1%, when comparing 2016 with 2015. Operating expenses as a percentage of revenues were 62.3% in 2017, 62.4% in 2016 and 63.5% in 2015.</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Significant items affecting the comparison of operating expenses between reported periods include: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in 2017 as compared with 2016 was due</w:t>
      </w:r>
      <w:r>
        <w:rPr>
          <w:rFonts w:ascii="Arial" w:cs="Arial" w:eastAsia="Arial" w:hAnsi="Arial"/>
          <w:sz w:val="17"/>
          <w:szCs w:val="17"/>
          <w:i w:val="1"/>
          <w:iCs w:val="1"/>
          <w:color w:val="auto"/>
        </w:rPr>
        <w:t xml:space="preserve"> </w:t>
      </w:r>
      <w:r>
        <w:rPr>
          <w:rFonts w:ascii="Arial" w:cs="Arial" w:eastAsia="Arial" w:hAnsi="Arial"/>
          <w:sz w:val="17"/>
          <w:szCs w:val="17"/>
          <w:color w:val="auto"/>
        </w:rPr>
        <w:t>to (i) merit increases; (ii) increased headcount driven, in part, by higher volumes and (iii) charges for the withdrawal from certain Multiemployer Pension Plans. These cost increases were partially offset by one less workday in 2017.</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increase in labor and related benefits costs in 2016 as compared with 2015 was due to (i) merit increases;</w:t>
      </w:r>
    </w:p>
    <w:p>
      <w:pPr>
        <w:spacing w:after="0" w:line="35" w:lineRule="exact"/>
        <w:rPr>
          <w:sz w:val="20"/>
          <w:szCs w:val="20"/>
          <w:color w:val="auto"/>
        </w:rPr>
      </w:pPr>
    </w:p>
    <w:p>
      <w:pPr>
        <w:ind w:left="280" w:hanging="277"/>
        <w:spacing w:after="0"/>
        <w:tabs>
          <w:tab w:leader="none" w:pos="2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additional costs associated with the acquired operations of SWS in January 2016; (iii) health and welfare cost increases;</w:t>
      </w:r>
    </w:p>
    <w:p>
      <w:pPr>
        <w:spacing w:after="0" w:line="32" w:lineRule="exact"/>
        <w:rPr>
          <w:rFonts w:ascii="Arial" w:cs="Arial" w:eastAsia="Arial" w:hAnsi="Arial"/>
          <w:sz w:val="16"/>
          <w:szCs w:val="16"/>
          <w:color w:val="auto"/>
        </w:rPr>
      </w:pPr>
    </w:p>
    <w:p>
      <w:pPr>
        <w:jc w:val="both"/>
        <w:ind w:firstLine="3"/>
        <w:spacing w:after="0" w:line="265" w:lineRule="auto"/>
        <w:tabs>
          <w:tab w:leader="none" w:pos="3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additional workday in 2016 and (v) higher incentive compensation accruals. These cost increases were partially offset by (i) $51 million of charges in 2015 for the withdrawal from certain underfunded Multiemployer Pension Plans and</w:t>
      </w:r>
    </w:p>
    <w:p>
      <w:pPr>
        <w:ind w:left="260" w:hanging="257"/>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lower headcount and contract labor costs in 2016 due to operating efficiencies in our recycling line of business.</w:t>
      </w:r>
    </w:p>
    <w:p>
      <w:pPr>
        <w:spacing w:after="0" w:line="22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Transfer and Disposal Costs — </w:t>
      </w:r>
      <w:r>
        <w:rPr>
          <w:rFonts w:ascii="Arial" w:cs="Arial" w:eastAsia="Arial" w:hAnsi="Arial"/>
          <w:sz w:val="18"/>
          <w:szCs w:val="18"/>
          <w:color w:val="auto"/>
        </w:rPr>
        <w:t>The increase in transfer and disposal costs in 2017 compared with 2016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higher volumes. The increase in costs in 2016 compared with 2015 was driven by acquisitions, primarily SWS, and higher volumes.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Maintenance and Repairs </w:t>
      </w:r>
      <w:r>
        <w:rPr>
          <w:rFonts w:ascii="Arial" w:cs="Arial" w:eastAsia="Arial" w:hAnsi="Arial"/>
          <w:sz w:val="17"/>
          <w:szCs w:val="17"/>
          <w:color w:val="auto"/>
        </w:rPr>
        <w:t>— The increase in maintenance and repairs costs in 2017 compared with 2016 was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(i) higher third-party repairs and parts costs and (ii) higher labor costs due to increased headcount, merit increases, and retention and training efforts. The increase in costs in 2016 compared with 2015 was primarily driven by (i) higher labor and parts and supplies costs and (ii) acquisitions, primarily the acquired operations of SWS.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Increases in subcontractor costs in 2017 compared with 2016 were driven by higher volumes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Solid Waste business and our WMSBS organization. The increase in costs in 2016 compared with 2015 was driven by acquisitions and higher volumes in our WMSBS organization. The increases for both years were partially offset by a decrease in subcontracted remediation and construction services to industrial customers.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increase in cost of goods sold in 2017 compared with 2016 was due to higher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recycling commodities, partially offset by lower costs due to (i) continued efforts to restructure recycling rebates paid to customers and (ii) the divestiture of a majority-owned organics company in 2016. The increase in costs in 2016 compared with 2015 was due to (i) higher market prices for recycling commodities and (ii) increased costs in our remediation and construction services business, partially offset by lower costs due to continued efforts to restructure recycling rebates paid to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Fuel — </w:t>
      </w:r>
      <w:r>
        <w:rPr>
          <w:rFonts w:ascii="Arial" w:cs="Arial" w:eastAsia="Arial" w:hAnsi="Arial"/>
          <w:sz w:val="18"/>
          <w:szCs w:val="18"/>
          <w:color w:val="auto"/>
        </w:rPr>
        <w:t>The increase in fuel costs in 2017 compared with 2016 was primarily due to (i) higher fuel prices; (ii)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certain natural gas fuel excise tax credits as of December 31, 2016 and (iii) higher volumes in our collection line of business. These cost increases were partially offset by (i) lower costs resulting from the continued conversion of our fleet to natural gas vehicles and (ii) reduced fuel consumption due to efficiency gains in the routing of our fleet. The decrease in fuel costs in 2016 compared with 2015 was driven by (i) lower fuel prices; (ii) lower costs resulting from the continued conversion of our fleet to natural gas vehicles; (iii) increases in natural gas fuel excise credits and (iv) reduced fuel consumption due to efficiency gains in the routing of our fleet. The higher volumes in our collection line of business in 2016 partially offset these decreases.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Disposal and Franchise Fees and Taxes — </w:t>
      </w:r>
      <w:r>
        <w:rPr>
          <w:rFonts w:ascii="Arial" w:cs="Arial" w:eastAsia="Arial" w:hAnsi="Arial"/>
          <w:sz w:val="18"/>
          <w:szCs w:val="18"/>
          <w:color w:val="auto"/>
        </w:rPr>
        <w:t>The increase in disposal and franchise fees and taxes in 2017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2016 is primarily due to higher landfill volumes and increased municipal franchise fees. The increase in 2016 compared with 2015 is primarily due to (i) higher landfill volumes; (ii) increased municipal franchise fees and (iii) increased subcontracted remediation and construction services to industrial customers.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Landfill Operating Costs </w:t>
      </w:r>
      <w:r>
        <w:rPr>
          <w:rFonts w:ascii="Arial" w:cs="Arial" w:eastAsia="Arial" w:hAnsi="Arial"/>
          <w:sz w:val="16"/>
          <w:szCs w:val="16"/>
          <w:color w:val="auto"/>
        </w:rPr>
        <w:t>— The most significant item impacting landfill operating costs for the periods presented was</w:t>
      </w:r>
      <w:r>
        <w:rPr>
          <w:rFonts w:ascii="Arial" w:cs="Arial" w:eastAsia="Arial" w:hAnsi="Arial"/>
          <w:sz w:val="16"/>
          <w:szCs w:val="16"/>
          <w:i w:val="1"/>
          <w:iCs w:val="1"/>
          <w:color w:val="auto"/>
        </w:rPr>
        <w:t xml:space="preserve"> </w:t>
      </w:r>
      <w:r>
        <w:rPr>
          <w:rFonts w:ascii="Arial" w:cs="Arial" w:eastAsia="Arial" w:hAnsi="Arial"/>
          <w:sz w:val="16"/>
          <w:szCs w:val="16"/>
          <w:color w:val="auto"/>
        </w:rPr>
        <w:t>landfill leachate management costs, which were lower in 2017 compared to 2016 and higher in 2016 compared to 2015.</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Risk Management </w:t>
      </w:r>
      <w:r>
        <w:rPr>
          <w:rFonts w:ascii="Arial" w:cs="Arial" w:eastAsia="Arial" w:hAnsi="Arial"/>
          <w:sz w:val="18"/>
          <w:szCs w:val="18"/>
          <w:color w:val="auto"/>
        </w:rPr>
        <w:t>— The increase in risk management costs in 2017 compared with 2016 was primarily due to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uninsured losses. The decrease in costs in 2016 compared with 2015 was primarily due to a reduction in certain uninsured losses and, to a lesser extent, decreased workers’ compensation claims.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changes in other operating costs in the reported periods were principally driven by favorable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contingent consideration liabilities associated with certain acquisitions in 2016 and fluctuations in operating lease expenses. Operating lease expenses were higher in 2017 compared with 2016 and lower in 2016 when compared with 2015.</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selling, general and administrative expenses consist of (i) labor and related benefits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selling, general and administrative expenses, which include, among other costs, facility-related expenses, voice and data telecommunication, advertising, bank charges, computer costs, travel and entertainment, rentals, postage and printing. In addition, the financial impacts of litigation settlements generally are included in our “Other” selling, general and administrative expenses.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for the years ended December 31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5"/>
          </w:tcPr>
          <w:p>
            <w:pPr>
              <w:jc w:val="center"/>
              <w:ind w:right="385"/>
              <w:spacing w:after="0"/>
              <w:rPr>
                <w:sz w:val="20"/>
                <w:szCs w:val="20"/>
                <w:color w:val="auto"/>
              </w:rPr>
            </w:pPr>
            <w:r>
              <w:rPr>
                <w:rFonts w:ascii="Arial" w:cs="Arial" w:eastAsia="Arial" w:hAnsi="Arial"/>
                <w:sz w:val="14"/>
                <w:szCs w:val="14"/>
                <w:b w:val="1"/>
                <w:bCs w:val="1"/>
                <w:color w:val="auto"/>
                <w:w w:val="93"/>
              </w:rPr>
              <w:t>Period-to-</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385"/>
              <w:spacing w:after="0"/>
              <w:rPr>
                <w:sz w:val="20"/>
                <w:szCs w:val="20"/>
                <w:color w:val="auto"/>
              </w:rPr>
            </w:pPr>
            <w:r>
              <w:rPr>
                <w:rFonts w:ascii="Arial" w:cs="Arial" w:eastAsia="Arial" w:hAnsi="Arial"/>
                <w:sz w:val="14"/>
                <w:szCs w:val="14"/>
                <w:b w:val="1"/>
                <w:bCs w:val="1"/>
                <w:color w:val="auto"/>
                <w:w w:val="96"/>
              </w:rPr>
              <w:t>Period-to-</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8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left="57"/>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385"/>
              <w:spacing w:after="0" w:line="149" w:lineRule="exact"/>
              <w:rPr>
                <w:sz w:val="20"/>
                <w:szCs w:val="20"/>
                <w:color w:val="auto"/>
              </w:rPr>
            </w:pPr>
            <w:r>
              <w:rPr>
                <w:rFonts w:ascii="Arial" w:cs="Arial" w:eastAsia="Arial" w:hAnsi="Arial"/>
                <w:sz w:val="14"/>
                <w:szCs w:val="14"/>
                <w:b w:val="1"/>
                <w:bCs w:val="1"/>
                <w:color w:val="auto"/>
                <w:w w:val="91"/>
              </w:rPr>
              <w:t>Period</w:t>
            </w: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jc w:val="center"/>
              <w:ind w:right="385"/>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Professional fees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7"/>
        </w:trPr>
        <w:tc>
          <w:tcPr>
            <w:tcW w:w="31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4.1 %</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8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5.0 %</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selling, general and administrative expenses increased $58 million, or 4.1%, when comparing 2017 with 2016 and $67 million, or 5.0%, when comparing 2016 with 2015. Our selling, general and administrative expenses as a percentage of revenues were 10.1% in 2017 and 10.4% in 2016 and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in 2017 compared with 2016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 merit increases; (ii) an increase in certain costs that vary with revenue and earnings growth, including incentive compensation accruals and (iii) higher severance costs for former executives in 2017. The increase in costs in 2016 compared with 2015 was primarily due to (i) higher incentive compensation accruals; (ii) merit increases; (iii) higher severance costs and (iv) acquisitions.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The decrease in professional fees in 2016 compared with 2015 was primarily due to lower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fees.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increase in other expenses in 2017 compared with 2016 was primarily due to favorable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settlements in 2016 and charitable contributions made for hurricane relief efforts in 2017. The decrease in other expenses in 2016 compared with 2015 was principally driven by favorable litigation settlements and lower bank charges.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Depreciation and amortization expenses include (i) depreciation of property and equipment, including assets recorded for capital leases, on a straight-line basis from three to 40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 (iii) amortization of landfill asset retirement costs arising from final capping obligations on a units-of-consumption method as airspace is consumed over the estimated capacity associated with each final capping event and</w:t>
      </w:r>
    </w:p>
    <w:p>
      <w:pPr>
        <w:spacing w:after="0" w:line="3" w:lineRule="exact"/>
        <w:rPr>
          <w:sz w:val="20"/>
          <w:szCs w:val="20"/>
          <w:color w:val="auto"/>
        </w:rPr>
      </w:pPr>
    </w:p>
    <w:p>
      <w:pPr>
        <w:jc w:val="both"/>
        <w:ind w:firstLine="3"/>
        <w:spacing w:after="0" w:line="255"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amortization of intangible assets with a definite life, using either a 150% declining balance approach or a straight-line basis over the definitive terms of the related agreements, which are generally from two to 15 years depending on the type of asset.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our depreciation and amortization expenses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Period-to-</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425"/>
              <w:spacing w:after="0" w:line="149" w:lineRule="exact"/>
              <w:rPr>
                <w:sz w:val="20"/>
                <w:szCs w:val="20"/>
                <w:color w:val="auto"/>
              </w:rPr>
            </w:pPr>
            <w:r>
              <w:rPr>
                <w:rFonts w:ascii="Arial" w:cs="Arial" w:eastAsia="Arial" w:hAnsi="Arial"/>
                <w:sz w:val="14"/>
                <w:szCs w:val="14"/>
                <w:b w:val="1"/>
                <w:bCs w:val="1"/>
                <w:color w:val="auto"/>
                <w:w w:val="91"/>
              </w:rPr>
              <w:t>Period</w:t>
            </w: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tcPr>
          <w:p>
            <w:pPr>
              <w:jc w:val="center"/>
              <w:ind w:right="430"/>
              <w:spacing w:after="0" w:line="149" w:lineRule="exact"/>
              <w:rPr>
                <w:sz w:val="20"/>
                <w:szCs w:val="20"/>
                <w:color w:val="auto"/>
              </w:rPr>
            </w:pPr>
            <w:r>
              <w:rPr>
                <w:rFonts w:ascii="Arial" w:cs="Arial" w:eastAsia="Arial" w:hAnsi="Arial"/>
                <w:sz w:val="14"/>
                <w:szCs w:val="14"/>
                <w:b w:val="1"/>
                <w:bCs w:val="1"/>
                <w:color w:val="auto"/>
                <w:w w:val="91"/>
              </w:rPr>
              <w:t>Period</w:t>
            </w: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425"/>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5"/>
          </w:tcPr>
          <w:p>
            <w:pPr>
              <w:jc w:val="center"/>
              <w:ind w:right="43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13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19</w:t>
            </w: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1,301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56</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4.5 %</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amortization of landfill airspace during 2017 as compared with the prior year is primarily due to higher volumes at our landfills and changes in our landfill estimates.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depreciation of tangible property and equipment and amortization of intangible assets during 2016 as compared with the prior year is primarily due to the acquired operations of SWS in January 2016. The increase in amortization of landfill airspace during 2016 as compared with the prior year is due to higher volumes at our landfills, partially offset by changes in our landfill estimates.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(income) expense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Asset impairments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income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jc w:val="both"/>
        <w:ind w:firstLine="3"/>
        <w:spacing w:after="0" w:line="281" w:lineRule="auto"/>
        <w:tabs>
          <w:tab w:leader="none" w:pos="2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$11 million of charges to adjust our subsidiary’s estimated potential share of an environmental remediation liability and related costs for a closed site in Harris County, Texas, as discussed in Note 10 to the Consolidated Financial Statements and</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 million of charges to write down certain renewable energy assets.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2016, we recognized net charges of $112 million, primarily related to</w:t>
      </w:r>
    </w:p>
    <w:p>
      <w:pPr>
        <w:spacing w:after="0" w:line="23" w:lineRule="exact"/>
        <w:rPr>
          <w:sz w:val="20"/>
          <w:szCs w:val="20"/>
          <w:color w:val="auto"/>
        </w:rPr>
      </w:pPr>
    </w:p>
    <w:p>
      <w:pPr>
        <w:jc w:val="both"/>
        <w:ind w:firstLine="3"/>
        <w:spacing w:after="0" w:line="253" w:lineRule="auto"/>
        <w:tabs>
          <w:tab w:leader="none" w:pos="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$44 million of charges to adjust our subsidiary’s estimated potential share of an environmental remediation liability and related costs for a closed site in Harris County, Texas, as discussed in Note 10 to the Consolidated Financial Statements; (ii) a $43 million charge to impair a landfill in Western Pennsylvania due to a loss of expected volumes; (iii) $12 million of goodwill impairment charges primarily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and (iv) an $8 million loss on the sale of a majority-owned organics company.</w:t>
      </w:r>
    </w:p>
    <w:p>
      <w:pPr>
        <w:spacing w:after="0" w:line="19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year ended December 31, 2015, we recognized net charges of $82 million, primarily related to (i) $66 million of charges to impair certain oil and gas producing properties as a result of declines in oil and gas prices; (ii) $18 million of charges to write down or divest certain assets in our recycling operations and (iii) a $5 million impairment of a landfill in our Western Canada Area due to revised post-closure cost estimates. Partially offsetting these charges was $7 million of net gains from divestitures, including a $6 million gain on the sale of an oil and gas producing property in 2015.</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3 to the Consolidated Financial Statements for additional information related to the accounting policy and analysis involved in identifying and calculating impairments.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income from operations for the years ended December 31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Period-to-</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Period-to-</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02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5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Tier 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$ 108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7.6 % $1,430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$ 140</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10.9 % $1,290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Tier 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7"/>
        </w:trPr>
        <w:tc>
          <w:tcPr>
            <w:tcW w:w="2940" w:type="dxa"/>
            <w:vAlign w:val="bottom"/>
          </w:tcPr>
          <w:p>
            <w:pPr>
              <w:ind w:left="4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2,636</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$ 340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14.8 %</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2,296</w:t>
            </w: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$ 251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12.3 %</w:t>
            </w: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2,045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19 to the Consolidated Financial Statements.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Solid Waste — </w:t>
      </w:r>
      <w:r>
        <w:rPr>
          <w:rFonts w:ascii="Arial" w:cs="Arial" w:eastAsia="Arial" w:hAnsi="Arial"/>
          <w:sz w:val="18"/>
          <w:szCs w:val="18"/>
          <w:color w:val="auto"/>
        </w:rPr>
        <w:t>The most significant items affecting the results of operations of our Solid Waste business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ended December 31, 2017 are summarized below:</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both comparable periods:</w:t>
      </w:r>
    </w:p>
    <w:p>
      <w:pPr>
        <w:spacing w:after="0" w:line="117" w:lineRule="exact"/>
        <w:rPr>
          <w:sz w:val="20"/>
          <w:szCs w:val="20"/>
          <w:color w:val="auto"/>
        </w:rPr>
      </w:pPr>
    </w:p>
    <w:p>
      <w:pPr>
        <w:ind w:left="660" w:hanging="333"/>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recycling line of business was favorable principally due to higher market prices for recycling commodities; and</w:t>
      </w:r>
    </w:p>
    <w:p>
      <w:pPr>
        <w:spacing w:after="0" w:line="140" w:lineRule="exact"/>
        <w:rPr>
          <w:rFonts w:ascii="Arial" w:cs="Arial" w:eastAsia="Arial" w:hAnsi="Arial"/>
          <w:sz w:val="16"/>
          <w:szCs w:val="16"/>
          <w:color w:val="auto"/>
        </w:rPr>
      </w:pPr>
    </w:p>
    <w:p>
      <w:pPr>
        <w:ind w:left="660" w:hanging="333"/>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impairment charge for a landfill in Tier 3 in 2016 due to a loss of expected volumes.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2017 when compared with 2016:</w:t>
      </w:r>
    </w:p>
    <w:p>
      <w:pPr>
        <w:spacing w:after="0" w:line="117" w:lineRule="exact"/>
        <w:rPr>
          <w:sz w:val="20"/>
          <w:szCs w:val="20"/>
          <w:color w:val="auto"/>
        </w:rPr>
      </w:pPr>
    </w:p>
    <w:p>
      <w:pPr>
        <w:ind w:left="660" w:hanging="333"/>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year primarily due to merit increases and charges for the withdrawal from certain underfunded Multiemployer Pension Plans, primarily in Tier 3;</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landfill leachate management costs in Tier 3;</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landfill amortization expense related to higher volumes at our landfills and changes in our landfill estimates, primarily in Tier 3;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maintenance and repairs costs.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items affected 2016 when compared with 2015:</w:t>
      </w:r>
    </w:p>
    <w:p>
      <w:pPr>
        <w:spacing w:after="0" w:line="117" w:lineRule="exact"/>
        <w:rPr>
          <w:sz w:val="20"/>
          <w:szCs w:val="20"/>
          <w:color w:val="auto"/>
        </w:rPr>
      </w:pPr>
    </w:p>
    <w:p>
      <w:pPr>
        <w:ind w:left="660" w:hanging="333"/>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landfill leachate management costs in Tier 3 in 2016;</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labor and related benefit costs in 2016 due to merit increases, higher incentive compensation accruals and increases in health and welfare costs;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Charges of $51 million for the withdrawal from certain underfunded Multiemployer Pension Plans in 2015 impacting all three tiers;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Improvements in our recycling line of business due to cost reductions and charges to write down or divest certain recycling assets in 2015 in Tier 1 and Tier 3.</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Other — </w:t>
      </w:r>
      <w:r>
        <w:rPr>
          <w:rFonts w:ascii="Arial" w:cs="Arial" w:eastAsia="Arial" w:hAnsi="Arial"/>
          <w:sz w:val="16"/>
          <w:szCs w:val="16"/>
          <w:color w:val="auto"/>
        </w:rPr>
        <w:t>Our “Other” income from operations includes (i) our WMSBS organization; (ii) those elements of our landfill</w:t>
      </w:r>
      <w:r>
        <w:rPr>
          <w:rFonts w:ascii="Arial" w:cs="Arial" w:eastAsia="Arial" w:hAnsi="Arial"/>
          <w:sz w:val="16"/>
          <w:szCs w:val="16"/>
          <w:i w:val="1"/>
          <w:iCs w:val="1"/>
          <w:color w:val="auto"/>
        </w:rPr>
        <w:t xml:space="preserve"> </w:t>
      </w:r>
      <w:r>
        <w:rPr>
          <w:rFonts w:ascii="Arial" w:cs="Arial" w:eastAsia="Arial" w:hAnsi="Arial"/>
          <w:sz w:val="16"/>
          <w:szCs w:val="16"/>
          <w:color w:val="auto"/>
        </w:rPr>
        <w:t>gas-to-energy operations and third-party subcontract and administration revenues managed by our EES and WM Renewable Energy organizations that are not included in operations of our reportable segments; (iii) our recycling brokerage services and</w:t>
      </w:r>
    </w:p>
    <w:p>
      <w:pPr>
        <w:ind w:left="4440" w:right="2100" w:hanging="4437"/>
        <w:spacing w:after="0" w:line="762" w:lineRule="auto"/>
        <w:tabs>
          <w:tab w:leader="none" w:pos="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expanded service offerings and solutions, such as portable self-storage and long distance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moving services, fluorescent bulb and universal waste mail-back through our LampTracker</w:t>
      </w:r>
      <w:r>
        <w:rPr>
          <w:rFonts w:ascii="Arial" w:cs="Arial" w:eastAsia="Arial" w:hAnsi="Arial"/>
          <w:sz w:val="8"/>
          <w:szCs w:val="8"/>
          <w:color w:val="auto"/>
        </w:rPr>
        <w:t>®</w:t>
      </w:r>
      <w:r>
        <w:rPr>
          <w:rFonts w:ascii="Arial" w:cs="Arial" w:eastAsia="Arial" w:hAnsi="Arial"/>
          <w:sz w:val="18"/>
          <w:szCs w:val="18"/>
          <w:color w:val="auto"/>
        </w:rPr>
        <w:t xml:space="preserve"> program, and interests we hold in oil and gas producing properties.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both comparable periods:</w:t>
      </w:r>
    </w:p>
    <w:p>
      <w:pPr>
        <w:spacing w:after="0" w:line="117" w:lineRule="exact"/>
        <w:rPr>
          <w:sz w:val="20"/>
          <w:szCs w:val="20"/>
          <w:color w:val="auto"/>
        </w:rPr>
      </w:pPr>
    </w:p>
    <w:p>
      <w:pPr>
        <w:ind w:left="660" w:hanging="333"/>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Expenses from divestitures, asset impairments and unusual items related to a loss on the sale of a majority-owned organics company and the goodwill impairment charge associated with our LampTracker</w:t>
      </w:r>
      <w:r>
        <w:rPr>
          <w:rFonts w:ascii="Arial" w:cs="Arial" w:eastAsia="Arial" w:hAnsi="Arial"/>
          <w:sz w:val="7"/>
          <w:szCs w:val="7"/>
          <w:color w:val="auto"/>
        </w:rPr>
        <w:t>®</w:t>
      </w:r>
      <w:r>
        <w:rPr>
          <w:rFonts w:ascii="Arial" w:cs="Arial" w:eastAsia="Arial" w:hAnsi="Arial"/>
          <w:sz w:val="16"/>
          <w:szCs w:val="16"/>
          <w:color w:val="auto"/>
        </w:rPr>
        <w:t xml:space="preserve"> reporting unit in 2016.</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2017 when compared with 2016:</w:t>
      </w:r>
    </w:p>
    <w:p>
      <w:pPr>
        <w:spacing w:after="0" w:line="117" w:lineRule="exact"/>
        <w:rPr>
          <w:sz w:val="20"/>
          <w:szCs w:val="20"/>
          <w:color w:val="auto"/>
        </w:rPr>
      </w:pPr>
    </w:p>
    <w:p>
      <w:pPr>
        <w:ind w:left="660" w:hanging="333"/>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Gains from the sale of certain oil and gas producing properties in 2017; and</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Goodwill impairment charges, partially offset by a reduction in contingent consideration obligations, in our EES organization.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2016 when compared with 2015:</w:t>
      </w:r>
    </w:p>
    <w:p>
      <w:pPr>
        <w:spacing w:after="0" w:line="117" w:lineRule="exact"/>
        <w:rPr>
          <w:sz w:val="20"/>
          <w:szCs w:val="20"/>
          <w:color w:val="auto"/>
        </w:rPr>
      </w:pPr>
    </w:p>
    <w:p>
      <w:pPr>
        <w:ind w:left="660" w:hanging="333"/>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Impairment charges of $66 million related to oil and gas producing properties recognized in 2015;</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EES organization’s results were higher in 2016 principally driven by an increase in remediation and construction services costs to industrial customers in 2015;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costs in our WMSBS organization driven, in part, by the transfer of certain sales employees from our Corporate and Other segment to this segment in 2016.</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2017 when compared with 2016:</w:t>
      </w:r>
    </w:p>
    <w:p>
      <w:pPr>
        <w:spacing w:after="0" w:line="117" w:lineRule="exact"/>
        <w:rPr>
          <w:sz w:val="20"/>
          <w:szCs w:val="20"/>
          <w:color w:val="auto"/>
        </w:rPr>
      </w:pPr>
    </w:p>
    <w:p>
      <w:pPr>
        <w:ind w:left="660" w:hanging="333"/>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Charges in both years to adjust our subsidiary’s estimated potential share of an environmental remediation liability and related costs for a closed site in Harris County, Texas, primarily in 2016;</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year were primarily related to higher incentive compensation accruals, merit increases and severance costs;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favorable litigation settlement providing for the reimbursement of certain legal fees in 2016.</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items affected 2016 when compared with 2015:</w:t>
      </w:r>
    </w:p>
    <w:p>
      <w:pPr>
        <w:spacing w:after="0" w:line="117" w:lineRule="exact"/>
        <w:rPr>
          <w:sz w:val="20"/>
          <w:szCs w:val="20"/>
          <w:color w:val="auto"/>
        </w:rPr>
      </w:pPr>
    </w:p>
    <w:p>
      <w:pPr>
        <w:ind w:left="660" w:hanging="33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labor and related benefit costs in 2016 due to higher incentive compensation accruals, severance costs, health and welfare costs and merit increases;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in a subsidiary’s estimated potential share of an environmental remediation liability and related costs for a closed site in Harris County, Texas in 2016;</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risk management costs in 2016;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transfer of certain sales employees to our Other segment from this segment in 2016.</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interest expense, net was $363 million, $376 million and $385 million in 2017, 2016 and 2015, respectively. During 2017, the decrease in interest expense was primarily attributable to higher capitalized interest on certain projects under development and the early repayment of high-coupon senior notes and issuance of new senior notes at lower coupon interest rates in 2017. During 2016, the decrease in interest expense was primarily attributable to the impact of lower market interest rates on certain of our tax-exempt bonds, partially offset by increased borrowings under our $2.25 billion revolving credit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Loss on early extinguishment of debt was $6 million, $4 million and $555 million in 2017, 2016 and 2015, respectively. The amount for 2015 was primarily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 The loss on early extinguishment of debt reflected in our Consolidated Statement of Operations for 2015 includes $122 million of charges related to make-whole redemptions and $430 million of charges related to cash tender offers.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recognized equity in net losses of unconsolidated entities of $68 million, $44 million and $38 million in 2017, 2016 and 2015, respectively. The amount in 2017 includes impairment charges of $29 million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The tax impacts realized as a result of our investments in low-income housing properties and the refined coal facility are discussed below in </w:t>
      </w:r>
      <w:r>
        <w:rPr>
          <w:rFonts w:ascii="Arial" w:cs="Arial" w:eastAsia="Arial" w:hAnsi="Arial"/>
          <w:sz w:val="17"/>
          <w:szCs w:val="17"/>
          <w:i w:val="1"/>
          <w:iCs w:val="1"/>
          <w:color w:val="auto"/>
        </w:rPr>
        <w:t>Income Tax Expense.</w:t>
      </w:r>
      <w:r>
        <w:rPr>
          <w:rFonts w:ascii="Arial" w:cs="Arial" w:eastAsia="Arial" w:hAnsi="Arial"/>
          <w:sz w:val="17"/>
          <w:szCs w:val="17"/>
          <w:color w:val="auto"/>
        </w:rPr>
        <w:t xml:space="preserve"> Refer to Notes 8 and 18 to the Consolidated Financial Statements for more information related to these investments.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recognized other, net expense of $8 million, $50 million and $7 million in 2017, 2016 and 2015, respectively. The expenses for 2017, 2016 and 2015 were impacted by impairment charges of $11 million, $42 million and $5 million, respectively, related to other-than-temporary declines in the value of minority-owned investments in waste diversion technology companies. In addition, we recognized $8 million of expense during 2016 associated with the termination of our cross-currency swaps, which is discussed further in Note 7 to the Consolidated Financial Statements.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recorded income tax expense of $242 million, $642 million and $308 million in 2017, 2016 and 2015, respectively, resulting in effective income tax rates of 11.0%, 35.2% and 29.1% for the years ended December 31, 2017, 2016 and 2015, respectively. The comparability of our reported income taxes for the years presented is primarily affected by (i) variations in our income before income taxes, as discussed above; (ii) impacts of enactment of tax reform; (iii) federal tax credits;</w:t>
      </w:r>
    </w:p>
    <w:p>
      <w:pPr>
        <w:spacing w:after="0" w:line="2" w:lineRule="exact"/>
        <w:rPr>
          <w:sz w:val="20"/>
          <w:szCs w:val="20"/>
          <w:color w:val="auto"/>
        </w:rPr>
      </w:pPr>
    </w:p>
    <w:p>
      <w:pPr>
        <w:ind w:left="340" w:hanging="337"/>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excess tax benefits associated with equity-based compensation transactions; (v) the tax implications of impairments;</w:t>
      </w:r>
    </w:p>
    <w:p>
      <w:pPr>
        <w:spacing w:after="0" w:line="32" w:lineRule="exact"/>
        <w:rPr>
          <w:rFonts w:ascii="Arial" w:cs="Arial" w:eastAsia="Arial" w:hAnsi="Arial"/>
          <w:sz w:val="16"/>
          <w:szCs w:val="16"/>
          <w:color w:val="auto"/>
        </w:rPr>
      </w:pPr>
    </w:p>
    <w:p>
      <w:pPr>
        <w:ind w:left="320" w:hanging="317"/>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realization of state net operating losses and credits; (vii) adjustments to our accruals and related deferred taxes and</w:t>
      </w:r>
    </w:p>
    <w:p>
      <w:pPr>
        <w:spacing w:after="0" w:line="32" w:lineRule="exact"/>
        <w:rPr>
          <w:rFonts w:ascii="Arial" w:cs="Arial" w:eastAsia="Arial" w:hAnsi="Arial"/>
          <w:sz w:val="16"/>
          <w:szCs w:val="16"/>
          <w:color w:val="auto"/>
        </w:rPr>
      </w:pPr>
    </w:p>
    <w:p>
      <w:pPr>
        <w:ind w:left="400" w:hanging="397"/>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 audit settlements. The impacts of these items are summarized below:</w:t>
      </w:r>
    </w:p>
    <w:p>
      <w:pPr>
        <w:spacing w:after="0" w:line="102" w:lineRule="exact"/>
        <w:rPr>
          <w:rFonts w:ascii="Arial" w:cs="Arial" w:eastAsia="Arial" w:hAnsi="Arial"/>
          <w:sz w:val="18"/>
          <w:szCs w:val="18"/>
          <w:color w:val="auto"/>
        </w:rPr>
      </w:pPr>
    </w:p>
    <w:p>
      <w:pPr>
        <w:jc w:val="both"/>
        <w:ind w:left="660" w:hanging="333"/>
        <w:spacing w:after="0" w:line="270" w:lineRule="auto"/>
        <w:tabs>
          <w:tab w:leader="none" w:pos="66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Impacts of Enactment of Tax Reform — </w:t>
      </w:r>
      <w:r>
        <w:rPr>
          <w:rFonts w:ascii="Arial" w:cs="Arial" w:eastAsia="Arial" w:hAnsi="Arial"/>
          <w:sz w:val="17"/>
          <w:szCs w:val="17"/>
          <w:color w:val="auto"/>
        </w:rPr>
        <w:t>The Tax Cuts and Jobs Act (the “Act”) was signed into law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22, 2017 and is generally effective for tax years beginning January 1, 2018. The most significant impacts of the Act to the Company include a decrease in the federal corporate income tax rate from 35% to 21% and a one-time, mandatory transition tax on deemed repatriation of previously tax-deferred and unremitted foreign earnings. For the year ended December 31, 2017, we had an income tax benefit of $529 million consisting of a net tax benefit of $595 million for the re-measurement of our deferred income tax assets and liabilities due to the decrease in the federal corporate income tax rate, partially offset by income tax expense of $66 million for the one-time, mandatory transition tax. See Note 8 to the Consolidated Financial Statements for more information related to the impacts of enactment of the Act.</w:t>
      </w:r>
    </w:p>
    <w:p>
      <w:pPr>
        <w:spacing w:after="0" w:line="73" w:lineRule="exact"/>
        <w:rPr>
          <w:rFonts w:ascii="Arial" w:cs="Arial" w:eastAsia="Arial" w:hAnsi="Arial"/>
          <w:sz w:val="17"/>
          <w:szCs w:val="17"/>
          <w:color w:val="auto"/>
        </w:rPr>
      </w:pPr>
    </w:p>
    <w:p>
      <w:pPr>
        <w:jc w:val="both"/>
        <w:ind w:left="660" w:hanging="333"/>
        <w:spacing w:after="0" w:line="302" w:lineRule="auto"/>
        <w:tabs>
          <w:tab w:leader="none" w:pos="660"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Investments Qualifying for Federal Tax Credits — </w:t>
      </w:r>
      <w:r>
        <w:rPr>
          <w:rFonts w:ascii="Arial" w:cs="Arial" w:eastAsia="Arial" w:hAnsi="Arial"/>
          <w:sz w:val="16"/>
          <w:szCs w:val="16"/>
          <w:color w:val="auto"/>
        </w:rPr>
        <w:t>Our low-income housing properties and refined coal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reduced our income tax expense by $51 million, $55 million and $57 million, primarily as a result of the tax credits realized from these investments for the years ended December 31, 2017, 2016 and 2015, respectively. Refer to Note 8 to the Consolidated Financial Statements for more information related to these investments.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hanging="333"/>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Other Federal Tax Credits </w:t>
      </w:r>
      <w:r>
        <w:rPr>
          <w:rFonts w:ascii="Arial" w:cs="Arial" w:eastAsia="Arial" w:hAnsi="Arial"/>
          <w:sz w:val="17"/>
          <w:szCs w:val="17"/>
          <w:color w:val="auto"/>
        </w:rPr>
        <w:t>— During 2017, 2016 and 2015, we recognized federal tax credits in addition to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realized from our investments in low-income housing properties and the refined coal facility, resulting in a reduction in our income tax expense of $13 million, $14 million and $15 million, respectively.</w:t>
      </w:r>
    </w:p>
    <w:p>
      <w:pPr>
        <w:spacing w:after="0" w:line="57" w:lineRule="exact"/>
        <w:rPr>
          <w:rFonts w:ascii="Arial" w:cs="Arial" w:eastAsia="Arial" w:hAnsi="Arial"/>
          <w:sz w:val="17"/>
          <w:szCs w:val="17"/>
          <w:color w:val="auto"/>
        </w:rPr>
      </w:pPr>
    </w:p>
    <w:p>
      <w:pPr>
        <w:jc w:val="both"/>
        <w:ind w:left="660" w:hanging="333"/>
        <w:spacing w:after="0" w:line="221" w:lineRule="exact"/>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Equity-Based Compensation — </w:t>
      </w:r>
      <w:r>
        <w:rPr>
          <w:rFonts w:ascii="Arial" w:cs="Arial" w:eastAsia="Arial" w:hAnsi="Arial"/>
          <w:sz w:val="17"/>
          <w:szCs w:val="17"/>
          <w:color w:val="auto"/>
        </w:rPr>
        <w:t>The excess tax benefits related to the vesting or exercise of equity-based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awards reduced our income tax expense by $37 million for the year ended December 31, 2017. See Note 2 to the Consolidated Financial Statements for discussion of our adoption of ASU 2016</w:t>
      </w:r>
      <w:r>
        <w:rPr>
          <w:rFonts w:ascii="MS PGothic" w:cs="MS PGothic" w:eastAsia="MS PGothic" w:hAnsi="MS PGothic"/>
          <w:sz w:val="17"/>
          <w:szCs w:val="17"/>
          <w:color w:val="auto"/>
        </w:rPr>
        <w:t>‑</w:t>
      </w:r>
      <w:r>
        <w:rPr>
          <w:rFonts w:ascii="Arial" w:cs="Arial" w:eastAsia="Arial" w:hAnsi="Arial"/>
          <w:sz w:val="17"/>
          <w:szCs w:val="17"/>
          <w:color w:val="auto"/>
        </w:rPr>
        <w:t>09.</w:t>
      </w:r>
    </w:p>
    <w:p>
      <w:pPr>
        <w:spacing w:after="0" w:line="94" w:lineRule="exact"/>
        <w:rPr>
          <w:rFonts w:ascii="Arial" w:cs="Arial" w:eastAsia="Arial" w:hAnsi="Arial"/>
          <w:sz w:val="17"/>
          <w:szCs w:val="17"/>
          <w:color w:val="auto"/>
        </w:rPr>
      </w:pPr>
    </w:p>
    <w:p>
      <w:pPr>
        <w:jc w:val="both"/>
        <w:ind w:left="660" w:hanging="333"/>
        <w:spacing w:after="0" w:line="25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the reported years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for tax purposes. Had the charges been fully deductible, our income tax expense would have been reduced by $15 million, $15 million and $2 million for the years ended December 31, 2017, 2016 and 2015, respectively. See Note 11 to the Consolidated Financial Statements for more information related to our impairment charges.</w:t>
      </w:r>
    </w:p>
    <w:p>
      <w:pPr>
        <w:spacing w:after="0" w:line="8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State Net Operating Losses and Credits </w:t>
      </w:r>
      <w:r>
        <w:rPr>
          <w:rFonts w:ascii="Arial" w:cs="Arial" w:eastAsia="Arial" w:hAnsi="Arial"/>
          <w:sz w:val="18"/>
          <w:szCs w:val="18"/>
          <w:color w:val="auto"/>
        </w:rPr>
        <w:t>— During 2017, 2016 and 2015, we recognized state net 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credits resulting in a reduction in our income tax expense of $12 million, $10 million and $17 million, respectively.</w:t>
      </w:r>
    </w:p>
    <w:p>
      <w:pPr>
        <w:spacing w:after="0" w:line="73"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Adjustments to Accruals and Related Deferred Taxes </w:t>
      </w:r>
      <w:r>
        <w:rPr>
          <w:rFonts w:ascii="Arial" w:cs="Arial" w:eastAsia="Arial" w:hAnsi="Arial"/>
          <w:sz w:val="16"/>
          <w:szCs w:val="16"/>
          <w:color w:val="auto"/>
        </w:rPr>
        <w:t>– Adjustments to our accruals and related deferred taxes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filing of our income tax returns and changes in state laws resulted in a reduction of $5 million, $10 million and $18 million in our income tax expense for the years ended December 31, 2017, 2016 and 2015, respectively.</w:t>
      </w:r>
    </w:p>
    <w:p>
      <w:pPr>
        <w:spacing w:after="0" w:line="38" w:lineRule="exact"/>
        <w:rPr>
          <w:rFonts w:ascii="Arial" w:cs="Arial" w:eastAsia="Arial" w:hAnsi="Arial"/>
          <w:sz w:val="16"/>
          <w:szCs w:val="16"/>
          <w:color w:val="auto"/>
        </w:rPr>
      </w:pPr>
    </w:p>
    <w:p>
      <w:pPr>
        <w:ind w:left="660" w:hanging="333"/>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Tax Audit Settlements — </w:t>
      </w:r>
      <w:r>
        <w:rPr>
          <w:rFonts w:ascii="Arial" w:cs="Arial" w:eastAsia="Arial" w:hAnsi="Arial"/>
          <w:sz w:val="17"/>
          <w:szCs w:val="17"/>
          <w:color w:val="auto"/>
        </w:rPr>
        <w:t>The settlement of various tax audits resulted in a reduction in our income tax expense of $2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$11 million and $10 million for the years ended December 31, 2017, 2016 and 2015, respectively.</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Based on current tax laws and regulations as modified by the Act effective January 1, 2018, we expect our 2018 recurring effective tax rate will be approximately 26.0% based on projected income before income taxes, federal tax credits and other permanent items. The estimated 2018 rate incorporates the benefit of the reduction in the federal corporate income tax rate to 21%, as well as the impacts of other less material provisions included in the Act.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and Environmental Remediation Discussion and Analysis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owned or operated 244 solid waste and five secure hazardous waste landfills as of December 31, 2017 and 243 solid waste and five secure hazardous waste landfills as of December 31, 2016. For these landfills, the following table reflects changes in capacity, as measured in tons of waste, for the years ended December 31 and remaining capacity, measured in cubic yards of waste, as of December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Remaining</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Expansion</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Remaining</w:t>
            </w: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Expansion</w:t>
            </w: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Permitted</w:t>
            </w:r>
          </w:p>
        </w:tc>
        <w:tc>
          <w:tcPr>
            <w:tcW w:w="8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Permitted</w:t>
            </w:r>
          </w:p>
        </w:tc>
        <w:tc>
          <w:tcPr>
            <w:tcW w:w="94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Capacity</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Capacity</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Capacity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Capacity</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5"/>
              </w:rPr>
              <w:t>Capacity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beginning of year (in tons)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Acquisitions, divestitures, newly permitted landfills and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140"/>
              <w:spacing w:after="0"/>
              <w:rPr>
                <w:sz w:val="20"/>
                <w:szCs w:val="20"/>
                <w:color w:val="auto"/>
              </w:rPr>
            </w:pPr>
            <w:r>
              <w:rPr>
                <w:rFonts w:ascii="Arial" w:cs="Arial" w:eastAsia="Arial" w:hAnsi="Arial"/>
                <w:sz w:val="18"/>
                <w:szCs w:val="18"/>
                <w:color w:val="auto"/>
              </w:rPr>
              <w:t>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expansions pursued (a)</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Expansion permits granted (b)</w:t>
            </w: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Airspace consumed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Changes in engineering estimates and other (c)</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end of year (in tons)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10"/>
        </w:trPr>
        <w:tc>
          <w:tcPr>
            <w:tcW w:w="4480" w:type="dxa"/>
            <w:vAlign w:val="bottom"/>
            <w:gridSpan w:val="2"/>
          </w:tcPr>
          <w:p>
            <w:pPr>
              <w:spacing w:after="0" w:line="203" w:lineRule="exact"/>
              <w:rPr>
                <w:sz w:val="20"/>
                <w:szCs w:val="20"/>
                <w:color w:val="auto"/>
              </w:rPr>
            </w:pPr>
            <w:r>
              <w:rPr>
                <w:rFonts w:ascii="Arial" w:cs="Arial" w:eastAsia="Arial" w:hAnsi="Arial"/>
                <w:sz w:val="18"/>
                <w:szCs w:val="18"/>
                <w:color w:val="auto"/>
              </w:rPr>
              <w:t>Balance as of end of year (in cubic yards)</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4,815</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4,984</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4,787</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312"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 if 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hanging="317"/>
        <w:spacing w:after="0" w:line="264" w:lineRule="auto"/>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received expansion permits at nine of our landfills during 2017 and 13 of our landfills during 2016, demonstrating our continued success in working with municipalities and regulatory agencies to expand the disposal capacity of our existing landfills.</w:t>
      </w:r>
    </w:p>
    <w:p>
      <w:pPr>
        <w:spacing w:after="0" w:line="73" w:lineRule="exact"/>
        <w:rPr>
          <w:rFonts w:ascii="Arial" w:cs="Arial" w:eastAsia="Arial" w:hAnsi="Arial"/>
          <w:sz w:val="18"/>
          <w:szCs w:val="18"/>
          <w:color w:val="auto"/>
        </w:rPr>
      </w:pPr>
    </w:p>
    <w:p>
      <w:pPr>
        <w:jc w:val="both"/>
        <w:ind w:left="320" w:hanging="317"/>
        <w:spacing w:after="0" w:line="270"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may include recirculating landfill leachate where allowed by permit; optimizing the placement of daily cover materials and increasing initial compaction through improved landfill equipment, operations and training.</w:t>
      </w:r>
    </w:p>
    <w:p>
      <w:pPr>
        <w:spacing w:after="0" w:line="18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The tons received at our landfills in 2017 and 2016 are shown below (tons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19"/>
        </w:trPr>
        <w:tc>
          <w:tcPr>
            <w:tcW w:w="2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00" w:type="dxa"/>
            <w:vAlign w:val="bottom"/>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w w:val="94"/>
              </w:rPr>
              <w:t># of</w:t>
            </w:r>
          </w:p>
        </w:tc>
        <w:tc>
          <w:tcPr>
            <w:tcW w:w="7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c>
          <w:tcPr>
            <w:tcW w:w="160" w:type="dxa"/>
            <w:vAlign w:val="bottom"/>
          </w:tcPr>
          <w:p>
            <w:pPr>
              <w:spacing w:after="0"/>
              <w:rPr>
                <w:sz w:val="10"/>
                <w:szCs w:val="10"/>
                <w:color w:val="auto"/>
              </w:rPr>
            </w:pPr>
          </w:p>
        </w:tc>
        <w:tc>
          <w:tcPr>
            <w:tcW w:w="5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Tons per</w:t>
            </w:r>
          </w:p>
        </w:tc>
      </w:t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Sites</w:t>
            </w: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Tons</w:t>
            </w:r>
          </w:p>
        </w:tc>
        <w:tc>
          <w:tcPr>
            <w:tcW w:w="220" w:type="dxa"/>
            <w:vAlign w:val="bottom"/>
          </w:tcPr>
          <w:p>
            <w:pPr>
              <w:spacing w:after="0"/>
              <w:rPr>
                <w:sz w:val="14"/>
                <w:szCs w:val="14"/>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rPr>
              <w:t>Day</w:t>
            </w:r>
          </w:p>
        </w:tc>
        <w:tc>
          <w:tcPr>
            <w:tcW w:w="16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Sites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Tons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Day</w:t>
            </w:r>
          </w:p>
        </w:tc>
      </w:tr>
      <w:tr>
        <w:trPr>
          <w:trHeight w:val="210"/>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Solid waste landfills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112,849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104,913</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Hazardous waste landfills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113,433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105,559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175"/>
        </w:trPr>
        <w:tc>
          <w:tcPr>
            <w:tcW w:w="4720" w:type="dxa"/>
            <w:vAlign w:val="bottom"/>
            <w:gridSpan w:val="2"/>
          </w:tcPr>
          <w:p>
            <w:pPr>
              <w:spacing w:after="0" w:line="176" w:lineRule="exact"/>
              <w:rPr>
                <w:sz w:val="20"/>
                <w:szCs w:val="20"/>
                <w:color w:val="auto"/>
              </w:rPr>
            </w:pPr>
            <w:r>
              <w:rPr>
                <w:rFonts w:ascii="Arial" w:cs="Arial" w:eastAsia="Arial" w:hAnsi="Arial"/>
                <w:sz w:val="18"/>
                <w:szCs w:val="18"/>
                <w:color w:val="auto"/>
              </w:rPr>
              <w:t>Solid waste landfills closed, divested or contract expired</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0"/>
        </w:trPr>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during related year</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113,572</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(b)</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105,559</w:t>
            </w: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(b)</w:t>
            </w: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2017, we acquired two landfills and we closed one landfill.</w:t>
      </w:r>
    </w:p>
    <w:p>
      <w:pPr>
        <w:spacing w:after="0" w:line="117"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amounts include 1.8 million tons and 1.2 million tons as of December 31, 2017 and 2016, respectively,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a landfill we own or operate receives certification of closure from the applicable regulatory agency, we generally transfer the management of the site, including any remediation activities, to our closed sites management group. As of December 31, 2017, our closed sites management group managed 204 closed landfills.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Based on remaining permitted airspace as of December 31, 2017 and projected annual disposal volumes, the weighted average remaining landfill life for all of our owned or operated landfills is approximately 43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disposal prices, construction and operating costs, remaining capacity and likelihood of obtaining an expansion permit. We are seeking expansion permits at 15 of our landfills that meet the expansion criteria outlined in the </w:t>
      </w:r>
      <w:r>
        <w:rPr>
          <w:rFonts w:ascii="Arial" w:cs="Arial" w:eastAsia="Arial" w:hAnsi="Arial"/>
          <w:sz w:val="17"/>
          <w:szCs w:val="17"/>
          <w:i w:val="1"/>
          <w:iCs w:val="1"/>
          <w:color w:val="auto"/>
        </w:rPr>
        <w:t>Critical Accounting Estimates and Assumptions — Landfills</w:t>
      </w:r>
      <w:r>
        <w:rPr>
          <w:rFonts w:ascii="Arial" w:cs="Arial" w:eastAsia="Arial" w:hAnsi="Arial"/>
          <w:sz w:val="17"/>
          <w:szCs w:val="17"/>
          <w:color w:val="auto"/>
        </w:rPr>
        <w:t xml:space="preserve"> section above. Although no assurances can be made that all future expansions will be permitted or permitted as designed, the weighted average remaining landfill life for all owned or operated landfills is approximately 45 years when considering remaining permitted airspace, expansion airspace and projected annual disposal volume.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number of landfills owned or operated as of December 31, 2017, segregated by their estimated operating lives based on remaining permitted and expansion capacity and projected annual disposal volume,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Landfills</w:t>
            </w:r>
          </w:p>
        </w:tc>
        <w:tc>
          <w:tcPr>
            <w:tcW w:w="200" w:type="dxa"/>
            <w:vAlign w:val="bottom"/>
            <w:tcBorders>
              <w:bottom w:val="single" w:sz="8" w:color="CCEEFF"/>
            </w:tcBorders>
          </w:tcPr>
          <w:p>
            <w:pPr>
              <w:spacing w:after="0"/>
              <w:rPr>
                <w:sz w:val="14"/>
                <w:szCs w:val="14"/>
                <w:color w:val="auto"/>
              </w:rPr>
            </w:pP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to 5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6 to 10 years</w:t>
            </w: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to 20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21 to 40 years</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 years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r>
      <w:tr>
        <w:trPr>
          <w:trHeight w:val="217"/>
        </w:trPr>
        <w:tc>
          <w:tcPr>
            <w:tcW w:w="7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r>
              <w:rPr>
                <w:rFonts w:ascii="Arial" w:cs="Arial" w:eastAsia="Arial" w:hAnsi="Arial"/>
                <w:sz w:val="18"/>
                <w:szCs w:val="18"/>
                <w:color w:val="auto"/>
                <w:w w:val="81"/>
              </w:rPr>
              <w:t>(a)</w:t>
            </w:r>
          </w:p>
        </w:tc>
      </w:tr>
      <w:tr>
        <w:trPr>
          <w:trHeight w:val="108"/>
        </w:trPr>
        <w:tc>
          <w:tcPr>
            <w:tcW w:w="2280" w:type="dxa"/>
            <w:vAlign w:val="bottom"/>
            <w:tcBorders>
              <w:bottom w:val="single" w:sz="8" w:color="auto"/>
            </w:tcBorders>
          </w:tcPr>
          <w:p>
            <w:pPr>
              <w:spacing w:after="0"/>
              <w:rPr>
                <w:sz w:val="9"/>
                <w:szCs w:val="9"/>
                <w:color w:val="auto"/>
              </w:rPr>
            </w:pPr>
          </w:p>
        </w:tc>
        <w:tc>
          <w:tcPr>
            <w:tcW w:w="5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 the 249 landfills, 201 are owned, 35 are operated under lease agreements and 13 are operated under other contractual agreements. For the landfills not owned, we are usually responsible for final capping, closure and post-closure obligations.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2017, we have 15 landfills which are not currently accepting waste. During the year ended December 31, 2017, we performed tests of recoverability for seven of these landfills with an aggregate net recorded capitalized landfill asset cost of $282 million, for which the undiscounted expected future cash flows resulting from our probability-weighted estimation approach exceeded the carrying values. We did not perform recoverability tests for the remaining eight landfills as the net recorded capitalized landfill asset cost was immaterial.</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Landfill Assets — </w:t>
      </w:r>
      <w:r>
        <w:rPr>
          <w:rFonts w:ascii="Arial" w:cs="Arial" w:eastAsia="Arial" w:hAnsi="Arial"/>
          <w:sz w:val="16"/>
          <w:szCs w:val="16"/>
          <w:color w:val="auto"/>
        </w:rPr>
        <w:t>We capitalize various costs that we incur to prepare a landfill to accept waste. These costs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to the cost basis of our landfill assets and accumulated landfill airspace amortization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are reflected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Cost Basis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Landfill Airspace</w:t>
            </w:r>
          </w:p>
        </w:tc>
        <w:tc>
          <w:tcPr>
            <w:tcW w:w="2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Landfill Assets</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Landfill Assets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Capital additions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 incurred and capitalized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landfill airspace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retirements and other adjustments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2017, we estimate that we will spend approximately $400 million in 2018, and approximately $1 billion in 2019 and 2020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Landfill and Environmental Remediation Liabilities — </w:t>
      </w:r>
      <w:r>
        <w:rPr>
          <w:rFonts w:ascii="Arial" w:cs="Arial" w:eastAsia="Arial" w:hAnsi="Arial"/>
          <w:sz w:val="16"/>
          <w:szCs w:val="16"/>
          <w:color w:val="auto"/>
        </w:rPr>
        <w:t>As we accept waste at our landfills, we incur significant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obligations, which include liabilities associated with landfill final capping, closure and post-closure activities. These liabilities are accounted for in accordance with authoritative guidance on accounting for asset retirement obligations and are discussed in Note 3 to the Consolidated Financial Statements. We also have liabilities for the remediation of properties that have incurred environmental damage, which generally was caused by operations or for damage caused by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conditions that existed before we acquired operations or a site. We recognize environmental remediation liabilities when we determine that the liability is probable and the estimated cost for the likely remedy can be reasonably estimated.</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2017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2"/>
              </w:rPr>
              <w:t>Environmental</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(i) a net increase of $19 million related to our year-end annual review of landfill final capping, closure and post-closure obligations and (ii) an increase of $12 million primarily for enhancements of our gas and leachate collection systems at certain closed landfills.</w:t>
      </w:r>
    </w:p>
    <w:p>
      <w:pPr>
        <w:spacing w:after="0" w:line="73"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environmental remediation liabilities include $11 million of charges to adjust our subsidiary’s estimated potential share of an environmental remediation liability and related costs for a closed site in Harris County, Texas, as discussed in Note 10 to the Consolidated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Landfill Operating Costs — </w:t>
      </w:r>
      <w:r>
        <w:rPr>
          <w:rFonts w:ascii="Arial" w:cs="Arial" w:eastAsia="Arial" w:hAnsi="Arial"/>
          <w:sz w:val="18"/>
          <w:szCs w:val="18"/>
          <w:color w:val="auto"/>
        </w:rPr>
        <w:t>The following table summarizes our landfill operating costs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r>
      <w:tr>
        <w:trPr>
          <w:trHeight w:val="210"/>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accretion on landfill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w w:val="98"/>
              </w:rPr>
              <w:t>Interest accretion on and discount rate adjustments to environmental remediation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6360" w:type="dxa"/>
            <w:vAlign w:val="bottom"/>
            <w:gridSpan w:val="2"/>
          </w:tcPr>
          <w:p>
            <w:pPr>
              <w:ind w:left="140"/>
              <w:spacing w:after="0"/>
              <w:rPr>
                <w:sz w:val="20"/>
                <w:szCs w:val="20"/>
                <w:color w:val="auto"/>
              </w:rPr>
            </w:pPr>
            <w:r>
              <w:rPr>
                <w:rFonts w:ascii="Arial" w:cs="Arial" w:eastAsia="Arial" w:hAnsi="Arial"/>
                <w:sz w:val="18"/>
                <w:szCs w:val="18"/>
                <w:color w:val="auto"/>
              </w:rPr>
              <w:t>liabilities and recovery assets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Leachate and methane collection and treatment (a)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Landfill remediation costs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landfill site costs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7"/>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Total landfill operating costs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115"/>
        </w:trPr>
        <w:tc>
          <w:tcPr>
            <w:tcW w:w="2280" w:type="dxa"/>
            <w:vAlign w:val="bottom"/>
            <w:tcBorders>
              <w:bottom w:val="single" w:sz="8" w:color="auto"/>
            </w:tcBorders>
          </w:tcPr>
          <w:p>
            <w:pPr>
              <w:spacing w:after="0"/>
              <w:rPr>
                <w:sz w:val="10"/>
                <w:szCs w:val="10"/>
                <w:color w:val="auto"/>
              </w:rPr>
            </w:pPr>
          </w:p>
        </w:tc>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bl>
    <w:p>
      <w:pPr>
        <w:spacing w:after="0" w:line="94" w:lineRule="exact"/>
        <w:rPr>
          <w:sz w:val="20"/>
          <w:szCs w:val="20"/>
          <w:color w:val="auto"/>
        </w:rPr>
      </w:pPr>
    </w:p>
    <w:p>
      <w:pPr>
        <w:jc w:val="both"/>
        <w:ind w:left="320" w:hanging="317"/>
        <w:spacing w:after="0" w:line="286" w:lineRule="auto"/>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Leachate management costs have increased in 2017 and 2016 as compared to 2015 because, in certain parts of the country, we are transporting leachate further in order to reach treatment facilities, the third-party fees charged for treatment of waste water have increased and the volume of leachate being disposed has increased.</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Amortization of Landfill Airspace </w:t>
      </w:r>
      <w:r>
        <w:rPr>
          <w:rFonts w:ascii="Arial" w:cs="Arial" w:eastAsia="Arial" w:hAnsi="Arial"/>
          <w:sz w:val="18"/>
          <w:szCs w:val="18"/>
          <w:color w:val="auto"/>
        </w:rPr>
        <w:t>— Amortization of landfill airspace, which is included as a component of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includes the following:</w:t>
      </w:r>
    </w:p>
    <w:p>
      <w:pPr>
        <w:spacing w:after="0" w:line="6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amortization of landfill capital costs, including (i) costs that have been incurred and capitalized and</w:t>
      </w:r>
    </w:p>
    <w:p>
      <w:pPr>
        <w:spacing w:after="0" w:line="23" w:lineRule="exact"/>
        <w:rPr>
          <w:sz w:val="20"/>
          <w:szCs w:val="20"/>
          <w:color w:val="auto"/>
        </w:rPr>
      </w:pPr>
    </w:p>
    <w:p>
      <w:pPr>
        <w:ind w:left="660" w:hanging="9"/>
        <w:spacing w:after="0" w:line="261" w:lineRule="auto"/>
        <w:tabs>
          <w:tab w:leader="none" w:pos="965" w:val="left"/>
        </w:tabs>
        <w:numPr>
          <w:ilvl w:val="1"/>
          <w:numId w:val="62"/>
        </w:numPr>
        <w:rPr>
          <w:rFonts w:ascii="Arial" w:cs="Arial" w:eastAsia="Arial" w:hAnsi="Arial"/>
          <w:sz w:val="18"/>
          <w:szCs w:val="18"/>
          <w:color w:val="auto"/>
        </w:rPr>
      </w:pPr>
      <w:r>
        <w:rPr>
          <w:rFonts w:ascii="Arial" w:cs="Arial" w:eastAsia="Arial" w:hAnsi="Arial"/>
          <w:sz w:val="18"/>
          <w:szCs w:val="18"/>
          <w:color w:val="auto"/>
        </w:rPr>
        <w:t>estimated future costs for landfill development and construction required to develop our landfills to their remaining permitted and expansion airspace; and</w:t>
      </w:r>
    </w:p>
    <w:p>
      <w:pPr>
        <w:spacing w:after="0" w:line="75"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amortization of asset retirement costs arising from landfill final capping, closure and post-closure obligations, including (i) costs that have been incurred and capitalized and (ii) projected asset retirement costs.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and are, therefore, amortized on a per-ton basis using each discrete final capping event’s estimated airspace capacity.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each landfill has multiple per-ton amortization rates.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landfill airspace amortization expense on a per-ton basis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landfill airspace (in millions)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Tons received, net of redirected waste (in millions)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landfill airspace amortization expense per ton</w:t>
            </w:r>
          </w:p>
        </w:tc>
        <w:tc>
          <w:tcPr>
            <w:tcW w:w="1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Different per-ton amortization rates are applied at each of our 249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w:t>
      </w:r>
    </w:p>
    <w:p>
      <w:pPr>
        <w:jc w:val="both"/>
        <w:ind w:firstLine="3"/>
        <w:spacing w:after="0" w:line="255" w:lineRule="auto"/>
        <w:tabs>
          <w:tab w:leader="none" w:pos="2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differences in the cost basis of landfills that we develop versus those that we acquire. Accordingly, our landfill airspace amortization expense measured on a per-ton basis can fluctuate due to changes in the mix of volumes we receive across the Company each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 (iii) construction, refurbishments and improvements at our MRFs;</w:t>
      </w:r>
    </w:p>
    <w:p>
      <w:pPr>
        <w:spacing w:after="0" w:line="2" w:lineRule="exact"/>
        <w:rPr>
          <w:sz w:val="20"/>
          <w:szCs w:val="20"/>
          <w:color w:val="auto"/>
        </w:rPr>
      </w:pPr>
    </w:p>
    <w:p>
      <w:pPr>
        <w:ind w:left="300" w:hanging="297"/>
        <w:spacing w:after="0"/>
        <w:tabs>
          <w:tab w:leader="none" w:pos="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container and equipment needs of our operations; (v) final capping, closure and post-closure activities at our landfills;</w:t>
      </w:r>
    </w:p>
    <w:p>
      <w:pPr>
        <w:spacing w:after="0" w:line="32" w:lineRule="exact"/>
        <w:rPr>
          <w:rFonts w:ascii="Arial" w:cs="Arial" w:eastAsia="Arial" w:hAnsi="Arial"/>
          <w:sz w:val="16"/>
          <w:szCs w:val="16"/>
          <w:color w:val="auto"/>
        </w:rPr>
      </w:pPr>
    </w:p>
    <w:p>
      <w:pPr>
        <w:jc w:val="both"/>
        <w:ind w:firstLine="3"/>
        <w:spacing w:after="0" w:line="254" w:lineRule="auto"/>
        <w:tabs>
          <w:tab w:leader="none" w:pos="3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repayment of debt, payment of interest and discharging of other obligations and (vii) capital expenditures, acquisitions and investments in assets that support our strategy of continuous improvement through efficiency and innovation. We also are committed to providing our shareholders with a return on their investment through dividend payments and our common stock repurchase program.</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6280" w:type="dxa"/>
            <w:vAlign w:val="bottom"/>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9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7"/>
        </w:trPr>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r>
      <w:tr>
        <w:trPr>
          <w:trHeight w:val="217"/>
        </w:trPr>
        <w:tc>
          <w:tcPr>
            <w:tcW w:w="628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long-term borrowings in addition to the cash we generate from operations as part of our overall financial strategy to support and grow our business. We primarily use senior notes and tax-exempt bonds to borrow on a long-term basis, but we also use other instruments and facilities, when appropriate. The components of our borrowings as of December 31, 2017 are described in Note 7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Changes in our outstanding debt balances from December 31, 2016 to December 31, 2017 were primarily attributable to</w:t>
      </w:r>
    </w:p>
    <w:p>
      <w:pPr>
        <w:spacing w:after="0" w:line="46" w:lineRule="exact"/>
        <w:rPr>
          <w:sz w:val="20"/>
          <w:szCs w:val="20"/>
          <w:color w:val="auto"/>
        </w:rPr>
      </w:pPr>
    </w:p>
    <w:p>
      <w:pPr>
        <w:ind w:firstLine="3"/>
        <w:spacing w:after="0" w:line="261"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 debt borrowings of $172 million and (ii) the impacts of other non-cash changes in our debt balances due to debt issuance costs, discounts, premiums, foreign currency translation and terminated interest rate derivatives.</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the current portion of our long-term debt balance of $739 million includes (i) $515 million of short-term borrowings under our commercial paper program and (ii) $224 million of other debt with scheduled maturities within the next 12 months, including $167 million of tax-exempt bonds.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$831 million of tax-exempt bonds with term interest rate periods that expire within the next 12 months and an additional $328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Accordingly, we have classified these borrowings as long-term in our Consolidated Balance Sheet as of December 31, 2017.</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credit facilities in place to support our liquidity and financial assurance needs. The following table summarizes our outstanding letters of credit, categorized by type of facility as of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1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$2.25 billion revolving credit facility (a)</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letter of credit facilities (b)</w:t>
            </w:r>
          </w:p>
        </w:tc>
        <w:tc>
          <w:tcPr>
            <w:tcW w:w="2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17"/>
        </w:trPr>
        <w:tc>
          <w:tcPr>
            <w:tcW w:w="228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108"/>
        </w:trPr>
        <w:tc>
          <w:tcPr>
            <w:tcW w:w="228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December 31, 2017, we had no outstanding borrowings under our $2.25 billion revolving credit facility maturing July 2020. We had $642 million of letters of credit issued and $515 million of outstanding borrowings under our commercial paper program, both supported by this facility, leaving an unused and available credit capacity of $1,093 million as of December 31, 2017.</w:t>
      </w:r>
    </w:p>
    <w:p>
      <w:pPr>
        <w:spacing w:after="0" w:line="7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December 31, 2017, we had utilized $507 million of other letter of credit facilities, which are both committed and uncommitted, with terms extending through December 2018.</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r>
      <w:tr>
        <w:trPr>
          <w:trHeight w:val="230"/>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r>
      <w:tr>
        <w:trPr>
          <w:trHeight w:val="210"/>
        </w:trPr>
        <w:tc>
          <w:tcPr>
            <w:tcW w:w="626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(1,608)</w:t>
            </w:r>
          </w:p>
        </w:tc>
      </w:tr>
      <w:tr>
        <w:trPr>
          <w:trHeight w:val="223"/>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115"/>
        </w:trPr>
        <w:tc>
          <w:tcPr>
            <w:tcW w:w="228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w:t>
      </w:r>
      <w:r>
        <w:rPr>
          <w:rFonts w:ascii="MS PGothic" w:cs="MS PGothic" w:eastAsia="MS PGothic" w:hAnsi="MS PGothic"/>
          <w:sz w:val="18"/>
          <w:szCs w:val="18"/>
          <w:color w:val="auto"/>
        </w:rPr>
        <w:t>‑</w:t>
      </w:r>
      <w:r>
        <w:rPr>
          <w:rFonts w:ascii="Arial" w:cs="Arial" w:eastAsia="Arial" w:hAnsi="Arial"/>
          <w:sz w:val="18"/>
          <w:szCs w:val="18"/>
          <w:color w:val="auto"/>
        </w:rPr>
        <w:t>09 and conform to our current year presentation. See Note 2 to the Consolidated Financial Statements for further discussion.</w:t>
      </w:r>
    </w:p>
    <w:p>
      <w:pPr>
        <w:spacing w:after="0" w:line="2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most significant items affecting the comparison of our operating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in 2017 as compared with 2016 are summarized below:</w:t>
      </w:r>
    </w:p>
    <w:p>
      <w:pPr>
        <w:spacing w:after="0" w:line="62" w:lineRule="exact"/>
        <w:rPr>
          <w:sz w:val="20"/>
          <w:szCs w:val="20"/>
          <w:color w:val="auto"/>
        </w:rPr>
      </w:pPr>
    </w:p>
    <w:p>
      <w:pPr>
        <w:jc w:val="both"/>
        <w:ind w:left="660" w:hanging="333"/>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 </w:t>
      </w:r>
      <w:r>
        <w:rPr>
          <w:rFonts w:ascii="Arial" w:cs="Arial" w:eastAsia="Arial" w:hAnsi="Arial"/>
          <w:sz w:val="18"/>
          <w:szCs w:val="18"/>
          <w:color w:val="auto"/>
        </w:rPr>
        <w:t>Our income from operations, excluding depreciation and amortization, and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and unusual items, increased by $287 million in 2017, principally driven by higher earnings from our Traditional Solid Waste and recycling businesses.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Income Tax Payments — </w:t>
      </w:r>
      <w:r>
        <w:rPr>
          <w:rFonts w:ascii="Arial" w:cs="Arial" w:eastAsia="Arial" w:hAnsi="Arial"/>
          <w:sz w:val="18"/>
          <w:szCs w:val="18"/>
          <w:color w:val="auto"/>
        </w:rPr>
        <w:t>Cash paid for income taxes was $120 million higher in 2017, largely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higher earnings and timing of income tax payments.</w:t>
      </w:r>
    </w:p>
    <w:p>
      <w:pPr>
        <w:spacing w:after="0" w:line="62"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Cross-Currency Swaps </w:t>
      </w:r>
      <w:r>
        <w:rPr>
          <w:rFonts w:ascii="Arial" w:cs="Arial" w:eastAsia="Arial" w:hAnsi="Arial"/>
          <w:sz w:val="16"/>
          <w:szCs w:val="16"/>
          <w:color w:val="auto"/>
        </w:rPr>
        <w:t>— During 2016, we terminated our cross-currency swaps associated with the anticipated</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flows of intercompany loans between WM Holdings and its wholly-owned Canadian subsidiaries, as discussed further in Note 7 to the Consolidated Financial Statements. In connection with the termination, we received cash proceeds of $67 million, which were classified as a change in other current assets and other assets.</w:t>
      </w:r>
    </w:p>
    <w:p>
      <w:pPr>
        <w:spacing w:after="0" w:line="46" w:lineRule="exact"/>
        <w:rPr>
          <w:rFonts w:ascii="Arial" w:cs="Arial" w:eastAsia="Arial" w:hAnsi="Arial"/>
          <w:sz w:val="16"/>
          <w:szCs w:val="16"/>
          <w:color w:val="auto"/>
        </w:rPr>
      </w:pPr>
    </w:p>
    <w:p>
      <w:pPr>
        <w:jc w:val="both"/>
        <w:ind w:left="660" w:hanging="333"/>
        <w:spacing w:after="0" w:line="31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Increase in Annual Incentive Plan Cash Payments — </w:t>
      </w:r>
      <w:r>
        <w:rPr>
          <w:rFonts w:ascii="Arial" w:cs="Arial" w:eastAsia="Arial" w:hAnsi="Arial"/>
          <w:sz w:val="16"/>
          <w:szCs w:val="16"/>
          <w:color w:val="auto"/>
        </w:rPr>
        <w:t>Payments for our annual incentive plans are typically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quarter of the year based on prior year performance. Our net cash flow from operating activities was unfavorably impacted by $41 million due to higher annual incentive plan cash payments made in 2017.</w:t>
      </w:r>
    </w:p>
    <w:p>
      <w:pPr>
        <w:spacing w:after="0" w:line="38" w:lineRule="exact"/>
        <w:rPr>
          <w:rFonts w:ascii="Arial" w:cs="Arial" w:eastAsia="Arial" w:hAnsi="Arial"/>
          <w:sz w:val="16"/>
          <w:szCs w:val="16"/>
          <w:color w:val="auto"/>
        </w:rPr>
      </w:pPr>
    </w:p>
    <w:p>
      <w:pPr>
        <w:ind w:left="660" w:hanging="333"/>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Changes in Assets and Liabilities, Net of Effects of Acquisitions and Divestitures — </w:t>
      </w:r>
      <w:r>
        <w:rPr>
          <w:rFonts w:ascii="Arial" w:cs="Arial" w:eastAsia="Arial" w:hAnsi="Arial"/>
          <w:sz w:val="16"/>
          <w:szCs w:val="16"/>
          <w:color w:val="auto"/>
        </w:rPr>
        <w:t>Our net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was favorably impacted by changes in assets and liabilities, exclusive of the items noted above.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most significant items affecting the comparison of our operating cash flows in 2016 as compared with 2015 are summarized below:</w:t>
      </w:r>
    </w:p>
    <w:p>
      <w:pPr>
        <w:spacing w:after="0" w:line="62" w:lineRule="exact"/>
        <w:rPr>
          <w:sz w:val="20"/>
          <w:szCs w:val="20"/>
          <w:color w:val="auto"/>
        </w:rPr>
      </w:pPr>
    </w:p>
    <w:p>
      <w:pPr>
        <w:jc w:val="both"/>
        <w:ind w:left="660" w:hanging="333"/>
        <w:spacing w:after="0" w:line="259"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 </w:t>
      </w:r>
      <w:r>
        <w:rPr>
          <w:rFonts w:ascii="Arial" w:cs="Arial" w:eastAsia="Arial" w:hAnsi="Arial"/>
          <w:sz w:val="18"/>
          <w:szCs w:val="18"/>
          <w:color w:val="auto"/>
        </w:rPr>
        <w:t>Our income from operations, excluding depreciation and amortization, and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and unusual items, increased by $337 million, principally driven by higher earnings from our Traditional Solid Waste and recycling businesses. Our 2015 results included $51 million of charges for the withdrawal from certain underfunded Multiemployer Pension Plans.</w:t>
      </w:r>
    </w:p>
    <w:p>
      <w:pPr>
        <w:spacing w:after="0" w:line="78"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Cross-Currency Swaps </w:t>
      </w:r>
      <w:r>
        <w:rPr>
          <w:rFonts w:ascii="Arial" w:cs="Arial" w:eastAsia="Arial" w:hAnsi="Arial"/>
          <w:sz w:val="18"/>
          <w:szCs w:val="18"/>
          <w:color w:val="auto"/>
        </w:rPr>
        <w:t>— During 2016, we terminated our cross-currency swaps and received cash proceeds of $67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were classified as a change in other current assets and other assets.</w:t>
      </w:r>
    </w:p>
    <w:p>
      <w:pPr>
        <w:spacing w:after="0" w:line="62"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Decrease in Annual Incentive Plan Cash Payments — </w:t>
      </w:r>
      <w:r>
        <w:rPr>
          <w:rFonts w:ascii="Arial" w:cs="Arial" w:eastAsia="Arial" w:hAnsi="Arial"/>
          <w:sz w:val="18"/>
          <w:szCs w:val="18"/>
          <w:color w:val="auto"/>
        </w:rPr>
        <w:t>Our net cash provided by operating activities was 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$46 million as the annual incentive cash payments made in 2016 were lower than the cash payments made in 2015.</w:t>
      </w:r>
    </w:p>
    <w:p>
      <w:pPr>
        <w:spacing w:after="0" w:line="7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Multiemployer Pension Plan Settlements — </w:t>
      </w:r>
      <w:r>
        <w:rPr>
          <w:rFonts w:ascii="Arial" w:cs="Arial" w:eastAsia="Arial" w:hAnsi="Arial"/>
          <w:sz w:val="18"/>
          <w:szCs w:val="18"/>
          <w:color w:val="auto"/>
        </w:rPr>
        <w:t>In 2015, we paid approximately $60 million for the withdrawal from</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underfunded Multiemployer Pension Plans.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Income Tax Payments </w:t>
      </w:r>
      <w:r>
        <w:rPr>
          <w:rFonts w:ascii="Arial" w:cs="Arial" w:eastAsia="Arial" w:hAnsi="Arial"/>
          <w:sz w:val="18"/>
          <w:szCs w:val="18"/>
          <w:color w:val="auto"/>
        </w:rPr>
        <w:t>— Cash paid for income taxes was $23 million higher largely driven by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in 2016.</w:t>
      </w:r>
    </w:p>
    <w:p>
      <w:pPr>
        <w:spacing w:after="0" w:line="62"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Changes in Assets and Liabilities, Net of Effects of Acquisitions and Divestitures — </w:t>
      </w:r>
      <w:r>
        <w:rPr>
          <w:rFonts w:ascii="Arial" w:cs="Arial" w:eastAsia="Arial" w:hAnsi="Arial"/>
          <w:sz w:val="16"/>
          <w:szCs w:val="16"/>
          <w:color w:val="auto"/>
        </w:rPr>
        <w:t>Our net cash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activities was favorably impacted by changes in assets and liabilities, exclusive of the items noted above.</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affecting the comparison of our investing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periods presented are summarized below:</w:t>
      </w:r>
    </w:p>
    <w:p>
      <w:pPr>
        <w:spacing w:after="0" w:line="62" w:lineRule="exact"/>
        <w:rPr>
          <w:sz w:val="20"/>
          <w:szCs w:val="20"/>
          <w:color w:val="auto"/>
        </w:rPr>
      </w:pPr>
    </w:p>
    <w:p>
      <w:pPr>
        <w:jc w:val="both"/>
        <w:ind w:left="660" w:hanging="333"/>
        <w:spacing w:after="0" w:line="25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$1,509 million, $1,339 million and $1,233 million for capital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2016 and 2015, respectively. The Company continues to maintain a disciplined focus on capital management and fluctuations in our capital expenditures are a result of new business opportunities, growth in our existing business, the timing of replacement of aging assets and investment in assets that support our strategy of continuous improvement through efficiency and innovation.</w:t>
      </w:r>
    </w:p>
    <w:p>
      <w:pPr>
        <w:spacing w:after="0" w:line="80" w:lineRule="exact"/>
        <w:rPr>
          <w:rFonts w:ascii="Arial" w:cs="Arial" w:eastAsia="Arial" w:hAnsi="Arial"/>
          <w:sz w:val="18"/>
          <w:szCs w:val="18"/>
          <w:color w:val="auto"/>
        </w:rPr>
      </w:pPr>
    </w:p>
    <w:p>
      <w:pPr>
        <w:jc w:val="both"/>
        <w:ind w:left="660" w:hanging="333"/>
        <w:spacing w:after="0" w:line="291"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Net Receipts from Restricted Funds — </w:t>
      </w:r>
      <w:r>
        <w:rPr>
          <w:rFonts w:ascii="Arial" w:cs="Arial" w:eastAsia="Arial" w:hAnsi="Arial"/>
          <w:sz w:val="16"/>
          <w:szCs w:val="16"/>
          <w:color w:val="auto"/>
        </w:rPr>
        <w:t>Net cash received in 2017 from our restricted trust and escrow accounts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$243 million primarily relates to $172 million of cash received from tax-exempt bond trust funds and $75 million for reimbursement of insurance claims from a wholly-owned insurance captive. The tax-exempt bond trust funds received during 2017 relate to two issuances, for which the cash proceeds from the issuances are recognized as an investing cash inflow as qualifying capital expenditures are reimbursed from the trust fund. These activities were treated as a non-cash financing activity when borrowed. See Notes 3 and 7 to the Consolidated Financial Statements for additional information related to these restricted trust and escrow accounts.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cash received in 2015 from our restricted trust and escrow accounts of $51 million relates to our replacement of funded trust and escrow accounts with alternative forms of financial assurance.</w:t>
      </w:r>
    </w:p>
    <w:p>
      <w:pPr>
        <w:spacing w:after="0" w:line="62" w:lineRule="exact"/>
        <w:rPr>
          <w:sz w:val="20"/>
          <w:szCs w:val="20"/>
          <w:color w:val="auto"/>
        </w:rPr>
      </w:pPr>
    </w:p>
    <w:p>
      <w:pPr>
        <w:jc w:val="both"/>
        <w:ind w:left="660" w:hanging="333"/>
        <w:spacing w:after="0" w:line="271"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Our spending on acquisitions was $200 million, $611 million and $554 million in 2017,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2015, respectively. Our 2017 acquisitions related to our Solid Waste business. In 2016, $525 million of our spending on acquisitions was for certain operations and business assets of SWS. The remainder of our 2016 acquisition spending primarily related to our Solid Waste business. In 2015, $400 million of our spending on acquisitions was for the collection and disposal operations of Deffenbaugh. The remainder of our 2015 acquisition spending primarily related to our Solid Waste business. See Note 17 to the Consolidated Financial Statements for additional information related to our acquisitions. We continue to focus on accretive acquisitions and growth opportunities that will enhance and expand our existing service offerings.</w:t>
      </w:r>
    </w:p>
    <w:p>
      <w:pPr>
        <w:spacing w:after="0" w:line="70" w:lineRule="exact"/>
        <w:rPr>
          <w:rFonts w:ascii="Arial" w:cs="Arial" w:eastAsia="Arial" w:hAnsi="Arial"/>
          <w:sz w:val="17"/>
          <w:szCs w:val="17"/>
          <w:color w:val="auto"/>
        </w:rPr>
      </w:pPr>
    </w:p>
    <w:p>
      <w:pPr>
        <w:jc w:val="both"/>
        <w:ind w:left="660" w:hanging="333"/>
        <w:spacing w:after="0" w:line="25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Divestitures — </w:t>
      </w:r>
      <w:r>
        <w:rPr>
          <w:rFonts w:ascii="Arial" w:cs="Arial" w:eastAsia="Arial" w:hAnsi="Arial"/>
          <w:sz w:val="18"/>
          <w:szCs w:val="18"/>
          <w:color w:val="auto"/>
        </w:rPr>
        <w:t>Proceeds from divestitures of businesses and other assets (net of cash divested) were</w:t>
      </w:r>
      <w:r>
        <w:rPr>
          <w:rFonts w:ascii="Arial" w:cs="Arial" w:eastAsia="Arial" w:hAnsi="Arial"/>
          <w:sz w:val="18"/>
          <w:szCs w:val="18"/>
          <w:i w:val="1"/>
          <w:iCs w:val="1"/>
          <w:color w:val="auto"/>
        </w:rPr>
        <w:t xml:space="preserve"> </w:t>
      </w:r>
      <w:r>
        <w:rPr>
          <w:rFonts w:ascii="Arial" w:cs="Arial" w:eastAsia="Arial" w:hAnsi="Arial"/>
          <w:sz w:val="18"/>
          <w:szCs w:val="18"/>
          <w:color w:val="auto"/>
        </w:rPr>
        <w:t>$99 million in 2017, $43 million in 2016 and $145 million in 2015. In 2017, 2016 and 2015, $62 million, $2 million and $79 million of these divestitures, respectively, were made as part of our continuous focus on improving or divesting certain non-strategic or underperforming operations, with the remaining amounts generally related to the sale of fixed assets.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periods presented are summarized below:</w:t>
      </w:r>
    </w:p>
    <w:p>
      <w:pPr>
        <w:spacing w:after="0" w:line="62" w:lineRule="exact"/>
        <w:rPr>
          <w:sz w:val="20"/>
          <w:szCs w:val="20"/>
          <w:color w:val="auto"/>
        </w:rPr>
      </w:pPr>
    </w:p>
    <w:p>
      <w:pPr>
        <w:ind w:left="580" w:hanging="321"/>
        <w:spacing w:after="0" w:line="308" w:lineRule="auto"/>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Debt Borrowings (Repayments) — </w:t>
      </w:r>
      <w:r>
        <w:rPr>
          <w:rFonts w:ascii="Arial" w:cs="Arial" w:eastAsia="Arial" w:hAnsi="Arial"/>
          <w:sz w:val="17"/>
          <w:szCs w:val="17"/>
          <w:color w:val="auto"/>
        </w:rPr>
        <w:t>The following summarizes our cash borrowings and repayments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our commercial paper program discussed below) for the years ended December 31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$2.25 billion revolving credit facility</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4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10"/>
        </w:trPr>
        <w:tc>
          <w:tcPr>
            <w:tcW w:w="4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10"/>
        </w:trPr>
        <w:tc>
          <w:tcPr>
            <w:tcW w:w="428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$2.25 billion revolving credit facility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(1,970)</w:t>
            </w: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Tax-exempt bonds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10"/>
        </w:trPr>
        <w:tc>
          <w:tcPr>
            <w:tcW w:w="42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(1,907)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(2,764)</w:t>
            </w:r>
          </w:p>
        </w:tc>
      </w:tr>
      <w:tr>
        <w:trPr>
          <w:trHeight w:val="217"/>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cash borrowings (repayments)</w:t>
            </w: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During 2017, we had $452 million of non-cash financing activities due to the initial funding of a wholly-owned insurance captive and tax-exempt bond borrowings. During 2016 and 2015, we did not have any significant non-cash investing and financing activities. Non-cash investing and financing activities are generally excluded from the Consolidated Statements of Cash Flows.</w:t>
      </w:r>
    </w:p>
    <w:p>
      <w:pPr>
        <w:spacing w:after="0" w:line="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Refer to Note 7 to the Consolidated Financial Statements for additional information related to our debt borrowings and repayments.</w:t>
      </w:r>
    </w:p>
    <w:p>
      <w:pPr>
        <w:spacing w:after="0" w:line="62" w:lineRule="exact"/>
        <w:rPr>
          <w:sz w:val="20"/>
          <w:szCs w:val="20"/>
          <w:color w:val="auto"/>
        </w:rPr>
      </w:pPr>
    </w:p>
    <w:p>
      <w:pPr>
        <w:jc w:val="both"/>
        <w:ind w:left="660" w:hanging="333"/>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2017, we had net cash borrowings of $513 million (net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on issuance) under our commercial paper program. Refer to Note 7 to the Consolidated Financial Statements for additional information related to our commercial paper program.</w:t>
      </w:r>
    </w:p>
    <w:p>
      <w:pPr>
        <w:spacing w:after="0" w:line="7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For the periods presented, all share repurchases have been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financial plans approved by our Board of Directors.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We paid $750 million, $725 million and $600 million for common stock repurchases during 2017, 2016 and 2015, respectively. See Note 13 to the Consolidated Financial Statements for additional information.</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We announced in December 2017 that the Board of Directors has authorized up to $1.25 billion in future share repurchases. Any future share repurchases will be made at the discretion of management and will depend on factors similar to those considered by the Board of Directors in making dividend declarations.</w:t>
      </w:r>
    </w:p>
    <w:p>
      <w:pPr>
        <w:spacing w:after="0" w:line="73" w:lineRule="exact"/>
        <w:rPr>
          <w:sz w:val="20"/>
          <w:szCs w:val="20"/>
          <w:color w:val="auto"/>
        </w:rPr>
      </w:pPr>
    </w:p>
    <w:p>
      <w:pPr>
        <w:ind w:left="660" w:hanging="333"/>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8"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We paid aggregate cash dividends of $750 million, $726 million and $695 million during 2017, 2016 and 2015, respectively. The increase in dividend payments is due to our quarterly per share dividend increasing from $0.385 in 2015 to $0.41 in 2016 and to $0.425 in 2017 and has been offset, in part, by a reduction in our common stock outstanding as a result of our common stock repurchase program.</w:t>
      </w:r>
    </w:p>
    <w:p>
      <w:pPr>
        <w:spacing w:after="0" w:line="78"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In December 2017, we announced that our Board of Directors expects to increase the quarterly dividend from $0.425 to $0.465 per share for dividends declared in 2018.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63" w:lineRule="exact"/>
        <w:rPr>
          <w:rFonts w:ascii="Arial" w:cs="Arial" w:eastAsia="Arial" w:hAnsi="Arial"/>
          <w:sz w:val="17"/>
          <w:szCs w:val="17"/>
          <w:color w:val="auto"/>
        </w:rPr>
      </w:pPr>
    </w:p>
    <w:p>
      <w:pPr>
        <w:jc w:val="both"/>
        <w:ind w:left="660" w:hanging="333"/>
        <w:spacing w:after="0" w:line="312"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 xml:space="preserve">Proceeds from the Exercise of Common Stock Options — </w:t>
      </w:r>
      <w:r>
        <w:rPr>
          <w:rFonts w:ascii="Arial" w:cs="Arial" w:eastAsia="Arial" w:hAnsi="Arial"/>
          <w:sz w:val="16"/>
          <w:szCs w:val="16"/>
          <w:color w:val="auto"/>
        </w:rPr>
        <w:t>The exercise of common stock options generated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inflows of $95 million, $63 million and $77 million during 2017, 2016 and 2015, respectively. The year-over-year changes are generally due to the number of stock options exercised and the exercise price of those options.</w:t>
      </w:r>
    </w:p>
    <w:p>
      <w:pPr>
        <w:spacing w:after="0" w:line="38" w:lineRule="exact"/>
        <w:rPr>
          <w:rFonts w:ascii="Arial" w:cs="Arial" w:eastAsia="Arial" w:hAnsi="Arial"/>
          <w:sz w:val="16"/>
          <w:szCs w:val="16"/>
          <w:color w:val="auto"/>
        </w:rPr>
      </w:pPr>
    </w:p>
    <w:p>
      <w:pPr>
        <w:jc w:val="both"/>
        <w:ind w:left="660" w:hanging="333"/>
        <w:spacing w:after="0" w:line="276"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Premiums Paid on Early Extinguishment of Debt — </w:t>
      </w:r>
      <w:r>
        <w:rPr>
          <w:rFonts w:ascii="Arial" w:cs="Arial" w:eastAsia="Arial" w:hAnsi="Arial"/>
          <w:sz w:val="17"/>
          <w:szCs w:val="17"/>
          <w:color w:val="auto"/>
        </w:rPr>
        <w:t>Premiums paid on early extinguishment of debt were</w:t>
      </w:r>
      <w:r>
        <w:rPr>
          <w:rFonts w:ascii="Arial" w:cs="Arial" w:eastAsia="Arial" w:hAnsi="Arial"/>
          <w:sz w:val="17"/>
          <w:szCs w:val="17"/>
          <w:i w:val="1"/>
          <w:iCs w:val="1"/>
          <w:color w:val="auto"/>
        </w:rPr>
        <w:t xml:space="preserve"> </w:t>
      </w:r>
      <w:r>
        <w:rPr>
          <w:rFonts w:ascii="Arial" w:cs="Arial" w:eastAsia="Arial" w:hAnsi="Arial"/>
          <w:sz w:val="17"/>
          <w:szCs w:val="17"/>
          <w:color w:val="auto"/>
        </w:rPr>
        <w:t>$8 million, $2 million and $555 million in 2017, 2016 and 2015, respectively. The amount for 2015 was primarily related to (i) make-whole premiums paid on certain senior notes that the Company decided to redeem in advance of their scheduled maturities and (ii) premiums paid to tender certain high-coupon senior notes. See Note 7 to the Consolidated Financial Statements for further discussion of these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anticipated effect of these obligations on our liquidity in future years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Recorded Obligations: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5"/>
              <w:spacing w:after="0"/>
              <w:rPr>
                <w:sz w:val="20"/>
                <w:szCs w:val="20"/>
                <w:color w:val="auto"/>
              </w:rPr>
            </w:pPr>
            <w:r>
              <w:rPr>
                <w:rFonts w:ascii="Arial" w:cs="Arial" w:eastAsia="Arial" w:hAnsi="Arial"/>
                <w:sz w:val="17"/>
                <w:szCs w:val="17"/>
                <w:b w:val="1"/>
                <w:bCs w:val="1"/>
                <w:color w:val="auto"/>
                <w:w w:val="95"/>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55"/>
              <w:spacing w:after="0"/>
              <w:rPr>
                <w:sz w:val="20"/>
                <w:szCs w:val="20"/>
                <w:color w:val="auto"/>
              </w:rPr>
            </w:pPr>
            <w:r>
              <w:rPr>
                <w:rFonts w:ascii="Arial" w:cs="Arial" w:eastAsia="Arial" w:hAnsi="Arial"/>
                <w:sz w:val="17"/>
                <w:szCs w:val="17"/>
                <w:b w:val="1"/>
                <w:bCs w:val="1"/>
                <w:color w:val="auto"/>
                <w:w w:val="95"/>
              </w:rPr>
              <w:t>2022</w:t>
            </w:r>
          </w:p>
        </w:tc>
        <w:tc>
          <w:tcPr>
            <w:tcW w:w="960" w:type="dxa"/>
            <w:vAlign w:val="bottom"/>
            <w:gridSpan w:val="4"/>
          </w:tcPr>
          <w:p>
            <w:pPr>
              <w:ind w:left="80"/>
              <w:spacing w:after="0"/>
              <w:rPr>
                <w:sz w:val="20"/>
                <w:szCs w:val="20"/>
                <w:color w:val="auto"/>
              </w:rPr>
            </w:pPr>
            <w:r>
              <w:rPr>
                <w:rFonts w:ascii="Arial" w:cs="Arial" w:eastAsia="Arial" w:hAnsi="Arial"/>
                <w:sz w:val="17"/>
                <w:szCs w:val="17"/>
                <w:b w:val="1"/>
                <w:bCs w:val="1"/>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94"/>
        </w:trPr>
        <w:tc>
          <w:tcPr>
            <w:tcW w:w="3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environmental liabilities: (a)</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rPr>
              <w:t>Final capping, closure and post-closure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128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178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177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125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103</w:t>
            </w:r>
          </w:p>
        </w:tc>
        <w:tc>
          <w:tcPr>
            <w:tcW w:w="2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2,549</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Environmental remediation</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3,511</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payments (b) (c) (d)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9,601</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b w:val="1"/>
                <w:bCs w:val="1"/>
                <w:color w:val="auto"/>
              </w:rPr>
              <w:t>Unrecorded Obligations: (e)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 (f)</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3,690</w:t>
            </w: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rPr>
                <w:sz w:val="20"/>
                <w:szCs w:val="20"/>
                <w:color w:val="auto"/>
              </w:rPr>
            </w:pPr>
            <w:r>
              <w:rPr>
                <w:rFonts w:ascii="Arial" w:cs="Arial" w:eastAsia="Arial" w:hAnsi="Arial"/>
                <w:sz w:val="17"/>
                <w:szCs w:val="17"/>
                <w:color w:val="auto"/>
              </w:rPr>
              <w:t>Non-cancelable operating lease obligations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unconditional purchase obligations (g)</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203"/>
        </w:trPr>
        <w:tc>
          <w:tcPr>
            <w:tcW w:w="3900" w:type="dxa"/>
            <w:vAlign w:val="bottom"/>
            <w:gridSpan w:val="2"/>
          </w:tcPr>
          <w:p>
            <w:pPr>
              <w:ind w:left="120"/>
              <w:spacing w:after="0"/>
              <w:rPr>
                <w:sz w:val="20"/>
                <w:szCs w:val="20"/>
                <w:color w:val="auto"/>
              </w:rPr>
            </w:pPr>
            <w:r>
              <w:rPr>
                <w:rFonts w:ascii="Arial" w:cs="Arial" w:eastAsia="Arial" w:hAnsi="Arial"/>
                <w:sz w:val="17"/>
                <w:szCs w:val="17"/>
                <w:color w:val="auto"/>
                <w:w w:val="94"/>
              </w:rPr>
              <w:t>Anticipated liquidity impact as of December 31, 2017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1,467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18,174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9" w:lineRule="auto"/>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Environmental liabilities include final capping, closure, post-closure and environmental remediation costs recorded in our Consolidated Balance Sheet as of December 31, 2017, without the impact of discounting and inflation. Our recorded environmental liabilities for final capping, closure and post-closure will increase as we continue to place additional tons within the permitted airspace at our landfills.</w:t>
      </w:r>
    </w:p>
    <w:p>
      <w:pPr>
        <w:spacing w:after="0" w:line="78" w:lineRule="exact"/>
        <w:rPr>
          <w:rFonts w:ascii="Arial" w:cs="Arial" w:eastAsia="Arial" w:hAnsi="Arial"/>
          <w:sz w:val="18"/>
          <w:szCs w:val="18"/>
          <w:color w:val="auto"/>
        </w:rPr>
      </w:pPr>
    </w:p>
    <w:p>
      <w:pPr>
        <w:ind w:left="320" w:hanging="317"/>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These amounts represent the scheduled principal payments related to our long-term debt, excluding interest.</w:t>
      </w:r>
    </w:p>
    <w:p>
      <w:pPr>
        <w:spacing w:after="0" w:line="117" w:lineRule="exact"/>
        <w:rPr>
          <w:rFonts w:ascii="Arial" w:cs="Arial" w:eastAsia="Arial" w:hAnsi="Arial"/>
          <w:sz w:val="18"/>
          <w:szCs w:val="18"/>
          <w:color w:val="auto"/>
        </w:rPr>
      </w:pPr>
    </w:p>
    <w:p>
      <w:pPr>
        <w:ind w:left="320" w:hanging="317"/>
        <w:spacing w:after="0" w:line="308"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debt obligations as of December 31, 2017 include $831 million of tax-exempt bonds with term interest rate periods that expire within the next 12 months. If the remarketings of our bonds are unsuccessful, then the bonds can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be put to us, requiring immediate repayment. We have classified the anticipated cash flows for these contractual obligations based on the scheduled maturity of the borrowings for purposes of this disclosure. For additional information regarding the classification of these borrowings in our Consolidated Balance Sheet as of December 31, 2017, refer to Note 7 to the Consolidated Financial Statements.</w:t>
      </w:r>
    </w:p>
    <w:p>
      <w:pPr>
        <w:spacing w:after="0" w:line="79" w:lineRule="exact"/>
        <w:rPr>
          <w:sz w:val="20"/>
          <w:szCs w:val="20"/>
          <w:color w:val="auto"/>
        </w:rPr>
      </w:pPr>
    </w:p>
    <w:p>
      <w:pPr>
        <w:jc w:val="both"/>
        <w:ind w:left="320" w:hanging="317"/>
        <w:spacing w:after="0" w:line="264"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recorded debt obligations include non-cash adjustments associated with debt issuance costs, discounts, premiums and fair value adjustments attributable to terminated interest rate derivatives. These amounts have been excluded as they will not impact our liquidity in future periods.</w:t>
      </w:r>
    </w:p>
    <w:p>
      <w:pPr>
        <w:spacing w:after="0" w:line="73"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unrecorded obligations represent operating lease obligations and purchase commitments from which we expect to realize an economic benefit in future periods and interest payable on our debt. We have also made certain guarantees, as discussed in Note 10 to the Consolidated Financial Statements, that we do not expect to materially affect our current or future financial position, results of operations or liquidity.</w:t>
      </w:r>
    </w:p>
    <w:p>
      <w:pPr>
        <w:spacing w:after="0" w:line="78" w:lineRule="exact"/>
        <w:rPr>
          <w:rFonts w:ascii="Arial" w:cs="Arial" w:eastAsia="Arial" w:hAnsi="Arial"/>
          <w:sz w:val="18"/>
          <w:szCs w:val="18"/>
          <w:color w:val="auto"/>
        </w:rPr>
      </w:pPr>
    </w:p>
    <w:p>
      <w:pPr>
        <w:jc w:val="both"/>
        <w:ind w:left="320" w:hanging="317"/>
        <w:spacing w:after="0" w:line="255"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Interest on our fixed-rate debt was calculated based on contractual rates and interest on our variable-rate debt was calculated based on interest rates as of December 31, 2017. For debt balances outstanding under our commercial paper program, we have reflected limited interest amounts due to the short-term nature of the borrowings. For debt balances outstanding under our Canadian term loan, we have reflected interest based on the current outstanding principal assuming the amount remains unchanged through maturity. As of December 31, 2017, we had $61 million of accrued interest related to our debt obligations.</w:t>
      </w:r>
    </w:p>
    <w:p>
      <w:pPr>
        <w:spacing w:after="0" w:line="85" w:lineRule="exact"/>
        <w:rPr>
          <w:rFonts w:ascii="Arial" w:cs="Arial" w:eastAsia="Arial" w:hAnsi="Arial"/>
          <w:sz w:val="18"/>
          <w:szCs w:val="18"/>
          <w:color w:val="auto"/>
        </w:rPr>
      </w:pPr>
    </w:p>
    <w:p>
      <w:pPr>
        <w:jc w:val="both"/>
        <w:ind w:left="320" w:hanging="317"/>
        <w:spacing w:after="0" w:line="273"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subject to change and actual cash flow obligations in the near future may be different. See Note 10 to the Consolidated Financial Statements for discussion of the nature and terms of our unconditional purchase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financial interests in unconsolidated variable interest entities as discussed in Note 18 to the Consolidated Financial Statements. Additionally, we are party to guarantee arrangements with unconsolidated entities as discussed in the </w:t>
      </w:r>
      <w:r>
        <w:rPr>
          <w:rFonts w:ascii="Arial" w:cs="Arial" w:eastAsia="Arial" w:hAnsi="Arial"/>
          <w:sz w:val="17"/>
          <w:szCs w:val="17"/>
          <w:i w:val="1"/>
          <w:iCs w:val="1"/>
          <w:color w:val="auto"/>
        </w:rPr>
        <w:t xml:space="preserve">Guarantees </w:t>
      </w:r>
      <w:r>
        <w:rPr>
          <w:rFonts w:ascii="Arial" w:cs="Arial" w:eastAsia="Arial" w:hAnsi="Arial"/>
          <w:sz w:val="17"/>
          <w:szCs w:val="17"/>
          <w:color w:val="auto"/>
        </w:rPr>
        <w:t>section of Note 10 to the Consolidated Financial Statements. These arrangements have not materially affected</w:t>
      </w:r>
      <w:r>
        <w:rPr>
          <w:rFonts w:ascii="Arial" w:cs="Arial" w:eastAsia="Arial" w:hAnsi="Arial"/>
          <w:sz w:val="17"/>
          <w:szCs w:val="17"/>
          <w:i w:val="1"/>
          <w:iCs w:val="1"/>
          <w:color w:val="auto"/>
        </w:rPr>
        <w:t xml:space="preserve"> </w:t>
      </w:r>
      <w:r>
        <w:rPr>
          <w:rFonts w:ascii="Arial" w:cs="Arial" w:eastAsia="Arial" w:hAnsi="Arial"/>
          <w:sz w:val="17"/>
          <w:szCs w:val="17"/>
          <w:color w:val="auto"/>
        </w:rPr>
        <w:t>our financial position, results of operations or liquidity during the year ended December 31, 2017, nor are they expected to have a material impact on our future financial position,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16 associated with the timing of recognition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for intra-entity transfers of assets other than inventory. The amended guidance requires the recognition of income taxes when the transfer of the asset occurs, which replaces current GAAP that defers the recognition of income taxes until the transferred asset is sold to a third party or otherwise recovered through use. The amended guidance is effective for the Company on January 1, 2018 and will not have a material impact on our consolidated financial statements.</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Statement of Cash Flows — </w:t>
      </w:r>
      <w:r>
        <w:rPr>
          <w:rFonts w:ascii="Arial" w:cs="Arial" w:eastAsia="Arial" w:hAnsi="Arial"/>
          <w:sz w:val="18"/>
          <w:szCs w:val="18"/>
          <w:color w:val="auto"/>
        </w:rPr>
        <w:t>In August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15 associated with the classification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in the statement of cash flows. In November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18 associated with the presentation of restricted cash and cash equivalents in the statement of cash flows. The objective of both amendments was to reduce existing diversity in practice. The amended guidance is effective for the Company on January 1, 2018 and, upon adoption, the principal change for the Company will be in the presentation of restricted cash and cash equivalents in the statement of cash flows, which will include substantially all of the restricted trust and escrow accounts reflected on our Consolidated Balance Sheets.</w:t>
      </w:r>
    </w:p>
    <w:p>
      <w:pPr>
        <w:spacing w:after="0" w:line="207"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Financial Instrument Credit Losses </w:t>
      </w:r>
      <w:r>
        <w:rPr>
          <w:rFonts w:ascii="Arial" w:cs="Arial" w:eastAsia="Arial" w:hAnsi="Arial"/>
          <w:sz w:val="16"/>
          <w:szCs w:val="16"/>
          <w:color w:val="auto"/>
        </w:rPr>
        <w:t>— 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18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In February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 accounting. The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and (iii) acquired a software solution to manage and account for leases under the new standard. We are evaluating the impact of this amended guidance on our consolidated financial statements.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The amended guidance will require certain equity investments that are not consolidated and not accounted for under the equity method to be measured at fair value with changes in fair value recognized in net income rather than as a component of accumulated other comprehensive income (loss). The amended guidance is effective for the Company on January 1, 2018 and will not have a material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09 associated with revenue recognition.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our work to date, we believe we have identified all material contract types and costs that may be impacted by this amended guidance. We currently do not expect the amended guidance to have a material impact on operating revenues. However, upon adoption of the amended guidance, certain sales incentives will be capitalized and amortized to selling, general and administrative expenses over the expected life of the customer relationship. Under current guidance, sales incentives are expensed as earned to selling, general and administrative expenses. Additionally, the amended guidance resulted in a change in who we identify as a customer for certain arrangements. We anticipate payments to these customers will be a reduction in operating revenues. Under current guidance, these payments are recorded as operating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as of December 31, 2017, approximately 35% of our collection revenues are generated under long-term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exposed to market risks, including changes in interest rates, certain commodity prices and Canadian currency rates. From time to time, we use derivatives to manage some portion of these risks. The Company had no derivatives outstanding as of December 31, 2017.</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Interest Rate Exposure — </w:t>
      </w:r>
      <w:r>
        <w:rPr>
          <w:rFonts w:ascii="Arial" w:cs="Arial" w:eastAsia="Arial" w:hAnsi="Arial"/>
          <w:sz w:val="17"/>
          <w:szCs w:val="17"/>
          <w:color w:val="auto"/>
        </w:rPr>
        <w:t>Our exposure to market risk for changes in interest rates relates primarily to our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As of December 31, 2017, we had $9.5 billion of long-term debt, excluding the impacts of accounting for debt issuance costs, discounts, premiums and fair value adjustments attributable to terminated interest rate derivatives. We have $1.8 billion of debt that is exposed to changes in market interest rates within the next 12 months comprised of</w:t>
      </w:r>
    </w:p>
    <w:p>
      <w:pPr>
        <w:spacing w:after="0" w:line="2" w:lineRule="exact"/>
        <w:rPr>
          <w:sz w:val="20"/>
          <w:szCs w:val="20"/>
          <w:color w:val="auto"/>
        </w:rPr>
      </w:pPr>
    </w:p>
    <w:p>
      <w:pPr>
        <w:ind w:left="260" w:hanging="257"/>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$831 million of tax-exempt bonds with term interest rate periods scheduled to expire within the next 12 months;</w:t>
      </w:r>
    </w:p>
    <w:p>
      <w:pPr>
        <w:spacing w:after="0" w:line="20" w:lineRule="exact"/>
        <w:rPr>
          <w:rFonts w:ascii="Arial" w:cs="Arial" w:eastAsia="Arial" w:hAnsi="Arial"/>
          <w:sz w:val="17"/>
          <w:szCs w:val="17"/>
          <w:color w:val="auto"/>
        </w:rPr>
      </w:pPr>
    </w:p>
    <w:p>
      <w:pPr>
        <w:jc w:val="both"/>
        <w:ind w:firstLine="3"/>
        <w:spacing w:after="0" w:line="216" w:lineRule="exact"/>
        <w:tabs>
          <w:tab w:leader="none" w:pos="266" w:val="left"/>
        </w:tabs>
        <w:numPr>
          <w:ilvl w:val="0"/>
          <w:numId w:val="79"/>
        </w:numPr>
        <w:rPr>
          <w:rFonts w:ascii="Arial" w:cs="Arial" w:eastAsia="Arial" w:hAnsi="Arial"/>
          <w:sz w:val="17"/>
          <w:szCs w:val="17"/>
          <w:color w:val="auto"/>
        </w:rPr>
      </w:pPr>
      <w:r>
        <w:rPr>
          <w:rFonts w:ascii="Arial" w:cs="Arial" w:eastAsia="Arial" w:hAnsi="Arial"/>
          <w:sz w:val="17"/>
          <w:szCs w:val="17"/>
          <w:color w:val="auto"/>
        </w:rPr>
        <w:t>$515 million of outstanding borrowings under our commercial paper program; (iii) $328 million of tax-exempt bonds that are subject to repricing on either a daily or weekly basis through a remarketing process and (iv) $113 million of outstanding borrowings under our Canadian term loan. We currently estimate that a 100</w:t>
      </w:r>
      <w:r>
        <w:rPr>
          <w:rFonts w:ascii="MS PGothic" w:cs="MS PGothic" w:eastAsia="MS PGothic" w:hAnsi="MS PGothic"/>
          <w:sz w:val="17"/>
          <w:szCs w:val="17"/>
          <w:color w:val="auto"/>
        </w:rPr>
        <w:t>‑</w:t>
      </w:r>
      <w:r>
        <w:rPr>
          <w:rFonts w:ascii="Arial" w:cs="Arial" w:eastAsia="Arial" w:hAnsi="Arial"/>
          <w:sz w:val="17"/>
          <w:szCs w:val="17"/>
          <w:color w:val="auto"/>
        </w:rPr>
        <w:t>basis point increase in the interest rates of our outstanding variable-rate debt obligations would increase our 2018 interest expense by $15 million.</w:t>
      </w:r>
    </w:p>
    <w:p>
      <w:pPr>
        <w:spacing w:after="0" w:line="2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remaining outstanding debt obligations have fixed interest rates through either the scheduled maturity of the debt or, for certain of our fixed-rate tax-exempt bonds, through the end of a term interest rate period that exceeds 12 months. The fair value of our fixed-rate debt obligations can increase or decrease significantly if market interest rates change.</w:t>
      </w:r>
    </w:p>
    <w:p>
      <w:pPr>
        <w:spacing w:after="0" w:line="14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We performed a sensitivity analysis to determine how market rate changes might affect the fair value of our market risk-sensitive debt instruments. This analysis is inherently limited because it reflects a singular, hypothetical set of assumptions. Actual market movements may vary significantly from our assumptions. An instantaneous, 100</w:t>
      </w:r>
      <w:r>
        <w:rPr>
          <w:rFonts w:ascii="MS PGothic" w:cs="MS PGothic" w:eastAsia="MS PGothic" w:hAnsi="MS PGothic"/>
          <w:sz w:val="18"/>
          <w:szCs w:val="18"/>
          <w:color w:val="auto"/>
        </w:rPr>
        <w:t>‑</w:t>
      </w:r>
      <w:r>
        <w:rPr>
          <w:rFonts w:ascii="Arial" w:cs="Arial" w:eastAsia="Arial" w:hAnsi="Arial"/>
          <w:sz w:val="18"/>
          <w:szCs w:val="18"/>
          <w:color w:val="auto"/>
        </w:rPr>
        <w:t>basis point increase in interest rates across all maturities attributable to these instruments would have decreased the fair value of our debt by approximately $635 million as of December 31, 2017.</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exposed to interest rate market risk from our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We also invest a portion of our restricted trust and escrow account balances in fixed-income securities, including U.S. Treasury securities, U.S. agency securities, municipal securities and mortgage- and asset-backed securities. We believe that our exposure to changes in fair value of these assets due to interest rate fluctuations is insignificant as the fair value generally approximates our cost basis.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Commodity Price Exposure — </w:t>
      </w:r>
      <w:r>
        <w:rPr>
          <w:rFonts w:ascii="Arial" w:cs="Arial" w:eastAsia="Arial" w:hAnsi="Arial"/>
          <w:sz w:val="16"/>
          <w:szCs w:val="16"/>
          <w:color w:val="auto"/>
        </w:rPr>
        <w:t>In the normal course of our business, we are subject to operating agreements that expose</w:t>
      </w:r>
      <w:r>
        <w:rPr>
          <w:rFonts w:ascii="Arial" w:cs="Arial" w:eastAsia="Arial" w:hAnsi="Arial"/>
          <w:sz w:val="16"/>
          <w:szCs w:val="16"/>
          <w:i w:val="1"/>
          <w:iCs w:val="1"/>
          <w:color w:val="auto"/>
        </w:rPr>
        <w:t xml:space="preserve"> </w:t>
      </w:r>
      <w:r>
        <w:rPr>
          <w:rFonts w:ascii="Arial" w:cs="Arial" w:eastAsia="Arial" w:hAnsi="Arial"/>
          <w:sz w:val="16"/>
          <w:szCs w:val="16"/>
          <w:color w:val="auto"/>
        </w:rPr>
        <w:t>us to market risks arising from changes in the prices for commodities such as diesel fuel; recyclable materials, including old corrugated cardboard, old newsprint and plastics; and electricity, which generally correlates with natural gas prices in many of the markets in which we operate. We attempt to manage these risks through operational strategies that focus on capturing our costs in the prices we charge our customers for the services provided. Accordingly, as the market prices for these commodities increase or decrease, our revenues may also increase or decrease.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Currency Rate Exposure — </w:t>
      </w:r>
      <w:r>
        <w:rPr>
          <w:rFonts w:ascii="Arial" w:cs="Arial" w:eastAsia="Arial" w:hAnsi="Arial"/>
          <w:sz w:val="18"/>
          <w:szCs w:val="18"/>
          <w:color w:val="auto"/>
        </w:rPr>
        <w:t>We have operations in Canada as well as certain support functions in India. Where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we have quantified and described the impact of foreign currency translation on components of income, including operating revenue and operating expenses. However, the impact of foreign currency has not materially affected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vMerge w:val="restart"/>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4420" w:type="dxa"/>
            <w:vAlign w:val="bottom"/>
            <w:gridSpan w:val="6"/>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0000EE"/>
            </w:tcBorders>
            <w:gridSpan w:val="2"/>
            <w:vMerge w:val="continue"/>
          </w:tcPr>
          <w:p>
            <w:pPr>
              <w:spacing w:after="0"/>
              <w:rPr>
                <w:sz w:val="14"/>
                <w:szCs w:val="14"/>
                <w:color w:val="auto"/>
              </w:rPr>
            </w:pPr>
          </w:p>
        </w:tc>
        <w:tc>
          <w:tcPr>
            <w:tcW w:w="4420" w:type="dxa"/>
            <w:vAlign w:val="bottom"/>
            <w:gridSpan w:val="6"/>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Consolidated Balance Sheets as of December 31, 2017 and 2016</w:t>
              </w:r>
            </w:hyperlink>
          </w:p>
        </w:tc>
        <w:tc>
          <w:tcPr>
            <w:tcW w:w="40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Years Ended December 31, 2017, 2016 and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Consolidated Statements of Comprehensive Income for the Years Ended December 31, 2017, 2016 and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Years Ended December 31, 2017, 2016 and 2015</w:t>
              </w:r>
            </w:hyperlink>
          </w:p>
        </w:tc>
        <w:tc>
          <w:tcPr>
            <w:tcW w:w="860" w:type="dxa"/>
            <w:vAlign w:val="bottom"/>
            <w:tcBorders>
              <w:top w:val="single" w:sz="8" w:color="0000EE"/>
            </w:tcBorders>
            <w:gridSpan w:val="2"/>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872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Changes in Equity for the Years Ended December 31, 2017, 2016 and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4280" w:type="dxa"/>
            <w:vAlign w:val="bottom"/>
            <w:tcBorders>
              <w:top w:val="single" w:sz="8" w:color="0000EE"/>
            </w:tcBorders>
            <w:gridSpan w:val="5"/>
          </w:tcPr>
          <w:p>
            <w:pPr>
              <w:spacing w:after="0"/>
              <w:rPr>
                <w:sz w:val="17"/>
                <w:szCs w:val="17"/>
                <w:color w:val="auto"/>
              </w:rPr>
            </w:pPr>
          </w:p>
        </w:tc>
        <w:tc>
          <w:tcPr>
            <w:tcW w:w="12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898"/>
        </w:trPr>
        <w:tc>
          <w:tcPr>
            <w:tcW w:w="4660" w:type="dxa"/>
            <w:vAlign w:val="bottom"/>
            <w:gridSpan w:val="3"/>
          </w:tcPr>
          <w:p>
            <w:pPr>
              <w:ind w:left="4440"/>
              <w:spacing w:after="0"/>
              <w:rPr>
                <w:sz w:val="20"/>
                <w:szCs w:val="20"/>
                <w:color w:val="auto"/>
              </w:rPr>
            </w:pPr>
            <w:r>
              <w:rPr>
                <w:rFonts w:ascii="Arial" w:cs="Arial" w:eastAsia="Arial" w:hAnsi="Arial"/>
                <w:sz w:val="18"/>
                <w:szCs w:val="18"/>
                <w:color w:val="auto"/>
                <w:w w:val="99"/>
              </w:rPr>
              <w:t>61</w:t>
            </w: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Waste Management, Inc.’s internal control over financial reporting as of December 31, 2017, based on criteria established in Internal Control-Integrated Framework issued by the Committee of Sponsoring Organizations of the Treadway Commission (2013 framework) (the COSO criteria). In our opinion, Waste Management, Inc. (the Company) maintained, in all material respects, effective internal control over financial reporting as of December 31, 2017, based on the COSO criteria.</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2017 consolidated financial statements of the Company, and our report dated February 15, 2018 expressed an unqualified opinion thereon.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Waste Management, Inc. (the Company) as of December 31, 2017 and 2016, and the related consolidated statements of operations, comprehensive income, cash flows, and changes in equity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15, 2018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w w:val="96"/>
              </w:rPr>
              <w:t>2016</w:t>
            </w:r>
          </w:p>
        </w:tc>
      </w:tr>
      <w:tr>
        <w:trPr>
          <w:trHeight w:val="142"/>
        </w:trPr>
        <w:tc>
          <w:tcPr>
            <w:tcW w:w="6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678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w w:val="92"/>
              </w:rPr>
              <w:t>Accounts receivable, net of allowance for doubtful accounts of $21 and $24, respectively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67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02"/>
        </w:trPr>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and amortization of $17,704 and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$17,152, respectively</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6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r>
      <w:tr>
        <w:trPr>
          <w:trHeight w:val="190"/>
        </w:trPr>
        <w:tc>
          <w:tcPr>
            <w:tcW w:w="6780" w:type="dxa"/>
            <w:vAlign w:val="bottom"/>
          </w:tcPr>
          <w:p>
            <w:pPr>
              <w:ind w:left="3380"/>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1,040</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0"/>
        </w:trPr>
        <w:tc>
          <w:tcPr>
            <w:tcW w:w="67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r>
      <w:tr>
        <w:trPr>
          <w:trHeight w:val="210"/>
        </w:trPr>
        <w:tc>
          <w:tcPr>
            <w:tcW w:w="6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w:t>
            </w: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2"/>
        </w:trPr>
        <w:tc>
          <w:tcPr>
            <w:tcW w:w="67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$0.01 par value; 1,500,000,000 shares authorized; 630,282,461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6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issued</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4,850</w:t>
            </w:r>
          </w:p>
        </w:tc>
      </w:tr>
      <w:tr>
        <w:trPr>
          <w:trHeight w:val="216"/>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r>
      <w:tr>
        <w:trPr>
          <w:trHeight w:val="216"/>
        </w:trPr>
        <w:tc>
          <w:tcPr>
            <w:tcW w:w="67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196,963,558 and 190,966,584 shares, respectively</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10"/>
        </w:trPr>
        <w:tc>
          <w:tcPr>
            <w:tcW w:w="6780" w:type="dxa"/>
            <w:vAlign w:val="bottom"/>
          </w:tcPr>
          <w:p>
            <w:pPr>
              <w:ind w:left="54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5,297</w:t>
            </w: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r>
      <w:tr>
        <w:trPr>
          <w:trHeight w:val="217"/>
        </w:trPr>
        <w:tc>
          <w:tcPr>
            <w:tcW w:w="6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11"/>
          </w:tcPr>
          <w:p>
            <w:pPr>
              <w:jc w:val="right"/>
              <w:ind w:right="5"/>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2015</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12,961</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(Income) expense from divestitures, asset impairments and unusual items, net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5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11,313</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10,916</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3"/>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59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r>
      <w:tr>
        <w:trPr>
          <w:trHeight w:val="22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643"/>
        </w:trPr>
        <w:tc>
          <w:tcPr>
            <w:tcW w:w="742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960" w:type="dxa"/>
            <w:vAlign w:val="bottom"/>
          </w:tcPr>
          <w:p>
            <w:pPr>
              <w:ind w:left="406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80" w:type="dxa"/>
            <w:vAlign w:val="bottom"/>
            <w:tcBorders>
              <w:bottom w:val="single" w:sz="8" w:color="auto"/>
            </w:tcBorders>
          </w:tcPr>
          <w:p>
            <w:pPr>
              <w:spacing w:after="0"/>
              <w:rPr>
                <w:sz w:val="24"/>
                <w:szCs w:val="2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0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1,949</w:t>
            </w:r>
          </w:p>
        </w:tc>
        <w:tc>
          <w:tcPr>
            <w:tcW w:w="2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gridSpan w:val="3"/>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Less: Comprehensive income (loss) attributable to noncontrolling interests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0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2,037</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40" w:type="dxa"/>
            <w:vAlign w:val="bottom"/>
            <w:tcBorders>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9"/>
          </w:tcPr>
          <w:p>
            <w:pPr>
              <w:jc w:val="right"/>
              <w:ind w:right="43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6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b w:val="1"/>
                <w:bCs w:val="1"/>
                <w:color w:val="auto"/>
              </w:rPr>
              <w:t>2015</w:t>
            </w:r>
          </w:p>
        </w:tc>
      </w:tr>
      <w:tr>
        <w:trPr>
          <w:trHeight w:val="183"/>
        </w:trPr>
        <w:tc>
          <w:tcPr>
            <w:tcW w:w="6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9"/>
        </w:trPr>
        <w:tc>
          <w:tcPr>
            <w:tcW w:w="6240" w:type="dxa"/>
            <w:vAlign w:val="bottom"/>
          </w:tcPr>
          <w:p>
            <w:pPr>
              <w:spacing w:after="0" w:line="189" w:lineRule="exact"/>
              <w:rPr>
                <w:sz w:val="20"/>
                <w:szCs w:val="20"/>
                <w:color w:val="auto"/>
              </w:rPr>
            </w:pPr>
            <w:r>
              <w:rPr>
                <w:rFonts w:ascii="Arial" w:cs="Arial" w:eastAsia="Arial" w:hAnsi="Arial"/>
                <w:sz w:val="18"/>
                <w:szCs w:val="18"/>
                <w:color w:val="auto"/>
              </w:rPr>
              <w:t>Consolidated net income</w:t>
            </w:r>
          </w:p>
        </w:tc>
        <w:tc>
          <w:tcPr>
            <w:tcW w:w="340" w:type="dxa"/>
            <w:vAlign w:val="bottom"/>
            <w:gridSpan w:val="2"/>
          </w:tcPr>
          <w:p>
            <w:pPr>
              <w:jc w:val="right"/>
              <w:ind w:right="5"/>
              <w:spacing w:after="0" w:line="189"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1,949</w:t>
            </w:r>
          </w:p>
        </w:tc>
        <w:tc>
          <w:tcPr>
            <w:tcW w:w="100" w:type="dxa"/>
            <w:vAlign w:val="bottom"/>
          </w:tcPr>
          <w:p>
            <w:pPr>
              <w:spacing w:after="0"/>
              <w:rPr>
                <w:sz w:val="16"/>
                <w:szCs w:val="16"/>
                <w:color w:val="auto"/>
              </w:rPr>
            </w:pPr>
          </w:p>
        </w:tc>
        <w:tc>
          <w:tcPr>
            <w:tcW w:w="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1,180</w:t>
            </w:r>
          </w:p>
        </w:tc>
        <w:tc>
          <w:tcPr>
            <w:tcW w:w="180" w:type="dxa"/>
            <w:vAlign w:val="bottom"/>
          </w:tcPr>
          <w:p>
            <w:pPr>
              <w:spacing w:after="0"/>
              <w:rPr>
                <w:sz w:val="16"/>
                <w:szCs w:val="16"/>
                <w:color w:val="auto"/>
              </w:rPr>
            </w:pPr>
          </w:p>
        </w:tc>
        <w:tc>
          <w:tcPr>
            <w:tcW w:w="16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752</w:t>
            </w:r>
          </w:p>
        </w:tc>
      </w:tr>
      <w:tr>
        <w:trPr>
          <w:trHeight w:val="161"/>
        </w:trPr>
        <w:tc>
          <w:tcPr>
            <w:tcW w:w="624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3"/>
              </w:rPr>
              <w:t>Adjustments to reconcile consolidated net income to net cash provided by operating</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7"/>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1,376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1,301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1,245</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Interest accretion on landfill liabilities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91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89</w:t>
            </w:r>
          </w:p>
        </w:tc>
      </w:tr>
      <w:tr>
        <w:trPr>
          <w:trHeight w:val="161"/>
        </w:trPr>
        <w:tc>
          <w:tcPr>
            <w:tcW w:w="6240" w:type="dxa"/>
            <w:vAlign w:val="bottom"/>
            <w:shd w:val="clear" w:color="auto" w:fill="CCEEFF"/>
          </w:tcPr>
          <w:p>
            <w:pPr>
              <w:ind w:left="220"/>
              <w:spacing w:after="0" w:line="161" w:lineRule="exact"/>
              <w:rPr>
                <w:sz w:val="20"/>
                <w:szCs w:val="20"/>
                <w:color w:val="auto"/>
              </w:rPr>
            </w:pPr>
            <w:r>
              <w:rPr>
                <w:rFonts w:ascii="Arial" w:cs="Arial" w:eastAsia="Arial" w:hAnsi="Arial"/>
                <w:sz w:val="18"/>
                <w:szCs w:val="18"/>
                <w:color w:val="auto"/>
                <w:w w:val="92"/>
              </w:rPr>
              <w:t>Interest accretion on and discount rate adjustments to environmental remediation</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217"/>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and recovery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Provision for bad debts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36</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Net gain on disposal of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(18)</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Expense from divestitures, asset impairments and other, net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Equity in net losses of unconsolidated entities, net of dividends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42</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Loss on early extinguishment of debt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555</w:t>
            </w:r>
          </w:p>
        </w:tc>
      </w:tr>
      <w:tr>
        <w:trPr>
          <w:trHeight w:val="161"/>
        </w:trPr>
        <w:tc>
          <w:tcPr>
            <w:tcW w:w="6240" w:type="dxa"/>
            <w:vAlign w:val="bottom"/>
          </w:tcPr>
          <w:p>
            <w:pPr>
              <w:ind w:left="220"/>
              <w:spacing w:after="0" w:line="161" w:lineRule="exact"/>
              <w:rPr>
                <w:sz w:val="20"/>
                <w:szCs w:val="20"/>
                <w:color w:val="auto"/>
              </w:rPr>
            </w:pPr>
            <w:r>
              <w:rPr>
                <w:rFonts w:ascii="Arial" w:cs="Arial" w:eastAsia="Arial" w:hAnsi="Arial"/>
                <w:sz w:val="18"/>
                <w:szCs w:val="18"/>
                <w:color w:val="auto"/>
              </w:rPr>
              <w:t>Change in operating assets and liabilities, net of effects of acquisitions and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17"/>
        </w:trPr>
        <w:tc>
          <w:tcPr>
            <w:tcW w:w="6240" w:type="dxa"/>
            <w:vAlign w:val="bottom"/>
          </w:tcPr>
          <w:p>
            <w:pPr>
              <w:ind w:left="340"/>
              <w:spacing w:after="0"/>
              <w:rPr>
                <w:sz w:val="20"/>
                <w:szCs w:val="20"/>
                <w:color w:val="auto"/>
              </w:rPr>
            </w:pPr>
            <w:r>
              <w:rPr>
                <w:rFonts w:ascii="Arial" w:cs="Arial" w:eastAsia="Arial" w:hAnsi="Arial"/>
                <w:sz w:val="18"/>
                <w:szCs w:val="18"/>
                <w:color w:val="auto"/>
              </w:rPr>
              <w:t>divestitures: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89"/>
        </w:trPr>
        <w:tc>
          <w:tcPr>
            <w:tcW w:w="62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(178)</w:t>
            </w:r>
          </w:p>
        </w:tc>
      </w:tr>
      <w:tr>
        <w:trPr>
          <w:trHeight w:val="189"/>
        </w:trPr>
        <w:tc>
          <w:tcPr>
            <w:tcW w:w="6240" w:type="dxa"/>
            <w:vAlign w:val="bottom"/>
          </w:tcPr>
          <w:p>
            <w:pPr>
              <w:ind w:left="320"/>
              <w:spacing w:after="0" w:line="189" w:lineRule="exact"/>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16</w:t>
            </w:r>
          </w:p>
        </w:tc>
      </w:tr>
      <w:tr>
        <w:trPr>
          <w:trHeight w:val="189"/>
        </w:trPr>
        <w:tc>
          <w:tcPr>
            <w:tcW w:w="62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6240" w:type="dxa"/>
            <w:vAlign w:val="bottom"/>
          </w:tcPr>
          <w:p>
            <w:pPr>
              <w:ind w:left="320"/>
              <w:spacing w:after="0" w:line="189" w:lineRule="exact"/>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192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(97)</w:t>
            </w:r>
          </w:p>
        </w:tc>
      </w:tr>
      <w:tr>
        <w:trPr>
          <w:trHeight w:val="189"/>
        </w:trPr>
        <w:tc>
          <w:tcPr>
            <w:tcW w:w="62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Deferred revenues and other liabilities</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(97)</w:t>
            </w:r>
          </w:p>
        </w:tc>
      </w:tr>
      <w:tr>
        <w:trPr>
          <w:trHeight w:val="183"/>
        </w:trPr>
        <w:tc>
          <w:tcPr>
            <w:tcW w:w="6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3,006</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2,528</w:t>
            </w:r>
          </w:p>
        </w:tc>
      </w:tr>
      <w:tr>
        <w:trPr>
          <w:trHeight w:val="183"/>
        </w:trPr>
        <w:tc>
          <w:tcPr>
            <w:tcW w:w="6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(611)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(554)</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(1,233)</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w w:val="93"/>
              </w:rPr>
              <w:t>Proceeds from divestitures of businesses and other assets (net of cash divested)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receipts from restricted trust and escrow accounts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w:t>
            </w:r>
          </w:p>
        </w:tc>
      </w:tr>
      <w:tr>
        <w:trPr>
          <w:trHeight w:val="189"/>
        </w:trPr>
        <w:tc>
          <w:tcPr>
            <w:tcW w:w="62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w:t>
            </w:r>
          </w:p>
        </w:tc>
      </w:tr>
      <w:tr>
        <w:trPr>
          <w:trHeight w:val="183"/>
        </w:trPr>
        <w:tc>
          <w:tcPr>
            <w:tcW w:w="6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(1,608)</w:t>
            </w:r>
          </w:p>
        </w:tc>
      </w:tr>
      <w:tr>
        <w:trPr>
          <w:trHeight w:val="183"/>
        </w:trPr>
        <w:tc>
          <w:tcPr>
            <w:tcW w:w="6240" w:type="dxa"/>
            <w:vAlign w:val="bottom"/>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New borrowings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3,057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2,337</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Debt repayments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(2,682)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w w:val="98"/>
              </w:rPr>
              <w:t>(2,764)</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commercial paper borrowings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Premiums paid on early extinguishment of debt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(555)</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Common stock repurchase program</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(600)</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Cash dividends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(750)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(726)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(695)</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Exercise of common stock options</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w:t>
            </w:r>
          </w:p>
        </w:tc>
      </w:tr>
      <w:tr>
        <w:trPr>
          <w:trHeight w:val="189"/>
        </w:trPr>
        <w:tc>
          <w:tcPr>
            <w:tcW w:w="6240" w:type="dxa"/>
            <w:vAlign w:val="bottom"/>
          </w:tcPr>
          <w:p>
            <w:pPr>
              <w:ind w:left="220"/>
              <w:spacing w:after="0" w:line="189" w:lineRule="exact"/>
              <w:rPr>
                <w:sz w:val="20"/>
                <w:szCs w:val="20"/>
                <w:color w:val="auto"/>
              </w:rPr>
            </w:pPr>
            <w:r>
              <w:rPr>
                <w:rFonts w:ascii="Arial" w:cs="Arial" w:eastAsia="Arial" w:hAnsi="Arial"/>
                <w:sz w:val="18"/>
                <w:szCs w:val="18"/>
                <w:color w:val="auto"/>
              </w:rPr>
              <w:t>Tax payments associated with equity-based compensation transactions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(15)</w:t>
            </w:r>
          </w:p>
        </w:tc>
      </w:tr>
      <w:tr>
        <w:trPr>
          <w:trHeight w:val="189"/>
        </w:trPr>
        <w:tc>
          <w:tcPr>
            <w:tcW w:w="6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83"/>
        </w:trPr>
        <w:tc>
          <w:tcPr>
            <w:tcW w:w="6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8"/>
              </w:rPr>
              <w:t>(2,185)</w:t>
            </w:r>
          </w:p>
        </w:tc>
      </w:tr>
      <w:tr>
        <w:trPr>
          <w:trHeight w:val="183"/>
        </w:trPr>
        <w:tc>
          <w:tcPr>
            <w:tcW w:w="6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6240" w:type="dxa"/>
            <w:vAlign w:val="bottom"/>
          </w:tcPr>
          <w:p>
            <w:pPr>
              <w:spacing w:after="0" w:line="182" w:lineRule="exact"/>
              <w:rPr>
                <w:sz w:val="20"/>
                <w:szCs w:val="20"/>
                <w:color w:val="auto"/>
              </w:rPr>
            </w:pPr>
            <w:r>
              <w:rPr>
                <w:rFonts w:ascii="Arial" w:cs="Arial" w:eastAsia="Arial" w:hAnsi="Arial"/>
                <w:sz w:val="18"/>
                <w:szCs w:val="18"/>
                <w:color w:val="auto"/>
              </w:rPr>
              <w:t>Decrease in cash and cash equivalents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w w:val="98"/>
              </w:rPr>
              <w:t>(1,268)</w:t>
            </w:r>
          </w:p>
        </w:tc>
      </w:tr>
      <w:tr>
        <w:trPr>
          <w:trHeight w:val="189"/>
        </w:trPr>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 at beginning of year</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1,307</w:t>
            </w:r>
          </w:p>
        </w:tc>
      </w:tr>
      <w:tr>
        <w:trPr>
          <w:trHeight w:val="190"/>
        </w:trPr>
        <w:tc>
          <w:tcPr>
            <w:tcW w:w="6240" w:type="dxa"/>
            <w:vAlign w:val="bottom"/>
          </w:tcPr>
          <w:p>
            <w:pPr>
              <w:spacing w:after="0" w:line="182" w:lineRule="exact"/>
              <w:rPr>
                <w:sz w:val="20"/>
                <w:szCs w:val="20"/>
                <w:color w:val="auto"/>
              </w:rPr>
            </w:pPr>
            <w:r>
              <w:rPr>
                <w:rFonts w:ascii="Arial" w:cs="Arial" w:eastAsia="Arial" w:hAnsi="Arial"/>
                <w:sz w:val="18"/>
                <w:szCs w:val="18"/>
                <w:color w:val="auto"/>
              </w:rPr>
              <w:t>Cash and cash equivalents at end of year</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3"/>
          </w:tcPr>
          <w:p>
            <w:pPr>
              <w:jc w:val="right"/>
              <w:ind w:right="520"/>
              <w:spacing w:after="0"/>
              <w:rPr>
                <w:sz w:val="20"/>
                <w:szCs w:val="20"/>
                <w:color w:val="auto"/>
              </w:rPr>
            </w:pPr>
            <w:r>
              <w:rPr>
                <w:rFonts w:ascii="Arial" w:cs="Arial" w:eastAsia="Arial" w:hAnsi="Arial"/>
                <w:sz w:val="14"/>
                <w:szCs w:val="14"/>
                <w:b w:val="1"/>
                <w:bCs w:val="1"/>
                <w:color w:val="auto"/>
                <w:w w:val="99"/>
              </w:rPr>
              <w:t>Waste Management, Inc. Stockholders’ Equity</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Comprehensive</w:t>
            </w:r>
          </w:p>
        </w:tc>
        <w:tc>
          <w:tcPr>
            <w:tcW w:w="13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w w:val="99"/>
              </w:rPr>
              <w:t>Interests</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2014</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$ 5,889</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6,888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(171,745)</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(5,636)</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752</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Other comprehensive income (loss), net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 net 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(14,823)</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Arial" w:cs="Arial" w:eastAsia="Arial" w:hAnsi="Arial"/>
                <w:sz w:val="14"/>
                <w:szCs w:val="14"/>
                <w:color w:val="auto"/>
              </w:rPr>
              <w:t>Balance, December 31, 2015</w:t>
            </w: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$ 5,367</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4,827</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6,939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(183,105)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(6,300)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w w:val="94"/>
              </w:rPr>
              <w:t>Other comprehensive income (loss), net</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of tax</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tcPr>
          <w:p>
            <w:pPr>
              <w:ind w:left="140"/>
              <w:spacing w:after="0"/>
              <w:rPr>
                <w:sz w:val="20"/>
                <w:szCs w:val="20"/>
                <w:color w:val="auto"/>
              </w:rPr>
            </w:pPr>
            <w:r>
              <w:rPr>
                <w:rFonts w:ascii="Arial" w:cs="Arial" w:eastAsia="Arial" w:hAnsi="Arial"/>
                <w:sz w:val="14"/>
                <w:szCs w:val="14"/>
                <w:color w:val="auto"/>
              </w:rPr>
              <w:t>transactions, net of tax</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Other, net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2016</w:t>
            </w:r>
          </w:p>
        </w:tc>
        <w:tc>
          <w:tcPr>
            <w:tcW w:w="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$ 5,320</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7,388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(190,967)</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(6,867)</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Other comprehensive income (loss), net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Equity-based compensation</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 net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(10,058)</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(795)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2" w:lineRule="exact"/>
              <w:rPr>
                <w:sz w:val="20"/>
                <w:szCs w:val="20"/>
                <w:color w:val="auto"/>
              </w:rPr>
            </w:pPr>
            <w:r>
              <w:rPr>
                <w:rFonts w:ascii="Arial" w:cs="Arial" w:eastAsia="Arial" w:hAnsi="Arial"/>
                <w:sz w:val="14"/>
                <w:szCs w:val="14"/>
                <w:color w:val="auto"/>
              </w:rPr>
              <w:t>Balance, December 31, 2017</w:t>
            </w:r>
          </w:p>
        </w:tc>
        <w:tc>
          <w:tcPr>
            <w:tcW w:w="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$ 6,042</w:t>
            </w: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(196,964)</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(7,516)</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18.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19.</w:t>
      </w:r>
    </w:p>
    <w:p>
      <w:pPr>
        <w:spacing w:after="0" w:line="162"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Adoption of New Accounting Standards and Reclassifications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Equity-Based Compensation — </w:t>
      </w:r>
      <w:r>
        <w:rPr>
          <w:rFonts w:ascii="Arial" w:cs="Arial" w:eastAsia="Arial" w:hAnsi="Arial"/>
          <w:sz w:val="17"/>
          <w:szCs w:val="17"/>
          <w:color w:val="auto"/>
        </w:rPr>
        <w:t>In March 2016, the Financial Accounting Standards Board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2016</w:t>
      </w:r>
      <w:r>
        <w:rPr>
          <w:rFonts w:ascii="MS PGothic" w:cs="MS PGothic" w:eastAsia="MS PGothic" w:hAnsi="MS PGothic"/>
          <w:sz w:val="17"/>
          <w:szCs w:val="17"/>
          <w:color w:val="auto"/>
        </w:rPr>
        <w:t>‑</w:t>
      </w:r>
      <w:r>
        <w:rPr>
          <w:rFonts w:ascii="Arial" w:cs="Arial" w:eastAsia="Arial" w:hAnsi="Arial"/>
          <w:sz w:val="17"/>
          <w:szCs w:val="17"/>
          <w:color w:val="auto"/>
        </w:rPr>
        <w:t>09 associated with equity-based compensation as part of its simplification initiative to reduce the cost and complexity of compliance with U.S. Generally Accepted Accounting Principles (“GAAP”), while maintaining or improving the usefulness of the information provided. This amended guidance was effective for the Company on January 1, 2017 and required the following changes to the presentation of our financial statements:</w:t>
      </w:r>
    </w:p>
    <w:p>
      <w:pPr>
        <w:spacing w:after="0" w:line="97" w:lineRule="exact"/>
        <w:rPr>
          <w:sz w:val="20"/>
          <w:szCs w:val="20"/>
          <w:color w:val="auto"/>
        </w:rPr>
      </w:pPr>
    </w:p>
    <w:p>
      <w:pPr>
        <w:jc w:val="both"/>
        <w:ind w:left="660" w:hanging="333"/>
        <w:spacing w:after="0" w:line="25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8 for discussion of the current year impact;</w:t>
      </w:r>
    </w:p>
    <w:p>
      <w:pPr>
        <w:spacing w:after="0" w:line="8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73" w:lineRule="exact"/>
        <w:rPr>
          <w:rFonts w:ascii="Arial" w:cs="Arial" w:eastAsia="Arial" w:hAnsi="Arial"/>
          <w:sz w:val="18"/>
          <w:szCs w:val="18"/>
          <w:color w:val="auto"/>
        </w:rPr>
      </w:pPr>
    </w:p>
    <w:p>
      <w:pPr>
        <w:jc w:val="both"/>
        <w:ind w:left="660" w:hanging="333"/>
        <w:spacing w:after="0" w:line="30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$28 million and $15 million for the years ended December 31, 2016 and 2015, respectively;</w:t>
      </w:r>
    </w:p>
    <w:p>
      <w:pPr>
        <w:spacing w:after="0" w:line="46" w:lineRule="exact"/>
        <w:rPr>
          <w:rFonts w:ascii="Arial" w:cs="Arial" w:eastAsia="Arial" w:hAnsi="Arial"/>
          <w:sz w:val="16"/>
          <w:szCs w:val="16"/>
          <w:color w:val="auto"/>
        </w:rPr>
      </w:pPr>
    </w:p>
    <w:p>
      <w:pPr>
        <w:jc w:val="both"/>
        <w:ind w:left="660" w:hanging="333"/>
        <w:spacing w:after="0" w:line="30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activities and a corresponding increase to net cash used in financing activities of $18 million and $15 million for the years ended December 31, 2016 and 2015, respectively; and</w:t>
      </w:r>
    </w:p>
    <w:p>
      <w:pPr>
        <w:spacing w:after="0" w:line="62" w:lineRule="exact"/>
        <w:rPr>
          <w:sz w:val="20"/>
          <w:szCs w:val="20"/>
          <w:color w:val="auto"/>
        </w:rPr>
      </w:pPr>
    </w:p>
    <w:p>
      <w:pPr>
        <w:ind w:left="660" w:hanging="333"/>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elected to continue to estimate forfeitures rather than account for forfeitures as they occur.</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Goodwill Impairment Testing — </w:t>
      </w:r>
      <w:r>
        <w:rPr>
          <w:rFonts w:ascii="Arial" w:cs="Arial" w:eastAsia="Arial" w:hAnsi="Arial"/>
          <w:sz w:val="18"/>
          <w:szCs w:val="18"/>
          <w:color w:val="auto"/>
        </w:rPr>
        <w:t>In January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04 which simplifies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by eliminating Step 2 of the quantitative assessment and should reduce the cost and complexity of evaluating goodwill for impairment. Under the amended guidance, when a quantitative assessment is required, an entity will perform a goodwill impairment test by comparing the estimated fair value of a reporting unit with its carrying amount. An impairment charge will be measured as the amount by which the carrying amount exceeds the reporting unit’s estimated fair value, not to exceed the total amount of recorded goodwill. This amended guidance, effective for the Company on January 1, 2020, permits early adoption. The Company’s early adoption on January 1, 2017 did not have a material impact on our consolidated financial statements.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unconsolidated entities are accounted for under either the equity method or cost method of accounting, as appropriate.</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 As of December 31, 2017 and 2016, no single customer represented greater than 5% of total accounts receivable.</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and Other Receivables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receivables,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receivables, as of December 31, 2017 and 2016, include receivables related to income tax payments in excess of our current income tax obligations of $504 million and $352 million,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Parts and Supplies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Landfill Accounting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 Basis of Landfill Assets — </w:t>
      </w:r>
      <w:r>
        <w:rPr>
          <w:rFonts w:ascii="Arial" w:cs="Arial" w:eastAsia="Arial" w:hAnsi="Arial"/>
          <w:sz w:val="18"/>
          <w:szCs w:val="18"/>
          <w:color w:val="auto"/>
        </w:rPr>
        <w:t>We capitalize various costs that we incur to make a landfill ready to accept waste.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generally include 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Final Capping, Closure and Post-Closure Costs — </w:t>
      </w:r>
      <w:r>
        <w:rPr>
          <w:rFonts w:ascii="Arial" w:cs="Arial" w:eastAsia="Arial" w:hAnsi="Arial"/>
          <w:sz w:val="18"/>
          <w:szCs w:val="18"/>
          <w:color w:val="auto"/>
        </w:rPr>
        <w:t>Following is a description of our asset retirement activities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accounting:</w:t>
      </w:r>
    </w:p>
    <w:p>
      <w:pPr>
        <w:spacing w:after="0" w:line="170" w:lineRule="exact"/>
        <w:rPr>
          <w:sz w:val="20"/>
          <w:szCs w:val="20"/>
          <w:color w:val="auto"/>
        </w:rPr>
      </w:pPr>
    </w:p>
    <w:p>
      <w:pPr>
        <w:jc w:val="both"/>
        <w:ind w:left="660" w:hanging="333"/>
        <w:spacing w:after="0" w:line="273"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Final Capping — </w:t>
      </w:r>
      <w:r>
        <w:rPr>
          <w:rFonts w:ascii="Arial" w:cs="Arial" w:eastAsia="Arial" w:hAnsi="Arial"/>
          <w:sz w:val="17"/>
          <w:szCs w:val="17"/>
          <w:color w:val="auto"/>
        </w:rPr>
        <w:t>Involves the installation of flexible membrane liners and geosynthetic clay liners, drainage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compacted soil layers and topsoil 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70" w:lineRule="exact"/>
        <w:rPr>
          <w:rFonts w:ascii="Arial" w:cs="Arial" w:eastAsia="Arial" w:hAnsi="Arial"/>
          <w:sz w:val="17"/>
          <w:szCs w:val="17"/>
          <w:color w:val="auto"/>
        </w:rPr>
      </w:pPr>
    </w:p>
    <w:p>
      <w:pPr>
        <w:ind w:left="660" w:hanging="333"/>
        <w:spacing w:after="0" w:line="342"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Closure — </w:t>
      </w:r>
      <w:r>
        <w:rPr>
          <w:rFonts w:ascii="Arial" w:cs="Arial" w:eastAsia="Arial" w:hAnsi="Arial"/>
          <w:sz w:val="16"/>
          <w:szCs w:val="16"/>
          <w:color w:val="auto"/>
        </w:rPr>
        <w:t>Includes the construction of the final portion of methane gas collection systems (when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demobilization and routine maintenance costs. These are costs incurred after the site ceases to accept waste, but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79" w:lineRule="exact"/>
        <w:rPr>
          <w:sz w:val="20"/>
          <w:szCs w:val="20"/>
          <w:color w:val="auto"/>
        </w:rPr>
      </w:pPr>
    </w:p>
    <w:p>
      <w:pPr>
        <w:jc w:val="both"/>
        <w:ind w:left="660" w:hanging="333"/>
        <w:spacing w:after="0" w:line="25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Post-Closure — </w:t>
      </w:r>
      <w:r>
        <w:rPr>
          <w:rFonts w:ascii="Arial" w:cs="Arial" w:eastAsia="Arial" w:hAnsi="Arial"/>
          <w:sz w:val="18"/>
          <w:szCs w:val="18"/>
          <w:color w:val="auto"/>
        </w:rPr>
        <w:t>Involves the maintenance and monitoring of a landfill site that has been certified closed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regulatory agency. 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or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completed.</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Once we have determined final capping, closure and post-closure costs, we inflate those costs to the expected time of payment and discount those expected future costs back to present value. During the years ended December 31, 2017, 2016 and 2015, we inflated these costs in current dollars to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 average rate of the recorded obligation. As a result, the credit-adjusted, risk-free discount rate used to calculate the present value of an obligation is specific to each individual asset retirement obligation. The weighted average rate applicable to our long-term asset retirement obligations as of December 31, 2017 was approximately 5.75%.</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associated with airspace that has been fully utilized result in an adjustment to the recorded liability and landfill assets with an immediate corresponding adjustment to landfill airspace amortization expense.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accretion on final capping, closure and post-closure liabilities is recorded using the effective interest method and is recorded as final capping, closure and post-closure expense, which is included in operating expenses within our Consolidated Statements of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Amortization of Landfill Assets — </w:t>
      </w:r>
      <w:r>
        <w:rPr>
          <w:rFonts w:ascii="Arial" w:cs="Arial" w:eastAsia="Arial" w:hAnsi="Arial"/>
          <w:sz w:val="17"/>
          <w:szCs w:val="17"/>
          <w:color w:val="auto"/>
        </w:rPr>
        <w:t>The amortizable basis of a landfill includes (i) amounts previously expended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(ii) capitalized landfill final 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lease or other contractual agreements, the rate per ton is calculated based on expected capacity to be utilized over the lesser of the contractual term of the underlying agreement or the life of the landfill.</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apply the following guidelines in determining a landfill’s remaining permitted and expansion airspace:</w:t>
      </w:r>
    </w:p>
    <w:p>
      <w:pPr>
        <w:spacing w:after="0" w:line="117" w:lineRule="exact"/>
        <w:rPr>
          <w:sz w:val="20"/>
          <w:szCs w:val="20"/>
          <w:color w:val="auto"/>
        </w:rPr>
      </w:pPr>
    </w:p>
    <w:p>
      <w:pPr>
        <w:jc w:val="both"/>
        <w:ind w:left="660" w:hanging="333"/>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Remaining Permitted Airspace — </w:t>
      </w:r>
      <w:r>
        <w:rPr>
          <w:rFonts w:ascii="Arial" w:cs="Arial" w:eastAsia="Arial" w:hAnsi="Arial"/>
          <w:sz w:val="18"/>
          <w:szCs w:val="18"/>
          <w:color w:val="auto"/>
        </w:rPr>
        <w:t>Our engineers, in consultation with third-party engineering consultants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surveyors, are responsible for 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Expansion Airspace — </w:t>
      </w:r>
      <w:r>
        <w:rPr>
          <w:rFonts w:ascii="Arial" w:cs="Arial" w:eastAsia="Arial" w:hAnsi="Arial"/>
          <w:sz w:val="18"/>
          <w:szCs w:val="18"/>
          <w:color w:val="auto"/>
        </w:rPr>
        <w:t>We also include currently unpermitted expansion airspace in our estimate of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and expansion airspace 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0"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Personnel are actively working on the expansion of an existing landfill, including efforts to obtain land use and local, state or provincial approvals;</w:t>
      </w:r>
    </w:p>
    <w:p>
      <w:pPr>
        <w:spacing w:after="0" w:line="62" w:lineRule="exact"/>
        <w:rPr>
          <w:rFonts w:ascii="Arial" w:cs="Arial" w:eastAsia="Arial" w:hAnsi="Arial"/>
          <w:sz w:val="18"/>
          <w:szCs w:val="18"/>
          <w:color w:val="auto"/>
        </w:rPr>
      </w:pPr>
    </w:p>
    <w:p>
      <w:pPr>
        <w:ind w:left="980" w:hanging="329"/>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We have a legal right to use or obtain land to be included in the expansion plan;</w:t>
      </w:r>
    </w:p>
    <w:p>
      <w:pPr>
        <w:spacing w:after="0" w:line="117"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There are no significant known technical, legal, community, business, or political restrictions or similar issues that could negatively affect the success of such expansion; and</w:t>
      </w:r>
    </w:p>
    <w:p>
      <w:pPr>
        <w:spacing w:after="0" w:line="62" w:lineRule="exact"/>
        <w:rPr>
          <w:rFonts w:ascii="Arial" w:cs="Arial" w:eastAsia="Arial" w:hAnsi="Arial"/>
          <w:sz w:val="18"/>
          <w:szCs w:val="18"/>
          <w:color w:val="auto"/>
        </w:rPr>
      </w:pPr>
    </w:p>
    <w:p>
      <w:pPr>
        <w:ind w:left="980" w:hanging="329"/>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Financial analysis has been completed based on conceptual design, and the results demonstrate that the expansion meets Company criteria for investment.</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15 landfill sites with expansions included as of December 31, 2017, three landfills required the Chief Financial Officer to approve the inclusion of the unpermitted airspace. One landfill required approval by our Chief Financial Officer because of community or political opposition that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could impede the expansion process. The remaining two landfills required approval because the permit application process did not meet the one- or five-year requirements.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Environmental Remediation Liabilities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significant portion of our operating costs and capital expenditures could be characterized 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 up.</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resources or by third-party environmental engineers or other service providers. Internally developed estimates are based on:</w:t>
      </w:r>
    </w:p>
    <w:p>
      <w:pPr>
        <w:spacing w:after="0" w:line="140" w:lineRule="exact"/>
        <w:rPr>
          <w:sz w:val="20"/>
          <w:szCs w:val="20"/>
          <w:color w:val="auto"/>
        </w:rPr>
      </w:pPr>
    </w:p>
    <w:p>
      <w:pPr>
        <w:ind w:left="660" w:hanging="333"/>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Management’s judgment and experience in remediating our own and unrelated parties’ sites;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Information available from regulatory agencies as to costs of remediation;</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financial resources and relative degree of responsibility of other PRPs who may be liable for remediation of a specific site; and</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typical allocation of costs among PRPs, unless the actual allocation has been determined.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$251 million recorded in the Consolidated Balance Sheet as of December 31, 2017.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Where we believe that both the amount of a particular environmental remediation liability and the timing of the payments are fixed or reliably determinable, we inflate the cost in current dollars (by 2.5% as of December 31, 2017 and 2016)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materially impact our results of operations. For remedial liabilities that have been discounted, we include interest accretion, based on the effective interest method, in operating expenses in our Consolidated Statements of Operations. The following table summarizes the impacts of revisions in the risk-free discount rate applied to our environmental remediation liabilities and recovery assets for the years ended December 31 (in millions) and the risk-free discount rate applied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rPr>
              <w:t>Risk-free discount rate applied to environmental remediation liabilities and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recovery assets</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2.25 %</w:t>
            </w: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portion of our recorded environmental remediation liabilities that were not subject to inflation or discounting, as the amounts and timing of payments are not fixed or reliably determinable, was $103 million and $90 million as of December 31, 2017 and 2016, respectively. Had we not inflated and discounted any portion of our environmental remediation liability, the amount recorded would have remained the same as of December 31, 2017 and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Property and Equipment (Exclusive of Landfills, Discussed Above)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estimated useful lives for significant property and equipment categories are as follows (in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Vehicles — excluding rail haul cars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Vehicles — rail haul cars</w:t>
            </w:r>
          </w:p>
        </w:tc>
        <w:tc>
          <w:tcPr>
            <w:tcW w:w="960" w:type="dxa"/>
            <w:vAlign w:val="bottom"/>
          </w:tcPr>
          <w:p>
            <w:pPr>
              <w:jc w:val="right"/>
              <w:spacing w:after="0"/>
              <w:rPr>
                <w:sz w:val="20"/>
                <w:szCs w:val="20"/>
                <w:color w:val="auto"/>
              </w:rPr>
            </w:pPr>
            <w:r>
              <w:rPr>
                <w:rFonts w:ascii="Arial" w:cs="Arial" w:eastAsia="Arial" w:hAnsi="Arial"/>
                <w:sz w:val="18"/>
                <w:szCs w:val="18"/>
                <w:color w:val="auto"/>
              </w:rPr>
              <w:t>10 to 20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 including containers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30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jc w:val="right"/>
              <w:spacing w:after="0"/>
              <w:rPr>
                <w:sz w:val="20"/>
                <w:szCs w:val="20"/>
                <w:color w:val="auto"/>
              </w:rPr>
            </w:pPr>
            <w:r>
              <w:rPr>
                <w:rFonts w:ascii="Arial" w:cs="Arial" w:eastAsia="Arial" w:hAnsi="Arial"/>
                <w:sz w:val="18"/>
                <w:szCs w:val="18"/>
                <w:color w:val="auto"/>
              </w:rPr>
              <w:t>5 to 40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Operating Leases (Excluding Landfill Leases Discussed Below) — </w:t>
      </w:r>
      <w:r>
        <w:rPr>
          <w:rFonts w:ascii="Arial" w:cs="Arial" w:eastAsia="Arial" w:hAnsi="Arial"/>
          <w:sz w:val="17"/>
          <w:szCs w:val="17"/>
          <w:color w:val="auto"/>
        </w:rPr>
        <w:t>The majority of our leases are operating leases.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generally can be 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2017 are disclosed in Note 10.</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Capital Leases (Excluding Landfill Leases Discussed Below) — </w:t>
      </w:r>
      <w:r>
        <w:rPr>
          <w:rFonts w:ascii="Arial" w:cs="Arial" w:eastAsia="Arial" w:hAnsi="Arial"/>
          <w:sz w:val="16"/>
          <w:szCs w:val="16"/>
          <w:color w:val="auto"/>
        </w:rPr>
        <w:t>Assets under capital leases are capitalized using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determined at the inception of each lease and are amortized over either the useful life of the asset or the lease term, as appropriate, on a straight-line basis. The present value of the related lease payments is recorded as a debt obligation. Our future minimum annual capital lease payments are included in our future debt obligations as disclosed in Note 7.</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Landfill Leases — </w:t>
      </w:r>
      <w:r>
        <w:rPr>
          <w:rFonts w:ascii="Arial" w:cs="Arial" w:eastAsia="Arial" w:hAnsi="Arial"/>
          <w:sz w:val="16"/>
          <w:szCs w:val="16"/>
          <w:color w:val="auto"/>
        </w:rPr>
        <w:t>From an operating perspective, landfills that we lease are similar to landfills we own because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we will operate the landfill for the life of the operating permit.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landfill asset, which is amortized on a units-of-consumption basis over the shorter of the lease term or the life of the landfill.</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generally recognize assets acquired and liabilities assumed in business combinations, including contingent assets and liabilities, based on fair value estimates as of the date of acquisition.</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Contingent Consideration — </w:t>
      </w:r>
      <w:r>
        <w:rPr>
          <w:rFonts w:ascii="Arial" w:cs="Arial" w:eastAsia="Arial" w:hAnsi="Arial"/>
          <w:sz w:val="16"/>
          <w:szCs w:val="16"/>
          <w:color w:val="auto"/>
        </w:rPr>
        <w:t>In certain acquisitions, we agree to pay additional amounts to sellers contingent upon</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by the acquired businesses of certain negotiated goals, such as targeted revenue levels, targeted disposal volumes or the issuance of permits for expanded landfill airspace. We have recognized liabilities for these contingent obligations based on their estimated fair value as of the date of acquisition with any differences between the acquisition-date fair value and the ultimate settlement of the obligations being recognized as an adjustment to income from operations.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Acquired Assets and Assumed Liabilities — </w:t>
      </w:r>
      <w:r>
        <w:rPr>
          <w:rFonts w:ascii="Arial" w:cs="Arial" w:eastAsia="Arial" w:hAnsi="Arial"/>
          <w:sz w:val="17"/>
          <w:szCs w:val="17"/>
          <w:color w:val="auto"/>
        </w:rPr>
        <w:t>Assets and liabilities arising from contingencies such as pre-acquisition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matters and litigation are recognized at their acquisition-date fair value when their respective fair values can be determined. If the fair values of such contingencies cannot be determined, they are recognized as of the acquisition date if the contingencies are probable and an amount can be reasonably estimated.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Acquisition-date fair value estimates are revised as necessary if, and when, additional information regarding these contingencies becomes available to further define and quantify assets acquired and liabilities assumed. Subsequent to finalization of purchase accounting, these revisions are accounted for as adjustments to income from operations. All acquisition-related transaction costs are expensed as incurred.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Goodwill is the excess of our purchase cost over the fair value of the net assets of acquired businesses. We do not amortize goodwill, but as discussed in the </w:t>
      </w:r>
      <w:r>
        <w:rPr>
          <w:rFonts w:ascii="Arial" w:cs="Arial" w:eastAsia="Arial" w:hAnsi="Arial"/>
          <w:sz w:val="18"/>
          <w:szCs w:val="18"/>
          <w:i w:val="1"/>
          <w:iCs w:val="1"/>
          <w:color w:val="auto"/>
        </w:rPr>
        <w:t>Long-Lived Asset Impairments</w:t>
      </w:r>
      <w:r>
        <w:rPr>
          <w:rFonts w:ascii="Arial" w:cs="Arial" w:eastAsia="Arial" w:hAnsi="Arial"/>
          <w:sz w:val="18"/>
          <w:szCs w:val="18"/>
          <w:color w:val="auto"/>
        </w:rPr>
        <w:t xml:space="preserve"> section below, we assess our goodwill for impairment at least annually.</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fair value on the acquisition date and are generally amortized using either a 150% declining balance approach or a straight-line basis as we determine appropriate. Customer and supplier relationships are typically amortized over a term ranging between 10 and 15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Long-Lived Asset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our long-lived assets for impairment as required under the applicable accounting standards. If necessary, impairments are recorded in (income) expense from divestitures, asset impairments and unusual items, net in our Consolidated Statement of Operations.</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Property and Equipment, Including Landfills and Definite-Lived Intangible Assets </w:t>
      </w:r>
      <w:r>
        <w:rPr>
          <w:rFonts w:ascii="Arial" w:cs="Arial" w:eastAsia="Arial" w:hAnsi="Arial"/>
          <w:sz w:val="16"/>
          <w:szCs w:val="16"/>
          <w:color w:val="auto"/>
        </w:rPr>
        <w:t>— We monitor the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long-lived assets for potential impairment on an ongoing basis and test the recoverability of such assets generally using significant unobservable (“Level 3”) inputs whenever events or changes in circumstances indicate that their carrying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and the difference is recorded in the period that the impairment indicator occurs. Fair value is generally determined by considering (i) internally developed discounted projected cash flow analysis of the asset or asset group; (ii) actual third-party valuations and/or (iii) information available regarding the current market for similar assets. Estimating future cash flows requires significant judgment and projections may vary from the cash flows eventually realized, which could impact our ability to accurately assess whether an asset has been impaired.</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assessment of impairment indicators and the recoverability of our capitalized costs associated with landfills and related expansion 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Indefinite-Lived Intangible Assets, Including Goodwill — </w:t>
      </w:r>
      <w:r>
        <w:rPr>
          <w:rFonts w:ascii="Arial" w:cs="Arial" w:eastAsia="Arial" w:hAnsi="Arial"/>
          <w:sz w:val="16"/>
          <w:szCs w:val="16"/>
          <w:color w:val="auto"/>
        </w:rPr>
        <w:t>At least annually, and more frequently if warranted, we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indefinite-lived intangible assets including the goodwill of our reporting units for impairment using Level 3 inputs.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assess whether an impairment exists using a quantitative assessment. Our quantitative assessment identifies potential impairments by comparing the estimated fair value of a reporting unit to its carrying amount, including goodwill. An impairment charge is recognized if the asset’s estimated fair value is less than its carrying amount. Fair value is typically estimated using an income approach. However, when appropriate, we may also use a market approach. The income approach is based on the long-term projected future cash flows of the reporting units. We discount the estimated cash flows to present value using a weighted 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earnings. We then apply that multiple to the reporting units’ earnings to estimate their fair values. We believe that this approach may also be appropriate in certain circumstances because it provides a fair value estimate using valuation inputs from entities with operations and economic characteristics comparable to our reporting units.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computed using several factors, including projected future operating results, economic projections, anticipated future cash flows, comparable marketplace data and the cost of capital. There are inherent uncertainties related to these factors and to our judgment in applying them in our analysis. However, we believe our methodology for estimating the fair value of our reporting units is reasonable.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Refer to Note 11 for information related to impairments recognized during the reported periods.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Insured and Self-Insured Claims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otherwise, it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2017, we elected to use a wholly-owned insurance captive to insure the deductibles for our general liability, automobile liability and workers’ compensation claims programs. We continue to maintain conventional insurance policies with third-party insurers. In addition to certain business and operating benefits of having a wholly-owned insurance captive, we expect to receive certain cash flow benefits related to the timing of tax deductions related to these claims. WM will pay an annual premium to the insurance captive, typically in the first quarter of the year comprised of equal parts cash and an intercompany note, for the estimated losses based on the external actuarial analysis. These premiums are held in a restricted escrow account to be used solely for paying insurance claims, resulting in a transfer of risk from WM to the insurance captive.</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Restricted Trust and Escrow Accounts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Our restricted trust and escrow accounts consist principally of funds deposited for purposes of funding insurance claims and settling landfill final capping, closure, post-closure and environmental remediation obligations. In December 2017, we elected to use a wholly-owned insurance captive to insure the deductibles for certain claims programs, as discussed above in </w:t>
      </w:r>
      <w:r>
        <w:rPr>
          <w:rFonts w:ascii="Arial" w:cs="Arial" w:eastAsia="Arial" w:hAnsi="Arial"/>
          <w:sz w:val="16"/>
          <w:szCs w:val="16"/>
          <w:i w:val="1"/>
          <w:iCs w:val="1"/>
          <w:color w:val="auto"/>
        </w:rPr>
        <w:t>Insured and Self-Insured Claims</w:t>
      </w:r>
      <w:r>
        <w:rPr>
          <w:rFonts w:ascii="Arial" w:cs="Arial" w:eastAsia="Arial" w:hAnsi="Arial"/>
          <w:sz w:val="16"/>
          <w:szCs w:val="16"/>
          <w:color w:val="auto"/>
        </w:rPr>
        <w:t>, and the premiums paid were directly deposited into a restricted escrow account to be used</w:t>
      </w:r>
      <w:r>
        <w:rPr>
          <w:rFonts w:ascii="Arial" w:cs="Arial" w:eastAsia="Arial" w:hAnsi="Arial"/>
          <w:sz w:val="16"/>
          <w:szCs w:val="16"/>
          <w:i w:val="1"/>
          <w:iCs w:val="1"/>
          <w:color w:val="auto"/>
        </w:rPr>
        <w:t xml:space="preserve"> </w:t>
      </w:r>
      <w:r>
        <w:rPr>
          <w:rFonts w:ascii="Arial" w:cs="Arial" w:eastAsia="Arial" w:hAnsi="Arial"/>
          <w:sz w:val="16"/>
          <w:szCs w:val="16"/>
          <w:color w:val="auto"/>
        </w:rPr>
        <w:t>solely for paying insurance claims. At several of our landfills, we provide financial assurance by depositing cash into restricted trust or escrow accounts for purposes of settling final capping, closure, post-closure and environmental remediation obligations. Balances maintained in these restricted trust and escrow accounts will fluctuate based on (i) changes in statutory requirements; (ii) future deposits made to comply with contractual arrangements; (iii) the ongoing use of funds;</w:t>
      </w:r>
    </w:p>
    <w:p>
      <w:pPr>
        <w:spacing w:after="0" w:line="1" w:lineRule="exact"/>
        <w:rPr>
          <w:sz w:val="20"/>
          <w:szCs w:val="20"/>
          <w:color w:val="auto"/>
        </w:rPr>
      </w:pPr>
    </w:p>
    <w:p>
      <w:pPr>
        <w:ind w:firstLine="3"/>
        <w:spacing w:after="0" w:line="261" w:lineRule="auto"/>
        <w:tabs>
          <w:tab w:leader="none" w:pos="3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acquisitions or divestitures and (v) changes in the fair value of the financial instruments held in the restricted trust or escrow accounts.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18 for additional discussion related to restricted trust and escrow accounts for final capping, closure, post-closure or environmental remediation obligations.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The following table summarizes our equity and cost method investments as of December 31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method investments</w:t>
            </w:r>
          </w:p>
        </w:tc>
        <w:tc>
          <w:tcPr>
            <w:tcW w:w="3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3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Investments in unconsolidated entities</w:t>
            </w:r>
          </w:p>
        </w:tc>
        <w:tc>
          <w:tcPr>
            <w:tcW w:w="3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851"/>
        </w:trPr>
        <w:tc>
          <w:tcPr>
            <w:tcW w:w="3700" w:type="dxa"/>
            <w:vAlign w:val="bottom"/>
          </w:tcPr>
          <w:p>
            <w:pPr>
              <w:spacing w:after="0"/>
              <w:rPr>
                <w:sz w:val="24"/>
                <w:szCs w:val="24"/>
                <w:color w:val="auto"/>
              </w:rPr>
            </w:pPr>
          </w:p>
        </w:tc>
        <w:tc>
          <w:tcPr>
            <w:tcW w:w="3340" w:type="dxa"/>
            <w:vAlign w:val="bottom"/>
          </w:tcPr>
          <w:p>
            <w:pPr>
              <w:jc w:val="right"/>
              <w:ind w:right="233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370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 Impairments of equity and cost method investments are recorded in equity in net losses of unconsolidated entities and other, net, respectively, in the Consolidated Statements of Operations.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operations in Canada, as well as certain support functions in India. Local currencies generally are considered the functional currencies of our operations and investments outside the U.S. The assets and liabilities of our foreign operations are translated to U.S. dollars using the exchange rate as of the balance sheet date. Revenues and expenses are translated to U.S. dollars using the average exchange rate during the period. The resulting translation difference is reflected as a component of other comprehensive income (loss).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will use derivative financial instruments to manage our risk associated with fluctuations in foreign currency exchange rates. Through March 2016, we used cross-currency swaps to hedge our exposure to fluctuations in exchange rates for anticipated intercompany cash transactions between Waste Management Holdings, Inc., a wholly-owned subsidiary (“WM Holdings”), and its Canadian subsidiaries.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cross-currency swaps had been designated as cash flow hedges for accounting purposes, which resulted in the unrealized changes in the fair value of the derivative instruments being recorded in accumulated other comprehensive income (loss) within our Consolidated Balance Sheets. The associated balance in accumulated other comprehensive income (loss) was reclassified to earnings as the hedged cash flows affected earnings. The financial statement impacts of our cross-currency swaps are discussed in Note 7.</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revenues are generated from the fees we charge for waste collection, transfer, disposal, and recycling and resource recovery services; from the sale of recycling commodities; from the sale of electricity and landfill gas, which are byproducts of our landfill operations and from the sale of oil and gas.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our environmental fee, fuel surcharge and regulatory recovery fee, which are intended to pass through to customers increased direct and indirect costs incurred. We generally recognize revenue as services are performed or products are delivered. For example, revenue typically is recognized as waste is collected, tons are received at our landfills or transfer stations, or recycling commodities are delivered.</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capitalize interest on certain projects under development, including landfill expansion projects, certain assets under construction, including operating landfills and landfill gas-to-energy projects and internal-use software. During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2017, 2016 and 2015, total interest costs were $383 million, $394 million and $407 million, respectively, of which $15 million, $9 million and $16 million was capitalized in 2017, 2016 and 2015,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is subject to income tax in the U.S. and Canada. Current tax obligations associated with our income tax expense are reflected in the accompanying Consolidated Balance Sheets as a component of accrued liabilities and our deferred tax obligations are reflected in deferred income taxes.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Deferred income taxes are based on the difference between the financial reporting and tax basis of assets and liabilities. Deferred income tax expense represents the change during the reporting period in the deferred tax assets and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We establish reserves for uncertain tax positions when, despite our belief that our tax return positions are fully supportable, we believe that certain positions may be challenged and potentially disallowed. When facts and circumstances change, we adjust these reserves through our income tax expense.</w:t>
      </w:r>
    </w:p>
    <w:p>
      <w:pPr>
        <w:spacing w:after="0" w:line="16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Should interest and penalties be assessed by taxing authorities on any underpayment of income tax, such amounts would be accrued and classified as a component of our income tax expense in our Consolidated Statements of Operations.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for discussion of the impacts of enactment of the Tax Cuts and Jobs Act which was signed into law on December 22, 2017 and is generally effective for tax years beginning January 1, 2018.</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estimate the amount of potential exposure we may have with respect to claims, assessments and litigation in accordance with authoritative guidance on accounting for contingencies.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 See Note 10 for discussion of our commitments and contingencies.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shows supplemental cash flow information for the years ended December 31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r>
    </w:tbl>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2017, we had $452 million of non-cash financing activities due to the initial funding of a wholly-owned insurance captive and tax-exempt bond borrowings. During 2016 and 2015, we did not have any significant non-cash investing and financing activities. Non-cash investing and financing activities are generally excluded from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Liabilities for landfill and environmental remediation costs as of December 31 are presented in the table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Landfill</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rPr>
              <w:t>Environmental</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Landfill</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Remediation</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Remediation</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2017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Landfill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Environmental</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9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 (b)</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(i) a net increase of $19 million related to our year-end annual review of landfill final capping, closure and post-closure obligations and (ii) an increase of $12 million primarily for enhancements to our gas and leachate collection systems at certain closed landfills.</w:t>
      </w:r>
    </w:p>
    <w:p>
      <w:pPr>
        <w:spacing w:after="0" w:line="73"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environmental remediation liabilities include $11 million of charges to adjust our subsidiary’s estimated potential share of an environmental remediation liability and related costs for a closed site in Harris County, Texas, as discussed in Note 10.</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recorded liabilities as of December 31, 2017 include the impacts of inflating certain of these costs based on our expectations of the timing of cash settlement and of discounting certain of these costs to present value. Anticipated payments of currently identified environmental remediation liabilities, as measured in current dollars, are $28 million in 2018, $23 million in 2019, $66 million in 2020, $36 million in 2021, $11 million in 2022 and $87 million thereafter.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Notes 16 and 18 for additional information related to these trusts.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December 31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Landfills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14,276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2,639</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Containers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0"/>
        </w:trPr>
        <w:tc>
          <w:tcPr>
            <w:tcW w:w="7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28,102</w:t>
            </w:r>
          </w:p>
        </w:tc>
      </w:tr>
      <w:tr>
        <w:trPr>
          <w:trHeight w:val="216"/>
        </w:trPr>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of tangible property and equipment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r>
      <w:tr>
        <w:trPr>
          <w:trHeight w:val="216"/>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amortization of landfill airspace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r>
      <w:tr>
        <w:trPr>
          <w:trHeight w:val="217"/>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10,950</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including amortization expense for assets recorded as capital leases, consisted of the following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landfill airspace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17"/>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bl>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Goodwill and Other Intangible Assets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was $6,247 million and $6,215 million as of December 31, 2017 and 2016, respectively. The $32 million increase in goodwill during 2017 is primarily related to acquisitions, as well as translation adjustments related to our Canadian operations partially offset by impairment charges.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discussed more fully in Note 3, we perform our annual impairment test of goodwill balances for our reporting units using a measurement date of October 1. We will also perform interim tests if an impairment indicator exists. As a result of our annual impairment tests, we recorded goodwill impairment charges during the fourth quarter of 2017 of $32 million for a reporting unit in our Energy and Environmental Services (“EES”) organization and $2 million for our LampTracker</w:t>
      </w:r>
      <w:r>
        <w:rPr>
          <w:rFonts w:ascii="Arial" w:cs="Arial" w:eastAsia="Arial" w:hAnsi="Arial"/>
          <w:sz w:val="8"/>
          <w:szCs w:val="8"/>
          <w:color w:val="auto"/>
        </w:rPr>
        <w:t>®</w:t>
      </w:r>
      <w:r>
        <w:rPr>
          <w:rFonts w:ascii="Arial" w:cs="Arial" w:eastAsia="Arial" w:hAnsi="Arial"/>
          <w:sz w:val="17"/>
          <w:szCs w:val="17"/>
          <w:color w:val="auto"/>
        </w:rPr>
        <w:t xml:space="preserve"> reporting unit, as their carrying values including goodwill exceeded estimated fair values. Fair values were estimated using an income approach based on long-term projected discounted future cash flows of the reporting units.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11, 17 and 19 for additional information related to goodwill.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other intangible assets consisted of the following as of December 31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Covenants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Licenses,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and Supplier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Not-to-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Permits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1"/>
              </w:rPr>
              <w:t>Relationships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Compete</w:t>
            </w:r>
          </w:p>
        </w:tc>
        <w:tc>
          <w:tcPr>
            <w:tcW w:w="16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Accumulated amortization</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Amortization expense for other intangible assets was $96 million, $100 million and $76 million for 2017, 2016 and 2015, respectively. As of December 31, 2017, we had $18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17. As of December 31, 2017, we expect annual amortization expense related to other intangible assets to be $94 million in 2018, $83 million in 2019, $74 million in 2020, $62 million in 2021 and $49 million in 2022.</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r>
      <w:tr>
        <w:trPr>
          <w:trHeight w:val="182"/>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$2.25 billion revolving credit facility, maturing July 2020 (weighted average interest rate of</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 as of December 31, 2016)</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w w:val="91"/>
              </w:rPr>
              <w:t>Commercial paper program (weighted average interest rate of 1.9% as of December 31, 2017)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Canadian term loan and revolving credit facility, maturing March 2019 (weighted average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effective interest rate of 2.5% as of December 31, 2017 and 2.1% as of December 31, 2016)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5"/>
              </w:rPr>
              <w:t>Senior notes, maturing through 2045, interest rates ranging from 2.4% to 7.75% (weighted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w w:val="92"/>
              </w:rPr>
              <w:t>average interest rate of 4.3% as of December 31, 2017 and 4.6% as of December 31, 2016)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6,184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6,033</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Tax-exempt bonds, maturing through 2045, fixed and variable interest rates ranging from</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1.2% to 5.7% (weighted average interest rate of 2.0% as of December 31, 2017 and 1.8% as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December 31, 2016)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10"/>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30"/>
        </w:trPr>
        <w:tc>
          <w:tcPr>
            <w:tcW w:w="6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8,893</w:t>
            </w:r>
          </w:p>
        </w:tc>
      </w:tr>
      <w:tr>
        <w:trPr>
          <w:trHeight w:val="851"/>
        </w:trPr>
        <w:tc>
          <w:tcPr>
            <w:tcW w:w="6900" w:type="dxa"/>
            <w:vAlign w:val="bottom"/>
          </w:tcPr>
          <w:p>
            <w:pPr>
              <w:ind w:left="44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6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the current portion of our long-term debt balance of $739 million includes (i) $515 million of short-term borrowings under our commercial paper program and (ii) $224 million of other debt with scheduled maturities within the next 12 months, including $167 million of tax-exempt bonds.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$831 million of tax-exempt bonds with term interest rate periods that expire within the next 12 months and an additional $328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long-term U.S. revolving credit facility (“$2.25 billion revolving credit facility”). Accordingly, we have classified these borrowings as long-term in our Consolidated Balance Sheet as of December 31, 2017.</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$2.25 Billion Revolving Credit Facility — </w:t>
      </w:r>
      <w:r>
        <w:rPr>
          <w:rFonts w:ascii="Arial" w:cs="Arial" w:eastAsia="Arial" w:hAnsi="Arial"/>
          <w:sz w:val="17"/>
          <w:szCs w:val="17"/>
          <w:color w:val="auto"/>
        </w:rPr>
        <w:t>Our $2.25 billion revolving credit facility maturing in July 2020 provides us</w:t>
      </w:r>
      <w:r>
        <w:rPr>
          <w:rFonts w:ascii="Arial" w:cs="Arial" w:eastAsia="Arial" w:hAnsi="Arial"/>
          <w:sz w:val="17"/>
          <w:szCs w:val="17"/>
          <w:i w:val="1"/>
          <w:iCs w:val="1"/>
          <w:color w:val="auto"/>
        </w:rPr>
        <w:t xml:space="preserve"> </w:t>
      </w:r>
      <w:r>
        <w:rPr>
          <w:rFonts w:ascii="Arial" w:cs="Arial" w:eastAsia="Arial" w:hAnsi="Arial"/>
          <w:sz w:val="17"/>
          <w:szCs w:val="17"/>
          <w:color w:val="auto"/>
        </w:rPr>
        <w:t>with credit capacity to be used for either cash borrowings or to support letters of credit or commercial paper. The rates we pay for outstanding loans are generally based on LIBOR plus a spread depending on the Company’s debt rating assigned by Moody’s Investors Service and Standard and Poor’s. The spread above LIBOR ranges from 0.805% to 1.3%. As of December 31, 2017, we had no outstanding borrowings under this facility. We had $642 million of letters of credit issued and $515 million of outstanding borrowings under our commercial paper program, both supported by this facility, leaving unused and available credit capacity of $1,093 million as of December 31, 2017.</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We have a $1.5 billion commercial paper program that enables us to borrow funds for up</w:t>
      </w:r>
      <w:r>
        <w:rPr>
          <w:rFonts w:ascii="Arial" w:cs="Arial" w:eastAsia="Arial" w:hAnsi="Arial"/>
          <w:sz w:val="17"/>
          <w:szCs w:val="17"/>
          <w:i w:val="1"/>
          <w:iCs w:val="1"/>
          <w:color w:val="auto"/>
        </w:rPr>
        <w:t xml:space="preserve"> </w:t>
      </w:r>
      <w:r>
        <w:rPr>
          <w:rFonts w:ascii="Arial" w:cs="Arial" w:eastAsia="Arial" w:hAnsi="Arial"/>
          <w:sz w:val="17"/>
          <w:szCs w:val="17"/>
          <w:color w:val="auto"/>
        </w:rPr>
        <w:t>to 397 days at competitive interest rates. The rates we pay for outstanding borrowings are based on the term of the notes. The commercial paper program is fully supported by our $2.25 billion revolving credit facility. As of December 31, 2017, we had $515 million of outstanding borrowings under our commercial paper program.</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Canadian Term Loan and Revolving Credit Facility — </w:t>
      </w:r>
      <w:r>
        <w:rPr>
          <w:rFonts w:ascii="Arial" w:cs="Arial" w:eastAsia="Arial" w:hAnsi="Arial"/>
          <w:sz w:val="16"/>
          <w:szCs w:val="16"/>
          <w:color w:val="auto"/>
        </w:rPr>
        <w:t>We have a Canadian credit agreement (which includes a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and revolving credit facility) that matures in March 2019. Waste Management of Canada Corporation and WM Quebec Inc., indirect wholly-owned subsidiaries of WM, are borrowers under this agreement. This agreement provides the Company</w:t>
      </w:r>
    </w:p>
    <w:p>
      <w:pPr>
        <w:jc w:val="both"/>
        <w:ind w:firstLine="3"/>
        <w:spacing w:after="0" w:line="288" w:lineRule="auto"/>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C$50 million of revolving credit capacity, which can be used for borrowings or letters of credit, and (ii) C$460 million of non-revolving term credit that is prepayable without penalty and principal amounts repaid may not be reborrowed. The rates we pay for outstanding loans under the Canadian credit agreement are generally based on the applicable LIBOR plus a spread depending on the Company’s debt rating assigned by Moody’s Investors Service and Standard and Poor’s. The spread above LIBOR ranges from 0.875% to 1.5%. As of December 31, 2017 and 2016, we had C$142 million, or $113 million, and C$321 million, or $239 million, respectively, of outstanding borrowings under our Canadian term loan. As of December 31, 2017 and 2016, we had no borrowings or letters of credit outstanding under the Canadian revolving credit facility.</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December 31, 2017 and 2016, we had utilized $507 million and $492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other letter of credit facilities, which are both committed and uncommitted, with terms extending through December 2018.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$2.25 Billion Revolving Credit Facility — </w:t>
      </w:r>
      <w:r>
        <w:rPr>
          <w:rFonts w:ascii="Arial" w:cs="Arial" w:eastAsia="Arial" w:hAnsi="Arial"/>
          <w:sz w:val="18"/>
          <w:szCs w:val="18"/>
          <w:color w:val="auto"/>
        </w:rPr>
        <w:t>During the year ended December 31, 2017, we had net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$703 million under our $2.25 billion revolving credit facility, including a $277 million repayment of an initial borrowing of $277 million used to fund the insurance premiums for a wholly-owned insurance captive. These borrowings were directly deposited into a restricted escrow account to be used solely for paying insurance claims. Accordingly, the restricted funds provided by these financing activities have not been included in new borrowings in our Consolidated Statement of Cash Flows.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year ended December 31, 2017, we had net cash borrowings of $513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(net of the related discount on issuance) for general corporate purposes.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Canadian Term Loan — </w:t>
      </w:r>
      <w:r>
        <w:rPr>
          <w:rFonts w:ascii="Arial" w:cs="Arial" w:eastAsia="Arial" w:hAnsi="Arial"/>
          <w:sz w:val="18"/>
          <w:szCs w:val="18"/>
          <w:color w:val="auto"/>
        </w:rPr>
        <w:t>During the year ended December 31, 2017, we repaid C$179 million, or $137 million, of net</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under our Canadian term loan with available cash. The remaining change in the carrying value of outstanding borrowings under our Canadian term loan is due to foreign currency translation.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Senior Notes — </w:t>
      </w:r>
      <w:r>
        <w:rPr>
          <w:rFonts w:ascii="Arial" w:cs="Arial" w:eastAsia="Arial" w:hAnsi="Arial"/>
          <w:sz w:val="18"/>
          <w:szCs w:val="18"/>
          <w:color w:val="auto"/>
        </w:rPr>
        <w:t>In November 2017, we issued $750 million of 3.15% senior notes that mature in November 2027. We</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the net proceeds of $745 million to repay $590 million of 6.1% senior notes ahead of their scheduled maturity date of March 2018, with the remaining net proceeds used for general corporate purposes. The $6 million loss on early extinguishment of debt reflected in our Consolidated Statement of Operations for the year ended December 31, 2017 relates to this early repayment.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year ended December 31, 2017, we repaid $127 million of our tax-exempt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 at their scheduled maturities. In December 2017, we elected to refund and reissue $124 million of tax-exempt bonds in order to reduce the interest costs associated with this debt.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issued $175 million of tax-exempt bonds in 2017. The proceeds from the issuance of these bonds were deposited directly into a trust fund and may only be used for the specific purpose for which the money was raised, which is generally to finance expenditures for landfill and solid waste disposal facility construction and development. Accordingly, the restricted funds provided by these financing activities have not been included in new borrowings in our Consolidated Statement of Cash Flows.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Leases and Other — </w:t>
      </w:r>
      <w:r>
        <w:rPr>
          <w:rFonts w:ascii="Arial" w:cs="Arial" w:eastAsia="Arial" w:hAnsi="Arial"/>
          <w:sz w:val="18"/>
          <w:szCs w:val="18"/>
          <w:color w:val="auto"/>
        </w:rPr>
        <w:t>During the year ended December 31, 2017, we had $87 million in new capital leases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new business opportunities, partially offset by net cash repayments of $68 million of other debt.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Scheduled Debt Payments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Principal payments of our debt and capital leases for the next five years and thereafter, based on scheduled maturities are as follows: $737 million in 2018, $302 million in 2019, $754 million in 2020, $549 million in 2021, $592 million in 2022 and $6,667 million thereafter. Our recorded debt and capital lease obligations include non-cash adjustments associated with debt issuance costs, discounts, premiums and fair value adjustments attributable to terminated interest rate derivatives, which have been excluded from these amounts because they will not result in cash payments.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2016, our Canadian subsidiaries repaid C$370 million of intercompany debt to WM Holdings with proceeds from our Canadian term loan. Concurrent with the repayment of the intercompany debt, we terminated the related cross-currency swaps and received $67 million in cash. The cash received from our termination of these swaps was classified as a change in other current assets and other assets within net cash provided by operating activities in the Consolidated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 of Cash Flows. In addition, we recognized $8 million of expense associated with the termination of these swaps in 2016, which was included in other, net in the Consolidated Statement of Operations.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Senior Notes Refinancing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2015, we recognized a pre-tax loss of $552 million associated with the early extinguishment of almost $2 billion of our high-coupon senior notes through make-whole redemption and cash tender offers. We replaced substantially all of the debt extinguished with new senior notes at significantly lower coupon interest rates and extended the weighted average duration of these debt obligations.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debt balances are generally unsecured, except for capital leases and the note payable associated with our investment in low-income housing properties.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$2.25 billion revolving credit facility, our Canadian credit agreement and certain other financing agreements contain financial covenants. The following table summarizes the most restrictive requirements of these financial covenants (all terms used to measure these ratios are defined by the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coverage ratio</w:t>
            </w:r>
          </w:p>
        </w:tc>
        <w:tc>
          <w:tcPr>
            <w:tcW w:w="4140" w:type="dxa"/>
            <w:vAlign w:val="bottom"/>
            <w:shd w:val="clear" w:color="auto" w:fill="CCEEFF"/>
          </w:tcPr>
          <w:p>
            <w:pPr>
              <w:ind w:left="3300"/>
              <w:spacing w:after="0"/>
              <w:rPr>
                <w:sz w:val="20"/>
                <w:szCs w:val="20"/>
                <w:color w:val="auto"/>
              </w:rPr>
            </w:pPr>
            <w:r>
              <w:rPr>
                <w:rFonts w:ascii="Arial" w:cs="Arial" w:eastAsia="Arial" w:hAnsi="Arial"/>
                <w:sz w:val="18"/>
                <w:szCs w:val="18"/>
                <w:color w:val="auto"/>
                <w:w w:val="95"/>
              </w:rPr>
              <w:t>&gt; 2.75 to 1</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debt to EBITDA</w:t>
            </w:r>
          </w:p>
        </w:tc>
        <w:tc>
          <w:tcPr>
            <w:tcW w:w="4140" w:type="dxa"/>
            <w:vAlign w:val="bottom"/>
          </w:tcPr>
          <w:p>
            <w:pPr>
              <w:ind w:left="3300"/>
              <w:spacing w:after="0"/>
              <w:rPr>
                <w:sz w:val="20"/>
                <w:szCs w:val="20"/>
                <w:color w:val="auto"/>
              </w:rPr>
            </w:pPr>
            <w:r>
              <w:rPr>
                <w:rFonts w:ascii="Arial" w:cs="Arial" w:eastAsia="Arial" w:hAnsi="Arial"/>
                <w:sz w:val="18"/>
                <w:szCs w:val="18"/>
                <w:color w:val="auto"/>
                <w:w w:val="95"/>
              </w:rPr>
              <w:t>&lt; 3.50 to 1</w:t>
            </w:r>
          </w:p>
        </w:tc>
      </w:tr>
    </w:tbl>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credit facilities and senior notes also contain certain restrictions intended to monitor our level of subsidiary indebtedness, types of investments and net worth. We monitor our compliance with these restrictions, but do not believe that they significantly impact our ability to enter into investing or financing arrangements typical for our business. As of December 31, 2017 and 2016, we were in compliance with the covenants and restrictions under all of our debt agreements that may have a material effect on our Consolidated Financial Statements.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income tax expense consisted of the following for the years ended December 31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Federal</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29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State</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294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851"/>
        </w:trPr>
        <w:tc>
          <w:tcPr>
            <w:tcW w:w="2940" w:type="dxa"/>
            <w:vAlign w:val="bottom"/>
          </w:tcPr>
          <w:p>
            <w:pPr>
              <w:spacing w:after="0"/>
              <w:rPr>
                <w:sz w:val="24"/>
                <w:szCs w:val="24"/>
                <w:color w:val="auto"/>
              </w:rPr>
            </w:pPr>
          </w:p>
        </w:tc>
        <w:tc>
          <w:tcPr>
            <w:tcW w:w="3360" w:type="dxa"/>
            <w:vAlign w:val="bottom"/>
          </w:tcPr>
          <w:p>
            <w:pPr>
              <w:jc w:val="right"/>
              <w:ind w:right="159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U.S. federal statutory income tax rate is reconciled to the effective income tax rate for the years ended December 31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State and local income taxes, net of federal income tax benefit</w:t>
            </w: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Impacts of enactment of tax reform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Federal tax credits</w:t>
            </w: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equity-based compensation transactions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Tax impact of impairments</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Taxing authority audit settlements and other tax adjustments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Tax rate differential on foreign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18"/>
                <w:szCs w:val="18"/>
                <w:color w:val="auto"/>
              </w:rPr>
            </w:pPr>
          </w:p>
        </w:tc>
      </w:tr>
      <w:tr>
        <w:trPr>
          <w:trHeight w:val="217"/>
        </w:trPr>
        <w:tc>
          <w:tcPr>
            <w:tcW w:w="602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comparability of our income tax expense for the reported periods has been primarily affected by (i) variations in our income before income taxes; (ii) impacts of enactment of tax reform; (iii) federal tax credits; (iv) excess tax benefits associated with equity-based compensation transactions; (v) the tax implications of impairments; (vi) the realization of state net operating losses and credits; (vii) adjustments to our accruals and related deferred taxes and (viii) tax audit settlements.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financial reporting purposes, income before income taxes by source for the years ended December 31 was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17"/>
        </w:trPr>
        <w:tc>
          <w:tcPr>
            <w:tcW w:w="6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Impacts of Enactment of Tax Reform – </w:t>
      </w:r>
      <w:r>
        <w:rPr>
          <w:rFonts w:ascii="Arial" w:cs="Arial" w:eastAsia="Arial" w:hAnsi="Arial"/>
          <w:sz w:val="17"/>
          <w:szCs w:val="17"/>
          <w:color w:val="auto"/>
        </w:rPr>
        <w:t>The Tax Cuts and Jobs Act (the “Act”) was signed into law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22, 2017 and is generally effective for tax years beginning January 1, 2018. The most significant impacts of the Act to the Company include a decrease in the federal corporate income tax rate from 35% to 21% and a one-time, mandatory transition tax on deemed repatriation of previously tax-deferred and unremitted foreign earnings. For the year ended December 31, 2017, we had an income tax benefit of $529 million consisting of a net tax benefit of $595 million for the re-measurement of our deferred income tax assets and liabilities due to the decrease in the federal corporate income tax rate, partially offset by income tax expense of $66 million for the one-time, mandatory transition tax. The Company will elect to pay the federal portion of the transition tax liability over a period of eight years beginning in 2018.</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Shortly after the Act was enacted, The Securities and Exchange Commission (“SEC”) issued guidance under Staff Accounting Bulletin No. 118, Income Tax Accounting Implications of the Tax Cuts and Jobs Act (“SAB 118”) to address the application of GAAP and directing taxpayers to consider the impact of the Act as “provisional” when a registrant does not have the necessary information available, prepared or analyzed (including computations) in reasonable detail to complete the accounting for the change in tax law. In accordance with SAB 118, the Company has recognized the provisional tax impacts, outlined above, related to the re-measurement of our deferred income tax assets and liabilities and the one-time, mandatory transition tax on deemed repatriation. Although the Company does not believe there will be any material adjustments in subsequent reporting periods, the ultimate impact may differ from the provisional amounts, due to, among other things, the significant complexity of the Act and anticipated additional regulatory guidance that may be issued by the Internal Revenue Service (“IRS”), changes in analysis, interpretations and assumptions the Company has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made and actions the Company may take as a result of the Act. The accounting is expected to be complete when the 2017 U.S. corporate income tax return is filed in 2018.</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the Act provides for a territorial tax system, beginning in 2018, it includes two new U.S. tax base erosion provisions, the global intangible low-taxed income (“GILTI”) tax and the base erosion and anti-abuse tax (“BEAT”). Although the Company does not expect that it will be subject to any material incremental U.S. tax on GILTI income beginning in 2018, we have elected to account for any potential GILTI tax in the period in which it is incurred, and therefore have not provided any deferred income tax impacts of GILTI in our consolidated financial statements for the year ended December 31, 2017. In addition, the Company does not expect it will be subject to the minimum tax pursuant to the BEAT provisions.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Investments Qualifying for Federal Tax Credits — </w:t>
      </w:r>
      <w:r>
        <w:rPr>
          <w:rFonts w:ascii="Arial" w:cs="Arial" w:eastAsia="Arial" w:hAnsi="Arial"/>
          <w:sz w:val="17"/>
          <w:szCs w:val="17"/>
          <w:color w:val="auto"/>
        </w:rPr>
        <w:t>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Consolidated Statements of Operations. During the years ended December 31, 2017, 2016 and 2015, we recognized $30 million, $31 million and $30 million of net losses and a reduction in our income tax expense of $51 million, $55 million and $57 million, respectively, primarily because of tax credits realized from these investments. Interest expense associated with our investment in low-income housing properties was not material for the periods presented. See Note 18 for additional information related to these unconsolidated variable interest entities.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Federal Tax Credits — </w:t>
      </w:r>
      <w:r>
        <w:rPr>
          <w:rFonts w:ascii="Arial" w:cs="Arial" w:eastAsia="Arial" w:hAnsi="Arial"/>
          <w:sz w:val="18"/>
          <w:szCs w:val="18"/>
          <w:color w:val="auto"/>
        </w:rPr>
        <w:t>During 2017, 2016 and 2015, we recognized federal tax credits in addition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realized from our investments in low-income housing properties and the refined coal facility, resulting in a reduction in our income tax expense of $13 million, $14 million and $15 million, respectively.</w:t>
      </w:r>
    </w:p>
    <w:p>
      <w:pPr>
        <w:spacing w:after="0" w:line="181"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year ended December 31, 2017, we recognized a reduction in our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$37 million for excess tax benefits related to the vesting or exercise of equity-based compensation awards. See Note 2 for discussion of our adoption of ASU 2016</w:t>
      </w:r>
      <w:r>
        <w:rPr>
          <w:rFonts w:ascii="MS PGothic" w:cs="MS PGothic" w:eastAsia="MS PGothic" w:hAnsi="MS PGothic"/>
          <w:sz w:val="18"/>
          <w:szCs w:val="18"/>
          <w:color w:val="auto"/>
        </w:rPr>
        <w:t>‑</w:t>
      </w:r>
      <w:r>
        <w:rPr>
          <w:rFonts w:ascii="Arial" w:cs="Arial" w:eastAsia="Arial" w:hAnsi="Arial"/>
          <w:sz w:val="18"/>
          <w:szCs w:val="18"/>
          <w:color w:val="auto"/>
        </w:rPr>
        <w:t>09.</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Tax Implications of Impairments </w:t>
      </w:r>
      <w:r>
        <w:rPr>
          <w:rFonts w:ascii="Arial" w:cs="Arial" w:eastAsia="Arial" w:hAnsi="Arial"/>
          <w:sz w:val="18"/>
          <w:szCs w:val="18"/>
          <w:color w:val="auto"/>
        </w:rPr>
        <w:t>— Portions of the impairment charges recognized during the reported periods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deductible for tax purposes. Had the charges been fully deductible, our income tax expense would have been reduced by $15 million, $15 million and $2 million for the years ended December 31, 2017, 2016 and 2015, respectively. See Note 11 for more information related to our impairment charges.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State Net Operating Losses and Credits — </w:t>
      </w:r>
      <w:r>
        <w:rPr>
          <w:rFonts w:ascii="Arial" w:cs="Arial" w:eastAsia="Arial" w:hAnsi="Arial"/>
          <w:sz w:val="17"/>
          <w:szCs w:val="17"/>
          <w:color w:val="auto"/>
        </w:rPr>
        <w:t>During 2017, 2016 and 2015, we recognized state net operating losses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resulting in a reduction in our income tax expense of $12 million, $10 million and $17 million, respectively.</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Adjustments to Accruals and Related Deferred Taxes </w:t>
      </w:r>
      <w:r>
        <w:rPr>
          <w:rFonts w:ascii="Arial" w:cs="Arial" w:eastAsia="Arial" w:hAnsi="Arial"/>
          <w:sz w:val="17"/>
          <w:szCs w:val="17"/>
          <w:color w:val="auto"/>
        </w:rPr>
        <w:t>— Adjustments to our accruals and related deferred taxes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filing of our income tax returns and changes in state laws resulted in a reduction of $5 million, $10 million and $18 million in our income tax expense for the years ended December 31, 2017, 2016 and 2015, respectively.</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Tax Audit Settlements — </w:t>
      </w:r>
      <w:r>
        <w:rPr>
          <w:rFonts w:ascii="Arial" w:cs="Arial" w:eastAsia="Arial" w:hAnsi="Arial"/>
          <w:sz w:val="17"/>
          <w:szCs w:val="17"/>
          <w:color w:val="auto"/>
        </w:rPr>
        <w:t>We file income tax returns in the U.S. and Canada, as well as various state and local</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jurisdictions. We are currently under audit by the IRS and various state and local taxing authorities. Our audits are in various stages of completion. During the reported years, we closed various tax audits and the settlements resulted in 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reduction in our income tax expense of $2 million, $11 million and $10 million for the years ended December 31, 2017, 2016 and 2015, respectively.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We are currently in the examination phase of IRS audits for the 2014 through 2018 tax years and expect these audits to be completed within the next 27 months. We are also currently undergoing audits by various state and local jurisdictions for tax years that date back to 2009, with the exception of affirmative claims in a limited number of jurisdictions that date back to 2000.</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Unremitted Earnings in Foreign Subsidiaries — </w:t>
      </w:r>
      <w:r>
        <w:rPr>
          <w:rFonts w:ascii="Arial" w:cs="Arial" w:eastAsia="Arial" w:hAnsi="Arial"/>
          <w:sz w:val="18"/>
          <w:szCs w:val="18"/>
          <w:color w:val="auto"/>
        </w:rPr>
        <w:t>No additional income taxes have been provided for any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foreign earnings not subject to the one-time, mandatory transition tax, or any additional outside basis difference, as these amounts continue to be indefinitely reinvested in foreign operations. We are still in the process of analyzing the impact of the Act on our indefinite reinvestment assertion.</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deferred tax liabilities as of December 31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Net operating loss, capital loss and tax credit carry-forwards</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Landfill and environmental remediation liabilities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Miscellaneous and other reserves, net</w:t>
            </w: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10"/>
        </w:trPr>
        <w:tc>
          <w:tcPr>
            <w:tcW w:w="5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r>
      <w:tr>
        <w:trPr>
          <w:trHeight w:val="217"/>
        </w:trPr>
        <w:tc>
          <w:tcPr>
            <w:tcW w:w="5840" w:type="dxa"/>
            <w:vAlign w:val="bottom"/>
          </w:tcPr>
          <w:p>
            <w:pPr>
              <w:ind w:left="320"/>
              <w:spacing w:after="0"/>
              <w:rPr>
                <w:sz w:val="20"/>
                <w:szCs w:val="20"/>
                <w:color w:val="auto"/>
              </w:rPr>
            </w:pPr>
            <w:r>
              <w:rPr>
                <w:rFonts w:ascii="Arial" w:cs="Arial" w:eastAsia="Arial" w:hAnsi="Arial"/>
                <w:sz w:val="18"/>
                <w:szCs w:val="18"/>
                <w:color w:val="auto"/>
              </w:rPr>
              <w:t>Net deferred tax liabilities</w:t>
            </w:r>
          </w:p>
        </w:tc>
        <w:tc>
          <w:tcPr>
            <w:tcW w:w="1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valuation allowance decreased by $28 million in 2017 primarily due to the impacts of enactment of tax reform, specifically the re-measurement of our deferred income tax assets and liabilities, partially offset by non-benefitted foreign tax credit carry-forwards resulting from the deemed repatriation of previously tax-deferred and unremitted foreign earnings.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2017, we had $2 million of federal net operating loss carry-forwards and $1.8 billion of state net operating loss carry-forwards. The federal and state net operating loss carry-forwards have expiration dates through the year 2037. We also had $442 million of federal capital loss carry-forwards with expiration dates through 2021, $39 million of foreign tax credit carry-forwards that expire in 2027 and $21 million of state tax credit carry-forwards.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Liabilities for Uncertain Tax Positions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 of gross unrecognized tax benefits, including accrued interest,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liabilities are included as a component of long-term other liabilities in our Consolidated Balance Sheets because the Company does not anticipate that settlement of the liabilities will require payment of cash within the next 12 months. As of December 31, 2017, we have $94 million of net unrecognized tax benefits that, if recognized in future periods, would impact our effective tax rate.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recognize interest expense related to unrecognized tax benefits in our income tax expense. During the years ended December 31, 2017, 2016 and 2015, we recognized $4 million, $2 million and $2 million, respectively, of such interest expense as a component of our income tax expense. We had $7 million and $5 million of accrued interest expense in our Consolidated Balance Sheets as of December 31, 2017 and 2016, respectively. We did not have any accrued liabilities or expense for penalties related to unrecognized tax benefits for the reported periods.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Employee Benefit Plans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Defined Contribution Plans — </w:t>
      </w:r>
      <w:r>
        <w:rPr>
          <w:rFonts w:ascii="Arial" w:cs="Arial" w:eastAsia="Arial" w:hAnsi="Arial"/>
          <w:sz w:val="17"/>
          <w:szCs w:val="17"/>
          <w:color w:val="auto"/>
        </w:rPr>
        <w:t>Waste Management sponsors a 401(k) retirement savings plan that covers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those working subject to collective bargaining agreements that do not provide for coverage under the plan. U.S. employees who are not subject to such collective bargaining agreements are generally eligible to participate in the plan following a 90-day waiting period after hire and may contribute as much as 50% of their eligible annual compensation and 80% of their annual incentive plan bonus, subject to annual contribution limitations established by the IRS. Under the retirement savings plan, for non-union employees, we match 100% of employee contributions on the first 3% of their eligible annual compensation and 50% of employee contributions on the next 3% of their eligible annual compensation, resulting in a maximum match of 4.5% of eligible annual compensation. Both employee and Company contributions are in cash and vest immediately. Certain U.S. employees who are subject to collective bargaining agreements may participate in the 401(k) retirement savings plan under terms specified in their collective bargaining agreement. Certain employees outside the U.S., including those in Canada, participate in defined contribution plans maintained by the Company in compliance with laws of the appropriate jurisdiction. Charges to operating and selling, general and administrative expenses for our defined contribution plans totaled $70 million, $64 million and $61 million for the years ended December 31, 2017, 2016 and 2015, respectively.</w:t>
      </w:r>
    </w:p>
    <w:p>
      <w:pPr>
        <w:spacing w:after="0" w:line="1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Defined Benefit Plans (other than multiemployer defined benefit pension plans discussed below) — </w:t>
      </w:r>
      <w:r>
        <w:rPr>
          <w:rFonts w:ascii="Arial" w:cs="Arial" w:eastAsia="Arial" w:hAnsi="Arial"/>
          <w:sz w:val="16"/>
          <w:szCs w:val="16"/>
          <w:color w:val="auto"/>
        </w:rPr>
        <w:t>WM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sponsors a defined benefit plan for certain employees who are subject to collective bargaining agreements that provide for participation in this plan. Further, certain of our Canadian subsidiaries sponsor defined benefit plans which have previously been frozen to new participants. As of December 31, 2017, the combined benefit obligation of these pension plans was $126 million, and the plans had $120 million of combined plan assets, resulting in an aggregate unfunded benefit obligation for these plans of $6 million. As of December 31, 2016, the combined benefit obligation of these pension plans was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$114 million, and the plans had $103 million of combined plan assets, resulting in an aggregate unfunded benefit obligation for these plans of $11 million.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$23 million and $26 million as of December 31, 2017 and 2016, respectively.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accrued benefit liabilities for our defined benefit pension and other post-retirement plans were $29 million and $37 million as of December 31, 2017 and 2016, respectively, and are included as components of accrued liabilities and long-term other liabilities in our Consolidated Balance Sheets.</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We are a participating employer in a number of trustee-managed</w:t>
      </w:r>
      <w:r>
        <w:rPr>
          <w:rFonts w:ascii="Arial" w:cs="Arial" w:eastAsia="Arial" w:hAnsi="Arial"/>
          <w:sz w:val="16"/>
          <w:szCs w:val="16"/>
          <w:i w:val="1"/>
          <w:iCs w:val="1"/>
          <w:color w:val="auto"/>
        </w:rPr>
        <w:t xml:space="preserve"> </w:t>
      </w:r>
      <w:r>
        <w:rPr>
          <w:rFonts w:ascii="Arial" w:cs="Arial" w:eastAsia="Arial" w:hAnsi="Arial"/>
          <w:sz w:val="16"/>
          <w:szCs w:val="16"/>
          <w:color w:val="auto"/>
        </w:rPr>
        <w:t>multiemployer defined benefit pension plans (“Multiemployer Pension Plans”) for employees who are covered by collective bargaining agreements. The risks of participating in these Multiemployer Pension Plans are different from single-employer plans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w:t>
      </w:r>
    </w:p>
    <w:p>
      <w:pPr>
        <w:spacing w:after="0" w:line="5" w:lineRule="exact"/>
        <w:rPr>
          <w:sz w:val="20"/>
          <w:szCs w:val="20"/>
          <w:color w:val="auto"/>
        </w:rPr>
      </w:pPr>
    </w:p>
    <w:p>
      <w:pPr>
        <w:jc w:val="both"/>
        <w:ind w:firstLine="3"/>
        <w:spacing w:after="0" w:line="255" w:lineRule="auto"/>
        <w:tabs>
          <w:tab w:leader="none" w:pos="325"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we choose to stop participating in any of our Multiemployer Pension Plans, we may be required to pay those plans a withdrawal amount based on the underfunded status of the plan. The following table outlines our participation in Multiemployer Pension Plans considered to be individually significant (dollar amounts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Pension Protection Act</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Company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Collective</w:t>
            </w:r>
          </w:p>
        </w:tc>
        <w:tc>
          <w:tcPr>
            <w:tcW w:w="0" w:type="dxa"/>
            <w:vAlign w:val="bottom"/>
          </w:tcPr>
          <w:p>
            <w:pPr>
              <w:spacing w:after="0"/>
              <w:rPr>
                <w:sz w:val="1"/>
                <w:szCs w:val="1"/>
                <w:color w:val="auto"/>
              </w:rPr>
            </w:pPr>
          </w:p>
        </w:tc>
      </w:tr>
      <w:tr>
        <w:trPr>
          <w:trHeight w:val="153"/>
        </w:trPr>
        <w:tc>
          <w:tcPr>
            <w:tcW w:w="2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EIN/Pension Plan</w:t>
            </w:r>
          </w:p>
        </w:tc>
        <w:tc>
          <w:tcPr>
            <w:tcW w:w="15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5"/>
              </w:rPr>
              <w:t>Reported Status(a)</w:t>
            </w:r>
          </w:p>
        </w:tc>
        <w:tc>
          <w:tcPr>
            <w:tcW w:w="96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auto"/>
                <w:w w:val="95"/>
              </w:rPr>
              <w:t>FIP/RP</w:t>
            </w:r>
          </w:p>
        </w:tc>
        <w:tc>
          <w:tcPr>
            <w:tcW w:w="400" w:type="dxa"/>
            <w:vAlign w:val="bottom"/>
          </w:tcPr>
          <w:p>
            <w:pPr>
              <w:spacing w:after="0"/>
              <w:rPr>
                <w:sz w:val="13"/>
                <w:szCs w:val="13"/>
                <w:color w:val="auto"/>
              </w:rPr>
            </w:pPr>
          </w:p>
        </w:tc>
        <w:tc>
          <w:tcPr>
            <w:tcW w:w="960" w:type="dxa"/>
            <w:vAlign w:val="bottom"/>
            <w:gridSpan w:val="7"/>
          </w:tcPr>
          <w:p>
            <w:pPr>
              <w:jc w:val="center"/>
              <w:ind w:right="14"/>
              <w:spacing w:after="0"/>
              <w:rPr>
                <w:sz w:val="20"/>
                <w:szCs w:val="20"/>
                <w:color w:val="auto"/>
              </w:rPr>
            </w:pPr>
            <w:r>
              <w:rPr>
                <w:rFonts w:ascii="Arial" w:cs="Arial" w:eastAsia="Arial" w:hAnsi="Arial"/>
                <w:sz w:val="13"/>
                <w:szCs w:val="13"/>
                <w:b w:val="1"/>
                <w:bCs w:val="1"/>
                <w:color w:val="auto"/>
                <w:w w:val="90"/>
              </w:rPr>
              <w:t>Contributions(d)</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c>
          <w:tcPr>
            <w:tcW w:w="0" w:type="dxa"/>
            <w:vAlign w:val="bottom"/>
          </w:tcPr>
          <w:p>
            <w:pPr>
              <w:spacing w:after="0"/>
              <w:rPr>
                <w:sz w:val="1"/>
                <w:szCs w:val="1"/>
                <w:color w:val="auto"/>
              </w:rPr>
            </w:pPr>
          </w:p>
        </w:tc>
      </w:tr>
      <w:tr>
        <w:trPr>
          <w:trHeight w:val="129"/>
        </w:trPr>
        <w:tc>
          <w:tcPr>
            <w:tcW w:w="26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Pension Fund</w:t>
            </w:r>
          </w:p>
        </w:tc>
        <w:tc>
          <w:tcPr>
            <w:tcW w:w="140" w:type="dxa"/>
            <w:vAlign w:val="bottom"/>
          </w:tcPr>
          <w:p>
            <w:pPr>
              <w:spacing w:after="0"/>
              <w:rPr>
                <w:sz w:val="11"/>
                <w:szCs w:val="11"/>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3"/>
                <w:szCs w:val="13"/>
                <w:b w:val="1"/>
                <w:bCs w:val="1"/>
                <w:color w:val="auto"/>
              </w:rPr>
              <w:t>Number</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2017</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2016</w:t>
            </w:r>
          </w:p>
        </w:tc>
        <w:tc>
          <w:tcPr>
            <w:tcW w:w="140" w:type="dxa"/>
            <w:vAlign w:val="bottom"/>
          </w:tcPr>
          <w:p>
            <w:pPr>
              <w:spacing w:after="0"/>
              <w:rPr>
                <w:sz w:val="11"/>
                <w:szCs w:val="11"/>
                <w:color w:val="auto"/>
              </w:rPr>
            </w:pPr>
          </w:p>
        </w:tc>
        <w:tc>
          <w:tcPr>
            <w:tcW w:w="86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88"/>
              </w:rPr>
              <w:t>Status(b)(c)</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6"/>
              </w:rPr>
              <w:t>2017</w:t>
            </w: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89"/>
              </w:rPr>
              <w:t>2016</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2015</w:t>
            </w:r>
          </w:p>
        </w:tc>
        <w:tc>
          <w:tcPr>
            <w:tcW w:w="1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Agreement(s)</w:t>
            </w:r>
          </w:p>
        </w:tc>
        <w:tc>
          <w:tcPr>
            <w:tcW w:w="0" w:type="dxa"/>
            <w:vAlign w:val="bottom"/>
          </w:tcPr>
          <w:p>
            <w:pPr>
              <w:spacing w:after="0"/>
              <w:rPr>
                <w:sz w:val="1"/>
                <w:szCs w:val="1"/>
                <w:color w:val="auto"/>
              </w:rPr>
            </w:pPr>
          </w:p>
        </w:tc>
      </w:tr>
      <w:tr>
        <w:trPr>
          <w:trHeight w:val="114"/>
        </w:trPr>
        <w:tc>
          <w:tcPr>
            <w:tcW w:w="260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Automotive Industries Pension Plan</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4"/>
              </w:rPr>
              <w:t>EIN: 94-1133245;</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2"/>
              </w:rPr>
              <w:t>Critical and</w:t>
            </w: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Implemented</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w:t>
            </w: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6"/>
              </w:rPr>
              <w:t>6/30/2018</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Plan Number: 001</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3"/>
              </w:rPr>
              <w:t>Declining</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Declining</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88"/>
              </w:rPr>
              <w:t>Distributors Association Warehousemen’s Pension</w:t>
            </w:r>
          </w:p>
        </w:tc>
        <w:tc>
          <w:tcPr>
            <w:tcW w:w="1260" w:type="dxa"/>
            <w:vAlign w:val="bottom"/>
            <w:gridSpan w:val="3"/>
          </w:tcPr>
          <w:p>
            <w:pPr>
              <w:ind w:left="140"/>
              <w:spacing w:after="0" w:line="121" w:lineRule="exact"/>
              <w:rPr>
                <w:sz w:val="20"/>
                <w:szCs w:val="20"/>
                <w:color w:val="auto"/>
              </w:rPr>
            </w:pPr>
            <w:r>
              <w:rPr>
                <w:rFonts w:ascii="Arial" w:cs="Arial" w:eastAsia="Arial" w:hAnsi="Arial"/>
                <w:sz w:val="13"/>
                <w:szCs w:val="13"/>
                <w:color w:val="auto"/>
              </w:rPr>
              <w:t>EIN: 94-0294755;</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1"/>
              </w:rPr>
              <w:t>Critical as</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1"/>
              </w:rPr>
              <w:t>Critical as</w:t>
            </w:r>
          </w:p>
        </w:tc>
        <w:tc>
          <w:tcPr>
            <w:tcW w:w="960" w:type="dxa"/>
            <w:vAlign w:val="bottom"/>
            <w:gridSpan w:val="3"/>
          </w:tcPr>
          <w:p>
            <w:pPr>
              <w:jc w:val="center"/>
              <w:ind w:right="193"/>
              <w:spacing w:after="0" w:line="121" w:lineRule="exact"/>
              <w:rPr>
                <w:sz w:val="20"/>
                <w:szCs w:val="20"/>
                <w:color w:val="auto"/>
              </w:rPr>
            </w:pPr>
            <w:r>
              <w:rPr>
                <w:rFonts w:ascii="Arial" w:cs="Arial" w:eastAsia="Arial" w:hAnsi="Arial"/>
                <w:sz w:val="13"/>
                <w:szCs w:val="13"/>
                <w:color w:val="auto"/>
                <w:w w:val="90"/>
              </w:rPr>
              <w:t>Implemented</w:t>
            </w: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Arial" w:cs="Arial" w:eastAsia="Arial" w:hAnsi="Arial"/>
                <w:sz w:val="13"/>
                <w:szCs w:val="13"/>
                <w:color w:val="auto"/>
              </w:rPr>
              <w:t>1</w:t>
            </w:r>
          </w:p>
        </w:tc>
        <w:tc>
          <w:tcPr>
            <w:tcW w:w="920" w:type="dxa"/>
            <w:vAlign w:val="bottom"/>
            <w:gridSpan w:val="2"/>
          </w:tcPr>
          <w:p>
            <w:pPr>
              <w:jc w:val="center"/>
              <w:ind w:left="77"/>
              <w:spacing w:after="0" w:line="121" w:lineRule="exact"/>
              <w:rPr>
                <w:sz w:val="20"/>
                <w:szCs w:val="20"/>
                <w:color w:val="auto"/>
              </w:rPr>
            </w:pPr>
            <w:r>
              <w:rPr>
                <w:rFonts w:ascii="Arial" w:cs="Arial" w:eastAsia="Arial" w:hAnsi="Arial"/>
                <w:sz w:val="13"/>
                <w:szCs w:val="13"/>
                <w:color w:val="auto"/>
                <w:w w:val="90"/>
              </w:rPr>
              <w:t>4/7/2018</w:t>
            </w:r>
          </w:p>
        </w:tc>
        <w:tc>
          <w:tcPr>
            <w:tcW w:w="0" w:type="dxa"/>
            <w:vAlign w:val="bottom"/>
          </w:tcPr>
          <w:p>
            <w:pPr>
              <w:spacing w:after="0"/>
              <w:rPr>
                <w:sz w:val="1"/>
                <w:szCs w:val="1"/>
                <w:color w:val="auto"/>
              </w:rPr>
            </w:pPr>
          </w:p>
        </w:tc>
      </w:tr>
      <w:tr>
        <w:trPr>
          <w:trHeight w:val="135"/>
        </w:trPr>
        <w:tc>
          <w:tcPr>
            <w:tcW w:w="26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Trust</w:t>
            </w:r>
          </w:p>
        </w:tc>
        <w:tc>
          <w:tcPr>
            <w:tcW w:w="12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Plan Number: 002</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rPr>
              <w:t>of</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rPr>
              <w:t>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89"/>
              </w:rPr>
              <w:t>5/31/2016</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89"/>
              </w:rPr>
              <w:t>5/31/2015</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Local 731 Private Scavengers and Garage</w:t>
            </w:r>
          </w:p>
        </w:tc>
        <w:tc>
          <w:tcPr>
            <w:tcW w:w="1260" w:type="dxa"/>
            <w:vAlign w:val="bottom"/>
            <w:gridSpan w:val="3"/>
            <w:shd w:val="clear" w:color="auto" w:fill="CCEEFF"/>
          </w:tcPr>
          <w:p>
            <w:pPr>
              <w:ind w:left="140"/>
              <w:spacing w:after="0" w:line="121" w:lineRule="exact"/>
              <w:rPr>
                <w:sz w:val="20"/>
                <w:szCs w:val="20"/>
                <w:color w:val="auto"/>
              </w:rPr>
            </w:pPr>
            <w:r>
              <w:rPr>
                <w:rFonts w:ascii="Arial" w:cs="Arial" w:eastAsia="Arial" w:hAnsi="Arial"/>
                <w:sz w:val="13"/>
                <w:szCs w:val="13"/>
                <w:color w:val="auto"/>
              </w:rPr>
              <w:t>EIN: 36-6513567;</w:t>
            </w:r>
          </w:p>
        </w:tc>
        <w:tc>
          <w:tcPr>
            <w:tcW w:w="7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76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8"/>
              </w:rPr>
              <w:t>Not</w:t>
            </w:r>
          </w:p>
        </w:tc>
        <w:tc>
          <w:tcPr>
            <w:tcW w:w="960" w:type="dxa"/>
            <w:vAlign w:val="bottom"/>
            <w:gridSpan w:val="3"/>
            <w:shd w:val="clear" w:color="auto" w:fill="CCEEFF"/>
          </w:tcPr>
          <w:p>
            <w:pPr>
              <w:jc w:val="center"/>
              <w:ind w:right="193"/>
              <w:spacing w:after="0" w:line="121" w:lineRule="exact"/>
              <w:rPr>
                <w:sz w:val="20"/>
                <w:szCs w:val="20"/>
                <w:color w:val="auto"/>
              </w:rPr>
            </w:pPr>
            <w:r>
              <w:rPr>
                <w:rFonts w:ascii="Arial" w:cs="Arial" w:eastAsia="Arial" w:hAnsi="Arial"/>
                <w:sz w:val="13"/>
                <w:szCs w:val="13"/>
                <w:color w:val="auto"/>
                <w:w w:val="90"/>
              </w:rPr>
              <w:t>Implemented</w:t>
            </w: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6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Attendants Pension Trust Fund</w:t>
            </w:r>
          </w:p>
        </w:tc>
        <w:tc>
          <w:tcPr>
            <w:tcW w:w="12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4"/>
              </w:rPr>
              <w:t>or Critical</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4"/>
              </w:rPr>
              <w:t>or Critical</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left="77"/>
              <w:spacing w:after="0" w:line="135" w:lineRule="exact"/>
              <w:rPr>
                <w:sz w:val="20"/>
                <w:szCs w:val="20"/>
                <w:color w:val="auto"/>
              </w:rPr>
            </w:pPr>
            <w:r>
              <w:rPr>
                <w:rFonts w:ascii="Arial" w:cs="Arial" w:eastAsia="Arial" w:hAnsi="Arial"/>
                <w:sz w:val="13"/>
                <w:szCs w:val="13"/>
                <w:color w:val="auto"/>
                <w:w w:val="89"/>
              </w:rPr>
              <w:t>10/31/2019</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as of</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as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9/30/2016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9/30/2015</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92"/>
              </w:rPr>
              <w:t>Suburban Teamsters of Northern Illinois Pension</w:t>
            </w:r>
          </w:p>
        </w:tc>
        <w:tc>
          <w:tcPr>
            <w:tcW w:w="1260" w:type="dxa"/>
            <w:vAlign w:val="bottom"/>
            <w:gridSpan w:val="3"/>
          </w:tcPr>
          <w:p>
            <w:pPr>
              <w:ind w:left="140"/>
              <w:spacing w:after="0" w:line="121" w:lineRule="exact"/>
              <w:rPr>
                <w:sz w:val="20"/>
                <w:szCs w:val="20"/>
                <w:color w:val="auto"/>
              </w:rPr>
            </w:pPr>
            <w:r>
              <w:rPr>
                <w:rFonts w:ascii="Arial" w:cs="Arial" w:eastAsia="Arial" w:hAnsi="Arial"/>
                <w:sz w:val="13"/>
                <w:szCs w:val="13"/>
                <w:color w:val="auto"/>
              </w:rPr>
              <w:t>EIN: 36-6155778;</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4"/>
              </w:rPr>
              <w:t>Endangered</w:t>
            </w:r>
          </w:p>
        </w:tc>
        <w:tc>
          <w:tcPr>
            <w:tcW w:w="960" w:type="dxa"/>
            <w:vAlign w:val="bottom"/>
            <w:gridSpan w:val="3"/>
          </w:tcPr>
          <w:p>
            <w:pPr>
              <w:jc w:val="center"/>
              <w:ind w:right="193"/>
              <w:spacing w:after="0" w:line="121" w:lineRule="exact"/>
              <w:rPr>
                <w:sz w:val="20"/>
                <w:szCs w:val="20"/>
                <w:color w:val="auto"/>
              </w:rPr>
            </w:pPr>
            <w:r>
              <w:rPr>
                <w:rFonts w:ascii="Arial" w:cs="Arial" w:eastAsia="Arial" w:hAnsi="Arial"/>
                <w:sz w:val="13"/>
                <w:szCs w:val="13"/>
                <w:color w:val="auto"/>
                <w:w w:val="90"/>
              </w:rPr>
              <w:t>Implemented</w:t>
            </w: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6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Plan</w:t>
            </w:r>
          </w:p>
        </w:tc>
        <w:tc>
          <w:tcPr>
            <w:tcW w:w="12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9/30/2022</w:t>
            </w:r>
          </w:p>
        </w:tc>
        <w:tc>
          <w:tcPr>
            <w:tcW w:w="0" w:type="dxa"/>
            <w:vAlign w:val="bottom"/>
          </w:tcPr>
          <w:p>
            <w:pPr>
              <w:spacing w:after="0"/>
              <w:rPr>
                <w:sz w:val="1"/>
                <w:szCs w:val="1"/>
                <w:color w:val="auto"/>
              </w:rPr>
            </w:pPr>
          </w:p>
        </w:tc>
      </w:tr>
      <w:tr>
        <w:trPr>
          <w:trHeight w:val="121"/>
        </w:trPr>
        <w:tc>
          <w:tcPr>
            <w:tcW w:w="2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Teamsters Local 301 Pension Plan</w:t>
            </w:r>
          </w:p>
        </w:tc>
        <w:tc>
          <w:tcPr>
            <w:tcW w:w="1260" w:type="dxa"/>
            <w:vAlign w:val="bottom"/>
            <w:gridSpan w:val="3"/>
            <w:shd w:val="clear" w:color="auto" w:fill="CCEEFF"/>
          </w:tcPr>
          <w:p>
            <w:pPr>
              <w:ind w:left="140"/>
              <w:spacing w:after="0" w:line="121" w:lineRule="exact"/>
              <w:rPr>
                <w:sz w:val="20"/>
                <w:szCs w:val="20"/>
                <w:color w:val="auto"/>
              </w:rPr>
            </w:pPr>
            <w:r>
              <w:rPr>
                <w:rFonts w:ascii="Arial" w:cs="Arial" w:eastAsia="Arial" w:hAnsi="Arial"/>
                <w:sz w:val="13"/>
                <w:szCs w:val="13"/>
                <w:color w:val="auto"/>
              </w:rPr>
              <w:t>EIN: 36-6492992;</w:t>
            </w:r>
          </w:p>
        </w:tc>
        <w:tc>
          <w:tcPr>
            <w:tcW w:w="7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76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8"/>
              </w:rPr>
              <w:t>Not</w:t>
            </w:r>
          </w:p>
        </w:tc>
        <w:tc>
          <w:tcPr>
            <w:tcW w:w="960" w:type="dxa"/>
            <w:vAlign w:val="bottom"/>
            <w:gridSpan w:val="3"/>
            <w:shd w:val="clear" w:color="auto" w:fill="CCEEFF"/>
          </w:tcPr>
          <w:p>
            <w:pPr>
              <w:jc w:val="center"/>
              <w:ind w:right="193"/>
              <w:spacing w:after="0" w:line="121" w:lineRule="exact"/>
              <w:rPr>
                <w:sz w:val="20"/>
                <w:szCs w:val="20"/>
                <w:color w:val="auto"/>
              </w:rPr>
            </w:pPr>
            <w:r>
              <w:rPr>
                <w:rFonts w:ascii="Arial" w:cs="Arial" w:eastAsia="Arial" w:hAnsi="Arial"/>
                <w:sz w:val="13"/>
                <w:szCs w:val="13"/>
                <w:color w:val="auto"/>
                <w:w w:val="98"/>
              </w:rPr>
              <w:t>Not</w:t>
            </w: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center"/>
              <w:ind w:left="77"/>
              <w:spacing w:after="0" w:line="121" w:lineRule="exact"/>
              <w:rPr>
                <w:sz w:val="20"/>
                <w:szCs w:val="20"/>
                <w:color w:val="auto"/>
              </w:rPr>
            </w:pPr>
            <w:r>
              <w:rPr>
                <w:rFonts w:ascii="Arial" w:cs="Arial" w:eastAsia="Arial" w:hAnsi="Arial"/>
                <w:sz w:val="13"/>
                <w:szCs w:val="13"/>
                <w:color w:val="auto"/>
                <w:w w:val="86"/>
              </w:rPr>
              <w:t>9/30/2018</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7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960" w:type="dxa"/>
            <w:vAlign w:val="bottom"/>
            <w:gridSpan w:val="3"/>
            <w:shd w:val="clear" w:color="auto" w:fill="CCEEFF"/>
          </w:tcPr>
          <w:p>
            <w:pPr>
              <w:jc w:val="center"/>
              <w:ind w:right="193"/>
              <w:spacing w:after="0" w:line="135" w:lineRule="exact"/>
              <w:rPr>
                <w:sz w:val="20"/>
                <w:szCs w:val="20"/>
                <w:color w:val="auto"/>
              </w:rPr>
            </w:pPr>
            <w:r>
              <w:rPr>
                <w:rFonts w:ascii="Arial" w:cs="Arial" w:eastAsia="Arial" w:hAnsi="Arial"/>
                <w:sz w:val="13"/>
                <w:szCs w:val="13"/>
                <w:color w:val="auto"/>
                <w:w w:val="93"/>
              </w:rPr>
              <w:t>Applicable</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or Critical</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00" w:type="dxa"/>
            <w:vAlign w:val="bottom"/>
            <w:gridSpan w:val="2"/>
          </w:tcPr>
          <w:p>
            <w:pPr>
              <w:spacing w:after="0" w:line="121" w:lineRule="exact"/>
              <w:rPr>
                <w:sz w:val="20"/>
                <w:szCs w:val="20"/>
                <w:color w:val="auto"/>
              </w:rPr>
            </w:pPr>
            <w:r>
              <w:rPr>
                <w:rFonts w:ascii="Arial" w:cs="Arial" w:eastAsia="Arial" w:hAnsi="Arial"/>
                <w:sz w:val="13"/>
                <w:szCs w:val="13"/>
                <w:color w:val="auto"/>
                <w:w w:val="92"/>
              </w:rPr>
              <w:t>Western Conference of Teamsters Pension Plan</w:t>
            </w:r>
          </w:p>
        </w:tc>
        <w:tc>
          <w:tcPr>
            <w:tcW w:w="1260" w:type="dxa"/>
            <w:vAlign w:val="bottom"/>
            <w:gridSpan w:val="3"/>
          </w:tcPr>
          <w:p>
            <w:pPr>
              <w:ind w:left="140"/>
              <w:spacing w:after="0" w:line="121" w:lineRule="exact"/>
              <w:rPr>
                <w:sz w:val="20"/>
                <w:szCs w:val="20"/>
                <w:color w:val="auto"/>
              </w:rPr>
            </w:pPr>
            <w:r>
              <w:rPr>
                <w:rFonts w:ascii="Arial" w:cs="Arial" w:eastAsia="Arial" w:hAnsi="Arial"/>
                <w:sz w:val="13"/>
                <w:szCs w:val="13"/>
                <w:color w:val="auto"/>
              </w:rPr>
              <w:t>EIN: 91-6145047;</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8"/>
              </w:rPr>
              <w:t>Not</w:t>
            </w:r>
          </w:p>
        </w:tc>
        <w:tc>
          <w:tcPr>
            <w:tcW w:w="76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8"/>
              </w:rPr>
              <w:t>Not</w:t>
            </w:r>
          </w:p>
        </w:tc>
        <w:tc>
          <w:tcPr>
            <w:tcW w:w="960" w:type="dxa"/>
            <w:vAlign w:val="bottom"/>
            <w:gridSpan w:val="3"/>
          </w:tcPr>
          <w:p>
            <w:pPr>
              <w:jc w:val="center"/>
              <w:ind w:right="193"/>
              <w:spacing w:after="0" w:line="121" w:lineRule="exact"/>
              <w:rPr>
                <w:sz w:val="20"/>
                <w:szCs w:val="20"/>
                <w:color w:val="auto"/>
              </w:rPr>
            </w:pPr>
            <w:r>
              <w:rPr>
                <w:rFonts w:ascii="Arial" w:cs="Arial" w:eastAsia="Arial" w:hAnsi="Arial"/>
                <w:sz w:val="13"/>
                <w:szCs w:val="13"/>
                <w:color w:val="auto"/>
                <w:w w:val="98"/>
              </w:rPr>
              <w:t>Not</w:t>
            </w: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1" w:lineRule="exact"/>
              <w:rPr>
                <w:sz w:val="20"/>
                <w:szCs w:val="20"/>
                <w:color w:val="auto"/>
              </w:rPr>
            </w:pPr>
            <w:r>
              <w:rPr>
                <w:rFonts w:ascii="Arial" w:cs="Arial" w:eastAsia="Arial" w:hAnsi="Arial"/>
                <w:sz w:val="13"/>
                <w:szCs w:val="13"/>
                <w:color w:val="auto"/>
              </w:rPr>
              <w:t>25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3"/>
                <w:szCs w:val="13"/>
                <w:color w:val="auto"/>
                <w:w w:val="85"/>
              </w:rPr>
              <w:t>Various dates</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3"/>
                <w:szCs w:val="13"/>
                <w:color w:val="auto"/>
              </w:rPr>
              <w:t>Plan Number: 001</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Endangered</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4"/>
              </w:rPr>
              <w:t>Endangered</w:t>
            </w:r>
          </w:p>
        </w:tc>
        <w:tc>
          <w:tcPr>
            <w:tcW w:w="960" w:type="dxa"/>
            <w:vAlign w:val="bottom"/>
            <w:gridSpan w:val="3"/>
          </w:tcPr>
          <w:p>
            <w:pPr>
              <w:jc w:val="center"/>
              <w:ind w:right="193"/>
              <w:spacing w:after="0" w:line="135" w:lineRule="exact"/>
              <w:rPr>
                <w:sz w:val="20"/>
                <w:szCs w:val="20"/>
                <w:color w:val="auto"/>
              </w:rPr>
            </w:pPr>
            <w:r>
              <w:rPr>
                <w:rFonts w:ascii="Arial" w:cs="Arial" w:eastAsia="Arial" w:hAnsi="Arial"/>
                <w:sz w:val="13"/>
                <w:szCs w:val="13"/>
                <w:color w:val="auto"/>
                <w:w w:val="93"/>
              </w:rPr>
              <w:t>Applicable</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6"/>
              </w:rPr>
              <w:t>through</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or Critical</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or Critical</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9/30/2022</w:t>
            </w:r>
          </w:p>
        </w:tc>
        <w:tc>
          <w:tcPr>
            <w:tcW w:w="0" w:type="dxa"/>
            <w:vAlign w:val="bottom"/>
          </w:tcPr>
          <w:p>
            <w:pPr>
              <w:spacing w:after="0"/>
              <w:rPr>
                <w:sz w:val="1"/>
                <w:szCs w:val="1"/>
                <w:color w:val="auto"/>
              </w:rPr>
            </w:pPr>
          </w:p>
        </w:tc>
      </w:tr>
      <w:tr>
        <w:trPr>
          <w:trHeight w:val="121"/>
        </w:trPr>
        <w:tc>
          <w:tcPr>
            <w:tcW w:w="2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0"/>
              </w:rPr>
              <w:t>Western Pennsylvania Teamsters and Employers</w:t>
            </w:r>
          </w:p>
        </w:tc>
        <w:tc>
          <w:tcPr>
            <w:tcW w:w="1260" w:type="dxa"/>
            <w:vAlign w:val="bottom"/>
            <w:gridSpan w:val="3"/>
            <w:shd w:val="clear" w:color="auto" w:fill="CCEEFF"/>
          </w:tcPr>
          <w:p>
            <w:pPr>
              <w:ind w:left="140"/>
              <w:spacing w:after="0" w:line="121" w:lineRule="exact"/>
              <w:rPr>
                <w:sz w:val="20"/>
                <w:szCs w:val="20"/>
                <w:color w:val="auto"/>
              </w:rPr>
            </w:pPr>
            <w:r>
              <w:rPr>
                <w:rFonts w:ascii="Arial" w:cs="Arial" w:eastAsia="Arial" w:hAnsi="Arial"/>
                <w:sz w:val="13"/>
                <w:szCs w:val="13"/>
                <w:color w:val="auto"/>
              </w:rPr>
              <w:t>EIN: 25-6029946;</w:t>
            </w:r>
          </w:p>
        </w:tc>
        <w:tc>
          <w:tcPr>
            <w:tcW w:w="74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7"/>
              </w:rPr>
              <w:t>Critical (f)</w:t>
            </w:r>
          </w:p>
        </w:tc>
        <w:tc>
          <w:tcPr>
            <w:tcW w:w="76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5"/>
              </w:rPr>
              <w:t>Critical</w:t>
            </w:r>
          </w:p>
        </w:tc>
        <w:tc>
          <w:tcPr>
            <w:tcW w:w="960" w:type="dxa"/>
            <w:vAlign w:val="bottom"/>
            <w:gridSpan w:val="3"/>
            <w:shd w:val="clear" w:color="auto" w:fill="CCEEFF"/>
          </w:tcPr>
          <w:p>
            <w:pPr>
              <w:jc w:val="center"/>
              <w:ind w:right="193"/>
              <w:spacing w:after="0" w:line="121" w:lineRule="exact"/>
              <w:rPr>
                <w:sz w:val="20"/>
                <w:szCs w:val="20"/>
                <w:color w:val="auto"/>
              </w:rPr>
            </w:pPr>
            <w:r>
              <w:rPr>
                <w:rFonts w:ascii="Arial" w:cs="Arial" w:eastAsia="Arial" w:hAnsi="Arial"/>
                <w:sz w:val="13"/>
                <w:szCs w:val="13"/>
                <w:color w:val="auto"/>
                <w:w w:val="90"/>
              </w:rPr>
              <w:t>Implemented</w:t>
            </w: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7"/>
              </w:rPr>
              <w:t>(f)</w:t>
            </w: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Pension Plan</w:t>
            </w:r>
          </w:p>
        </w:tc>
        <w:tc>
          <w:tcPr>
            <w:tcW w:w="12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Plan Number: 001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41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line="129"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60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Contributions to other Multiemployer Pension</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Plans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600" w:type="dxa"/>
            <w:vAlign w:val="bottom"/>
            <w:gridSpan w:val="2"/>
          </w:tcPr>
          <w:p>
            <w:pPr>
              <w:spacing w:after="0" w:line="101" w:lineRule="exact"/>
              <w:rPr>
                <w:sz w:val="20"/>
                <w:szCs w:val="20"/>
                <w:color w:val="auto"/>
              </w:rPr>
            </w:pPr>
            <w:r>
              <w:rPr>
                <w:rFonts w:ascii="Arial" w:cs="Arial" w:eastAsia="Arial" w:hAnsi="Arial"/>
                <w:sz w:val="11"/>
                <w:szCs w:val="11"/>
                <w:color w:val="auto"/>
              </w:rPr>
              <w:t>Total contributions to Multiemployer Pension</w:t>
            </w: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8"/>
                <w:szCs w:val="8"/>
                <w:color w:val="auto"/>
              </w:rPr>
            </w:pPr>
          </w:p>
        </w:tc>
        <w:tc>
          <w:tcPr>
            <w:tcW w:w="120" w:type="dxa"/>
            <w:vAlign w:val="bottom"/>
            <w:gridSpan w:val="2"/>
            <w:vMerge w:val="restart"/>
          </w:tcPr>
          <w:p>
            <w:pPr>
              <w:jc w:val="right"/>
              <w:ind w:right="34"/>
              <w:spacing w:after="0"/>
              <w:rPr>
                <w:sz w:val="20"/>
                <w:szCs w:val="20"/>
                <w:color w:val="auto"/>
              </w:rPr>
            </w:pPr>
            <w:r>
              <w:rPr>
                <w:rFonts w:ascii="Arial" w:cs="Arial" w:eastAsia="Arial" w:hAnsi="Arial"/>
                <w:sz w:val="9"/>
                <w:szCs w:val="9"/>
                <w:color w:val="auto"/>
                <w:w w:val="78"/>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43</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600" w:type="dxa"/>
            <w:vAlign w:val="bottom"/>
            <w:gridSpan w:val="2"/>
          </w:tcPr>
          <w:p>
            <w:pPr>
              <w:ind w:left="140"/>
              <w:spacing w:after="0" w:line="136" w:lineRule="exact"/>
              <w:rPr>
                <w:sz w:val="20"/>
                <w:szCs w:val="20"/>
                <w:color w:val="auto"/>
              </w:rPr>
            </w:pPr>
            <w:r>
              <w:rPr>
                <w:rFonts w:ascii="Arial" w:cs="Arial" w:eastAsia="Arial" w:hAnsi="Arial"/>
                <w:sz w:val="13"/>
                <w:szCs w:val="13"/>
                <w:color w:val="auto"/>
              </w:rPr>
              <w:t>Plans (e)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302" w:lineRule="auto"/>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Unless otherwise noted in the table above, the most recent Pension Protection Act zone status available in 2017 and 2016 is for the plan’s year-end as of December 31, 2016 and 2015, respectively. The zone status is based on information that we received from the plan and is certified by the plan’s actuary. As defined in the Pension Protection Act of 2006, among other factors, plans reported as critical are generally less than 65% funded and plans reported as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20"/>
        <w:spacing w:after="0" w:line="286" w:lineRule="auto"/>
        <w:rPr>
          <w:sz w:val="20"/>
          <w:szCs w:val="20"/>
          <w:color w:val="auto"/>
        </w:rPr>
      </w:pPr>
      <w:r>
        <w:rPr>
          <w:rFonts w:ascii="Arial" w:cs="Arial" w:eastAsia="Arial" w:hAnsi="Arial"/>
          <w:sz w:val="17"/>
          <w:szCs w:val="17"/>
          <w:color w:val="auto"/>
        </w:rPr>
        <w:t>endangered are generally less than 80% funded. Under the Multiemployer Pension Reform Act of 2014, a plan is generally in critical and declining status if it (i) is certified to be in critical status pursuant to the Pension Protection Act of 2006 and (ii) is projected to be insolvent within the next 15 years or, in certain circumstances, 20 years.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the date the financial statements were issued, Forms 5500 were not available for the plan years ended in 2017.</w:t>
      </w:r>
    </w:p>
    <w:p>
      <w:pPr>
        <w:spacing w:after="0" w:line="140" w:lineRule="exact"/>
        <w:rPr>
          <w:sz w:val="20"/>
          <w:szCs w:val="20"/>
          <w:color w:val="auto"/>
        </w:rPr>
      </w:pPr>
    </w:p>
    <w:p>
      <w:pPr>
        <w:ind w:left="320" w:hanging="317"/>
        <w:spacing w:after="0" w:line="277" w:lineRule="auto"/>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“FIP/RP Status” column indicates plans for which a Funding Improvement Plan (“FIP”) or a Rehabilitation Plan (“RP”) is either pending or has been implemented.</w:t>
      </w:r>
    </w:p>
    <w:p>
      <w:pPr>
        <w:spacing w:after="0" w:line="62" w:lineRule="exact"/>
        <w:rPr>
          <w:rFonts w:ascii="Arial" w:cs="Arial" w:eastAsia="Arial" w:hAnsi="Arial"/>
          <w:sz w:val="18"/>
          <w:szCs w:val="18"/>
          <w:color w:val="auto"/>
        </w:rPr>
      </w:pPr>
    </w:p>
    <w:p>
      <w:pPr>
        <w:jc w:val="both"/>
        <w:ind w:left="320" w:hanging="317"/>
        <w:spacing w:after="0" w:line="279" w:lineRule="auto"/>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Multiemployer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spacing w:after="0" w:line="63" w:lineRule="exact"/>
        <w:rPr>
          <w:rFonts w:ascii="Arial" w:cs="Arial" w:eastAsia="Arial" w:hAnsi="Arial"/>
          <w:sz w:val="17"/>
          <w:szCs w:val="17"/>
          <w:color w:val="auto"/>
        </w:rPr>
      </w:pPr>
    </w:p>
    <w:p>
      <w:pPr>
        <w:ind w:left="320" w:hanging="317"/>
        <w:spacing w:after="0" w:line="277" w:lineRule="auto"/>
        <w:tabs>
          <w:tab w:leader="none" w:pos="3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was listed in the Form 5500 of the Multiemployer Pension Plans considered to be individually significant as providing more than 5% of the total contributions for each of the following plans and plan years: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Year Contributions to Plan</w:t>
            </w:r>
          </w:p>
        </w:tc>
      </w:tr>
      <w:tr>
        <w:trPr>
          <w:trHeight w:val="149"/>
        </w:trPr>
        <w:tc>
          <w:tcPr>
            <w:tcW w:w="49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Exceeded 5% of Total Contributions</w:t>
            </w:r>
          </w:p>
        </w:tc>
      </w:tr>
      <w:tr>
        <w:trPr>
          <w:trHeight w:val="171"/>
        </w:trPr>
        <w:tc>
          <w:tcPr>
            <w:tcW w:w="4900" w:type="dxa"/>
            <w:vAlign w:val="bottom"/>
            <w:tcBorders>
              <w:bottom w:val="single" w:sz="8" w:color="CCEEFF"/>
            </w:tcBorders>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Plan's Year End)</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Distributors Association Warehousemen’s Pension Trust</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5/31/2016 and 5/31/2015</w:t>
            </w: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w w:val="97"/>
              </w:rPr>
              <w:t>Local 731 Private Scavengers and Garage Attendants Pension</w:t>
            </w:r>
          </w:p>
        </w:tc>
        <w:tc>
          <w:tcPr>
            <w:tcW w:w="2340" w:type="dxa"/>
            <w:vAlign w:val="bottom"/>
          </w:tcPr>
          <w:p>
            <w:pPr>
              <w:spacing w:after="0"/>
              <w:rPr>
                <w:sz w:val="17"/>
                <w:szCs w:val="17"/>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Trust Fund</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9/30/2016 and 9/30/2015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Suburban Teamsters of Northern Illinois Pension Plan</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12/31/2016 and 12/31/2015</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Teamsters Local 301 Pension Plan</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12/31/2016 and 12/31/2015</w:t>
            </w:r>
          </w:p>
        </w:tc>
      </w:tr>
    </w:tbl>
    <w:p>
      <w:pPr>
        <w:spacing w:after="0" w:line="187" w:lineRule="exact"/>
        <w:rPr>
          <w:sz w:val="20"/>
          <w:szCs w:val="20"/>
          <w:color w:val="auto"/>
        </w:rPr>
      </w:pPr>
    </w:p>
    <w:p>
      <w:pPr>
        <w:ind w:left="320" w:right="280" w:hanging="317"/>
        <w:spacing w:after="0" w:line="277" w:lineRule="auto"/>
        <w:tabs>
          <w:tab w:leader="none" w:pos="35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 contributions to Multiemployer Pension Plans excludes contributions related to withdrawal liabilities discussed below.</w:t>
      </w:r>
    </w:p>
    <w:p>
      <w:pPr>
        <w:spacing w:after="0" w:line="62" w:lineRule="exact"/>
        <w:rPr>
          <w:rFonts w:ascii="Arial" w:cs="Arial" w:eastAsia="Arial" w:hAnsi="Arial"/>
          <w:sz w:val="18"/>
          <w:szCs w:val="18"/>
          <w:color w:val="auto"/>
        </w:rPr>
      </w:pPr>
    </w:p>
    <w:p>
      <w:pPr>
        <w:jc w:val="both"/>
        <w:ind w:left="320" w:hanging="317"/>
        <w:spacing w:after="0" w:line="264" w:lineRule="auto"/>
        <w:tabs>
          <w:tab w:leader="none" w:pos="3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had a complete withdrawal from this plan during 2017 and correspondingly accrued a liability of $11 million relating to such withdrawal. In January 2018, the Company received a withdrawal liability assessment from the fund and is in the process of finalizing its obligation amount and payment schedule.</w:t>
      </w:r>
    </w:p>
    <w:p>
      <w:pPr>
        <w:spacing w:after="0" w:line="73"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The Company was subsequently notified that the Western Pennsylvania Teamsters and Employers Pension Plan is now in Critical and Declining status.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portion of the projected benefit obligation, plan assets and unfunded liability for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2017 and 2015, we recognized aggregate charges of $12 million and $51 million, respectively, to operating expenses for the withdrawal of certain bargaining units from Multiemployer Pension Plans. In 2016, we did not recognize any charges for the withdrawal from Multiemployer Pension Plans. Refer to Note 10 for additional information related to our obligations to Multiemployer Pension Plans for which we have withdrawn or partially withdrawn.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Multiemployer Plan Benefits Other Than Pensions — </w:t>
      </w:r>
      <w:r>
        <w:rPr>
          <w:rFonts w:ascii="Arial" w:cs="Arial" w:eastAsia="Arial" w:hAnsi="Arial"/>
          <w:sz w:val="17"/>
          <w:szCs w:val="17"/>
          <w:color w:val="auto"/>
        </w:rPr>
        <w:t>During the years ended December 31, 2017, 2016 and 2015,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made contributions of $42 million, $40 million and $33 million, respectively, to multiemployer health and welfare plans that also provide other post-retirement employee benefits. Funding of benefit payments for plan participants are made at negotiated rates in the respective collective bargaining agreements as costs are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7.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 claims is generally limited to the per-incident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In December 2017, we elected to use a wholly-owned insurance captive to insure the deductibles for our general liability, automobile liability and workers’ compensation claims programs. As of December 31, 2017, both our commercial General Liability Insurance Policy and our workers’ compensation insurance program carried self-insurance exposures of up to $5 million per incident. As of December 31, 2017, our automobile liability insurance program included a per-incident deductible of up to $10 million. Our receivable balance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associated with insurance claims was $153 million and $171 million as of December 31, 2017 and 2016, respectively. The changes to our insurance reserves for the years ended December 31 are summarized below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9"/>
              </w:rPr>
              <w:t>2017(a)</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2016</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Self-insurance 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w:t>
            </w:r>
          </w:p>
        </w:tc>
        <w:tc>
          <w:tcPr>
            <w:tcW w:w="2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7"/>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December 31</w:t>
            </w:r>
          </w:p>
        </w:tc>
        <w:tc>
          <w:tcPr>
            <w:tcW w:w="2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as of December 31</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Long-term portion as of December 31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line="277"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current estimates, we anticipate that most of our insurance reserves will be settled in cash over the next six years.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previously chose to maintain a Directors’ and Officers’ Liability Insurance policy that covered only individual executive liability, often referred to as “Broad Form Side A." During 2017, due to attractive pricing, we converted to a traditional full coverage policy, and subject to the terms of that policy, the Company is now insured for money it advances for defense costs or pays as indemnity to the insured directors and officers in excess of applicable deductibles.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Operating Leases — </w:t>
      </w:r>
      <w:r>
        <w:rPr>
          <w:rFonts w:ascii="Arial" w:cs="Arial" w:eastAsia="Arial" w:hAnsi="Arial"/>
          <w:sz w:val="18"/>
          <w:szCs w:val="18"/>
          <w:color w:val="auto"/>
        </w:rPr>
        <w:t>Operating lease expense was $134 million, $125 million and $140 million during 2017,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Minimum contractual payments due for our operating lease obligations are $101 million in 2018, $83 million in 2019, $72 million in 2020, $54 million in 2021, $31 million in 2022 and $248 million thereafter. Our minimum contractual payments for lease agreements during future periods is less than current year operating lease expense primarily due to the effect of short-term leases.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jc w:val="both"/>
        <w:ind w:left="660" w:hanging="333"/>
        <w:spacing w:after="0" w:line="290"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Disposal — </w:t>
      </w:r>
      <w:r>
        <w:rPr>
          <w:rFonts w:ascii="Arial" w:cs="Arial" w:eastAsia="Arial" w:hAnsi="Arial"/>
          <w:sz w:val="16"/>
          <w:szCs w:val="16"/>
          <w:color w:val="auto"/>
        </w:rPr>
        <w:t>We have several agreements expiring at various dates through 2052 that require us to dispose of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number of tons at third-party disposal facilities. Under these put-or-pay agreements, we are required to pay for the agreed upon minimum volumes regardless of the actual number of tons placed at the facilities. Following the 2014 divestiture of our Wheelabrator business, which provides waste-to-energy services and manages waste-to-energy facilities and independent power production plants, we entered into several agreements to dispose of a minimum number of tons of waste at certain Wheelabrator facilities. These agreements generally provide for fixed volume commitments with certain market price resets through 2021. We generally fulfill our minimum contractual obligations by disposing of volumes collected in the ordinary course of business at these disposal facilities.</w:t>
      </w:r>
    </w:p>
    <w:p>
      <w:pPr>
        <w:spacing w:after="0" w:line="58" w:lineRule="exact"/>
        <w:rPr>
          <w:rFonts w:ascii="Arial" w:cs="Arial" w:eastAsia="Arial" w:hAnsi="Arial"/>
          <w:sz w:val="16"/>
          <w:szCs w:val="16"/>
          <w:color w:val="auto"/>
        </w:rPr>
      </w:pPr>
    </w:p>
    <w:p>
      <w:pPr>
        <w:ind w:left="660" w:hanging="333"/>
        <w:spacing w:after="0" w:line="34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Waste Paper — </w:t>
      </w:r>
      <w:r>
        <w:rPr>
          <w:rFonts w:ascii="Arial" w:cs="Arial" w:eastAsia="Arial" w:hAnsi="Arial"/>
          <w:sz w:val="16"/>
          <w:szCs w:val="16"/>
          <w:color w:val="auto"/>
        </w:rPr>
        <w:t>We are party to waste paper purchase agreements expiring at various dates through 2019 that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us to purchase a minimum number of tons of waste paper. The cost per ton we pay is based on market prices.</w:t>
      </w:r>
    </w:p>
    <w:p>
      <w:pPr>
        <w:spacing w:after="0" w:line="15" w:lineRule="exact"/>
        <w:rPr>
          <w:rFonts w:ascii="Arial" w:cs="Arial" w:eastAsia="Arial" w:hAnsi="Arial"/>
          <w:sz w:val="16"/>
          <w:szCs w:val="16"/>
          <w:color w:val="auto"/>
        </w:rPr>
      </w:pPr>
    </w:p>
    <w:p>
      <w:pPr>
        <w:jc w:val="both"/>
        <w:ind w:left="660" w:hanging="333"/>
        <w:spacing w:after="0" w:line="276"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Royalties — </w:t>
      </w:r>
      <w:r>
        <w:rPr>
          <w:rFonts w:ascii="Arial" w:cs="Arial" w:eastAsia="Arial" w:hAnsi="Arial"/>
          <w:sz w:val="17"/>
          <w:szCs w:val="17"/>
          <w:color w:val="auto"/>
        </w:rPr>
        <w:t>We have various arrangements that require us to make royalty payments to third parties including prior</w:t>
      </w:r>
      <w:r>
        <w:rPr>
          <w:rFonts w:ascii="Arial" w:cs="Arial" w:eastAsia="Arial" w:hAnsi="Arial"/>
          <w:sz w:val="17"/>
          <w:szCs w:val="17"/>
          <w:i w:val="1"/>
          <w:iCs w:val="1"/>
          <w:color w:val="auto"/>
        </w:rPr>
        <w:t xml:space="preserve"> </w:t>
      </w:r>
      <w:r>
        <w:rPr>
          <w:rFonts w:ascii="Arial" w:cs="Arial" w:eastAsia="Arial" w:hAnsi="Arial"/>
          <w:sz w:val="17"/>
          <w:szCs w:val="17"/>
          <w:color w:val="auto"/>
        </w:rPr>
        <w:t>land owners, lessors or host communities where our operations are located. Our obligations generally are based on per ton rates for waste actually received at our transfer stations or landfills. Royalty agreements that are non-cancelable and require fixed or minimum payments are included in our capital leases and other debt obligations in our Consolidated Balance Sheets as disclosed in Note 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unconditional purchase obligations are generally established in the ordinary course of our business and are structured in a manner that provides us with access to important resources at competitive, market-driven rates. As of December 31, 2017, our estimated minimum obligations for the above-described purchase obligations, which are not recognized in our Consolidated Balance Sheets, were $143 million in 2018, $113 million in 2019, $95 million in 2020, $87 million in 2021, $20 million in 2022 and $325 million thereafter. We may also establish unconditional purchase obligations in conjunction with acquisitions or divestitures. Our actual future minimum obligations under these outstanding purchase agreements are generally quantity driven and, as a result, our associated financial obligations are not fixed as of December 31, 2017. For contracts that require us to purchase minimum quantities of goods or services, we have estimated our future minimum obligations based on the current market values of the underlying products or services.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We have entered into the following guarantee agreements associated with our operations:</w:t>
      </w:r>
    </w:p>
    <w:p>
      <w:pPr>
        <w:spacing w:after="0" w:line="117" w:lineRule="exact"/>
        <w:rPr>
          <w:sz w:val="20"/>
          <w:szCs w:val="20"/>
          <w:color w:val="auto"/>
        </w:rPr>
      </w:pPr>
    </w:p>
    <w:p>
      <w:pPr>
        <w:jc w:val="both"/>
        <w:ind w:left="660" w:hanging="333"/>
        <w:spacing w:after="0" w:line="293"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of December 31, 2017, WM Holdings has fully and unconditionally guaranteed all of WM’s senior indebtedness, including its senior notes, $2.25 billion revolving credit facility and certain letter of credit facilities, which mature through 2045.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intercompany guarantees because all of the underlying obligations are reflected in our Consolidated Balance Sheets. See Note 21 for further discussion.</w:t>
      </w:r>
    </w:p>
    <w:p>
      <w:pPr>
        <w:spacing w:after="0" w:line="56" w:lineRule="exact"/>
        <w:rPr>
          <w:rFonts w:ascii="Arial" w:cs="Arial" w:eastAsia="Arial" w:hAnsi="Arial"/>
          <w:sz w:val="16"/>
          <w:szCs w:val="16"/>
          <w:color w:val="auto"/>
        </w:rPr>
      </w:pPr>
    </w:p>
    <w:p>
      <w:pPr>
        <w:jc w:val="both"/>
        <w:ind w:left="660" w:hanging="333"/>
        <w:spacing w:after="0" w:line="273"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WM and WM Holdings have guaranteed subsidiary debt obligations, including the Canadian term loan and revolving credit facility,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intercompany guarantees because all of the underlying obligations are reflected in our Consolidated Balance Sheets. See Note 7 for information related to the balances and maturities of these debt obligations.</w:t>
      </w:r>
    </w:p>
    <w:p>
      <w:pPr>
        <w:spacing w:after="0" w:line="70" w:lineRule="exact"/>
        <w:rPr>
          <w:rFonts w:ascii="Arial" w:cs="Arial" w:eastAsia="Arial" w:hAnsi="Arial"/>
          <w:sz w:val="17"/>
          <w:szCs w:val="17"/>
          <w:color w:val="auto"/>
        </w:rPr>
      </w:pPr>
    </w:p>
    <w:p>
      <w:pPr>
        <w:jc w:val="both"/>
        <w:ind w:left="660" w:hanging="333"/>
        <w:spacing w:after="0" w:line="285"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Before the divestiture of our Wheelabrator business in 2014,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 maximum financial obligation over the course of the relevant agreements. As of December 31, 2017, WM’s maximum future payments under these guarantees were $96 million. WM’s exposure under certain of the performance guarantees is variable and a maximum exposure is not defined. We have recorded the fair value of the operational and financial performance guarantees, some of which could extend through 2038 if not terminated, in our Consolidated Balance Sheets. The estimated fair value of WM’s potential obligation associated with guarantees of Wheelabrator’s obligations (net of credit support fee or indemnification asset) decreased from $11 million as of December 31, 2016 to $2 million as of December 31, 2017 primarily due to the release of certain performance guarantees by third-party beneficiaries. We currently do not expect the financial impact of such operational and financial performance guarantees to materially exceed the recorded fair value.</w:t>
      </w:r>
    </w:p>
    <w:p>
      <w:pPr>
        <w:spacing w:after="0" w:line="67" w:lineRule="exact"/>
        <w:rPr>
          <w:rFonts w:ascii="Arial" w:cs="Arial" w:eastAsia="Arial" w:hAnsi="Arial"/>
          <w:sz w:val="16"/>
          <w:szCs w:val="16"/>
          <w:color w:val="auto"/>
        </w:rPr>
      </w:pPr>
    </w:p>
    <w:p>
      <w:pPr>
        <w:jc w:val="both"/>
        <w:ind w:left="660" w:hanging="333"/>
        <w:spacing w:after="0" w:line="312"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Certain of our subsidiaries have guaranteed the market or contractually-determined value of certain homeowners’ properties that are adjacent to or near certain of our landfills. These guarantee agreements extend over the life of the respective landfill. Under these agreements, we would be responsible for the difference, if any, between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sale value and the guaranteed market or contractually-determined value of the homeowners’ properties. As of December 31, 2017, we have agreements guaranteeing certain market value losses for approximately 800 homeowners’ properties adjacent to or near 20 of our landfills. We do not believe that these contingent obligations will have a material adverse effect on the Company’s financial position, results of operations or cash flows.</w:t>
      </w:r>
    </w:p>
    <w:p>
      <w:pPr>
        <w:spacing w:after="0" w:line="80" w:lineRule="exact"/>
        <w:rPr>
          <w:sz w:val="20"/>
          <w:szCs w:val="20"/>
          <w:color w:val="auto"/>
        </w:rPr>
      </w:pPr>
    </w:p>
    <w:p>
      <w:pPr>
        <w:jc w:val="both"/>
        <w:ind w:left="660" w:hanging="333"/>
        <w:spacing w:after="0" w:line="289"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58"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Environmental Matters — </w:t>
      </w:r>
      <w:r>
        <w:rPr>
          <w:rFonts w:ascii="Arial" w:cs="Arial" w:eastAsia="Arial" w:hAnsi="Arial"/>
          <w:sz w:val="18"/>
          <w:szCs w:val="18"/>
          <w:color w:val="auto"/>
        </w:rPr>
        <w:t>A significant portion of our operating costs and capital expenditures could be characterized as</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PRP investigations. The costs associated with these liabilities can include settlements, certain legal and consultant fees, as well as incremental internal and external costs directly associated with site investigation and clean-up.</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2017,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has been named as a PRP. MIMC operated the waste pits from 1965 to 1966. In 1998, WM acquired the stock of the parent entity of MIMC. MIMC has been working with the EPA and other named PRPs as the process of addressing the site proceeds. During 2016, MIMC’s environmental remediation liability reserves were increased by $44 million to record its estimated potential share of the EPA’s proposed remedy and related costs and MIMC filed comments, detailing its disagreement with the proposed remedy. MIMC remains in disagreement with the remedy set forth in the ROD, and continues to recommend a solution that better protects the environment and public health. Due to the increased estimated cost of the remedy set forth in the ROD, MIMC’s environmental remediation liability reserves have been further increased by $11 million during 2017 to record its estimated potential share and related costs. MIMC’s ultimate liability could be materially different from current estimates. Allocation of responsibility among the PRPs for the proposed remedy has not been established, and MIMC will continue to engage the EPA regarding the remediation plan selected in the ROD. As of December 31, 2017 and 2016, our recorded liability for MIMC’s estimated potential share of the EPA’s proposed remedy and related costs was $55 million and $46 million, respectively.</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2" w:lineRule="auto"/>
        <w:rPr>
          <w:sz w:val="20"/>
          <w:szCs w:val="20"/>
          <w:color w:val="auto"/>
        </w:rPr>
      </w:pPr>
      <w:r>
        <w:rPr>
          <w:rFonts w:ascii="Arial" w:cs="Arial" w:eastAsia="Arial" w:hAnsi="Arial"/>
          <w:sz w:val="17"/>
          <w:szCs w:val="17"/>
          <w:color w:val="auto"/>
        </w:rPr>
        <w:t>On January 10, 2017, the Pennsylvania Department of Environmental Protection (“DEP”) solid waste program advised us that it intends to seek civil penalties against the Grows North and Tullytown Landfills (“Grows/Tullytown”), located in southeast Pennsylvania and owned by indirect wholly-owned subsidiaries of WM, related to operational issues, including litter and leachate discharges. Additionally, we received notice on March 15, 2017 that the DEP clean water program also intends to seek civil penalties related to similar underlying events and operational issues at Grows/Tullytown. On September 19, 2017, we received an updated assessment proposal from the DEP for these matters. Our internal review of these matters is in process.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302" w:lineRule="auto"/>
        <w:rPr>
          <w:sz w:val="20"/>
          <w:szCs w:val="20"/>
          <w:color w:val="auto"/>
        </w:rPr>
      </w:pPr>
      <w:r>
        <w:rPr>
          <w:rFonts w:ascii="Arial" w:cs="Arial" w:eastAsia="Arial" w:hAnsi="Arial"/>
          <w:sz w:val="16"/>
          <w:szCs w:val="16"/>
          <w:color w:val="auto"/>
        </w:rPr>
        <w:t>Waste Management of Hawaii, Inc. (“WMHI”), an indirect wholly-owned subsidiary of WM, may face civil claims from the Hawaii Department of Health and/or the EPA based on stormwater discharges at the Waimanalo Gulch Sanitary Landfill, which WMHI operates for the city and county of Honolulu, following two major rainstorms in December 2010 and January 2011 and alleged violations of stormwater permit requirements prior to and after the storms.</w:t>
      </w:r>
    </w:p>
    <w:p>
      <w:pPr>
        <w:spacing w:after="0" w:line="154"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Multiemployer Pension Plans for the covered employees. Refer to Note 9 for additional information about our participation in Multiemployer Pension Plans considered individually significant.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we recognized $12 million of charges to operating expenses for the withdrawal from certain underfunded Multiemployer Pension Plans. In 2015, we recognized a $51 million charge in operating expenses for the withdrawal from certain underfunded Multiemployer Pension Plans, nearly all of which was associated with our withdrawals from the Central States, Southeast and Southwest Areas Pension Plan and the Teamsters Employers Local 945 Pension Fund. In 2016, we did not recognize any charges for the withdrawal from Multiemployer Pension Plans.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maintain a liability for uncertain tax positions, the balance of which management believes is</w:t>
      </w:r>
      <w:r>
        <w:rPr>
          <w:rFonts w:ascii="Arial" w:cs="Arial" w:eastAsia="Arial" w:hAnsi="Arial"/>
          <w:sz w:val="16"/>
          <w:szCs w:val="16"/>
          <w:i w:val="1"/>
          <w:iCs w:val="1"/>
          <w:color w:val="auto"/>
        </w:rPr>
        <w:t xml:space="preserve"> </w:t>
      </w:r>
      <w:r>
        <w:rPr>
          <w:rFonts w:ascii="Arial" w:cs="Arial" w:eastAsia="Arial" w:hAnsi="Arial"/>
          <w:sz w:val="16"/>
          <w:szCs w:val="16"/>
          <w:color w:val="auto"/>
        </w:rPr>
        <w:t>adequate. Results of audit assessments by taxing authorities are not currently expected to have a material adverse effect on our financial condition, results of operations or cash flows. See Note 8 for additional discussion regarding tax matters.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Impairments and Unusual Items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(income) expense from divestitures, asset impairments and unusual items, net for the years ended December 31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from divestitures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Asset impairments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year ended December 31, 2017, we recognized net income of $16 million, primarily related to (i) gains of $31 million from the sale of certain oil and gas producing properties and (ii) a $30 million reduction in post-closing, performance-based contingent consideration obligations associated with an acquired business in our EES organization. These gains were partially offset by (i) $34 million of goodwill impairment charges primarily related to our EES organization;</w:t>
      </w:r>
    </w:p>
    <w:p>
      <w:pPr>
        <w:spacing w:after="0" w:line="2" w:lineRule="exact"/>
        <w:rPr>
          <w:sz w:val="20"/>
          <w:szCs w:val="20"/>
          <w:color w:val="auto"/>
        </w:rPr>
      </w:pPr>
    </w:p>
    <w:p>
      <w:pPr>
        <w:jc w:val="both"/>
        <w:ind w:firstLine="3"/>
        <w:spacing w:after="0" w:line="255" w:lineRule="auto"/>
        <w:tabs>
          <w:tab w:leader="none" w:pos="2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$11 million of charges to adjust our subsidiary’s estimated potential share of an environmental remediation liability and related costs for a closed site in Harris County, Texas, as discussed in Note 10 and (iii) $7 million of charges to write down certain renewable energy assets.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2016, we recognized net charges of $112 million, primarily related to</w:t>
      </w:r>
    </w:p>
    <w:p>
      <w:pPr>
        <w:spacing w:after="0" w:line="23" w:lineRule="exact"/>
        <w:rPr>
          <w:sz w:val="20"/>
          <w:szCs w:val="20"/>
          <w:color w:val="auto"/>
        </w:rPr>
      </w:pPr>
    </w:p>
    <w:p>
      <w:pPr>
        <w:jc w:val="both"/>
        <w:ind w:firstLine="3"/>
        <w:spacing w:after="0" w:line="295" w:lineRule="auto"/>
        <w:tabs>
          <w:tab w:leader="none" w:pos="2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$44 million of charges to adjust our subsidiary’s estimated potential share of an environmental remediation liability and related costs for a closed site in Harris County, Texas, as discussed in Note 10; (ii) a $43 million charge to impair a landfill in Western Pennsylvania due to a loss of expected volumes; (iii) $12 million of goodwill impairment charges primarily related to our LampTracker</w:t>
      </w:r>
      <w:r>
        <w:rPr>
          <w:rFonts w:ascii="Arial" w:cs="Arial" w:eastAsia="Arial" w:hAnsi="Arial"/>
          <w:sz w:val="7"/>
          <w:szCs w:val="7"/>
          <w:color w:val="auto"/>
        </w:rPr>
        <w:t>®</w:t>
      </w:r>
      <w:r>
        <w:rPr>
          <w:rFonts w:ascii="Arial" w:cs="Arial" w:eastAsia="Arial" w:hAnsi="Arial"/>
          <w:sz w:val="16"/>
          <w:szCs w:val="16"/>
          <w:color w:val="auto"/>
        </w:rPr>
        <w:t xml:space="preserve"> reporting unit and (iv) an $8 million loss on the sale of a majority-owned organics company.</w:t>
      </w:r>
    </w:p>
    <w:p>
      <w:pPr>
        <w:spacing w:after="0" w:line="1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year ended December 31, 2015, we recognized net charges of $82 million, primarily related to (i) $66 million of charges to impair certain oil and gas producing properties as a result of declines in oil and gas prices; (ii) $18 million of charges to write down or divest certain assets in our recycling operations and (iii) a $5 million impairment of a landfill in our Western Canada Area due to revised post-closure cost estimates. Partially offsetting these charges was $7 million of net gains from divestitures, including a $6 million gain on the sale of an oil and gas producing property in 2015.</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3 for additional information related to the accounting policy and analysis involved in identifying and calculating impairments; and see Note 19 for additional information related to the impact of impairments on the results of operations of our reportable segments.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2017, we recognized $29 million of impairment charges to write down equity method investments in waste diversion technology companies to their estimated fair values.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years ended December 31, 2017, 2016 and 2015, we recognized impairment charges of $11 million, $42 million and $5 million, respectively, related to other-than-temporary declines in the value of minority-owned investments in waste diversion technology companies. We wrote down our investments to their estimated fair values which was primarily determined using an income approach based on estimated future cash flow projections and, to a lesser extent, third-party investors’ recent transactions in these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Available-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Post-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Currency</w:t>
            </w:r>
          </w:p>
        </w:tc>
        <w:tc>
          <w:tcPr>
            <w:tcW w:w="8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Retirement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for-Sale</w:t>
            </w:r>
          </w:p>
        </w:tc>
        <w:tc>
          <w:tcPr>
            <w:tcW w:w="1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Adjustments</w:t>
            </w: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Obligations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4880" w:type="dxa"/>
            <w:vAlign w:val="bottom"/>
          </w:tcPr>
          <w:p>
            <w:pPr>
              <w:ind w:left="220"/>
              <w:spacing w:after="0" w:line="201" w:lineRule="exact"/>
              <w:rPr>
                <w:sz w:val="20"/>
                <w:szCs w:val="20"/>
                <w:color w:val="auto"/>
              </w:rPr>
            </w:pPr>
            <w:r>
              <w:rPr>
                <w:rFonts w:ascii="Arial" w:cs="Arial" w:eastAsia="Arial" w:hAnsi="Arial"/>
                <w:sz w:val="18"/>
                <w:szCs w:val="18"/>
                <w:color w:val="auto"/>
                <w:w w:val="91"/>
              </w:rPr>
              <w:t>Other comprehensive income (loss) before reclassifications, net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w w:val="93"/>
              </w:rPr>
              <w:t>of tax expense (benefit) of $20, $(1), $0 and $1,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Amounts reclassified from accumulated other comprehensive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(income) loss, net of tax (expense) benefit of $(14), $0, $0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$0, respectively</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4880" w:type="dxa"/>
            <w:vAlign w:val="bottom"/>
          </w:tcPr>
          <w:p>
            <w:pPr>
              <w:ind w:left="220"/>
              <w:spacing w:after="0" w:line="201" w:lineRule="exact"/>
              <w:rPr>
                <w:sz w:val="20"/>
                <w:szCs w:val="20"/>
                <w:color w:val="auto"/>
              </w:rPr>
            </w:pPr>
            <w:r>
              <w:rPr>
                <w:rFonts w:ascii="Arial" w:cs="Arial" w:eastAsia="Arial" w:hAnsi="Arial"/>
                <w:sz w:val="18"/>
                <w:szCs w:val="18"/>
                <w:color w:val="auto"/>
                <w:w w:val="91"/>
              </w:rPr>
              <w:t>Other comprehensive income (loss) before reclassifications, net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w w:val="95"/>
              </w:rPr>
              <w:t>of tax expense (benefit) of $(4), $3, $0 and $0,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Amounts reclassified from accumulated other comprehensive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(income) loss, net of tax (expense) benefit of $12, $0, $0 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 respectively</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4880" w:type="dxa"/>
            <w:vAlign w:val="bottom"/>
          </w:tcPr>
          <w:p>
            <w:pPr>
              <w:ind w:left="220"/>
              <w:spacing w:after="0" w:line="201" w:lineRule="exact"/>
              <w:rPr>
                <w:sz w:val="20"/>
                <w:szCs w:val="20"/>
                <w:color w:val="auto"/>
              </w:rPr>
            </w:pPr>
            <w:r>
              <w:rPr>
                <w:rFonts w:ascii="Arial" w:cs="Arial" w:eastAsia="Arial" w:hAnsi="Arial"/>
                <w:sz w:val="18"/>
                <w:szCs w:val="18"/>
                <w:color w:val="auto"/>
                <w:w w:val="91"/>
              </w:rPr>
              <w:t>Other comprehensive income (loss) before reclassifications, net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60"/>
              <w:spacing w:after="0"/>
              <w:rPr>
                <w:sz w:val="20"/>
                <w:szCs w:val="20"/>
                <w:color w:val="auto"/>
              </w:rPr>
            </w:pPr>
            <w:r>
              <w:rPr>
                <w:rFonts w:ascii="Arial" w:cs="Arial" w:eastAsia="Arial" w:hAnsi="Arial"/>
                <w:sz w:val="18"/>
                <w:szCs w:val="18"/>
                <w:color w:val="auto"/>
                <w:w w:val="98"/>
              </w:rPr>
              <w:t>of tax expense (benefit) of $0, $2, $0 and $1, respectively</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Amounts reclassified from accumulated other comprehensive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(income) loss, net of tax (expense) benefit of $5, $(1), $0 and</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51"/>
        </w:trPr>
        <w:tc>
          <w:tcPr>
            <w:tcW w:w="4880" w:type="dxa"/>
            <w:vAlign w:val="bottom"/>
          </w:tcPr>
          <w:p>
            <w:pPr>
              <w:ind w:left="44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derivatives outstanding subsequent to March 31, 2016. The amounts of other comprehensive income (loss) before reclassifications associated with the effective portion of derivatives designated as cash flow hedges for the years ended December 31 are as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(expense) benefit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 (expense) benefit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associated with our previously terminated cash flow hedges for the years ended December 31 are as follows (in millions, with amounts in parentheses representing debits to the statement of operations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Operations Classification</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Treasury rate locks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1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40" w:type="dxa"/>
            <w:vAlign w:val="bottom"/>
            <w:gridSpan w:val="2"/>
          </w:tcPr>
          <w:p>
            <w:pPr>
              <w:ind w:left="18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 Dividends and Common Stock Repurchase Program</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1.5 billion shares of authorized common stock with a par value of $0.01 per common share. As of December 31, 2017, we had 433.3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quarterly dividends have been declared by our Board of Directors. Cash dividends declared and paid were $750 million in 2017, or $1.70 per common share, $726 million in 2016, or $1.64 per common share, and $695 million in 2015, or $1.54 per common share.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2017, we announced that our Board of Directors expects to increase the quarterly dividend from $0.425 to $0.465 per share for dividends declared in 2018.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repurchases shares of its common stock as part of capital allocation programs authorized by our Board of Directors. Share repurchases during the reported periods were completed through accelerated share repurchase (“ASR”) agreements. The terms of these agreements required that we deliver cash at the beginning of each ASR repurchase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exchange, we received a portion of the total shares expected to be repurchased based on the then-current market price of our common stock. The remaining shares repurchased over the course of each repurchase period are delivered to us once the repurchase period is complete. Shares repurchased are reflected in the period the shares are delivered to us. Additional information related to our ASR agreements is included below. The following is a summary of our share repurchases under our common stock repurchase program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2017(a)</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2016(b)</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2015(c)</w:t>
            </w:r>
          </w:p>
        </w:tc>
      </w:tr>
      <w:tr>
        <w:trPr>
          <w:trHeight w:val="21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repurchased (in thousands)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Weighted average price per share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77.67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49.83</w:t>
            </w: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repurchases (in millions)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108"/>
        </w:trPr>
        <w:tc>
          <w:tcPr>
            <w:tcW w:w="228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2017, we executed and completed two ASR agreements to repurchase $750 million of our common stock. Our “Shares repurchased” includes the 0.4 million shares related to the ASR agreement executed in November 2016, discussed further below.</w:t>
      </w:r>
    </w:p>
    <w:p>
      <w:pPr>
        <w:spacing w:after="0" w:line="73"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During 2016, we executed four ASR agreements to repurchase $725 million of our common stock. The ASR agreement entered into in November 2016 was for the repurchase of $225 million of our common stock and was completed in February 2017. We received a total of 3.2 million shares based on a final weighted average price per share during the repurchase period of $69.43.</w:t>
      </w:r>
    </w:p>
    <w:p>
      <w:pPr>
        <w:spacing w:after="0" w:line="78" w:lineRule="exact"/>
        <w:rPr>
          <w:rFonts w:ascii="Arial" w:cs="Arial" w:eastAsia="Arial" w:hAnsi="Arial"/>
          <w:sz w:val="18"/>
          <w:szCs w:val="18"/>
          <w:color w:val="auto"/>
        </w:rPr>
      </w:pPr>
    </w:p>
    <w:p>
      <w:pPr>
        <w:ind w:left="320" w:hanging="317"/>
        <w:spacing w:after="0" w:line="308" w:lineRule="auto"/>
        <w:tabs>
          <w:tab w:leader="none" w:pos="3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During 2015, we executed and completed two ASR agreements to repurchase $600 million of our common stock. Our “Shares repurchased” also includes 2.8 million shares related to ASR agreements that were executed in 2014.</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ASR agreements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stock meet the criteria for equity classification, and these amounts are initially recorded in additional paid-in capital and reclassified to treasury stock upon completion of the ASR agreement.</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announced in December 2017 that the Board of Directors has authorized up to $1.25 billion in future share repurchases. Any future share repurchases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Equity-Based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enrolled employees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Subject to limitations set forth in the plan and under IRS regulations, eligible employees may elect to have up to 10% of their base pay deducted during the offering period. The total number of shares issued under the plan for the offering periods in 2017, 2016 and 2015 was approximately 594,000, 647,000 and 786,000, respectively. Including the impact of the January 2018 issuance of shares associated with the July to December 2017 offering period, 1.9 million shares remain available for issuance under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Accounting for our ESPP increased annual compensation expense by $7 million, or $4 million net of tax expense, for 2017 and 2016 and $6 million, or $4 million net of tax expense, for 2015.</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Employee Stock Incentive Plans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the 2009 Plan that are subsequently cancelled, forfeited, terminate, expire or lapse. As of December 31, 2017, approximately 21.4 million shares were available for future grants under the 2014 Plan. All of our equity-based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Incentive Plans, we have the ability to issue stock options, stock appreciation rights and stock awards, including restricted stock, restricted stock units (“RSUs”) and performance share units (“PSUs”). The terms and conditions of equity awards granted under the Incentive Plans are determined by the Management Development and Compensation Committee of our Board of Directors.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2017 annual Incentive Plan awards granted to the Company’s senior leadership team, which generally includes the Company’s executive officers, included a combination of PSUs and stock options. The annual Incentive Plan awards granted to certain key employees included a combination of PSUs, RSUs and stock options in 2017. The Company has also periodically granted RSUs and stock options to employees working on key initiatives, in connection with new hires and promotions and to field-based managers.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Restricted Stock Units — </w:t>
      </w:r>
      <w:r>
        <w:rPr>
          <w:rFonts w:ascii="Arial" w:cs="Arial" w:eastAsia="Arial" w:hAnsi="Arial"/>
          <w:sz w:val="18"/>
          <w:szCs w:val="18"/>
          <w:color w:val="auto"/>
        </w:rPr>
        <w:t>A summary of our RSUs is presented in the table below (units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fair market value of RSUs that vested during the years ended December 31, 2017, 2016 and 2015 was $12 million, $12 million and $13 million, respectively. During the year ended December 31, 2017, we issued approximately 113,000 shares of common stock for these vested RSUs, net of approximately 56,000 units deferred or used for payment of associated taxes.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RSUs may not be voted or sold by award recipients until time-based vesting restrictions have lapsed. RSUs primarily provide for three-year cliff vesting and include dividend equivalents accumulated during the vesting period.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Compensation expense associated with RSUs is measured based on the grant-date fair value of our common stock and is recognized on a straight-line basis over the required employment period, which is generally the vesting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expense is only recognized for those awards that we expect to vest, which we estimate based upon an assessment of expected forfeitures.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Performance Share Units — </w:t>
      </w:r>
      <w:r>
        <w:rPr>
          <w:rFonts w:ascii="Arial" w:cs="Arial" w:eastAsia="Arial" w:hAnsi="Arial"/>
          <w:sz w:val="17"/>
          <w:szCs w:val="17"/>
          <w:color w:val="auto"/>
        </w:rPr>
        <w:t>Two types of PSUs are currently outstanding: (i) PSUs for which payout is dependent on</w:t>
      </w:r>
      <w:r>
        <w:rPr>
          <w:rFonts w:ascii="Arial" w:cs="Arial" w:eastAsia="Arial" w:hAnsi="Arial"/>
          <w:sz w:val="17"/>
          <w:szCs w:val="17"/>
          <w:i w:val="1"/>
          <w:iCs w:val="1"/>
          <w:color w:val="auto"/>
        </w:rPr>
        <w:t xml:space="preserve"> </w:t>
      </w:r>
      <w:r>
        <w:rPr>
          <w:rFonts w:ascii="Arial" w:cs="Arial" w:eastAsia="Arial" w:hAnsi="Arial"/>
          <w:sz w:val="17"/>
          <w:szCs w:val="17"/>
          <w:color w:val="auto"/>
        </w:rPr>
        <w:t>total shareholder return relative to the S&amp;P 500 (“TSR PSUs”) and (ii) PSUs for which payout is dependent on the Company’s performance against pre-established adjusted cash flow metrics (“Cash Flow PSUs”). Both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at 100% of the targeted amount, is presented in the table below (units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6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January 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80" w:type="dxa"/>
            <w:vAlign w:val="bottom"/>
            <w:tcBorders>
              <w:bottom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determination of achievement of performance results and corresponding vesting of PSUs for the three-year performance period ended December 31, 2017 was performed by the Management Development and Compensation Committee in February 2018. Accordingly, vesting information for such awards is not included in the table above as of December 31, 2017. The “vested” PSUs are for the three-year performance period ended December 31, 2016, as achievement of performance results and corresponding vesting was determined in February 2017. The Company’s financial results, as measured for purposes of these awards, achieved the maximum performance criteria. Accordingly, recipients of these PSU awards were entitled to receive a payout of 200% of the vested TSR PSUs and Cash Flow PSUs. In February 2017, approximately 1,140,000 PSUs vested and we issued approximately 721,000 shares of common stock for these vested PSUs, net of units deferred or used for payment of associated taxes.</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shares of common stock that were issued or deferred during the years ended December 31, 2017, 2016 and 2015 for prior PSU award grants had a fair market value of $80 million, $50 million and $35 million, respectively. PSUs have no voting rights. PSUs receive dividend equivalents that are paid out in cash based on the number of shares that vest at the end of the awards’ performance period. Subject to attainment of the performance metrics described above, PSUs are payable to an employee (or his beneficiary) upon death or disability as if that employee had remained employed until the end of the performance period, are generally subject to pro-rata vesting upon an employee’s retirement or involuntary termination other than for cause and are subject to forfeiture in the event of voluntary or for-cause termination.</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Compensation expense associated with our Cash Flow PSUs that continue to vest based on future performance is primarily measured based on the fair value of our common stock at the end of each reporting period until the performance period ends. Beginning in 2017, compensation expense associated with our Cash Flow PSUs is based on the grant-date fair value of our common stock.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Deferred Units — </w:t>
      </w:r>
      <w:r>
        <w:rPr>
          <w:rFonts w:ascii="Arial" w:cs="Arial" w:eastAsia="Arial" w:hAnsi="Arial"/>
          <w:sz w:val="17"/>
          <w:szCs w:val="17"/>
          <w:color w:val="auto"/>
        </w:rPr>
        <w:t>Certain employees can elect to defer some or all of the vested RSU or PSU awards until a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date or dates they choose. Deferred units are not invested, nor do they earn interest, but deferred amounts do receive dividend equivalents paid in cash during deferral at the same time and at the same rate as dividends on the Company’s common stock. Deferred amounts are paid out in shares of common stock at the end of the deferral period. As of December 31, 2017, we had approximately 203,000 vested deferred units outstanding.</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Stock options granted vest primarily in 25% increments on the first two anniversaries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with the remaining 50% 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1,732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2017 (a)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as of December 31, 2017 (b)</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2,124</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342" w:lineRule="auto"/>
        <w:tabs>
          <w:tab w:leader="none" w:pos="3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Stock options outstanding as of December 31, 2017 have a weighted average remaining contractual term of 6.5 years and an aggregate intrinsic value of $160 million based on the market value of our common stock on December 31, 2017.</w:t>
      </w:r>
    </w:p>
    <w:p>
      <w:pPr>
        <w:spacing w:after="0" w:line="15" w:lineRule="exact"/>
        <w:rPr>
          <w:rFonts w:ascii="Arial" w:cs="Arial" w:eastAsia="Arial" w:hAnsi="Arial"/>
          <w:sz w:val="16"/>
          <w:szCs w:val="16"/>
          <w:color w:val="auto"/>
        </w:rPr>
      </w:pPr>
    </w:p>
    <w:p>
      <w:pPr>
        <w:ind w:left="320" w:hanging="317"/>
        <w:spacing w:after="0" w:line="277" w:lineRule="auto"/>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Stock options exercisable as of December 31, 2017 have an aggregate intrinsic value of $95 million based on the market value of our common stock on December 31, 2017.</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received cash proceeds of $95 million, $63 million and $77 million during the years ended December 31, 2017, 2016 and 2015, respectively, from employee stock option exercises. The aggregate intrinsic value of stock options exercised during the years ended December 31, 2017, 2016 and 2015 was $71 million, $67 million and $37 million, respectively.</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options exercisable as of December 31, 2017 were as follows (options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Weighted Average</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Share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6"/>
              </w:rPr>
              <w:t>Remaining Years</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$32.315-$40.00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$40.01-$50.00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$50.01-$56.235</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$32.315-$56.235</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account for our employee stock options under the fair value method of accounting using a Black-Scholes valuation model to measure stock option expense at the date of grant. The weighted average grant-date fair value of stock options granted during the years ended December 31, 2017, 2016 and 2015 was $11.71, $6.31 and $5.56, respectively.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years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years</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15.3 %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18.4 %</w:t>
            </w:r>
          </w:p>
        </w:tc>
        <w:tc>
          <w:tcPr>
            <w:tcW w:w="14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99"/>
              </w:rPr>
              <w:t>16.7 %</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2.3 %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2.8 %</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20"/>
                <w:szCs w:val="20"/>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1.4 %</w:t>
            </w:r>
          </w:p>
        </w:tc>
      </w:tr>
    </w:tbl>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years ended December 31, 2017, 2016 and 2015, we recognized $92 million, $81 million and $64 million, respectively, of compensation expense associated with RSU, PSU and stock option awards as a component of selling, general and administrative expenses in our Consolidated Statements of Operations. Our income tax expense for the years ended December 31, 2017, 2016 and 2015 includes related deferred income tax benefits of $36 million, $32 million and $26 million, respectively. We have not capitalized any equity-based compensation costs during the reported years.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Compensation expense recognized in 2017 and 2016 increased when compared with 2015 primarily due to increases in fair value of our Cash Flow PSUs. In 2017, compensation expense further increased due to charges related to the retirement treatment for unexercised stock options of certain former employees. As of December 31, 2017, we estimate that $62 million of currently unrecognized compensation expense will be recognized over a weighted average period of 1.4 years for our unvested RSU, PSU and stock option awards issued and outstanding.</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Non-Employee Director Plan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non-employee directors currently receive annual grants of shares of our common stock, generally payable in two equal installments, under the 2014 Plan described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Basic and diluted earnings per share were computed using the following common share data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(shares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common shares outstanding at year-end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16"/>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7"/>
              </w:rPr>
              <w:t>Dilutive effect of equity-based compensation awards and other contingently issuable</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shares (a)</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r>
      <w:tr>
        <w:trPr>
          <w:trHeight w:val="203"/>
        </w:trPr>
        <w:tc>
          <w:tcPr>
            <w:tcW w:w="6520" w:type="dxa"/>
            <w:vAlign w:val="bottom"/>
            <w:gridSpan w:val="2"/>
          </w:tcPr>
          <w:p>
            <w:pPr>
              <w:spacing w:after="0" w:line="203" w:lineRule="exact"/>
              <w:rPr>
                <w:sz w:val="20"/>
                <w:szCs w:val="20"/>
                <w:color w:val="auto"/>
              </w:rPr>
            </w:pPr>
            <w:r>
              <w:rPr>
                <w:rFonts w:ascii="Arial" w:cs="Arial" w:eastAsia="Arial" w:hAnsi="Arial"/>
                <w:sz w:val="18"/>
                <w:szCs w:val="18"/>
                <w:color w:val="auto"/>
              </w:rPr>
              <w:t>Potentially issuable shares</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10.2</w:t>
            </w:r>
          </w:p>
        </w:tc>
      </w:tr>
      <w:tr>
        <w:trPr>
          <w:trHeight w:val="202"/>
        </w:trPr>
        <w:tc>
          <w:tcPr>
            <w:tcW w:w="6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 common</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08"/>
        </w:trPr>
        <w:tc>
          <w:tcPr>
            <w:tcW w:w="22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of January 1, 2017, we adopted ASU 2016</w:t>
      </w:r>
      <w:r>
        <w:rPr>
          <w:rFonts w:ascii="MS PGothic" w:cs="MS PGothic" w:eastAsia="MS PGothic" w:hAnsi="MS PGothic"/>
          <w:sz w:val="18"/>
          <w:szCs w:val="18"/>
          <w:color w:val="auto"/>
        </w:rPr>
        <w:t>‑</w:t>
      </w:r>
      <w:r>
        <w:rPr>
          <w:rFonts w:ascii="Arial" w:cs="Arial" w:eastAsia="Arial" w:hAnsi="Arial"/>
          <w:sz w:val="18"/>
          <w:szCs w:val="18"/>
          <w:color w:val="auto"/>
        </w:rPr>
        <w:t>09 prospectively and no longer include excess tax benefits as assumed proceeds. See Note 2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 active markets for identical assets and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or 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that are generally unobservable and typically reflect management’s estimate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use valuation techniques that maximize the use of observable inputs and minimize the use of unobservable inputs. In measuring the fair value of our assets and liabilities, we use market data or assumptions that we believe market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participants would use in pricing an asset or liability, including assumptions about risk when appropriate. Our assets and liabilities that are measured at fair value on a recurring basis include the following as of December 31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Fixed-income securities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Redeemable preferred stock</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96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Available-for-sale securities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Fixed-income securities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Redeemable preferred stock</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Money Market Funds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invest portions of our restricted trust and escrow account balances in money market funds. We measure the fair value of these investments using quoted prices in active markets for identical assets. The fair value of our money market funds approximates our cost basis in the investments. The increase in money market funds as of December 31, 2017 is primarily related to the premiums paid to a wholly-owned insurance captive.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Available-for-sale securities are primarily related to the restricted trust funds that were created to settle certain of our final capping, closure, post-closure or environmental remediation obligations, which are discussed further in Note 18. These trust funds are invested in U.S. Treasury securities and equity and bond funds. We measure the fair value of these securities using quoted prices for identical or similar assets in inactive markets. Any changes in fair value of these trusts related to unrealized gains and losses have been appropriately reflected as a component of accumulated other comprehensive income (loss).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Fixed-Income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invest a portion of our restricted trust and escrow account balances in fixed-income securities, including U.S. Treasury securities, U.S. agency securities, municipal securities and mortgage- and asset-backed securities. We measure the fair value of these securities using quoted prices for identical or similar assets in inactive markets. The fair value of our fixed-income securities approximates our cost basis in these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Redeemable Preferred Stock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Redeemable preferred stock is primarily related to a noncontrolling investment in an unconsolidated entity and is included in investments in unconsolidated entities in our Consolidated Balance Sheets. The fair value of our investment has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comparables. Redeemable preferred stock also includes stock received in conjunction with the 2014 sale of our Puerto Rico operations.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and 2016, the carrying value of our debt was $9.5 billion and $9.3 billion, respectively. The estimated fair value of our debt was approximately $9.9 billion and $9.7 billion as of December 31, 2017 and 2016, respectively. The fair value of our fixed-rate debt is estimated by using a discounted cash flow approach and current market rates for similar types of instruments. The carrying value of our variable-rate debt approximates fair value due to the short-term nature of the interest rates. The increase in the fair value of our debt when comparing December 31, 2017 with December 31, 2016 is primarily related to net borrowings of $172 million during 2017 and fluctuations in current market rates for similar types of instruments.</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December 31, 2017 and 2016. These amounts have not been revalued since those dates, and current estimates of fair value could differ significantly from the amounts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Acquisitions and Divestitures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continue to pursue the acquisition of businesses that are accretive to our Solid Waste business and enhance and expand our existing service offerings. During the year ended December 31, 2017, we acquired 24 businesses related to our Solid Waste business. Total consideration, net of cash acquired, for all acquisitions was $205 million, which included $183 million in cash paid and other consideration of $22 million, primarily purchase price holdbacks. In 2017, we paid $3 million of contingent consideration associated with acquisitions completed prior to 2017. In addition, we paid $14 million of holdbacks, of which $13 million related to current year acquisitions.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Total consideration for our 2017 acquisitions was primarily allocated to $127 million of property and equipment, $46 million of other intangible assets and $39 million of goodwill. Other intangible assets included $39 million of customer and supplier relationships and $7 million of covenants not-to-compete. The goodwill is primarily a result of expected synergies from combining the acquired businesses with our existing operations and is tax deductible.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Contingent consideration obligations are primarily based on achievement by the acquired businesses of certain negotiated goals, which generally include targeted financial metrics. As of December 31, 2017 and 2016, the balance of our estimated contingent consideration obligations was $7 million and $37 million, respectively. The decrease in this balance is primarily due to adjustments to write down our estimated obligations to fair value. See Note 11 for further discussion.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2016, we acquired 30 businesses primarily related to our Solid Waste business. Total consideration, net of cash acquired, for all acquisitions was $604 million, which included $581 million in cash paid and other consideration of $23 million, primarily purchase price holdbacks. For businesses acquired in 2016, our estimated maximum obligations for contingent consideration was not material. In 2016, we also paid $4 million of contingent consideration for acquisitions completed prior to 2016. In addition, we paid $26 million of holdbacks, of which $16 million related to 2016 acquisitions.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consideration for our 2016 acquisitions was primarily allocated to $115 million of property and equipment, $212 million of other intangible assets and $280 million of goodwill. Other intangible assets included $185 million of customer and supplier relationships, $23 million of covenants not-to-compete and $4 million for a trade name. The goodwill is primarily a result of expected synergies from combining the acquired businesses with our existing operations and is tax deductible.</w:t>
      </w:r>
    </w:p>
    <w:p>
      <w:pPr>
        <w:spacing w:after="0" w:line="188" w:lineRule="exact"/>
        <w:rPr>
          <w:sz w:val="20"/>
          <w:szCs w:val="20"/>
          <w:color w:val="auto"/>
        </w:rPr>
      </w:pPr>
    </w:p>
    <w:p>
      <w:pPr>
        <w:jc w:val="both"/>
        <w:ind w:left="320" w:firstLine="324"/>
        <w:spacing w:after="0" w:line="297" w:lineRule="auto"/>
        <w:rPr>
          <w:sz w:val="20"/>
          <w:szCs w:val="20"/>
          <w:color w:val="auto"/>
        </w:rPr>
      </w:pPr>
      <w:r>
        <w:rPr>
          <w:rFonts w:ascii="Arial" w:cs="Arial" w:eastAsia="Arial" w:hAnsi="Arial"/>
          <w:sz w:val="16"/>
          <w:szCs w:val="16"/>
          <w:i w:val="1"/>
          <w:iCs w:val="1"/>
          <w:color w:val="auto"/>
        </w:rPr>
        <w:t xml:space="preserve">Southern Waste Systems/Sun Recycling (“SWS”) </w:t>
      </w:r>
      <w:r>
        <w:rPr>
          <w:rFonts w:ascii="Arial" w:cs="Arial" w:eastAsia="Arial" w:hAnsi="Arial"/>
          <w:sz w:val="16"/>
          <w:szCs w:val="16"/>
          <w:color w:val="auto"/>
        </w:rPr>
        <w:t>— On January 8, 2016, Waste Management Inc. of Florida, an</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wholly-owned subsidiary of 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 The acquisition was funded primarily with borrowings under our $2.25 billion revolving credit facility.</w:t>
      </w:r>
    </w:p>
    <w:p>
      <w:pPr>
        <w:spacing w:after="0" w:line="158" w:lineRule="exact"/>
        <w:rPr>
          <w:sz w:val="20"/>
          <w:szCs w:val="20"/>
          <w:color w:val="auto"/>
        </w:rPr>
      </w:pPr>
    </w:p>
    <w:p>
      <w:pPr>
        <w:jc w:val="both"/>
        <w:ind w:left="320" w:firstLine="324"/>
        <w:spacing w:after="0" w:line="264" w:lineRule="auto"/>
        <w:rPr>
          <w:sz w:val="20"/>
          <w:szCs w:val="20"/>
          <w:color w:val="auto"/>
        </w:rPr>
      </w:pPr>
      <w:r>
        <w:rPr>
          <w:rFonts w:ascii="Arial" w:cs="Arial" w:eastAsia="Arial" w:hAnsi="Arial"/>
          <w:sz w:val="18"/>
          <w:szCs w:val="18"/>
          <w:color w:val="auto"/>
        </w:rPr>
        <w:t>Total consideration for SWS was allocated to $93 million of property and equipment, $182 million of other intangible assets and $250 million of goodwill. The goodwill has been assigned to our Florida Area, in Tier 3, and is tax deductible. The acquisition accounting for this transaction was finalized in 2016.</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year ended December 31, 2015, we acquired 27 businesses primarily related to our Solid Waste business. Total consideration, net of cash acquired, for all acquisitions was $646 million, which included $537 million in cash paid, purchase price holdbacks of $13 million and a liability for contingent consideration with a preliminary estimated fair value of $96 million. Our estimated maximum obligations for the contingent cash payments were $126 million at the dates of acquisition. As of December 31, 2015, we had paid $13 million of these holdbacks and contingent consideration. In 2015, we also paid $4 million of contingent consideration associated with acquisitions completed prior to 2015.</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consideration for our 2015 acquisitions was primarily allocated to $243 million of property and equipment, $145 million of other intangible assets and $325 million of goodwill. Other intangible assets included $131 million of customer and supplier relationships, $8 million of covenants not-to-compete and $6 million of trade name. The goodwill is primarily a result of expected synergies from combining the acquired businesses with our existing operations and $166 million is tax deductible and $159 million is not tax deductible.</w:t>
      </w:r>
    </w:p>
    <w:p>
      <w:pPr>
        <w:spacing w:after="0" w:line="188" w:lineRule="exact"/>
        <w:rPr>
          <w:sz w:val="20"/>
          <w:szCs w:val="20"/>
          <w:color w:val="auto"/>
        </w:rPr>
      </w:pPr>
    </w:p>
    <w:p>
      <w:pPr>
        <w:jc w:val="both"/>
        <w:ind w:left="320" w:firstLine="324"/>
        <w:spacing w:after="0" w:line="286" w:lineRule="auto"/>
        <w:rPr>
          <w:sz w:val="20"/>
          <w:szCs w:val="20"/>
          <w:color w:val="auto"/>
        </w:rPr>
      </w:pPr>
      <w:r>
        <w:rPr>
          <w:rFonts w:ascii="Arial" w:cs="Arial" w:eastAsia="Arial" w:hAnsi="Arial"/>
          <w:sz w:val="17"/>
          <w:szCs w:val="17"/>
          <w:i w:val="1"/>
          <w:iCs w:val="1"/>
          <w:color w:val="auto"/>
        </w:rPr>
        <w:t xml:space="preserve">Deffenbaugh Disposal, Inc. (“Deffenbaugh”) — </w:t>
      </w:r>
      <w:r>
        <w:rPr>
          <w:rFonts w:ascii="Arial" w:cs="Arial" w:eastAsia="Arial" w:hAnsi="Arial"/>
          <w:sz w:val="17"/>
          <w:szCs w:val="17"/>
          <w:color w:val="auto"/>
        </w:rPr>
        <w:t>On March 26, 2015, we acquired Deffenbaugh, one of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 owned collection and disposal firms in the Midwest, for total consideration, net of cash acquired, of $400 million. Deffenbaugh’s assets include collection operations, transfer stations, recycling facilities and landfills.</w:t>
      </w:r>
    </w:p>
    <w:p>
      <w:pPr>
        <w:spacing w:after="0" w:line="166"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Total consideration for Deffenbaugh was allocated to $207 million of property and equipment, $159 million in goodwill, $100 million in other intangible assets, $50 million in other assets, including $15 million cash acquired, and $101 million in total liabilities. Goodwill has been assigned to our Areas, primarily Tier 3 and to a lesser extent Tier 1, and is not tax deductible. The acquisition accounting for this transaction was finalized in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fair value assigned to other intangible assets for the Deffenbaugh and SWS acquisitions, respectively, (amounts in millions, except for amortization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Deffenbaugh</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926"/>
              <w:spacing w:after="0"/>
              <w:rPr>
                <w:sz w:val="20"/>
                <w:szCs w:val="20"/>
                <w:color w:val="auto"/>
              </w:rPr>
            </w:pPr>
            <w:r>
              <w:rPr>
                <w:rFonts w:ascii="Arial" w:cs="Arial" w:eastAsia="Arial" w:hAnsi="Arial"/>
                <w:sz w:val="14"/>
                <w:szCs w:val="14"/>
                <w:b w:val="1"/>
                <w:bCs w:val="1"/>
                <w:color w:val="auto"/>
              </w:rPr>
              <w:t>SWS</w:t>
            </w: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Periods</w:t>
            </w:r>
          </w:p>
        </w:tc>
        <w:tc>
          <w:tcPr>
            <w:tcW w:w="2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and supplier relationships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Covenants not-to-compete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7"/>
        </w:trPr>
        <w:tc>
          <w:tcPr>
            <w:tcW w:w="4220" w:type="dxa"/>
            <w:vAlign w:val="bottom"/>
          </w:tcPr>
          <w:p>
            <w:pPr>
              <w:ind w:left="120"/>
              <w:spacing w:after="0"/>
              <w:rPr>
                <w:sz w:val="20"/>
                <w:szCs w:val="20"/>
                <w:color w:val="auto"/>
              </w:rPr>
            </w:pPr>
            <w:r>
              <w:rPr>
                <w:rFonts w:ascii="Arial" w:cs="Arial" w:eastAsia="Arial" w:hAnsi="Arial"/>
                <w:sz w:val="18"/>
                <w:szCs w:val="18"/>
                <w:color w:val="auto"/>
                <w:w w:val="99"/>
              </w:rPr>
              <w:t>Total other intangible assets subject to amortization</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pro forma consolidated results of operations for the years ended December 31 have been prepared as if the acquisitions of Deffenbaugh and SWS occurred as of January 1, 2015 (in millions,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6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13,611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r>
    </w:tbl>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2016 and 2015, the aggregate sales price for divestitures of operations was $62 million, $2 million and $79 million and we recognized net gains of $38 million, net losses of $9 million and net gains of $7 million, respectively. These divestitures were made as part of our continuous focus on improving or divesting certain non-strategic or underperforming operations. The remaining amounts reported in the Consolidated Statements of Cash Flows generally relate to the sale of fixed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investments in entities established to manage low-income housing properties and a refined coal facility. We support the operations of these entities in exchange for a pro-rata share of the tax credits they generate. We do not consolidate these entities as we have determined we are not the primary beneficiary of these entities as we do not have the power to individually direct the activities of these entities. Accordingly, we account for these investments under the equity method of accounting. Our aggregate investment balance in these two entities was $59 million and $84 million as of December 31, 2017 and 2016, respectively. The debt balance related to our investment in low-income housing properties was $34 million and $57 million as of December 31, 2017 and 2016, respectively. Additional information related to these investments is discussed in Note 8.</w:t>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significant financial interests in trust funds that were created to settle certain of our final capping, closure, post-closure or environmental remediation obligations. These trust funds are established such that we are either the sole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beneficiary of these restricted balances or we share benefit with the host community in which we operate. We have determined that these trust funds are variable interest entities; however, we are not the primary beneficiary of certain of these entities, as described further below. As the party with primary responsibility to fund the related final capping, closure, post-closure or environmental remediation activities for these trust funds, we are exposed to risk of loss if there are declines in the fair value of the assets of the trust. We currently expect the trust funds to continue to meet the statutory requirements for which they were established.</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$99 million and $93 million as of December 31, 2017 and 2016, respectively.</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These trust funds are recorded in restricted trust and escrow accounts in our Consolidated Balance Sheets. Unrealized gains and losses on available-for-sale securities held by these trusts are recorded as a component of accumulated other comprehensive income (loss). These trusts had a fair value of $101 million and $95 million as of December 31, 2017 and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Consistent with prior years, we have analyzed the Areas’ income from operations margins for purposes of segment reporting and have realigned our Solid Waste tiers to reflect recent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in order to conform to the current year presentation.</w:t>
      </w:r>
    </w:p>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now includes Southern California, Eastern Canada, Wisconsin and Minnesota. Tier 3 now encompasses all the remaining operations including the Pacific Northwest and Northern California, the Mid-Atlantic region of the U.S., the Florida peninsula, Illinois and Missouri.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as of December 31 and for the years then ended is shown in the following table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Intercompany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Operating</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Operations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31"/>
              <w:spacing w:after="0" w:line="149" w:lineRule="exact"/>
              <w:rPr>
                <w:sz w:val="20"/>
                <w:szCs w:val="20"/>
                <w:color w:val="auto"/>
              </w:rPr>
            </w:pPr>
            <w:r>
              <w:rPr>
                <w:rFonts w:ascii="Arial" w:cs="Arial" w:eastAsia="Arial" w:hAnsi="Arial"/>
                <w:sz w:val="14"/>
                <w:szCs w:val="14"/>
                <w:b w:val="1"/>
                <w:bCs w:val="1"/>
                <w:color w:val="auto"/>
              </w:rPr>
              <w:t>and</w:t>
            </w:r>
          </w:p>
        </w:tc>
        <w:tc>
          <w:tcPr>
            <w:tcW w:w="1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Expenditures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Revenues(c)</w:t>
            </w: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(d)(e)</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Solid Waste: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Solid Waste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17,370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14,485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5,241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Tier 3</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Solid Waste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w:t>
            </w:r>
          </w:p>
        </w:tc>
        <w:tc>
          <w:tcPr>
            <w:tcW w:w="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Corporate and Other (b)</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16,246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Solid Waste: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Tier 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Solid Waste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60" w:type="dxa"/>
            <w:vAlign w:val="bottom"/>
          </w:tcPr>
          <w:p>
            <w:pPr>
              <w:ind w:left="20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15,350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12,961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20,906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97" w:lineRule="auto"/>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Our “Other” net operating revenues and “Other” income from operations include (i) our Strategic Business Solutions (“WMSBS”) organization; (ii) those elements of our landfill gas-to-energy operations and third-party subcontract and administration revenues managed by our EES and WM Renewable Energy organizations that are not included in the operations of our reportable segments; (iii) our recycling brokerage services and (iv) our expanded service offerings and solutions, such as portable self-storage and long distance moving services, fluorescent lamp recycling and interests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we hold in oil and gas producing properties. In addition, our “Other” segment reflects the results of non-operating entities that provide financial assurance and self-insurance support for our Solid Waste business, net of intercompany activity.</w:t>
      </w:r>
    </w:p>
    <w:p>
      <w:pPr>
        <w:spacing w:after="0" w:line="73" w:lineRule="exact"/>
        <w:rPr>
          <w:sz w:val="20"/>
          <w:szCs w:val="20"/>
          <w:color w:val="auto"/>
        </w:rPr>
      </w:pPr>
    </w:p>
    <w:p>
      <w:pPr>
        <w:jc w:val="both"/>
        <w:ind w:left="320" w:hanging="317"/>
        <w:spacing w:after="0" w:line="297" w:lineRule="auto"/>
        <w:tabs>
          <w:tab w:leader="none" w:pos="3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Corporate operating results reflect certain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50" w:lineRule="exact"/>
        <w:rPr>
          <w:rFonts w:ascii="Arial" w:cs="Arial" w:eastAsia="Arial" w:hAnsi="Arial"/>
          <w:sz w:val="16"/>
          <w:szCs w:val="16"/>
          <w:color w:val="auto"/>
        </w:rPr>
      </w:pPr>
    </w:p>
    <w:p>
      <w:pPr>
        <w:jc w:val="both"/>
        <w:ind w:left="320" w:hanging="317"/>
        <w:spacing w:after="0" w:line="264" w:lineRule="auto"/>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3"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those items included in the determination of income from operations, the accounting policies of the segments are the same as those described in Note 3.</w:t>
      </w:r>
    </w:p>
    <w:p>
      <w:pPr>
        <w:spacing w:after="0" w:line="62" w:lineRule="exact"/>
        <w:rPr>
          <w:rFonts w:ascii="Arial" w:cs="Arial" w:eastAsia="Arial" w:hAnsi="Arial"/>
          <w:sz w:val="18"/>
          <w:szCs w:val="18"/>
          <w:color w:val="auto"/>
        </w:rPr>
      </w:pPr>
    </w:p>
    <w:p>
      <w:pPr>
        <w:jc w:val="both"/>
        <w:ind w:left="320" w:hanging="317"/>
        <w:spacing w:after="0" w:line="257" w:lineRule="auto"/>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 Refer to Note 11 for explanations of certain transactions and events affecting our operating results.</w:t>
      </w:r>
    </w:p>
    <w:p>
      <w:pPr>
        <w:spacing w:after="0" w:line="80"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non-cash items. Capital expenditures are reported in our reportable segments at the time they are recorded within the segments’ property and equipment balances and, therefore, may include amounts that have been accrued but not yet paid.</w:t>
      </w:r>
    </w:p>
    <w:p>
      <w:pPr>
        <w:spacing w:after="0" w:line="73" w:lineRule="exact"/>
        <w:rPr>
          <w:rFonts w:ascii="Arial" w:cs="Arial" w:eastAsia="Arial" w:hAnsi="Arial"/>
          <w:sz w:val="18"/>
          <w:szCs w:val="18"/>
          <w:color w:val="auto"/>
        </w:rPr>
      </w:pPr>
    </w:p>
    <w:p>
      <w:pPr>
        <w:ind w:left="320" w:hanging="317"/>
        <w:spacing w:after="0" w:line="277" w:lineRule="auto"/>
        <w:tabs>
          <w:tab w:leader="none" w:pos="30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reconciliation of total assets reported above to total assets in the Consolidated Balance Sheets as of December 31 is as follows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2015</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as reported above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22,116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$ 21,137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$ 20,906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Elimination of intercompany investments and advances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(539)</w:t>
            </w:r>
          </w:p>
        </w:tc>
      </w:tr>
      <w:tr>
        <w:trPr>
          <w:trHeight w:val="217"/>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per Consolidated Balance Sheet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21,829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$ 20,859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$ 20,367</w:t>
            </w:r>
          </w:p>
        </w:tc>
      </w:tr>
    </w:tbl>
    <w:p>
      <w:pPr>
        <w:spacing w:after="0" w:line="107" w:lineRule="exact"/>
        <w:rPr>
          <w:sz w:val="20"/>
          <w:szCs w:val="20"/>
          <w:color w:val="auto"/>
        </w:rPr>
      </w:pPr>
    </w:p>
    <w:p>
      <w:pPr>
        <w:jc w:val="both"/>
        <w:ind w:left="320" w:hanging="317"/>
        <w:spacing w:after="0" w:line="255" w:lineRule="auto"/>
        <w:tabs>
          <w:tab w:leader="none" w:pos="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Goodwill is included within each segment’s total assets. For segment reporting purposes, our material recovery facilities are included as a component of their respective Areas and our recycling brokerage services is included as part of our “Other” operations. The goodwill associated with our acquisition of SWS in 2016 has been assigned to our Florida Area, in Tier 3. Other adjustments in 2016 relate to the finalization of purchase accounting for acquisitions executed in 2015. These adjustments primarily resulted in a decrease in the related contingent consideration liability. See Note 17 for additional information on our acquisitions. The following table presents changes in goodwill during 2016 and 2017 by reportable segment (in millions):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5"/>
              </w:rPr>
              <w:t>Solid Waste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Tier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Tier 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Tier 3</w:t>
            </w: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Acquired goodwill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Divested goodwill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Impairments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adjustments</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Acquired goodwill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Divested goodwill</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Impairments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mix of operating revenues from our major lines of business for the years ended December 31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r>
      <w:tr>
        <w:trPr>
          <w:trHeight w:val="210"/>
        </w:trPr>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collection</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4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4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r>
      <w:tr>
        <w:trPr>
          <w:trHeight w:val="217"/>
        </w:trPr>
        <w:tc>
          <w:tcPr>
            <w:tcW w:w="2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14,485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12,961</w:t>
            </w:r>
          </w:p>
        </w:tc>
      </w:tr>
      <w:tr>
        <w:trPr>
          <w:trHeight w:val="108"/>
        </w:trPr>
        <w:tc>
          <w:tcPr>
            <w:tcW w:w="228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5" w:lineRule="auto"/>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our expanded service offerings and solutions, such as portable self-storage and long distance moving services, and interests we hold in oil and gas producing properties. In addition, our “Other” line of business reflects the results of non-operating entities that provide financial assurance and self-insurance support, net of intercompany activity.</w:t>
      </w:r>
    </w:p>
    <w:p>
      <w:pPr>
        <w:spacing w:after="0" w:line="85"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Consolidated Financial Statements included within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operating revenues relating to operations in the U.S. and Canada for the years ended December 31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8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12,196</w:t>
            </w:r>
          </w:p>
        </w:tc>
      </w:tr>
      <w:tr>
        <w:trPr>
          <w:trHeight w:val="216"/>
        </w:trPr>
        <w:tc>
          <w:tcPr>
            <w:tcW w:w="2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3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2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13,609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12,961</w:t>
            </w:r>
          </w:p>
        </w:tc>
      </w:tr>
      <w:tr>
        <w:trPr>
          <w:trHeight w:val="851"/>
        </w:trPr>
        <w:tc>
          <w:tcPr>
            <w:tcW w:w="2500" w:type="dxa"/>
            <w:vAlign w:val="bottom"/>
          </w:tcPr>
          <w:p>
            <w:pPr>
              <w:spacing w:after="0"/>
              <w:rPr>
                <w:sz w:val="24"/>
                <w:szCs w:val="24"/>
                <w:color w:val="auto"/>
              </w:rPr>
            </w:pPr>
          </w:p>
        </w:tc>
        <w:tc>
          <w:tcPr>
            <w:tcW w:w="3860" w:type="dxa"/>
            <w:vAlign w:val="bottom"/>
          </w:tcPr>
          <w:p>
            <w:pPr>
              <w:jc w:val="right"/>
              <w:ind w:right="161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29"/>
        </w:trPr>
        <w:tc>
          <w:tcPr>
            <w:tcW w:w="250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Property and equipment, net of accumulated depreciation and amortization, relating to operations in the U.S. and Canada for the years ended December 31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Canada</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17"/>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11,559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10,950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10,665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Financial Data (Unaudited)</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2017 and 2016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4"/>
              </w:rPr>
              <w:t>Second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 (a)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revenues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3,548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24" w:lineRule="exact"/>
        <w:tabs>
          <w:tab w:leader="none" w:pos="3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As of January 1, 2017, we adopted ASU 2016</w:t>
      </w:r>
      <w:r>
        <w:rPr>
          <w:rFonts w:ascii="MS PGothic" w:cs="MS PGothic" w:eastAsia="MS PGothic" w:hAnsi="MS PGothic"/>
          <w:sz w:val="17"/>
          <w:szCs w:val="17"/>
          <w:color w:val="auto"/>
        </w:rPr>
        <w:t>‑</w:t>
      </w:r>
      <w:r>
        <w:rPr>
          <w:rFonts w:ascii="Arial" w:cs="Arial" w:eastAsia="Arial" w:hAnsi="Arial"/>
          <w:sz w:val="17"/>
          <w:szCs w:val="17"/>
          <w:color w:val="auto"/>
        </w:rPr>
        <w:t>09 prospectively and no longer include excess tax benefits as assumed proceeds in the calculation of diluted weighted shares outstanding. See Note 2 for further discussion.</w:t>
      </w:r>
    </w:p>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 Additionally, from time to time, our operating results are significantly affected by certain transactions or events that management believes are not indicative or representative of our results. The following items significantly impacted our operating results during the periods indicated: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2017</w:t>
      </w:r>
    </w:p>
    <w:p>
      <w:pPr>
        <w:spacing w:after="0" w:line="117" w:lineRule="exact"/>
        <w:rPr>
          <w:sz w:val="20"/>
          <w:szCs w:val="20"/>
          <w:color w:val="auto"/>
        </w:rPr>
      </w:pPr>
    </w:p>
    <w:p>
      <w:pPr>
        <w:ind w:left="660" w:hanging="333"/>
        <w:spacing w:after="0" w:line="34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reduction in our income tax expense of $32 million for excess tax benefits related to the vesting or exercise of equity-based compensation awards and a $25 million pre-tax charge to write down an equity method investment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 waste diversion technology company to its fair value. These items had a favorable impact of $0.01 on our diluted earnings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2017</w:t>
      </w:r>
    </w:p>
    <w:p>
      <w:pPr>
        <w:spacing w:after="0" w:line="117" w:lineRule="exact"/>
        <w:rPr>
          <w:sz w:val="20"/>
          <w:szCs w:val="20"/>
          <w:color w:val="auto"/>
        </w:rPr>
      </w:pPr>
    </w:p>
    <w:p>
      <w:pPr>
        <w:jc w:val="both"/>
        <w:ind w:left="660" w:hanging="333"/>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recognition of pre-tax charges including (i) an $11 million charge for the withdrawal from an underfunded Multiemployer Pension Plan and (ii) a $9 million charge to adjust our subsidiary’s estimated potential share of an environmental remediation liability and related costs for a closed site in Harris County, Texas. These charges had a negative impact of $0.03 on our diluted earnings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2017</w:t>
      </w:r>
    </w:p>
    <w:p>
      <w:pPr>
        <w:spacing w:after="0" w:line="117" w:lineRule="exact"/>
        <w:rPr>
          <w:sz w:val="20"/>
          <w:szCs w:val="20"/>
          <w:color w:val="auto"/>
        </w:rPr>
      </w:pPr>
    </w:p>
    <w:p>
      <w:pPr>
        <w:jc w:val="both"/>
        <w:ind w:left="660" w:hanging="333"/>
        <w:spacing w:after="0" w:line="25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income tax benefit of $529 million related to enactment of the Act, consisting of a net tax benefit of $595 million related to the re-measurement of our deferred income tax assets and liabilities, partially offset by income tax expense of $66 million for a one-time, mandatory transition tax on the deemed repatriation of previously tax-deferred and unremitted foreign earnings. This net tax benefit had a favorable impact of $1.21 on our diluted earnings per share.</w:t>
      </w:r>
    </w:p>
    <w:p>
      <w:pPr>
        <w:spacing w:after="0" w:line="80"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recognition of net pre-tax gains of $26 million primarily related to (i) gains of $31 million from the sale of certain oil and gas producing properties and (ii) a gain of $30 million related to the reduction in post-closing, performance-based contingent consideration obligations associated with an acquired business in our EES organization; partially offset by goodwill impairment charges of $34 million, primarily related to our EES organization. These net gains had a favorable impact of $0.03 on our diluted earnings per share.</w:t>
      </w:r>
    </w:p>
    <w:p>
      <w:pPr>
        <w:spacing w:after="0" w:line="8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recognition of pre-tax charges of $11 million related to the impairment of investments in waste diversion technology companies. These impairments were not deductible for income taxes and had a negative impact of $0.02 on our diluted earnings per share.</w:t>
      </w:r>
    </w:p>
    <w:p>
      <w:pPr>
        <w:spacing w:after="0" w:line="7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recognition of a pre-tax loss of $6 million associated with the early extinguishment of $590 million of 6.1% senior notes ahead of their scheduled maturity date, which had a negative impact of $0.01 on our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2016</w:t>
      </w:r>
    </w:p>
    <w:p>
      <w:pPr>
        <w:spacing w:after="0" w:line="117" w:lineRule="exact"/>
        <w:rPr>
          <w:sz w:val="20"/>
          <w:szCs w:val="20"/>
          <w:color w:val="auto"/>
        </w:rPr>
      </w:pPr>
    </w:p>
    <w:p>
      <w:pPr>
        <w:jc w:val="both"/>
        <w:ind w:left="660" w:hanging="333"/>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recognition of pre-tax charges of $45 million, primarily related to the impairment of minority-owned investments in waste diversion technology companies. These impairments were substantially not deductible for income taxes and had a negative impact of $0.10 on our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2016</w:t>
      </w:r>
    </w:p>
    <w:p>
      <w:pPr>
        <w:spacing w:after="0" w:line="117" w:lineRule="exact"/>
        <w:rPr>
          <w:sz w:val="20"/>
          <w:szCs w:val="20"/>
          <w:color w:val="auto"/>
        </w:rPr>
      </w:pPr>
    </w:p>
    <w:p>
      <w:pPr>
        <w:jc w:val="both"/>
        <w:ind w:left="660" w:hanging="333"/>
        <w:spacing w:after="0" w:line="297"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recognition of pre-tax charges of $106 million consisting primarily of (i) a $43 million impairment due to a loss of expected volumes for a landfill; (ii) a $42 million charge to adjust our subsidiary’s estimated environmental remediation liability and related costs for a closed site in Harris County, Texas; (iii) a $10 million goodwill impairment charge related to our LampTracker</w:t>
      </w:r>
      <w:r>
        <w:rPr>
          <w:rFonts w:ascii="Arial" w:cs="Arial" w:eastAsia="Arial" w:hAnsi="Arial"/>
          <w:sz w:val="7"/>
          <w:szCs w:val="7"/>
          <w:color w:val="auto"/>
        </w:rPr>
        <w:t>®</w:t>
      </w:r>
      <w:r>
        <w:rPr>
          <w:rFonts w:ascii="Arial" w:cs="Arial" w:eastAsia="Arial" w:hAnsi="Arial"/>
          <w:sz w:val="16"/>
          <w:szCs w:val="16"/>
          <w:color w:val="auto"/>
        </w:rPr>
        <w:t xml:space="preserve"> reporting unit and (iv) an $8 million loss on the sale of a majority-owned organics company. These charges had a negative impact of $0.16 on our diluted earnings per share.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(45,286)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(15,349)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jc w:val="right"/>
              <w:ind w:right="191"/>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(45,286)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51"/>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20,331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(53,255)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jc w:val="right"/>
              <w:ind w:right="191"/>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(18,777)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(18,777)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(40,255)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(34,478)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20,366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(53,255)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WM</w:t>
            </w:r>
          </w:p>
        </w:tc>
        <w:tc>
          <w:tcPr>
            <w:tcW w:w="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b w:val="1"/>
                <w:bCs w:val="1"/>
                <w:color w:val="auto"/>
                <w:w w:val="95"/>
              </w:rPr>
              <w:t>Non-Guarantor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43"/>
              <w:spacing w:after="0"/>
              <w:rPr>
                <w:sz w:val="20"/>
                <w:szCs w:val="20"/>
                <w:color w:val="auto"/>
              </w:rPr>
            </w:pPr>
            <w:r>
              <w:rPr>
                <w:rFonts w:ascii="Arial" w:cs="Arial" w:eastAsia="Arial" w:hAnsi="Arial"/>
                <w:sz w:val="15"/>
                <w:szCs w:val="15"/>
                <w:b w:val="1"/>
                <w:bCs w:val="1"/>
                <w:color w:val="auto"/>
              </w:rPr>
              <w:t>WM</w:t>
            </w:r>
          </w:p>
        </w:tc>
        <w:tc>
          <w:tcPr>
            <w:tcW w:w="16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5"/>
                <w:szCs w:val="15"/>
                <w:b w:val="1"/>
                <w:bCs w:val="1"/>
                <w:color w:val="auto"/>
              </w:rPr>
              <w:t>Holdings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b w:val="1"/>
                <w:bCs w:val="1"/>
                <w:color w:val="auto"/>
                <w:w w:val="89"/>
              </w:rPr>
              <w:t>Subsidiaries</w:t>
            </w:r>
          </w:p>
        </w:tc>
        <w:tc>
          <w:tcPr>
            <w:tcW w:w="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5"/>
                <w:szCs w:val="15"/>
                <w:b w:val="1"/>
                <w:bCs w:val="1"/>
                <w:color w:val="auto"/>
              </w:rPr>
              <w:t>Eliminations</w:t>
            </w: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5"/>
                <w:szCs w:val="15"/>
                <w:b w:val="1"/>
                <w:bCs w:val="1"/>
                <w:color w:val="auto"/>
                <w:w w:val="88"/>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Years Ended December 31:</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2017</w:t>
            </w:r>
          </w:p>
        </w:tc>
        <w:tc>
          <w:tcPr>
            <w:tcW w:w="500" w:type="dxa"/>
            <w:vAlign w:val="bottom"/>
            <w:tcBorders>
              <w:top w:val="single" w:sz="8" w:color="CCEEFF"/>
            </w:tcBorders>
          </w:tcPr>
          <w:p>
            <w:pPr>
              <w:spacing w:after="0"/>
              <w:rPr>
                <w:sz w:val="13"/>
                <w:szCs w:val="13"/>
                <w:color w:val="auto"/>
              </w:rPr>
            </w:pPr>
          </w:p>
        </w:tc>
        <w:tc>
          <w:tcPr>
            <w:tcW w:w="194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 (a)</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15,040</w:t>
            </w:r>
          </w:p>
        </w:tc>
        <w:tc>
          <w:tcPr>
            <w:tcW w:w="40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14,485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spacing w:after="0" w:line="162" w:lineRule="exact"/>
              <w:rPr>
                <w:sz w:val="20"/>
                <w:szCs w:val="20"/>
                <w:color w:val="auto"/>
              </w:rPr>
            </w:pPr>
            <w:r>
              <w:rPr>
                <w:rFonts w:ascii="Arial" w:cs="Arial" w:eastAsia="Arial" w:hAnsi="Arial"/>
                <w:sz w:val="15"/>
                <w:szCs w:val="15"/>
                <w:color w:val="auto"/>
              </w:rPr>
              <w:t>Costs and expenses (a)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11,849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11,849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(555)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3,191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Loss on early extinguishment of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2,469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(4,951)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(77)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2,166</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2,461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(121)</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w w:val="95"/>
              </w:rPr>
              <w:t>1,611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2,461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3,070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2,191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588</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2,482</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1,949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1,949</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2,482</w:t>
            </w: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(4,951)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1,949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tcPr>
          <w:p>
            <w:pPr>
              <w:spacing w:after="0" w:line="162" w:lineRule="exact"/>
              <w:rPr>
                <w:sz w:val="20"/>
                <w:szCs w:val="20"/>
                <w:color w:val="auto"/>
              </w:rPr>
            </w:pPr>
            <w:r>
              <w:rPr>
                <w:rFonts w:ascii="Arial" w:cs="Arial" w:eastAsia="Arial" w:hAnsi="Arial"/>
                <w:sz w:val="15"/>
                <w:szCs w:val="15"/>
                <w:b w:val="1"/>
                <w:bCs w:val="1"/>
                <w:color w:val="auto"/>
              </w:rPr>
              <w:t>2016</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13,609</w:t>
            </w:r>
          </w:p>
        </w:tc>
        <w:tc>
          <w:tcPr>
            <w:tcW w:w="40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13,609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spacing w:after="0" w:line="162" w:lineRule="exact"/>
              <w:rPr>
                <w:sz w:val="20"/>
                <w:szCs w:val="20"/>
                <w:color w:val="auto"/>
              </w:rPr>
            </w:pPr>
            <w:r>
              <w:rPr>
                <w:rFonts w:ascii="Arial" w:cs="Arial" w:eastAsia="Arial" w:hAnsi="Arial"/>
                <w:sz w:val="15"/>
                <w:szCs w:val="15"/>
                <w:color w:val="auto"/>
              </w:rPr>
              <w:t>Costs and expenses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11,313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11,313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2,296</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2,296</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Loss on early extinguishment of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1,367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(2,748)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(94)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1,063</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1,361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(150)</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(2,748)</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w w:val="95"/>
              </w:rPr>
              <w:t>1,063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1,361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2,146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(2,748)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1,822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642</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1,182</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1,377</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(2,748)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1,180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3"/>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Pr>
          <w:p>
            <w:pPr>
              <w:spacing w:after="0"/>
              <w:rPr>
                <w:sz w:val="14"/>
                <w:szCs w:val="14"/>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1,182</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1,369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1,379</w:t>
            </w: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(2,748)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760" w:type="dxa"/>
            <w:vAlign w:val="bottom"/>
          </w:tcPr>
          <w:p>
            <w:pPr>
              <w:spacing w:after="0" w:line="162" w:lineRule="exact"/>
              <w:rPr>
                <w:sz w:val="20"/>
                <w:szCs w:val="20"/>
                <w:color w:val="auto"/>
              </w:rPr>
            </w:pPr>
            <w:r>
              <w:rPr>
                <w:rFonts w:ascii="Arial" w:cs="Arial" w:eastAsia="Arial" w:hAnsi="Arial"/>
                <w:sz w:val="15"/>
                <w:szCs w:val="15"/>
                <w:b w:val="1"/>
                <w:bCs w:val="1"/>
                <w:color w:val="auto"/>
              </w:rPr>
              <w:t>2015</w:t>
            </w: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Operating revenues</w:t>
            </w:r>
          </w:p>
        </w:tc>
        <w:tc>
          <w:tcPr>
            <w:tcW w:w="3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w w:val="95"/>
              </w:rPr>
              <w:t>$</w:t>
            </w: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12,961</w:t>
            </w:r>
          </w:p>
        </w:tc>
        <w:tc>
          <w:tcPr>
            <w:tcW w:w="40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12,961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spacing w:after="0" w:line="162" w:lineRule="exact"/>
              <w:rPr>
                <w:sz w:val="20"/>
                <w:szCs w:val="20"/>
                <w:color w:val="auto"/>
              </w:rPr>
            </w:pPr>
            <w:r>
              <w:rPr>
                <w:rFonts w:ascii="Arial" w:cs="Arial" w:eastAsia="Arial" w:hAnsi="Arial"/>
                <w:sz w:val="15"/>
                <w:szCs w:val="15"/>
                <w:color w:val="auto"/>
              </w:rPr>
              <w:t>Costs and expenses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10,917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10,916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5"/>
                <w:szCs w:val="15"/>
                <w:color w:val="auto"/>
              </w:rPr>
              <w:t>Income from operations</w:t>
            </w: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2,044</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2,045</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Interest expense, net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Loss on early extinguishment of debt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(500)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(555)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200"/>
              <w:spacing w:after="0" w:line="162" w:lineRule="exact"/>
              <w:rPr>
                <w:sz w:val="20"/>
                <w:szCs w:val="20"/>
                <w:color w:val="auto"/>
              </w:rPr>
            </w:pPr>
            <w:r>
              <w:rPr>
                <w:rFonts w:ascii="Arial" w:cs="Arial" w:eastAsia="Arial" w:hAnsi="Arial"/>
                <w:sz w:val="15"/>
                <w:szCs w:val="15"/>
                <w:color w:val="auto"/>
              </w:rPr>
              <w:t>Equity in earnings of subsidiaries, net of tax</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1,245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(2,534)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tcPr>
          <w:p>
            <w:pPr>
              <w:ind w:left="200"/>
              <w:spacing w:after="0" w:line="162" w:lineRule="exact"/>
              <w:rPr>
                <w:sz w:val="20"/>
                <w:szCs w:val="20"/>
                <w:color w:val="auto"/>
              </w:rPr>
            </w:pPr>
            <w:r>
              <w:rPr>
                <w:rFonts w:ascii="Arial" w:cs="Arial" w:eastAsia="Arial" w:hAnsi="Arial"/>
                <w:sz w:val="15"/>
                <w:szCs w:val="15"/>
                <w:color w:val="auto"/>
              </w:rPr>
              <w:t>Other, net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9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1,215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(113)</w:t>
            </w: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(2,534)</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(985)</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Income before income taxes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447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5"/>
                <w:szCs w:val="15"/>
                <w:color w:val="auto"/>
              </w:rPr>
              <w:t>1,216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1,931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5"/>
                <w:szCs w:val="15"/>
                <w:color w:val="auto"/>
              </w:rPr>
              <w:t>(2,534)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5"/>
                <w:szCs w:val="15"/>
                <w:color w:val="auto"/>
              </w:rPr>
              <w:t>1,060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spacing w:after="0" w:line="162" w:lineRule="exact"/>
              <w:rPr>
                <w:sz w:val="20"/>
                <w:szCs w:val="20"/>
                <w:color w:val="auto"/>
              </w:rPr>
            </w:pPr>
            <w:r>
              <w:rPr>
                <w:rFonts w:ascii="Arial" w:cs="Arial" w:eastAsia="Arial" w:hAnsi="Arial"/>
                <w:sz w:val="15"/>
                <w:szCs w:val="15"/>
                <w:color w:val="auto"/>
              </w:rPr>
              <w:t>Income tax expense (benefit)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643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156"/>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Consolidated net income</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753</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1,245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1,288</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(2,534)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752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3"/>
            <w:shd w:val="clear" w:color="auto" w:fill="CCEEFF"/>
          </w:tcPr>
          <w:p>
            <w:pPr>
              <w:ind w:left="100"/>
              <w:spacing w:after="0" w:line="162" w:lineRule="exact"/>
              <w:rPr>
                <w:sz w:val="20"/>
                <w:szCs w:val="20"/>
                <w:color w:val="auto"/>
              </w:rPr>
            </w:pPr>
            <w:r>
              <w:rPr>
                <w:rFonts w:ascii="Arial" w:cs="Arial" w:eastAsia="Arial" w:hAnsi="Arial"/>
                <w:sz w:val="15"/>
                <w:szCs w:val="15"/>
                <w:color w:val="auto"/>
                <w:w w:val="99"/>
              </w:rPr>
              <w:t>Less: Net income (loss) attributable to noncontrolling interests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3"/>
        </w:trPr>
        <w:tc>
          <w:tcPr>
            <w:tcW w:w="4220" w:type="dxa"/>
            <w:vAlign w:val="bottom"/>
            <w:gridSpan w:val="4"/>
          </w:tcPr>
          <w:p>
            <w:pPr>
              <w:spacing w:after="0" w:line="156" w:lineRule="exact"/>
              <w:rPr>
                <w:sz w:val="20"/>
                <w:szCs w:val="20"/>
                <w:color w:val="auto"/>
              </w:rPr>
            </w:pPr>
            <w:r>
              <w:rPr>
                <w:rFonts w:ascii="Arial" w:cs="Arial" w:eastAsia="Arial" w:hAnsi="Arial"/>
                <w:sz w:val="15"/>
                <w:szCs w:val="15"/>
                <w:color w:val="auto"/>
              </w:rPr>
              <w:t>Net income attributable to Waste Management, Inc.</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753</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1,289</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(2,534)</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308" w:lineRule="auto"/>
        <w:tabs>
          <w:tab w:leader="none" w:pos="3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For 2017, costs and expenses for WM and operating revenues for Non-Guarantor Subsidiaries include $555 million related to insurance premiums for a wholly-owned insurance captive, which are eliminated in consolidation.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Years Ended December 31:</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2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1,955</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$ 2,469</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3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$ 1,369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(2,748)</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88"/>
              </w:rPr>
              <w:t>1,189</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$ 1,369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1,419</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(2,748)</w:t>
            </w:r>
          </w:p>
        </w:tc>
        <w:tc>
          <w:tcPr>
            <w:tcW w:w="4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Inc.</w:t>
            </w:r>
          </w:p>
        </w:tc>
        <w:tc>
          <w:tcPr>
            <w:tcW w:w="38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Comprehensive income attributable to Waste Management,</w:t>
            </w:r>
          </w:p>
        </w:tc>
        <w:tc>
          <w:tcPr>
            <w:tcW w:w="3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$ 1,245</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w:t>
            </w:r>
          </w:p>
        </w:tc>
        <w:tc>
          <w:tcPr>
            <w:tcW w:w="38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121</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WM(a)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Holdings(a)</w:t>
            </w: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Subsidiaries(a)</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Years Ended December 31: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3,180</w:t>
            </w:r>
          </w:p>
        </w:tc>
        <w:tc>
          <w:tcPr>
            <w:tcW w:w="50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Effect of exchange rate changes on cash and cash</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equivalents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Intercompany activity</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Cash flows provided by (used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50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3"/>
              </w:rPr>
              <w:t>Effect of exchange rate changes on cash and cash</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tcPr>
          <w:p>
            <w:pPr>
              <w:ind w:left="34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Intercompany activity</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4040" w:type="dxa"/>
            <w:vAlign w:val="bottom"/>
            <w:gridSpan w:val="4"/>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2,528</w:t>
            </w:r>
          </w:p>
        </w:tc>
        <w:tc>
          <w:tcPr>
            <w:tcW w:w="500" w:type="dxa"/>
            <w:vAlign w:val="bottom"/>
            <w:gridSpan w:val="2"/>
          </w:tcPr>
          <w:p>
            <w:pPr>
              <w:jc w:val="right"/>
              <w:ind w:right="174"/>
              <w:spacing w:after="0"/>
              <w:rPr>
                <w:sz w:val="20"/>
                <w:szCs w:val="20"/>
                <w:color w:val="auto"/>
              </w:rPr>
            </w:pPr>
            <w:r>
              <w:rPr>
                <w:rFonts w:ascii="Arial" w:cs="Arial" w:eastAsia="Arial" w:hAnsi="Arial"/>
                <w:sz w:val="18"/>
                <w:szCs w:val="18"/>
                <w:color w:val="auto"/>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Effect of exchange rate changes on cash and cash</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equivalents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3"/>
          </w:tcPr>
          <w:p>
            <w:pPr>
              <w:ind w:left="200"/>
              <w:spacing w:after="0"/>
              <w:rPr>
                <w:sz w:val="20"/>
                <w:szCs w:val="20"/>
                <w:color w:val="auto"/>
              </w:rPr>
            </w:pPr>
            <w:r>
              <w:rPr>
                <w:rFonts w:ascii="Arial" w:cs="Arial" w:eastAsia="Arial" w:hAnsi="Arial"/>
                <w:sz w:val="18"/>
                <w:szCs w:val="18"/>
                <w:color w:val="auto"/>
              </w:rPr>
              <w:t>Intercompany activity</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Cash receipts and payments of WM and WM Holdings are transacted by Non-Guarantor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New Accounting Standards Pending Adoption (Unaudited)</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16 associated with the timing of recognition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for intra-entity transfers of assets other than inventory. The amended guidance requires the recognition of income taxes when the transfer of the asset occurs, which replaces current GAAP that defers the recognition of income taxes until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transferred asset is sold to a third party or otherwise recovered through use. The amended guidance is effective for the Company on January 1, 2018 and will not have a material impact on our consolidated financial statements.</w:t>
      </w:r>
    </w:p>
    <w:p>
      <w:pPr>
        <w:spacing w:after="0" w:line="14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Statement of Cash Flows — </w:t>
      </w:r>
      <w:r>
        <w:rPr>
          <w:rFonts w:ascii="Arial" w:cs="Arial" w:eastAsia="Arial" w:hAnsi="Arial"/>
          <w:sz w:val="18"/>
          <w:szCs w:val="18"/>
          <w:color w:val="auto"/>
        </w:rPr>
        <w:t>In August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15 associated with the classification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in the statement of cash flows. In November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18 associated with the presentation of restricted cash and cash equivalents in the statement of cash flows. The objective of both amendments was to reduce existing diversity in practice. The amended guidance is effective for the Company on January 1, 2018 and, upon adoption, the principal change for the Company will be in the presentation of restricted cash and cash equivalents in the statement of cash flows, which will include substantially all of the restricted trust and escrow accounts reflected on our Consolidated Balance Sheets.</w:t>
      </w:r>
    </w:p>
    <w:p>
      <w:pPr>
        <w:spacing w:after="0" w:line="20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 accounting. The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and (iii) acquired a software solution to manage and account for leases under the new standard. We are evaluating the impact of this amended guidance on our consolidated financial statements.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The amended guidance will require certain equity investments that are not consolidated and not accounted for under the equity method to be measured at fair value with changes in fair value recognized in net income rather than as a component of accumulated other comprehensive income (loss). The amended guidance is effective for the Company on January 1, 2018 and will not have a material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09 associated with revenue recognition.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20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our work to date, we believe we have identified all material contract types and costs that may be impacted by this amended guidance. We currently do not expect the amended guidance to have a material impact on operating revenues. However, upon adoption of the amended guidance, certain sales incentives will be capitalized and amortized to selling, general and administrative expenses over the expected life of the customer relationship. Under current guidance, sales incentives are expensed as earned to selling, general and administrative expenses. Additionally, the amended guidance resulted in a change in who we identify as a customer for certain arrangements. We anticipate payments to these customers will be a reduction in operating revenues. Under current guidance, these payments are recorded as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2017 (the end of the period covered by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Management of the Company, including the principal executive and financial officers,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204" w:lineRule="exact"/>
        <w:rPr>
          <w:sz w:val="20"/>
          <w:szCs w:val="20"/>
          <w:color w:val="auto"/>
        </w:rPr>
      </w:pPr>
    </w:p>
    <w:p>
      <w:pPr>
        <w:ind w:left="660" w:hanging="333"/>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6"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the Company assessed the effectiveness of our internal control over financial reporting as of December 31, 2017 based on the Internal Control — Integrated Framework issued by the Committee of Sponsoring Organizations of the Treadway Commission (2013 framework). Based on this assessment, management has concluded that our internal control over financial reporting was effective as of December 31, 2017.</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within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2017. We determined that there were no changes in our internal control over financial reporting during the quarter ended December 31, 2017 that have materially affected, or are reasonably likely to materially affect, our internal control over financial reporting.</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entitled “Board of Directors,” “Section 16(a) Beneficial Ownership Reporting Compliance,” and “Executive Officers,” in the Company’s definitive Proxy Statement for its 2018 Annual Meeting of Stockholders (the “Proxy Statement”), to be held May 14, 2018. The Proxy Statement will be filed with the SEC within 120 days of the end of our fiscal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Compensation Committee Report,” “— Compensation Committee Interlocks and Insider Participation,” “— Non-Employee Director Compensation,” “Executive Compensation — Compensation Discussion and Analysis” and “— Executive Compensation Tables” in the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 Executive Compensation Tables — Equity Compensation Plan Table,” “Director and Officer Stock Ownership,” and “Security Ownership of Certain Beneficial Owners” in the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(1) Consolidated Financial Statements:</w:t>
      </w:r>
    </w:p>
    <w:p>
      <w:pPr>
        <w:spacing w:after="0" w:line="225" w:lineRule="exact"/>
        <w:rPr>
          <w:sz w:val="20"/>
          <w:szCs w:val="20"/>
          <w:color w:val="auto"/>
        </w:rPr>
      </w:pPr>
    </w:p>
    <w:p>
      <w:pPr>
        <w:ind w:left="320" w:right="4080"/>
        <w:spacing w:after="0" w:line="291" w:lineRule="auto"/>
        <w:rPr>
          <w:sz w:val="20"/>
          <w:szCs w:val="20"/>
          <w:color w:val="auto"/>
        </w:rPr>
      </w:pPr>
      <w:r>
        <w:rPr>
          <w:rFonts w:ascii="Arial" w:cs="Arial" w:eastAsia="Arial" w:hAnsi="Arial"/>
          <w:sz w:val="16"/>
          <w:szCs w:val="16"/>
          <w:color w:val="auto"/>
        </w:rPr>
        <w:t>Reports of Independent Registered Public Accounting Firm Consolidated Balance Sheets as of December 31, 2017 and 2016</w:t>
      </w:r>
    </w:p>
    <w:p>
      <w:pPr>
        <w:ind w:left="320" w:right="960"/>
        <w:spacing w:after="0" w:line="253" w:lineRule="auto"/>
        <w:rPr>
          <w:sz w:val="20"/>
          <w:szCs w:val="20"/>
          <w:color w:val="auto"/>
        </w:rPr>
      </w:pPr>
      <w:r>
        <w:rPr>
          <w:rFonts w:ascii="Arial" w:cs="Arial" w:eastAsia="Arial" w:hAnsi="Arial"/>
          <w:sz w:val="18"/>
          <w:szCs w:val="18"/>
          <w:color w:val="auto"/>
        </w:rPr>
        <w:t>Consolidated Statements of Operations for the years ended December 31, 2017, 2016 and 2015 Consolidated Statements of Comprehensive Income for the years ended December 31, 2017, 2016 and 2015 Consolidated Statements of Cash Flows for the years ended December 31, 2017, 2016 and 2015 Consolidated Statements of Changes in Equity for the years ended December 31, 2017, 2016 and 2015 Notes to Consolidated Financial Statements</w:t>
      </w:r>
    </w:p>
    <w:p>
      <w:pPr>
        <w:spacing w:after="0" w:line="191" w:lineRule="exact"/>
        <w:rPr>
          <w:sz w:val="20"/>
          <w:szCs w:val="20"/>
          <w:color w:val="auto"/>
        </w:rPr>
      </w:pPr>
    </w:p>
    <w:p>
      <w:pPr>
        <w:ind w:left="320" w:right="4940" w:firstLine="7"/>
        <w:spacing w:after="0" w:line="563" w:lineRule="auto"/>
        <w:tabs>
          <w:tab w:leader="none" w:pos="6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(2) Consolidated Financial Statement Schedules: Schedule II — Valuation and Qualifying Accounts</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significant or is included in the financial statements or notes thereto, or is not applicable.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(3)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0" w:type="dxa"/>
            <w:vAlign w:val="bottom"/>
            <w:gridSpan w:val="5"/>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3"/>
        </w:trPr>
        <w:tc>
          <w:tcPr>
            <w:tcW w:w="70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20" w:type="dxa"/>
            <w:vAlign w:val="bottom"/>
            <w:tcBorders>
              <w:top w:val="single" w:sz="8" w:color="auto"/>
              <w:bottom w:val="single" w:sz="8" w:color="0000EE"/>
            </w:tcBorders>
            <w:gridSpan w:val="9"/>
          </w:tcPr>
          <w:p>
            <w:pPr>
              <w:spacing w:after="0" w:line="163" w:lineRule="exact"/>
              <w:rPr>
                <w:rFonts w:ascii="Arial" w:cs="Arial" w:eastAsia="Arial" w:hAnsi="Arial"/>
                <w:sz w:val="18"/>
                <w:szCs w:val="18"/>
                <w:color w:val="0000EE"/>
                <w:w w:val="94"/>
              </w:rPr>
            </w:pPr>
            <w:hyperlink r:id="rId127">
              <w:r>
                <w:rPr>
                  <w:rFonts w:ascii="Arial" w:cs="Arial" w:eastAsia="Arial" w:hAnsi="Arial"/>
                  <w:sz w:val="18"/>
                  <w:szCs w:val="18"/>
                  <w:color w:val="0000EE"/>
                  <w:w w:val="94"/>
                </w:rPr>
                <w:t>Third Restated Certificate of Incorporation of Waste Management, Inc.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Exhibit 3.1 to Form 10</w:t>
              </w:r>
              <w:r>
                <w:rPr>
                  <w:rFonts w:ascii="MS PGothic" w:cs="MS PGothic" w:eastAsia="MS PGothic" w:hAnsi="MS PGothic"/>
                  <w:sz w:val="18"/>
                  <w:szCs w:val="18"/>
                  <w:color w:val="0000EE"/>
                </w:rPr>
                <w:t>‑</w:t>
              </w:r>
              <w:r>
                <w:rPr>
                  <w:rFonts w:ascii="Arial" w:cs="Arial" w:eastAsia="Arial" w:hAnsi="Arial"/>
                  <w:sz w:val="18"/>
                  <w:szCs w:val="18"/>
                  <w:color w:val="0000EE"/>
                </w:rPr>
                <w:t>Q for the quarter ended June 30, 2010].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Amended and Restated By-laws of Waste Management, Inc. [incorporated by reference to Exhibit 3.2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Form 8</w:t>
              </w:r>
              <w:r>
                <w:rPr>
                  <w:rFonts w:ascii="MS PGothic" w:cs="MS PGothic" w:eastAsia="MS PGothic" w:hAnsi="MS PGothic"/>
                  <w:sz w:val="18"/>
                  <w:szCs w:val="18"/>
                  <w:color w:val="0000EE"/>
                </w:rPr>
                <w:t>‑</w:t>
              </w:r>
              <w:r>
                <w:rPr>
                  <w:rFonts w:ascii="Arial" w:cs="Arial" w:eastAsia="Arial" w:hAnsi="Arial"/>
                  <w:sz w:val="18"/>
                  <w:szCs w:val="18"/>
                  <w:color w:val="0000EE"/>
                </w:rPr>
                <w:t>K dated November 13, 2017].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29">
              <w:r>
                <w:rPr>
                  <w:rFonts w:ascii="Arial" w:cs="Arial" w:eastAsia="Arial" w:hAnsi="Arial"/>
                  <w:sz w:val="18"/>
                  <w:szCs w:val="18"/>
                  <w:color w:val="0000EE"/>
                  <w:w w:val="93"/>
                </w:rPr>
                <w:t>Specimen Stock Certificate [incorporated by reference to Exhibit 4.1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K for the year ended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December 31, 1998].</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Third Restated Certificate of Incorporation of Waste Management Holdings, Inc. [incorporated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reference to Exhibit 4.2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2014].</w:t>
              </w:r>
            </w:hyperlink>
          </w:p>
        </w:tc>
        <w:tc>
          <w:tcPr>
            <w:tcW w:w="1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Amended and Restated By-laws of Waste Management Holdings, Inc. [incorporated by reference to</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Exhibit 4.3 to Form 10</w:t>
              </w:r>
              <w:r>
                <w:rPr>
                  <w:rFonts w:ascii="MS PGothic" w:cs="MS PGothic" w:eastAsia="MS PGothic" w:hAnsi="MS PGothic"/>
                  <w:sz w:val="18"/>
                  <w:szCs w:val="18"/>
                  <w:color w:val="0000EE"/>
                </w:rPr>
                <w:t>‑</w:t>
              </w:r>
              <w:r>
                <w:rPr>
                  <w:rFonts w:ascii="Arial" w:cs="Arial" w:eastAsia="Arial" w:hAnsi="Arial"/>
                  <w:sz w:val="18"/>
                  <w:szCs w:val="18"/>
                  <w:color w:val="0000EE"/>
                </w:rPr>
                <w:t>Q for the quarter ended June 30, 2014].</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Indenture for Subordinated Debt Securities dated February 3, 1997, among the Registrant and The Bank</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of New York Mellon Trust Company, N.A. (the current successor to Texas Commerce Bank National</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Association), as trustee [incorporated by reference to Exhibit 4.1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February 7, 1997].</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Indenture for Senior Debt Securities dated September 10, 1997, among the Registrant and The Bank of</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New York Mellon Trust Company, N.A. (the current successor to Texas Commerce Bank National</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Association), as trustee [incorporated by reference to Exhibit 4.1 to Form 8</w:t>
              </w:r>
              <w:r>
                <w:rPr>
                  <w:rFonts w:ascii="MS PGothic" w:cs="MS PGothic" w:eastAsia="MS PGothic" w:hAnsi="MS PGothic"/>
                  <w:sz w:val="18"/>
                  <w:szCs w:val="18"/>
                  <w:color w:val="0000EE"/>
                  <w:w w:val="95"/>
                </w:rPr>
                <w:t>‑</w:t>
              </w:r>
              <w:r>
                <w:rPr>
                  <w:rFonts w:ascii="Arial" w:cs="Arial" w:eastAsia="Arial" w:hAnsi="Arial"/>
                  <w:sz w:val="18"/>
                  <w:szCs w:val="18"/>
                  <w:color w:val="0000EE"/>
                  <w:w w:val="95"/>
                </w:rPr>
                <w:t>K dated September 10,</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1997].</w:t>
              </w:r>
            </w:hyperlink>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34">
              <w:r>
                <w:rPr>
                  <w:rFonts w:ascii="Arial" w:cs="Arial" w:eastAsia="Arial" w:hAnsi="Arial"/>
                  <w:sz w:val="18"/>
                  <w:szCs w:val="18"/>
                  <w:color w:val="0000EE"/>
                  <w:w w:val="94"/>
                </w:rPr>
                <w:t>Officers’ Certificate delivered pursuant to Section 301 of the Indenture dated September 10, 1997 by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and between Waste Management, Inc. and The Bank of New York Mellon Trust Company, N.A., as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w w:val="91"/>
              </w:rPr>
            </w:pPr>
            <w:hyperlink w:anchor="page134">
              <w:r>
                <w:rPr>
                  <w:rFonts w:ascii="Arial" w:cs="Arial" w:eastAsia="Arial" w:hAnsi="Arial"/>
                  <w:sz w:val="18"/>
                  <w:szCs w:val="18"/>
                  <w:color w:val="0000EE"/>
                  <w:w w:val="91"/>
                </w:rPr>
                <w:t>Trustee, establishing the terms and form of Waste Management, Inc.’s 3.150% Senior Notes due 2027.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960" w:type="dxa"/>
            <w:vAlign w:val="bottom"/>
            <w:gridSpan w:val="6"/>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7"/>
                <w:szCs w:val="17"/>
                <w:color w:val="auto"/>
              </w:rPr>
            </w:pPr>
          </w:p>
        </w:tc>
        <w:tc>
          <w:tcPr>
            <w:tcW w:w="660" w:type="dxa"/>
            <w:vAlign w:val="bottom"/>
          </w:tcPr>
          <w:p>
            <w:pPr>
              <w:ind w:left="160"/>
              <w:spacing w:after="0" w:line="196" w:lineRule="exact"/>
              <w:rPr>
                <w:sz w:val="20"/>
                <w:szCs w:val="20"/>
                <w:color w:val="auto"/>
              </w:rPr>
            </w:pPr>
            <w:r>
              <w:rPr>
                <w:rFonts w:ascii="Arial" w:cs="Arial" w:eastAsia="Arial" w:hAnsi="Arial"/>
                <w:sz w:val="18"/>
                <w:szCs w:val="18"/>
                <w:color w:val="auto"/>
              </w:rPr>
              <w:t>—</w:t>
            </w: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55">
              <w:r>
                <w:rPr>
                  <w:rFonts w:ascii="Arial" w:cs="Arial" w:eastAsia="Arial" w:hAnsi="Arial"/>
                  <w:sz w:val="18"/>
                  <w:szCs w:val="18"/>
                  <w:color w:val="0000EE"/>
                  <w:w w:val="92"/>
                </w:rPr>
                <w:t>Guarantee Agreement by Waste Management Holdings, Inc. in favor of The Bank of New York Mellon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Trust Company, N.A., as Trustee for the holders of Waste Management, Inc.’s 3.150% Senior Notes due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2027.</w:t>
              </w:r>
            </w:hyperlink>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6"/>
          </w:tcPr>
          <w:p>
            <w:pPr>
              <w:ind w:left="2880"/>
              <w:spacing w:after="0"/>
              <w:rPr>
                <w:sz w:val="20"/>
                <w:szCs w:val="20"/>
                <w:color w:val="auto"/>
              </w:rPr>
            </w:pPr>
            <w:r>
              <w:rPr>
                <w:rFonts w:ascii="Arial" w:cs="Arial" w:eastAsia="Arial" w:hAnsi="Arial"/>
                <w:sz w:val="18"/>
                <w:szCs w:val="18"/>
                <w:color w:val="auto"/>
              </w:rPr>
              <w:t>127</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52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Schedule  of  Officers’  Certificates  delivered  pursuant  to  Section  301  of  the  Indenture  dated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September 10, 1997 establishing the terms and form of Waste Management, Inc.’s Senior Notes. Waste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Management and its subsidiaries are parties to debt instruments that have not been filed with the SEC</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under which the total amount of securities authorized under any single instrument does not exceed 10%</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60">
              <w:r>
                <w:rPr>
                  <w:rFonts w:ascii="Arial" w:cs="Arial" w:eastAsia="Arial" w:hAnsi="Arial"/>
                  <w:sz w:val="18"/>
                  <w:szCs w:val="18"/>
                  <w:color w:val="0000EE"/>
                  <w:w w:val="96"/>
                </w:rPr>
                <w:t>of the total assets of Waste Management and its subsidiaries on a consolidated basis. Pursuant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60">
              <w:r>
                <w:rPr>
                  <w:rFonts w:ascii="Arial" w:cs="Arial" w:eastAsia="Arial" w:hAnsi="Arial"/>
                  <w:sz w:val="18"/>
                  <w:szCs w:val="18"/>
                  <w:color w:val="0000EE"/>
                  <w:w w:val="94"/>
                </w:rPr>
                <w:t>paragraph 4(iii)(A) of Item 601(b) of Regulation S-K, Waste Management agrees to furnish a copy of</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such instruments to the SEC upon request.</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2014 Stock Incentive Plan [incorporated by reference to Exhibit 10.1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May 13, 2014].</w:t>
              </w:r>
            </w:hyperlink>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2009 Stock Incentive Plan [incorporated by reference to Appendix B to the Proxy Statement 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Schedule 14A filed March 25, 2009].</w:t>
              </w:r>
            </w:hyperlink>
          </w:p>
        </w:tc>
        <w:tc>
          <w:tcPr>
            <w:tcW w:w="4840" w:type="dxa"/>
            <w:vAlign w:val="bottom"/>
            <w:gridSpan w:val="9"/>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136">
              <w:r>
                <w:rPr>
                  <w:rFonts w:ascii="Arial" w:cs="Arial" w:eastAsia="Arial" w:hAnsi="Arial"/>
                  <w:sz w:val="18"/>
                  <w:szCs w:val="18"/>
                  <w:color w:val="0000EE"/>
                  <w:w w:val="97"/>
                </w:rPr>
                <w:t>2005 Annual Incentive Plan [incorporated by reference to Appendix D to the Proxy Statement 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Schedule 14A filed April 8, 2004].</w:t>
              </w:r>
            </w:hyperlink>
          </w:p>
        </w:tc>
        <w:tc>
          <w:tcPr>
            <w:tcW w:w="5020" w:type="dxa"/>
            <w:vAlign w:val="bottom"/>
            <w:gridSpan w:val="11"/>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Waste Management, Inc. Employee Stock Purchase Plan [incorporated by reference to Exhibit 10.1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May 15, 2015].</w:t>
              </w:r>
            </w:hyperlink>
          </w:p>
        </w:tc>
        <w:tc>
          <w:tcPr>
            <w:tcW w:w="5220" w:type="dxa"/>
            <w:vAlign w:val="bottom"/>
            <w:gridSpan w:val="1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First Amendment to Waste Management, Inc. Employee Stock Purchase Plan effective as of July 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3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2015 [incorporated by reference to Exhibit 10.5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2015].</w:t>
              </w:r>
            </w:hyperlink>
          </w:p>
        </w:tc>
        <w:tc>
          <w:tcPr>
            <w:tcW w:w="140" w:type="dxa"/>
            <w:vAlign w:val="bottom"/>
            <w:gridSpan w:val="2"/>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Waste Management, Inc. 409A Deferral Savings Plan as Amended and Restated effective January 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2014 [incorporated by reference to Exhibit 10.2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Q for the quarter ended March 31, 2014].</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u w:val="single" w:color="auto"/>
                  <w:color w:val="0000EE"/>
                  <w:w w:val="93"/>
                </w:rPr>
                <w:t>$</w:t>
              </w:r>
              <w:r>
                <w:rPr>
                  <w:rFonts w:ascii="Arial" w:cs="Arial" w:eastAsia="Arial" w:hAnsi="Arial"/>
                  <w:sz w:val="18"/>
                  <w:szCs w:val="18"/>
                  <w:color w:val="0000EE"/>
                  <w:w w:val="93"/>
                </w:rPr>
                <w:t>2.25 Billion Third Amended and Restated Revolving Credit Agreement dated as of July 10, 2015 by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and among Waste Management, Inc. and Waste Management Holdings, Inc. and certain banks party</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thereto, Bank of America, N.A., as administrative agent, JPMorgan Chase Bank, N.A. and Barclays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40">
              <w:r>
                <w:rPr>
                  <w:rFonts w:ascii="Arial" w:cs="Arial" w:eastAsia="Arial" w:hAnsi="Arial"/>
                  <w:sz w:val="18"/>
                  <w:szCs w:val="18"/>
                  <w:color w:val="0000EE"/>
                  <w:w w:val="95"/>
                </w:rPr>
                <w:t>Bank PLC, as syndication agents, BNP Paribas, Citibank, N.A., Deutsche Bank Securities Inc., The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Bank of Tokyo-Mitsubishi UFJ, Ltd., Mizuho Bank, Ltd., U.S. Bank National Association and Wells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Fargo Bank, National Association, as co-documentation agents and J.P. Morgan Securities LLC, Merrill</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Lynch, Pierce, Fenner &amp; Smith Incorporated, and Barclays Bank PLC, as lead arrangers and joint</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bookrunners [incorporated by reference to Exhibit 10.1 to Form 8</w:t>
              </w:r>
              <w:r>
                <w:rPr>
                  <w:rFonts w:ascii="MS PGothic" w:cs="MS PGothic" w:eastAsia="MS PGothic" w:hAnsi="MS PGothic"/>
                  <w:sz w:val="18"/>
                  <w:szCs w:val="18"/>
                  <w:color w:val="0000EE"/>
                </w:rPr>
                <w:t>‑</w:t>
              </w:r>
              <w:r>
                <w:rPr>
                  <w:rFonts w:ascii="Arial" w:cs="Arial" w:eastAsia="Arial" w:hAnsi="Arial"/>
                  <w:sz w:val="18"/>
                  <w:szCs w:val="18"/>
                  <w:color w:val="0000EE"/>
                </w:rPr>
                <w:t>K dated July 10, 2015].</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u w:val="single" w:color="auto"/>
                  <w:color w:val="0000EE"/>
                  <w:w w:val="94"/>
                </w:rPr>
                <w:t>CDN$</w:t>
              </w:r>
              <w:r>
                <w:rPr>
                  <w:rFonts w:ascii="Arial" w:cs="Arial" w:eastAsia="Arial" w:hAnsi="Arial"/>
                  <w:sz w:val="18"/>
                  <w:szCs w:val="18"/>
                  <w:color w:val="0000EE"/>
                  <w:w w:val="94"/>
                </w:rPr>
                <w:t>509,500,000 Credit Facilities Amended and Restated Credit Agreement by and among Waste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Management of Canada Corporation and WM Quebec Inc., as borrowers, Waste Management, Inc. and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Waste Management Holdings, Inc., as guarantors, The Bank of Nova Scotia, as administrative agent,</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JPMorgan Chase Bank, N.A., Bank of America, N.A. and PNC Bank Canada Branch, as co-syndication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agents, The Bank of Nova Scotia, JPMorgan Chase Bank, N.A., Merrill Lynch, Pierce, Fenner &amp; Smith</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Incorporated and PNC Capital Markets LLC, as joint lead arrangers and joint bookrunners and the</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Lenders from time to time party thereto [incorporated by reference to Exhibit 10.1 to Form 8</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dated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March 24, 2016].</w:t>
              </w:r>
            </w:hyperlink>
          </w:p>
        </w:tc>
        <w:tc>
          <w:tcPr>
            <w:tcW w:w="6280" w:type="dxa"/>
            <w:vAlign w:val="bottom"/>
            <w:gridSpan w:val="13"/>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Commercial Paper Dealer Agreement, substantially in the form as executed with each of Mizuho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Securities USA Inc., Merrill Lynch, Pierce, Fenner &amp; Smith Incorporated, and J.P. Morgan Securities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42">
              <w:r>
                <w:rPr>
                  <w:rFonts w:ascii="Arial" w:cs="Arial" w:eastAsia="Arial" w:hAnsi="Arial"/>
                  <w:sz w:val="18"/>
                  <w:szCs w:val="18"/>
                  <w:color w:val="0000EE"/>
                  <w:w w:val="94"/>
                </w:rPr>
                <w:t>LLC, as Dealer, dated August 22, 2016 [incorporated by reference to Exhibit 10.11 to Form 10</w:t>
              </w:r>
              <w:r>
                <w:rPr>
                  <w:rFonts w:ascii="MS PGothic" w:cs="MS PGothic" w:eastAsia="MS PGothic" w:hAnsi="MS PGothic"/>
                  <w:sz w:val="18"/>
                  <w:szCs w:val="18"/>
                  <w:color w:val="0000EE"/>
                  <w:w w:val="94"/>
                </w:rPr>
                <w:t>‑</w:t>
              </w:r>
              <w:r>
                <w:rPr>
                  <w:rFonts w:ascii="Arial" w:cs="Arial" w:eastAsia="Arial" w:hAnsi="Arial"/>
                  <w:sz w:val="18"/>
                  <w:szCs w:val="18"/>
                  <w:color w:val="0000EE"/>
                  <w:w w:val="94"/>
                </w:rPr>
                <w:t>K for</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the year ended December 31, 2016].</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Commercial Paper Issuing and Paying Agent Agreement between Waste Management, Inc. and Bank of</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43">
              <w:r>
                <w:rPr>
                  <w:rFonts w:ascii="Arial" w:cs="Arial" w:eastAsia="Arial" w:hAnsi="Arial"/>
                  <w:sz w:val="18"/>
                  <w:szCs w:val="18"/>
                  <w:color w:val="0000EE"/>
                  <w:w w:val="95"/>
                </w:rPr>
                <w:t>America, National Association dated August 15, 2016 [incorporated by reference to Exhibit 10.12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Form 10</w:t>
              </w:r>
              <w:r>
                <w:rPr>
                  <w:rFonts w:ascii="MS PGothic" w:cs="MS PGothic" w:eastAsia="MS PGothic" w:hAnsi="MS PGothic"/>
                  <w:sz w:val="18"/>
                  <w:szCs w:val="18"/>
                  <w:color w:val="0000EE"/>
                </w:rPr>
                <w:t>‑</w:t>
              </w:r>
              <w:r>
                <w:rPr>
                  <w:rFonts w:ascii="Arial" w:cs="Arial" w:eastAsia="Arial" w:hAnsi="Arial"/>
                  <w:sz w:val="18"/>
                  <w:szCs w:val="18"/>
                  <w:color w:val="0000EE"/>
                </w:rPr>
                <w:t>K for the year ended December 31, 2016].</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Employment Agreement between the Company and James C. Fish, Jr. dated August 15, 2011</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[incorporated by reference to Exhibit 10.2 to Form 10</w:t>
              </w:r>
              <w:r>
                <w:rPr>
                  <w:rFonts w:ascii="MS PGothic" w:cs="MS PGothic" w:eastAsia="MS PGothic" w:hAnsi="MS PGothic"/>
                  <w:sz w:val="18"/>
                  <w:szCs w:val="18"/>
                  <w:color w:val="0000EE"/>
                  <w:w w:val="90"/>
                </w:rPr>
                <w:t>‑</w:t>
              </w:r>
              <w:r>
                <w:rPr>
                  <w:rFonts w:ascii="Arial" w:cs="Arial" w:eastAsia="Arial" w:hAnsi="Arial"/>
                  <w:sz w:val="18"/>
                  <w:szCs w:val="18"/>
                  <w:color w:val="0000EE"/>
                  <w:w w:val="90"/>
                </w:rPr>
                <w:t>Q for the quarter ended September 30, 2011].</w:t>
              </w:r>
            </w:hyperlink>
          </w:p>
        </w:tc>
        <w:tc>
          <w:tcPr>
            <w:tcW w:w="320" w:type="dxa"/>
            <w:vAlign w:val="bottom"/>
            <w:gridSpan w:val="4"/>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First Amendment to Employment Agreement between the Company and James C. Fish, Jr. dated</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July 20, 2012 [incorporated by reference to Exhibit 10.3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Q for the quarter ended June 30,</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2012].</w:t>
              </w:r>
            </w:hyperlink>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First Amended and Restated Employment Agreement between USA Waste-Management Resources,</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LLC and James C. Fish, Jr. dated December 22, 2017 [incorporated by reference to Exhibit 10.2 to</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16"/>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Form 8-K dated December 22, 2017].</w:t>
              </w:r>
            </w:hyperlink>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gridSpan w:val="7"/>
            <w:shd w:val="clear" w:color="auto" w:fill="0000EE"/>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520" w:type="dxa"/>
            <w:vAlign w:val="bottom"/>
          </w:tcPr>
          <w:p>
            <w:pPr>
              <w:ind w:left="26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Employment Agreement between USA Waste-Management Resources, LLC and Devina A. Rankin</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dated December 22, 2017 [incorporated by reference to Exhibit 10.3 to Form 8-K dated December 22,</w:t>
              </w:r>
            </w:hyperlink>
          </w:p>
        </w:tc>
      </w:tr>
      <w:tr>
        <w:trPr>
          <w:trHeight w:val="196"/>
        </w:trPr>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gridSpan w:val="3"/>
          </w:tcPr>
          <w:p>
            <w:pPr>
              <w:ind w:left="240"/>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2017].</w:t>
              </w:r>
            </w:hyperlink>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40" w:type="dxa"/>
            <w:vAlign w:val="bottom"/>
            <w:gridSpan w:val="9"/>
          </w:tcPr>
          <w:p>
            <w:pPr>
              <w:jc w:val="right"/>
              <w:ind w:right="580"/>
              <w:spacing w:after="0"/>
              <w:rPr>
                <w:sz w:val="20"/>
                <w:szCs w:val="20"/>
                <w:color w:val="auto"/>
              </w:rPr>
            </w:pPr>
            <w:r>
              <w:rPr>
                <w:rFonts w:ascii="Arial" w:cs="Arial" w:eastAsia="Arial" w:hAnsi="Arial"/>
                <w:sz w:val="18"/>
                <w:szCs w:val="18"/>
                <w:color w:val="auto"/>
              </w:rPr>
              <w:t>128</w:t>
            </w:r>
          </w:p>
        </w:tc>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736"/>
        </w:trPr>
        <w:tc>
          <w:tcPr>
            <w:tcW w:w="800" w:type="dxa"/>
            <w:vAlign w:val="bottom"/>
          </w:tcPr>
          <w:p>
            <w:pPr>
              <w:spacing w:after="0"/>
              <w:rPr>
                <w:sz w:val="20"/>
                <w:szCs w:val="20"/>
                <w:color w:val="auto"/>
              </w:rPr>
            </w:pPr>
            <w:r>
              <w:rPr>
                <w:rFonts w:ascii="Arial" w:cs="Arial" w:eastAsia="Arial" w:hAnsi="Arial"/>
                <w:sz w:val="18"/>
                <w:szCs w:val="18"/>
                <w:color w:val="auto"/>
              </w:rPr>
              <w:t>10.15†</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520" w:type="dxa"/>
            <w:vAlign w:val="bottom"/>
            <w:tcBorders>
              <w:bottom w:val="single" w:sz="8" w:color="0000EE"/>
            </w:tcBorders>
            <w:gridSpan w:val="22"/>
          </w:tcPr>
          <w:p>
            <w:pPr>
              <w:spacing w:after="0"/>
              <w:rPr>
                <w:rFonts w:ascii="Arial" w:cs="Arial" w:eastAsia="Arial" w:hAnsi="Arial"/>
                <w:sz w:val="18"/>
                <w:szCs w:val="18"/>
                <w:color w:val="0000EE"/>
                <w:w w:val="97"/>
              </w:rPr>
            </w:pPr>
            <w:hyperlink r:id="rId148">
              <w:r>
                <w:rPr>
                  <w:rFonts w:ascii="Arial" w:cs="Arial" w:eastAsia="Arial" w:hAnsi="Arial"/>
                  <w:sz w:val="18"/>
                  <w:szCs w:val="18"/>
                  <w:color w:val="0000EE"/>
                  <w:w w:val="97"/>
                </w:rPr>
                <w:t>Employment Agreement between the Company and James E. Trevathan, Jr. dated June 1, 2000</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[incorporated by reference to Exhibit 10.20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2000].</w:t>
              </w:r>
            </w:hyperlink>
          </w:p>
        </w:tc>
        <w:tc>
          <w:tcPr>
            <w:tcW w:w="46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Amendment  to  Employment  Agreement  between  the  Company  and  James  E.  Trevathan,  Jr.</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[incorporated by reference to Exhibit 10.3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March 9, 2011].</w:t>
              </w:r>
            </w:hyperlink>
          </w:p>
        </w:tc>
        <w:tc>
          <w:tcPr>
            <w:tcW w:w="1920" w:type="dxa"/>
            <w:vAlign w:val="bottom"/>
            <w:gridSpan w:val="7"/>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Employment Agreement between the Company and Jeff Harris dated December 1, 2006 [incorporated</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by reference to Exhibit 10.1 to 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dated December 1, 2006].</w:t>
              </w:r>
            </w:hyperlink>
          </w:p>
        </w:tc>
        <w:tc>
          <w:tcPr>
            <w:tcW w:w="2660" w:type="dxa"/>
            <w:vAlign w:val="bottom"/>
            <w:gridSpan w:val="11"/>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Amendment to Employment Agreement by and between the Company and Jeff Harris [incorporated by</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reference to Exhibit 10.6 to Form 10</w:t>
              </w:r>
              <w:r>
                <w:rPr>
                  <w:rFonts w:ascii="MS PGothic" w:cs="MS PGothic" w:eastAsia="MS PGothic" w:hAnsi="MS PGothic"/>
                  <w:sz w:val="18"/>
                  <w:szCs w:val="18"/>
                  <w:color w:val="0000EE"/>
                  <w:w w:val="90"/>
                </w:rPr>
                <w:t>‑</w:t>
              </w:r>
              <w:r>
                <w:rPr>
                  <w:rFonts w:ascii="Arial" w:cs="Arial" w:eastAsia="Arial" w:hAnsi="Arial"/>
                  <w:sz w:val="18"/>
                  <w:szCs w:val="18"/>
                  <w:color w:val="0000EE"/>
                  <w:w w:val="90"/>
                </w:rPr>
                <w:t>Q for the quarter ended March 31, 2011].</w:t>
              </w:r>
            </w:hyperlink>
          </w:p>
        </w:tc>
        <w:tc>
          <w:tcPr>
            <w:tcW w:w="1860" w:type="dxa"/>
            <w:vAlign w:val="bottom"/>
            <w:gridSpan w:val="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152">
              <w:r>
                <w:rPr>
                  <w:rFonts w:ascii="Arial" w:cs="Arial" w:eastAsia="Arial" w:hAnsi="Arial"/>
                  <w:sz w:val="18"/>
                  <w:szCs w:val="18"/>
                  <w:color w:val="0000EE"/>
                  <w:w w:val="94"/>
                </w:rPr>
                <w:t>Employment  Agreement  between  the  Company  and  John  J.  Morris,  Jr.  dated  June  18,  2012</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[incorporated by reference to Exhibit 10.4 to Form 10</w:t>
              </w:r>
              <w:r>
                <w:rPr>
                  <w:rFonts w:ascii="MS PGothic" w:cs="MS PGothic" w:eastAsia="MS PGothic" w:hAnsi="MS PGothic"/>
                  <w:sz w:val="18"/>
                  <w:szCs w:val="18"/>
                  <w:color w:val="0000EE"/>
                  <w:w w:val="90"/>
                </w:rPr>
                <w:t>‑</w:t>
              </w:r>
              <w:r>
                <w:rPr>
                  <w:rFonts w:ascii="Arial" w:cs="Arial" w:eastAsia="Arial" w:hAnsi="Arial"/>
                  <w:sz w:val="18"/>
                  <w:szCs w:val="18"/>
                  <w:color w:val="0000EE"/>
                  <w:w w:val="90"/>
                </w:rPr>
                <w:t>Q for the quarter ended June 30, 2012].</w:t>
              </w:r>
            </w:hyperlink>
          </w:p>
        </w:tc>
        <w:tc>
          <w:tcPr>
            <w:tcW w:w="760" w:type="dxa"/>
            <w:vAlign w:val="bottom"/>
            <w:gridSpan w:val="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First Amended and Restated Employment Agreement between USA Waste-Management Resources,</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LLC and John J. Morris, Jr. [incorporated by reference to Exhibit 10.4 to Form 8-K dated December 22,</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53">
              <w:r>
                <w:rPr>
                  <w:rFonts w:ascii="Arial" w:cs="Arial" w:eastAsia="Arial" w:hAnsi="Arial"/>
                  <w:sz w:val="18"/>
                  <w:szCs w:val="18"/>
                  <w:color w:val="0000EE"/>
                  <w:w w:val="87"/>
                </w:rPr>
                <w:t>2017].</w:t>
              </w:r>
            </w:hyperlink>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r:id="rId154">
              <w:r>
                <w:rPr>
                  <w:rFonts w:ascii="Arial" w:cs="Arial" w:eastAsia="Arial" w:hAnsi="Arial"/>
                  <w:sz w:val="18"/>
                  <w:szCs w:val="18"/>
                  <w:color w:val="0000EE"/>
                  <w:w w:val="96"/>
                </w:rPr>
                <w:t>Employment Agreement between the Company and Barry H. Caldwell dated September 23, 2002</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[incorporated by reference to Exhibit 10.24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2002].</w:t>
              </w:r>
            </w:hyperlink>
          </w:p>
        </w:tc>
        <w:tc>
          <w:tcPr>
            <w:tcW w:w="46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Employment Offer Letter to Charles C. Boettcher dated August 5, 2016 [incorporated by reference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Exhibit 10.23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2016].</w:t>
              </w:r>
            </w:hyperlink>
          </w:p>
        </w:tc>
        <w:tc>
          <w:tcPr>
            <w:tcW w:w="2600" w:type="dxa"/>
            <w:vAlign w:val="bottom"/>
            <w:gridSpan w:val="1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Employment Agreement between USA Waste-Management Resources, LLC and Charles C. Boettcher</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dated December 22, 2017.</w:t>
              </w:r>
            </w:hyperlink>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Employment Agreement between the Company and David Steiner dated May 6, 2002 [incorporated by</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reference to Exhibit 10.1 to Form 10</w:t>
              </w:r>
              <w:r>
                <w:rPr>
                  <w:rFonts w:ascii="MS PGothic" w:cs="MS PGothic" w:eastAsia="MS PGothic" w:hAnsi="MS PGothic"/>
                  <w:sz w:val="18"/>
                  <w:szCs w:val="18"/>
                  <w:color w:val="0000EE"/>
                  <w:w w:val="90"/>
                </w:rPr>
                <w:t>‑</w:t>
              </w:r>
              <w:r>
                <w:rPr>
                  <w:rFonts w:ascii="Arial" w:cs="Arial" w:eastAsia="Arial" w:hAnsi="Arial"/>
                  <w:sz w:val="18"/>
                  <w:szCs w:val="18"/>
                  <w:color w:val="0000EE"/>
                  <w:w w:val="90"/>
                </w:rPr>
                <w:t>Q for the quarter ended March 31, 2002].</w:t>
              </w:r>
            </w:hyperlink>
          </w:p>
        </w:tc>
        <w:tc>
          <w:tcPr>
            <w:tcW w:w="1860" w:type="dxa"/>
            <w:vAlign w:val="bottom"/>
            <w:gridSpan w:val="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Separation and Release Agreement between the Company and David Steiner dated January 6, 2017</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[incorporated by reference to Exhibit 10.1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January 6, 2017].</w:t>
              </w:r>
            </w:hyperlink>
          </w:p>
        </w:tc>
        <w:tc>
          <w:tcPr>
            <w:tcW w:w="1820" w:type="dxa"/>
            <w:vAlign w:val="bottom"/>
            <w:gridSpan w:val="5"/>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Employment  Agreement  between  the  Company  and  Puneet  Bhasin  dated  December  7,  2009</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[incorporated by reference to Exhibit 10.12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2009].</w:t>
              </w:r>
            </w:hyperlink>
          </w:p>
        </w:tc>
        <w:tc>
          <w:tcPr>
            <w:tcW w:w="46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Separation and Release Agreement between USA Waste-Management Resources, LLC and Puneet</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159">
              <w:r>
                <w:rPr>
                  <w:rFonts w:ascii="Arial" w:cs="Arial" w:eastAsia="Arial" w:hAnsi="Arial"/>
                  <w:sz w:val="18"/>
                  <w:szCs w:val="18"/>
                  <w:color w:val="0000EE"/>
                  <w:w w:val="93"/>
                </w:rPr>
                <w:t>Bhasin dated March 10, 2017 [incorporated by reference to Exhibit 10.3 to Form 10</w:t>
              </w:r>
              <w:r>
                <w:rPr>
                  <w:rFonts w:ascii="MS PGothic" w:cs="MS PGothic" w:eastAsia="MS PGothic" w:hAnsi="MS PGothic"/>
                  <w:sz w:val="18"/>
                  <w:szCs w:val="18"/>
                  <w:color w:val="0000EE"/>
                  <w:w w:val="93"/>
                </w:rPr>
                <w:t>‑</w:t>
              </w:r>
              <w:r>
                <w:rPr>
                  <w:rFonts w:ascii="Arial" w:cs="Arial" w:eastAsia="Arial" w:hAnsi="Arial"/>
                  <w:sz w:val="18"/>
                  <w:szCs w:val="18"/>
                  <w:color w:val="0000EE"/>
                  <w:w w:val="93"/>
                </w:rPr>
                <w:t>Q for the quarter</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ended March 31, 2017].</w:t>
              </w:r>
            </w:hyperlink>
          </w:p>
        </w:tc>
        <w:tc>
          <w:tcPr>
            <w:tcW w:w="5800" w:type="dxa"/>
            <w:vAlign w:val="bottom"/>
            <w:gridSpan w:val="2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Employment Agreement between the Company and Mark Schwartz dated July 5, 2012 [incorporated by</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5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reference to Exhibit 10.5 to Form 10</w:t>
              </w:r>
              <w:r>
                <w:rPr>
                  <w:rFonts w:ascii="MS PGothic" w:cs="MS PGothic" w:eastAsia="MS PGothic" w:hAnsi="MS PGothic"/>
                  <w:sz w:val="18"/>
                  <w:szCs w:val="18"/>
                  <w:color w:val="0000EE"/>
                  <w:w w:val="90"/>
                </w:rPr>
                <w:t>‑</w:t>
              </w:r>
              <w:r>
                <w:rPr>
                  <w:rFonts w:ascii="Arial" w:cs="Arial" w:eastAsia="Arial" w:hAnsi="Arial"/>
                  <w:sz w:val="18"/>
                  <w:szCs w:val="18"/>
                  <w:color w:val="0000EE"/>
                  <w:w w:val="90"/>
                </w:rPr>
                <w:t>Q for the quarter ended June 30, 2012].</w:t>
              </w:r>
            </w:hyperlink>
          </w:p>
        </w:tc>
        <w:tc>
          <w:tcPr>
            <w:tcW w:w="2000" w:type="dxa"/>
            <w:vAlign w:val="bottom"/>
            <w:gridSpan w:val="8"/>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Separation and Release Agreement between USA Waste-Management Resources, LLC and Mark</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Schwartz dated January 1, 2017 [incorporated by reference to Exhibit 10.26 to Form 10</w:t>
              </w:r>
              <w:r>
                <w:rPr>
                  <w:rFonts w:ascii="MS PGothic" w:cs="MS PGothic" w:eastAsia="MS PGothic" w:hAnsi="MS PGothic"/>
                  <w:sz w:val="18"/>
                  <w:szCs w:val="18"/>
                  <w:color w:val="0000EE"/>
                  <w:w w:val="92"/>
                </w:rPr>
                <w:t>‑</w:t>
              </w:r>
              <w:r>
                <w:rPr>
                  <w:rFonts w:ascii="Arial" w:cs="Arial" w:eastAsia="Arial" w:hAnsi="Arial"/>
                  <w:sz w:val="18"/>
                  <w:szCs w:val="18"/>
                  <w:color w:val="0000EE"/>
                  <w:w w:val="92"/>
                </w:rPr>
                <w:t>K for the year</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ended December 31, 2016].</w:t>
              </w:r>
            </w:hyperlink>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r:id="rId162">
              <w:r>
                <w:rPr>
                  <w:rFonts w:ascii="Arial" w:cs="Arial" w:eastAsia="Arial" w:hAnsi="Arial"/>
                  <w:sz w:val="18"/>
                  <w:szCs w:val="18"/>
                  <w:color w:val="0000EE"/>
                  <w:w w:val="97"/>
                </w:rPr>
                <w:t>Form  of  Director  and  Executive  Officer  Indemnity  Agreement  [incorporated  by  reference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Exhibit 10.43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2012].</w:t>
              </w:r>
            </w:hyperlink>
          </w:p>
        </w:tc>
        <w:tc>
          <w:tcPr>
            <w:tcW w:w="2600" w:type="dxa"/>
            <w:vAlign w:val="bottom"/>
            <w:gridSpan w:val="1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Waste Management Holdings, Inc. Executive Severance Plan [incorporated by reference to Exhibit 10.1</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to Form 8-K dated December 22, 2017].</w:t>
              </w:r>
            </w:hyperlink>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Form of 2015 Senior Leadership Team Award Agreement [incorporated by reference to Exhibit 10.1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dated February 25, 2015].</w:t>
              </w:r>
            </w:hyperlink>
          </w:p>
        </w:tc>
        <w:tc>
          <w:tcPr>
            <w:tcW w:w="4900" w:type="dxa"/>
            <w:vAlign w:val="bottom"/>
            <w:gridSpan w:val="1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Form of 2016 Senior Leadership Team Award Agreement [incorporated by reference to Exhibit 10.1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dated February 26, 2016].</w:t>
              </w:r>
            </w:hyperlink>
          </w:p>
        </w:tc>
        <w:tc>
          <w:tcPr>
            <w:tcW w:w="4900" w:type="dxa"/>
            <w:vAlign w:val="bottom"/>
            <w:gridSpan w:val="1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Form of 2016 Individual Restricted Stock Unit Award Agreement [incorporated by reference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Exhibit 10.32 to Form 10</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for the year ended December 31, 2016].</w:t>
              </w:r>
            </w:hyperlink>
          </w:p>
        </w:tc>
        <w:tc>
          <w:tcPr>
            <w:tcW w:w="2600" w:type="dxa"/>
            <w:vAlign w:val="bottom"/>
            <w:gridSpan w:val="10"/>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Form of 2017 Senior Leadership Team Award Agreement [incorporated by reference to Exhibit 10.1 to</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Form 8</w:t>
              </w:r>
              <w:r>
                <w:rPr>
                  <w:rFonts w:ascii="MS PGothic" w:cs="MS PGothic" w:eastAsia="MS PGothic" w:hAnsi="MS PGothic"/>
                  <w:sz w:val="18"/>
                  <w:szCs w:val="18"/>
                  <w:color w:val="0000EE"/>
                  <w:w w:val="90"/>
                </w:rPr>
                <w:t>‑</w:t>
              </w:r>
              <w:r>
                <w:rPr>
                  <w:rFonts w:ascii="Arial" w:cs="Arial" w:eastAsia="Arial" w:hAnsi="Arial"/>
                  <w:sz w:val="18"/>
                  <w:szCs w:val="18"/>
                  <w:color w:val="0000EE"/>
                  <w:w w:val="90"/>
                </w:rPr>
                <w:t>K dated February 27, 2017].</w:t>
              </w:r>
            </w:hyperlink>
          </w:p>
        </w:tc>
        <w:tc>
          <w:tcPr>
            <w:tcW w:w="4900" w:type="dxa"/>
            <w:vAlign w:val="bottom"/>
            <w:gridSpan w:val="16"/>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w w:val="95"/>
              </w:rPr>
            </w:pPr>
            <w:hyperlink r:id="rId168">
              <w:r>
                <w:rPr>
                  <w:rFonts w:ascii="Arial" w:cs="Arial" w:eastAsia="Arial" w:hAnsi="Arial"/>
                  <w:sz w:val="18"/>
                  <w:szCs w:val="18"/>
                  <w:color w:val="0000EE"/>
                  <w:w w:val="95"/>
                </w:rPr>
                <w:t>2017 Senior Leadership Team Award Agreement with Mr. James E. Trevathan, Jr. [incorporated by</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reference to Exhibit 10.2 to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dated February 27, 2017].</w:t>
              </w:r>
            </w:hyperlink>
          </w:p>
        </w:tc>
        <w:tc>
          <w:tcPr>
            <w:tcW w:w="2480" w:type="dxa"/>
            <w:vAlign w:val="bottom"/>
            <w:tcBorders>
              <w:top w:val="single" w:sz="8" w:color="0000EE"/>
            </w:tcBorders>
            <w:gridSpan w:val="11"/>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Form of 2017 Long Term Incentive Compensation Award Agreement (Mid-Year Award).</w:t>
              </w:r>
            </w:hyperlink>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12.1*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Computation of Ratio of Earnings to Fixed Charges.</w:t>
              </w:r>
            </w:hyperlink>
          </w:p>
        </w:tc>
        <w:tc>
          <w:tcPr>
            <w:tcW w:w="2640" w:type="dxa"/>
            <w:vAlign w:val="bottom"/>
            <w:tcBorders>
              <w:top w:val="single" w:sz="8" w:color="0000EE"/>
            </w:tcBorders>
            <w:gridSpan w:val="10"/>
          </w:tcPr>
          <w:p>
            <w:pPr>
              <w:spacing w:after="0"/>
              <w:rPr>
                <w:sz w:val="17"/>
                <w:szCs w:val="17"/>
                <w:color w:val="auto"/>
              </w:rPr>
            </w:pPr>
          </w:p>
        </w:tc>
        <w:tc>
          <w:tcPr>
            <w:tcW w:w="1120" w:type="dxa"/>
            <w:vAlign w:val="bottom"/>
            <w:gridSpan w:val="4"/>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87">
              <w:r>
                <w:rPr>
                  <w:rFonts w:ascii="Arial" w:cs="Arial" w:eastAsia="Arial" w:hAnsi="Arial"/>
                  <w:sz w:val="18"/>
                  <w:szCs w:val="18"/>
                  <w:color w:val="0000EE"/>
                  <w:w w:val="89"/>
                </w:rPr>
                <w:t>Subsidiaries of the Registrant.</w:t>
              </w:r>
            </w:hyperlink>
          </w:p>
        </w:tc>
        <w:tc>
          <w:tcPr>
            <w:tcW w:w="5360" w:type="dxa"/>
            <w:vAlign w:val="bottom"/>
            <w:gridSpan w:val="17"/>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95">
              <w:r>
                <w:rPr>
                  <w:rFonts w:ascii="Arial" w:cs="Arial" w:eastAsia="Arial" w:hAnsi="Arial"/>
                  <w:sz w:val="18"/>
                  <w:szCs w:val="18"/>
                  <w:color w:val="0000EE"/>
                  <w:w w:val="90"/>
                </w:rPr>
                <w:t>Consent of Independent Registered Public Accounting Firm.</w:t>
              </w:r>
            </w:hyperlink>
          </w:p>
        </w:tc>
        <w:tc>
          <w:tcPr>
            <w:tcW w:w="3160" w:type="dxa"/>
            <w:vAlign w:val="bottom"/>
            <w:gridSpan w:val="13"/>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96">
              <w:r>
                <w:rPr>
                  <w:rFonts w:ascii="Arial" w:cs="Arial" w:eastAsia="Arial" w:hAnsi="Arial"/>
                  <w:sz w:val="18"/>
                  <w:szCs w:val="18"/>
                  <w:color w:val="0000EE"/>
                  <w:w w:val="92"/>
                </w:rPr>
                <w:t>Certification Pursuant to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20" w:type="dxa"/>
            <w:vAlign w:val="bottom"/>
            <w:gridSpan w:val="22"/>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amended, of James C. Fish, Jr., President and Chief Executive Officer.</w:t>
              </w:r>
            </w:hyperlink>
          </w:p>
        </w:tc>
      </w:tr>
      <w:tr>
        <w:trPr>
          <w:trHeight w:val="669"/>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Borders>
              <w:top w:val="single" w:sz="8" w:color="0000EE"/>
            </w:tcBorders>
            <w:gridSpan w:val="8"/>
          </w:tcPr>
          <w:p>
            <w:pPr>
              <w:jc w:val="right"/>
              <w:ind w:right="640"/>
              <w:spacing w:after="0"/>
              <w:rPr>
                <w:sz w:val="20"/>
                <w:szCs w:val="20"/>
                <w:color w:val="auto"/>
              </w:rPr>
            </w:pPr>
            <w:r>
              <w:rPr>
                <w:rFonts w:ascii="Arial" w:cs="Arial" w:eastAsia="Arial" w:hAnsi="Arial"/>
                <w:sz w:val="18"/>
                <w:szCs w:val="18"/>
                <w:color w:val="auto"/>
              </w:rPr>
              <w:t>129</w:t>
            </w: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3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line="207" w:lineRule="exact"/>
              <w:rPr>
                <w:rFonts w:ascii="Arial" w:cs="Arial" w:eastAsia="Arial" w:hAnsi="Arial"/>
                <w:sz w:val="18"/>
                <w:szCs w:val="18"/>
                <w:color w:val="0000EE"/>
                <w:w w:val="92"/>
              </w:rPr>
            </w:pPr>
            <w:hyperlink w:anchor="page197">
              <w:r>
                <w:rPr>
                  <w:rFonts w:ascii="Arial" w:cs="Arial" w:eastAsia="Arial" w:hAnsi="Arial"/>
                  <w:sz w:val="18"/>
                  <w:szCs w:val="18"/>
                  <w:color w:val="0000EE"/>
                  <w:w w:val="92"/>
                </w:rPr>
                <w:t>Certification Pursuant to Rule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amended, of Devina A. Rankin, Senior Vice President and Chief Financial Officer.</w:t>
              </w:r>
            </w:hyperlink>
          </w:p>
        </w:tc>
        <w:tc>
          <w:tcPr>
            <w:tcW w:w="1580" w:type="dxa"/>
            <w:vAlign w:val="bottom"/>
            <w:gridSpan w:val="2"/>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Certification Pursuant to 18 U.S.C. §1350 of James C. Fish, Jr., President and Chief Executive Officer.</w:t>
              </w:r>
            </w:hyperlink>
          </w:p>
        </w:tc>
        <w:tc>
          <w:tcPr>
            <w:tcW w:w="140" w:type="dxa"/>
            <w:vAlign w:val="bottom"/>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99">
              <w:r>
                <w:rPr>
                  <w:rFonts w:ascii="Arial" w:cs="Arial" w:eastAsia="Arial" w:hAnsi="Arial"/>
                  <w:sz w:val="18"/>
                  <w:szCs w:val="18"/>
                  <w:color w:val="0000EE"/>
                  <w:w w:val="99"/>
                </w:rPr>
                <w:t>Certification Pursuant to 18 U.S.C. §1350 of Devina A. Rankin, Senior Vice President and Chief</w:t>
              </w:r>
            </w:hyperlink>
          </w:p>
        </w:tc>
      </w:tr>
      <w:tr>
        <w:trPr>
          <w:trHeight w:val="196"/>
        </w:trPr>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99">
              <w:r>
                <w:rPr>
                  <w:rFonts w:ascii="Arial" w:cs="Arial" w:eastAsia="Arial" w:hAnsi="Arial"/>
                  <w:sz w:val="18"/>
                  <w:szCs w:val="18"/>
                  <w:color w:val="0000EE"/>
                  <w:w w:val="93"/>
                </w:rPr>
                <w:t>Financial Officer.</w:t>
              </w:r>
            </w:hyperlink>
          </w:p>
        </w:tc>
        <w:tc>
          <w:tcPr>
            <w:tcW w:w="6260" w:type="dxa"/>
            <w:vAlign w:val="bottom"/>
            <w:gridSpan w:val="4"/>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95*</w:t>
            </w:r>
          </w:p>
        </w:tc>
        <w:tc>
          <w:tcPr>
            <w:tcW w:w="380" w:type="dxa"/>
            <w:vAlign w:val="bottom"/>
          </w:tcPr>
          <w:p>
            <w:pPr>
              <w:ind w:left="12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540" w:type="dxa"/>
            <w:vAlign w:val="bottom"/>
            <w:gridSpan w:val="5"/>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Mine Safety Disclosures.</w:t>
              </w:r>
            </w:hyperlink>
          </w:p>
        </w:tc>
      </w:tr>
      <w:tr>
        <w:trPr>
          <w:trHeight w:val="20"/>
        </w:trPr>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20" w:hanging="317"/>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4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Chief Executive Officer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2018</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ind w:right="791"/>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4"/>
                <w:szCs w:val="14"/>
                <w:color w:val="auto"/>
              </w:rPr>
            </w:pP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JAMES C. FISH, JR.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President, Chief Executive Officer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86"/>
              </w:rPr>
              <w:t>James C. Fish, Jr.</w:t>
            </w:r>
          </w:p>
        </w:tc>
        <w:tc>
          <w:tcPr>
            <w:tcW w:w="30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rPr>
              <w:t>DEVINA A. RANKIN</w:t>
            </w:r>
          </w:p>
        </w:tc>
        <w:tc>
          <w:tcPr>
            <w:tcW w:w="300" w:type="dxa"/>
            <w:vAlign w:val="bottom"/>
          </w:tcPr>
          <w:p>
            <w:pPr>
              <w:spacing w:after="0"/>
              <w:rPr>
                <w:sz w:val="24"/>
                <w:szCs w:val="24"/>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Senior Vice President and</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195"/>
        </w:trPr>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jc w:val="center"/>
              <w:ind w:right="771"/>
              <w:spacing w:after="0" w:line="195" w:lineRule="exact"/>
              <w:rPr>
                <w:sz w:val="20"/>
                <w:szCs w:val="20"/>
                <w:color w:val="auto"/>
              </w:rPr>
            </w:pPr>
            <w:r>
              <w:rPr>
                <w:rFonts w:ascii="Arial" w:cs="Arial" w:eastAsia="Arial" w:hAnsi="Arial"/>
                <w:sz w:val="18"/>
                <w:szCs w:val="18"/>
                <w:color w:val="auto"/>
                <w:w w:val="93"/>
              </w:rPr>
              <w:t>Devina A. Rankin</w:t>
            </w:r>
          </w:p>
        </w:tc>
        <w:tc>
          <w:tcPr>
            <w:tcW w:w="300" w:type="dxa"/>
            <w:vAlign w:val="bottom"/>
          </w:tcPr>
          <w:p>
            <w:pPr>
              <w:spacing w:after="0"/>
              <w:rPr>
                <w:sz w:val="16"/>
                <w:szCs w:val="16"/>
                <w:color w:val="auto"/>
              </w:rPr>
            </w:pPr>
          </w:p>
        </w:tc>
        <w:tc>
          <w:tcPr>
            <w:tcW w:w="41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4"/>
              </w:rPr>
              <w:t>Chief Financial Officer</w:t>
            </w:r>
          </w:p>
        </w:tc>
        <w:tc>
          <w:tcPr>
            <w:tcW w:w="152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(Principal Financial Officer)</w:t>
            </w:r>
          </w:p>
        </w:tc>
        <w:tc>
          <w:tcPr>
            <w:tcW w:w="152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3"/>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LESLIE K. NAGY</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Vice President and Chief Accounting Officer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4"/>
              </w:rPr>
              <w:t>Leslie K. Nagy</w:t>
            </w:r>
          </w:p>
        </w:tc>
        <w:tc>
          <w:tcPr>
            <w:tcW w:w="300" w:type="dxa"/>
            <w:vAlign w:val="bottom"/>
          </w:tcPr>
          <w:p>
            <w:pPr>
              <w:spacing w:after="0"/>
              <w:rPr>
                <w:sz w:val="19"/>
                <w:szCs w:val="19"/>
                <w:color w:val="auto"/>
              </w:rPr>
            </w:pPr>
          </w:p>
        </w:tc>
        <w:tc>
          <w:tcPr>
            <w:tcW w:w="41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(Principal Accounting Officer)</w:t>
            </w: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3"/>
              </w:rPr>
              <w:t>/s/</w:t>
            </w:r>
          </w:p>
        </w:tc>
        <w:tc>
          <w:tcPr>
            <w:tcW w:w="2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BRADBURY H. ANDERSON</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Chairman of the Board and 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2"/>
              </w:rPr>
              <w:t>Bradbury H. Anderson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8"/>
              </w:rPr>
              <w:t>/s/  FRANK M. CLARK, JR.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94"/>
              </w:rPr>
              <w:t>Frank M. Clark</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5"/>
              </w:rPr>
              <w:t>ANDRÉS R. GLUSKI</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3"/>
              </w:rPr>
              <w:t>Andrés R. Gluski</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2"/>
              </w:rPr>
              <w:t>PARTICK W. GROSS</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71"/>
              <w:spacing w:after="0"/>
              <w:rPr>
                <w:sz w:val="20"/>
                <w:szCs w:val="20"/>
                <w:color w:val="auto"/>
              </w:rPr>
            </w:pPr>
            <w:r>
              <w:rPr>
                <w:rFonts w:ascii="Arial" w:cs="Arial" w:eastAsia="Arial" w:hAnsi="Arial"/>
                <w:sz w:val="18"/>
                <w:szCs w:val="18"/>
                <w:color w:val="auto"/>
                <w:w w:val="90"/>
              </w:rPr>
              <w:t>Patrick W. Gross</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491"/>
              <w:spacing w:after="0"/>
              <w:rPr>
                <w:sz w:val="20"/>
                <w:szCs w:val="20"/>
                <w:color w:val="auto"/>
              </w:rPr>
            </w:pPr>
            <w:r>
              <w:rPr>
                <w:rFonts w:ascii="Arial" w:cs="Arial" w:eastAsia="Arial" w:hAnsi="Arial"/>
                <w:sz w:val="18"/>
                <w:szCs w:val="18"/>
                <w:color w:val="auto"/>
                <w:w w:val="99"/>
              </w:rPr>
              <w:t>VICTORIA M. HOLT</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98"/>
              </w:rPr>
              <w:t>Victoria M. Holt</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w:t>
            </w:r>
          </w:p>
        </w:tc>
        <w:tc>
          <w:tcPr>
            <w:tcW w:w="2640" w:type="dxa"/>
            <w:vAlign w:val="bottom"/>
            <w:tcBorders>
              <w:bottom w:val="single" w:sz="8" w:color="auto"/>
            </w:tcBorders>
            <w:gridSpan w:val="2"/>
          </w:tcPr>
          <w:p>
            <w:pPr>
              <w:jc w:val="center"/>
              <w:ind w:right="91"/>
              <w:spacing w:after="0"/>
              <w:rPr>
                <w:sz w:val="20"/>
                <w:szCs w:val="20"/>
                <w:color w:val="auto"/>
              </w:rPr>
            </w:pPr>
            <w:r>
              <w:rPr>
                <w:rFonts w:ascii="Arial" w:cs="Arial" w:eastAsia="Arial" w:hAnsi="Arial"/>
                <w:sz w:val="18"/>
                <w:szCs w:val="18"/>
                <w:color w:val="auto"/>
              </w:rPr>
              <w:t>KATHLEEN M. MAZZARELLA</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71"/>
              <w:spacing w:after="0"/>
              <w:rPr>
                <w:sz w:val="20"/>
                <w:szCs w:val="20"/>
                <w:color w:val="auto"/>
              </w:rPr>
            </w:pPr>
            <w:r>
              <w:rPr>
                <w:rFonts w:ascii="Arial" w:cs="Arial" w:eastAsia="Arial" w:hAnsi="Arial"/>
                <w:sz w:val="18"/>
                <w:szCs w:val="18"/>
                <w:color w:val="auto"/>
                <w:w w:val="92"/>
              </w:rPr>
              <w:t>Kathleen M. Mazzarella</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jc w:val="center"/>
              <w:ind w:right="371"/>
              <w:spacing w:after="0"/>
              <w:rPr>
                <w:sz w:val="20"/>
                <w:szCs w:val="20"/>
                <w:color w:val="auto"/>
              </w:rPr>
            </w:pPr>
            <w:r>
              <w:rPr>
                <w:rFonts w:ascii="Arial" w:cs="Arial" w:eastAsia="Arial" w:hAnsi="Arial"/>
                <w:sz w:val="18"/>
                <w:szCs w:val="18"/>
                <w:color w:val="auto"/>
                <w:w w:val="93"/>
              </w:rPr>
              <w:t>/s/  JOHN C. POPE</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40" w:type="dxa"/>
            <w:vAlign w:val="bottom"/>
          </w:tcPr>
          <w:p>
            <w:pPr>
              <w:jc w:val="center"/>
              <w:ind w:right="791"/>
              <w:spacing w:after="0"/>
              <w:rPr>
                <w:sz w:val="20"/>
                <w:szCs w:val="20"/>
                <w:color w:val="auto"/>
              </w:rPr>
            </w:pPr>
            <w:r>
              <w:rPr>
                <w:rFonts w:ascii="Arial" w:cs="Arial" w:eastAsia="Arial" w:hAnsi="Arial"/>
                <w:sz w:val="18"/>
                <w:szCs w:val="18"/>
                <w:color w:val="auto"/>
                <w:w w:val="87"/>
              </w:rPr>
              <w:t>John C. Pope</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18"/>
        </w:trPr>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3"/>
              </w:rPr>
              <w:t>/s/</w:t>
            </w:r>
          </w:p>
        </w:tc>
        <w:tc>
          <w:tcPr>
            <w:tcW w:w="264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8"/>
                <w:szCs w:val="18"/>
                <w:color w:val="auto"/>
                <w:w w:val="98"/>
              </w:rPr>
              <w:t>THOMAS H. WEIDEMEYER</w:t>
            </w:r>
          </w:p>
        </w:tc>
        <w:tc>
          <w:tcPr>
            <w:tcW w:w="300" w:type="dxa"/>
            <w:vAlign w:val="bottom"/>
          </w:tcPr>
          <w:p>
            <w:pPr>
              <w:spacing w:after="0"/>
              <w:rPr>
                <w:sz w:val="24"/>
                <w:szCs w:val="24"/>
                <w:color w:val="auto"/>
              </w:rPr>
            </w:pPr>
          </w:p>
        </w:tc>
        <w:tc>
          <w:tcPr>
            <w:tcW w:w="41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February 15, 2018</w:t>
            </w:r>
          </w:p>
        </w:tc>
      </w:tr>
      <w:tr>
        <w:trPr>
          <w:trHeight w:val="224"/>
        </w:trPr>
        <w:tc>
          <w:tcPr>
            <w:tcW w:w="480" w:type="dxa"/>
            <w:vAlign w:val="bottom"/>
          </w:tcPr>
          <w:p>
            <w:pPr>
              <w:spacing w:after="0"/>
              <w:rPr>
                <w:sz w:val="19"/>
                <w:szCs w:val="19"/>
                <w:color w:val="auto"/>
              </w:rPr>
            </w:pPr>
          </w:p>
        </w:tc>
        <w:tc>
          <w:tcPr>
            <w:tcW w:w="2640" w:type="dxa"/>
            <w:vAlign w:val="bottom"/>
            <w:gridSpan w:val="2"/>
          </w:tcPr>
          <w:p>
            <w:pPr>
              <w:jc w:val="center"/>
              <w:ind w:right="391"/>
              <w:spacing w:after="0"/>
              <w:rPr>
                <w:sz w:val="20"/>
                <w:szCs w:val="20"/>
                <w:color w:val="auto"/>
              </w:rPr>
            </w:pPr>
            <w:r>
              <w:rPr>
                <w:rFonts w:ascii="Arial" w:cs="Arial" w:eastAsia="Arial" w:hAnsi="Arial"/>
                <w:sz w:val="18"/>
                <w:szCs w:val="18"/>
                <w:color w:val="auto"/>
                <w:w w:val="90"/>
              </w:rPr>
              <w:t>Thomas H. Weidemeyer</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864"/>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40" w:type="dxa"/>
            <w:vAlign w:val="bottom"/>
            <w:gridSpan w:val="2"/>
          </w:tcPr>
          <w:p>
            <w:pPr>
              <w:jc w:val="right"/>
              <w:ind w:right="2511"/>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29"/>
        </w:trPr>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Waste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 Schedule</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consolidated financial statements of Waste Management, Inc. (the Company) as of December 31, 2017 and 2016, and for each of the three years in the period ended December 31, 2017, and have issued our report thereon dated February 15, 2018 (included elsewhere in this Form 10-K). Our audits also included the financial statement schedule listed in Item 15(a)(2) of this Form 10-K. In our opinion, the financial statement schedule, when considered in relation to the basic financial statements taken as a whole, presents fairly, in all material respects the information set forth therein.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schedule is the responsibility of the Company’s management. Our responsibility is to express an opinion on this schedule based on our audits. We believe that our audits provide a reasonable basis for our opinion.</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87"/>
              </w:rPr>
              <w:t>Accounts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9"/>
              </w:rPr>
              <w:t>Written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to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Off/Use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38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 (a)</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3580" w:type="dxa"/>
            <w:vAlign w:val="bottom"/>
          </w:tcPr>
          <w:p>
            <w:pPr>
              <w:ind w:left="20"/>
              <w:spacing w:after="0"/>
              <w:rPr>
                <w:sz w:val="20"/>
                <w:szCs w:val="20"/>
                <w:color w:val="auto"/>
              </w:rPr>
            </w:pPr>
            <w:r>
              <w:rPr>
                <w:rFonts w:ascii="Arial" w:cs="Arial" w:eastAsia="Arial" w:hAnsi="Arial"/>
                <w:sz w:val="18"/>
                <w:szCs w:val="18"/>
                <w:color w:val="auto"/>
              </w:rPr>
              <w:t>— Reserves for doubtful accounts (a)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Reserves for doubtful accounts (a)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2015</w:t>
            </w:r>
          </w:p>
        </w:tc>
        <w:tc>
          <w:tcPr>
            <w:tcW w:w="3580" w:type="dxa"/>
            <w:vAlign w:val="bottom"/>
          </w:tcPr>
          <w:p>
            <w:pPr>
              <w:ind w:left="20"/>
              <w:spacing w:after="0"/>
              <w:rPr>
                <w:sz w:val="20"/>
                <w:szCs w:val="20"/>
                <w:color w:val="auto"/>
              </w:rPr>
            </w:pPr>
            <w:r>
              <w:rPr>
                <w:rFonts w:ascii="Arial" w:cs="Arial" w:eastAsia="Arial" w:hAnsi="Arial"/>
                <w:sz w:val="18"/>
                <w:szCs w:val="18"/>
                <w:color w:val="auto"/>
              </w:rPr>
              <w:t>— Merger and restructuring accruals (b)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2016</w:t>
            </w: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Merger and restructuring accruals (b)</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3580" w:type="dxa"/>
            <w:vAlign w:val="bottom"/>
          </w:tcPr>
          <w:p>
            <w:pPr>
              <w:ind w:left="20"/>
              <w:spacing w:after="0"/>
              <w:rPr>
                <w:sz w:val="20"/>
                <w:szCs w:val="20"/>
                <w:color w:val="auto"/>
              </w:rPr>
            </w:pPr>
            <w:r>
              <w:rPr>
                <w:rFonts w:ascii="Arial" w:cs="Arial" w:eastAsia="Arial" w:hAnsi="Arial"/>
                <w:sz w:val="18"/>
                <w:szCs w:val="18"/>
                <w:color w:val="auto"/>
              </w:rPr>
              <w:t>— Merger and restructuring accruals (b)</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reserves for doubtful accounts receivable and notes receivable.</w:t>
      </w:r>
    </w:p>
    <w:p>
      <w:pPr>
        <w:spacing w:after="0" w:line="117"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Included in accrued liabilities in our Consolidated Balance Sheets. These accruals represent employee severance and benefit costs and transitional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4.6</w:t>
      </w:r>
    </w:p>
    <w:p>
      <w:pPr>
        <w:spacing w:after="0" w:line="207"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WASTE MANAGEMENT, INC. Officers’ Certificate Delivered Pursuant to Section 301 of the Indenture dated as of September 10, 1997</w:t>
      </w:r>
    </w:p>
    <w:p>
      <w:pPr>
        <w:spacing w:after="0" w:line="18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undersigned, the Vice President and Treasurer, and the Vice President and Corporate Secretary of Waste Management, Inc. (the “Company”), hereby certify that:</w:t>
      </w:r>
    </w:p>
    <w:p>
      <w:pPr>
        <w:spacing w:after="0" w:line="173" w:lineRule="exact"/>
        <w:rPr>
          <w:sz w:val="20"/>
          <w:szCs w:val="20"/>
          <w:color w:val="auto"/>
        </w:rPr>
      </w:pPr>
    </w:p>
    <w:p>
      <w:pPr>
        <w:ind w:right="180" w:firstLine="1299"/>
        <w:spacing w:after="0" w:line="270" w:lineRule="auto"/>
        <w:tabs>
          <w:tab w:leader="none" w:pos="26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November 8, 2017 (the “Order”) for the authentication and delivery by the Trustee of $750,000,000 aggregate principal amount of 3.150% Senior Notes due 2027 (the “Notes”).</w:t>
      </w:r>
    </w:p>
    <w:p>
      <w:pPr>
        <w:spacing w:after="0" w:line="1" w:lineRule="exact"/>
        <w:rPr>
          <w:rFonts w:ascii="Arial" w:cs="Arial" w:eastAsia="Arial" w:hAnsi="Arial"/>
          <w:sz w:val="19"/>
          <w:szCs w:val="19"/>
          <w:color w:val="auto"/>
        </w:rPr>
      </w:pPr>
    </w:p>
    <w:p>
      <w:pPr>
        <w:ind w:right="780" w:firstLine="1299"/>
        <w:spacing w:after="0" w:line="230" w:lineRule="auto"/>
        <w:tabs>
          <w:tab w:leader="none" w:pos="2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undersigned have read Sections 102, 103, 301 and 303 of the Indenture and the definitions in the Indenture relating thereto.</w:t>
      </w:r>
    </w:p>
    <w:p>
      <w:pPr>
        <w:spacing w:after="0" w:line="1" w:lineRule="exact"/>
        <w:rPr>
          <w:rFonts w:ascii="Arial" w:cs="Arial" w:eastAsia="Arial" w:hAnsi="Arial"/>
          <w:sz w:val="22"/>
          <w:szCs w:val="22"/>
          <w:color w:val="auto"/>
        </w:rPr>
      </w:pPr>
    </w:p>
    <w:p>
      <w:pPr>
        <w:ind w:right="20" w:firstLine="1299"/>
        <w:spacing w:after="0" w:line="230" w:lineRule="auto"/>
        <w:tabs>
          <w:tab w:leader="none" w:pos="2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2" w:lineRule="exact"/>
        <w:rPr>
          <w:rFonts w:ascii="Arial" w:cs="Arial" w:eastAsia="Arial" w:hAnsi="Arial"/>
          <w:sz w:val="22"/>
          <w:szCs w:val="22"/>
          <w:color w:val="auto"/>
        </w:rPr>
      </w:pPr>
    </w:p>
    <w:p>
      <w:pPr>
        <w:ind w:left="2620" w:hanging="1321"/>
        <w:spacing w:after="0"/>
        <w:tabs>
          <w:tab w:leader="none" w:pos="262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undersigned have examined the Order, and they have read the</w:t>
      </w:r>
    </w:p>
    <w:p>
      <w:pPr>
        <w:spacing w:after="0" w:line="1" w:lineRule="exact"/>
        <w:rPr>
          <w:rFonts w:ascii="Arial" w:cs="Arial" w:eastAsia="Arial" w:hAnsi="Arial"/>
          <w:sz w:val="21"/>
          <w:szCs w:val="21"/>
          <w:color w:val="auto"/>
        </w:rPr>
      </w:pPr>
    </w:p>
    <w:p>
      <w:pPr>
        <w:spacing w:after="0" w:line="230" w:lineRule="auto"/>
        <w:rPr>
          <w:rFonts w:ascii="Arial" w:cs="Arial" w:eastAsia="Arial" w:hAnsi="Arial"/>
          <w:sz w:val="21"/>
          <w:szCs w:val="21"/>
          <w:color w:val="auto"/>
        </w:rPr>
      </w:pPr>
      <w:r>
        <w:rPr>
          <w:rFonts w:ascii="Arial" w:cs="Arial" w:eastAsia="Arial" w:hAnsi="Arial"/>
          <w:sz w:val="22"/>
          <w:szCs w:val="22"/>
          <w:color w:val="auto"/>
        </w:rPr>
        <w:t>covenants, conditions and provisions of the Indenture relating thereto.</w:t>
      </w:r>
    </w:p>
    <w:p>
      <w:pPr>
        <w:ind w:firstLine="1299"/>
        <w:spacing w:after="0" w:line="230" w:lineRule="auto"/>
        <w:tabs>
          <w:tab w:leader="none" w:pos="2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2" w:lineRule="exact"/>
        <w:rPr>
          <w:rFonts w:ascii="Arial" w:cs="Arial" w:eastAsia="Arial" w:hAnsi="Arial"/>
          <w:sz w:val="22"/>
          <w:szCs w:val="22"/>
          <w:color w:val="auto"/>
        </w:rPr>
      </w:pPr>
    </w:p>
    <w:p>
      <w:pPr>
        <w:ind w:right="40" w:firstLine="1299"/>
        <w:spacing w:after="0" w:line="230" w:lineRule="auto"/>
        <w:tabs>
          <w:tab w:leader="none" w:pos="2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2" w:lineRule="exact"/>
        <w:rPr>
          <w:rFonts w:ascii="Arial" w:cs="Arial" w:eastAsia="Arial" w:hAnsi="Arial"/>
          <w:sz w:val="22"/>
          <w:szCs w:val="22"/>
          <w:color w:val="auto"/>
        </w:rPr>
      </w:pPr>
    </w:p>
    <w:p>
      <w:pPr>
        <w:ind w:firstLine="1299"/>
        <w:spacing w:after="0" w:line="267" w:lineRule="auto"/>
        <w:tabs>
          <w:tab w:leader="none" w:pos="26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terms of the Notes (including the Form of Note) as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to this Officers’ Certificate have been approved by officers of the Company as authorized by resolutions duly adopted on August 20, 2015 by the Board of Directors of the Company, copies of which are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 are in full force and effect as of the date hereof.</w:t>
      </w: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4" w:name="page135"/>
    <w:bookmarkEnd w:id="134"/>
    <w:p>
      <w:pPr>
        <w:ind w:left="660"/>
        <w:spacing w:after="0"/>
        <w:rPr>
          <w:sz w:val="20"/>
          <w:szCs w:val="20"/>
          <w:color w:val="auto"/>
        </w:rPr>
      </w:pPr>
      <w:r>
        <w:rPr>
          <w:rFonts w:ascii="Arial" w:cs="Arial" w:eastAsia="Arial" w:hAnsi="Arial"/>
          <w:sz w:val="19"/>
          <w:szCs w:val="19"/>
          <w:color w:val="auto"/>
        </w:rPr>
        <w:t>IN WITNESS WHEREOF, the undersigned has hereunto executed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David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7620</wp:posOffset>
            </wp:positionV>
            <wp:extent cx="28816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2"/>
          <w:szCs w:val="22"/>
          <w:color w:val="auto"/>
        </w:rPr>
        <w:t>David Reed</w:t>
      </w:r>
    </w:p>
    <w:p>
      <w:pPr>
        <w:ind w:left="4520"/>
        <w:spacing w:after="0"/>
        <w:rPr>
          <w:sz w:val="20"/>
          <w:szCs w:val="20"/>
          <w:color w:val="auto"/>
        </w:rPr>
      </w:pPr>
      <w:r>
        <w:rPr>
          <w:rFonts w:ascii="Arial" w:cs="Arial" w:eastAsia="Arial" w:hAnsi="Arial"/>
          <w:sz w:val="22"/>
          <w:szCs w:val="22"/>
          <w:color w:val="auto"/>
        </w:rPr>
        <w:t>Vice President and Treasurer</w:t>
      </w:r>
    </w:p>
    <w:p>
      <w:pPr>
        <w:spacing w:after="0" w:line="2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7620</wp:posOffset>
            </wp:positionV>
            <wp:extent cx="28816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2"/>
          <w:szCs w:val="22"/>
          <w:color w:val="auto"/>
        </w:rPr>
        <w:t>Courtney A. Tippy</w:t>
      </w:r>
    </w:p>
    <w:p>
      <w:pPr>
        <w:ind w:left="4520"/>
        <w:spacing w:after="0"/>
        <w:rPr>
          <w:sz w:val="20"/>
          <w:szCs w:val="20"/>
          <w:color w:val="auto"/>
        </w:rPr>
      </w:pPr>
      <w:r>
        <w:rPr>
          <w:rFonts w:ascii="Arial" w:cs="Arial" w:eastAsia="Arial" w:hAnsi="Arial"/>
          <w:sz w:val="22"/>
          <w:szCs w:val="22"/>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i w:val="1"/>
          <w:iCs w:val="1"/>
          <w:color w:val="auto"/>
        </w:rPr>
        <w:t>Annex 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the Notes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Pursuant to authority granted by the Board of Directors of the Company on August 20, 2015 and the Sole Director of Waste Management Holdings, Inc. on October 19, 2015 and October 24, 2017,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58" w:lineRule="exact"/>
        <w:rPr>
          <w:sz w:val="20"/>
          <w:szCs w:val="20"/>
          <w:color w:val="auto"/>
        </w:rPr>
      </w:pPr>
    </w:p>
    <w:p>
      <w:pPr>
        <w:ind w:left="700" w:hanging="697"/>
        <w:spacing w:after="0"/>
        <w:tabs>
          <w:tab w:leader="none" w:pos="70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title of the series of Securities shall be “3.150% Senior Notes due 2027” (the “Notes”).</w:t>
      </w:r>
    </w:p>
    <w:p>
      <w:pPr>
        <w:spacing w:after="0" w:line="217" w:lineRule="exact"/>
        <w:rPr>
          <w:rFonts w:ascii="Arial" w:cs="Arial" w:eastAsia="Arial" w:hAnsi="Arial"/>
          <w:sz w:val="21"/>
          <w:szCs w:val="21"/>
          <w:color w:val="auto"/>
        </w:rPr>
      </w:pPr>
    </w:p>
    <w:p>
      <w:pPr>
        <w:ind w:left="700" w:hanging="697"/>
        <w:spacing w:after="0"/>
        <w:tabs>
          <w:tab w:leader="none" w:pos="7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Notes shall be general unsecured, senior obligations of the Company.</w:t>
      </w:r>
    </w:p>
    <w:p>
      <w:pPr>
        <w:spacing w:after="0" w:line="206" w:lineRule="exact"/>
        <w:rPr>
          <w:rFonts w:ascii="Arial" w:cs="Arial" w:eastAsia="Arial" w:hAnsi="Arial"/>
          <w:sz w:val="22"/>
          <w:szCs w:val="22"/>
          <w:color w:val="auto"/>
        </w:rPr>
      </w:pPr>
    </w:p>
    <w:p>
      <w:pPr>
        <w:ind w:left="660" w:right="180" w:hanging="657"/>
        <w:spacing w:after="0" w:line="279" w:lineRule="auto"/>
        <w:tabs>
          <w:tab w:leader="none" w:pos="7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0" w:lineRule="exact"/>
        <w:rPr>
          <w:rFonts w:ascii="Arial" w:cs="Arial" w:eastAsia="Arial" w:hAnsi="Arial"/>
          <w:sz w:val="19"/>
          <w:szCs w:val="19"/>
          <w:color w:val="auto"/>
        </w:rPr>
      </w:pPr>
    </w:p>
    <w:p>
      <w:pPr>
        <w:ind w:left="700" w:hanging="697"/>
        <w:spacing w:after="0"/>
        <w:tabs>
          <w:tab w:leader="none" w:pos="7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principal amount of each Note shall be payable on November 15, 2027.</w:t>
      </w:r>
    </w:p>
    <w:p>
      <w:pPr>
        <w:spacing w:after="0" w:line="206" w:lineRule="exact"/>
        <w:rPr>
          <w:rFonts w:ascii="Arial" w:cs="Arial" w:eastAsia="Arial" w:hAnsi="Arial"/>
          <w:sz w:val="22"/>
          <w:szCs w:val="22"/>
          <w:color w:val="auto"/>
        </w:rPr>
      </w:pPr>
    </w:p>
    <w:p>
      <w:pPr>
        <w:ind w:left="660" w:right="20" w:hanging="657"/>
        <w:spacing w:after="0" w:line="234" w:lineRule="auto"/>
        <w:tabs>
          <w:tab w:leader="none" w:pos="70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Each Note shall bear interest from November 8, 2017 at the fixed rate of 3.150% per annum; the Interest Payment Dates on which such interest shall be payable shall be May 15 and November 15, of each year, commencing May 15, 2018, until maturity unless such date falls on a day that is not a Business Day, in which case, such payment shall be made on the next day that is a Business Day. The Regular Record Date for the determination of Holders to whom interest is payable shall be May 1 or November 1, respectively, immediately preceding such date, as the case may be.</w:t>
      </w:r>
    </w:p>
    <w:p>
      <w:pPr>
        <w:spacing w:after="0" w:line="191" w:lineRule="exact"/>
        <w:rPr>
          <w:rFonts w:ascii="Arial" w:cs="Arial" w:eastAsia="Arial" w:hAnsi="Arial"/>
          <w:sz w:val="22"/>
          <w:szCs w:val="22"/>
          <w:color w:val="auto"/>
        </w:rPr>
      </w:pPr>
    </w:p>
    <w:p>
      <w:pPr>
        <w:ind w:left="660" w:right="180" w:hanging="657"/>
        <w:spacing w:after="0" w:line="252" w:lineRule="auto"/>
        <w:tabs>
          <w:tab w:leader="none" w:pos="709"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4" w:lineRule="exact"/>
        <w:rPr>
          <w:rFonts w:ascii="Arial" w:cs="Arial" w:eastAsia="Arial" w:hAnsi="Arial"/>
          <w:sz w:val="21"/>
          <w:szCs w:val="21"/>
          <w:color w:val="auto"/>
        </w:rPr>
      </w:pPr>
    </w:p>
    <w:p>
      <w:pPr>
        <w:ind w:left="660" w:hanging="657"/>
        <w:spacing w:after="0" w:line="282" w:lineRule="auto"/>
        <w:tabs>
          <w:tab w:leader="none" w:pos="7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47" w:lineRule="exact"/>
        <w:rPr>
          <w:rFonts w:ascii="Arial" w:cs="Arial" w:eastAsia="Arial" w:hAnsi="Arial"/>
          <w:sz w:val="19"/>
          <w:szCs w:val="19"/>
          <w:color w:val="auto"/>
        </w:rPr>
      </w:pPr>
    </w:p>
    <w:p>
      <w:pPr>
        <w:ind w:left="660" w:right="20" w:hanging="657"/>
        <w:spacing w:after="0" w:line="297" w:lineRule="auto"/>
        <w:tabs>
          <w:tab w:leader="none" w:pos="7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Payments of principal of, premium, if any, and interest due on the Notes representing Book-Entry Notes on any Interest Payment Date or at maturity will be made available to the Trustee by 11:00 a.m., New York City time, on such date, unless such date falls on a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6" w:name="page137"/>
    <w:bookmarkEnd w:id="136"/>
    <w:p>
      <w:pPr>
        <w:jc w:val="both"/>
        <w:ind w:left="657" w:right="20"/>
        <w:spacing w:after="0" w:line="241" w:lineRule="auto"/>
        <w:rPr>
          <w:sz w:val="20"/>
          <w:szCs w:val="20"/>
          <w:color w:val="auto"/>
        </w:rPr>
      </w:pPr>
      <w:r>
        <w:rPr>
          <w:rFonts w:ascii="Arial" w:cs="Arial" w:eastAsia="Arial" w:hAnsi="Arial"/>
          <w:sz w:val="22"/>
          <w:szCs w:val="22"/>
          <w:color w:val="auto"/>
        </w:rPr>
        <w:t>which is not a Business Day, in which case such payments will be made available to the Trustee by 11:00 a.m., New York City time, on the next Business Day. As soon as possible thereafter, the Trustee will make such payments to the Depositary.</w:t>
      </w:r>
    </w:p>
    <w:p>
      <w:pPr>
        <w:spacing w:after="0" w:line="184" w:lineRule="exact"/>
        <w:rPr>
          <w:sz w:val="20"/>
          <w:szCs w:val="20"/>
          <w:color w:val="auto"/>
        </w:rPr>
      </w:pPr>
    </w:p>
    <w:p>
      <w:pPr>
        <w:ind w:left="657" w:right="60" w:hanging="657"/>
        <w:spacing w:after="0" w:line="245" w:lineRule="exact"/>
        <w:tabs>
          <w:tab w:leader="none" w:pos="70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Before the Par Call Date, the Notes will be redeemable and repayable, at the option of the Company, at any time in whole, or from time to time in part, at a Redemption Price equal to the greater of (i) 100% of the principal amount of the Notes to be redeemed or (ii) the sum, as calculated by the Company, of the present values of the remaining scheduled payments of principal and interest thereon that would be due if the Notes matured on the Par Call Date (exclusive of interest accrued to the Redemption Date (as defined in the Notes) discounted to the Redemption Date on a semi-annual basis (assuming a 360</w:t>
      </w:r>
      <w:r>
        <w:rPr>
          <w:rFonts w:ascii="MS PGothic" w:cs="MS PGothic" w:eastAsia="MS PGothic" w:hAnsi="MS PGothic"/>
          <w:sz w:val="19"/>
          <w:szCs w:val="19"/>
          <w:color w:val="auto"/>
        </w:rPr>
        <w:t>‑</w:t>
      </w:r>
      <w:r>
        <w:rPr>
          <w:rFonts w:ascii="Arial" w:cs="Arial" w:eastAsia="Arial" w:hAnsi="Arial"/>
          <w:sz w:val="19"/>
          <w:szCs w:val="19"/>
          <w:color w:val="auto"/>
        </w:rPr>
        <w:t>day year consisting of twelve</w:t>
      </w:r>
    </w:p>
    <w:p>
      <w:pPr>
        <w:spacing w:after="0" w:line="5" w:lineRule="exact"/>
        <w:rPr>
          <w:rFonts w:ascii="Arial" w:cs="Arial" w:eastAsia="Arial" w:hAnsi="Arial"/>
          <w:sz w:val="19"/>
          <w:szCs w:val="19"/>
          <w:color w:val="auto"/>
        </w:rPr>
      </w:pPr>
    </w:p>
    <w:p>
      <w:pPr>
        <w:ind w:left="657" w:right="20"/>
        <w:spacing w:after="0" w:line="245" w:lineRule="exact"/>
        <w:rPr>
          <w:rFonts w:ascii="Arial" w:cs="Arial" w:eastAsia="Arial" w:hAnsi="Arial"/>
          <w:sz w:val="19"/>
          <w:szCs w:val="19"/>
          <w:color w:val="auto"/>
        </w:rPr>
      </w:pPr>
      <w:r>
        <w:rPr>
          <w:rFonts w:ascii="Arial" w:cs="Arial" w:eastAsia="Arial" w:hAnsi="Arial"/>
          <w:sz w:val="21"/>
          <w:szCs w:val="21"/>
          <w:color w:val="auto"/>
        </w:rPr>
        <w:t>30</w:t>
      </w:r>
      <w:r>
        <w:rPr>
          <w:rFonts w:ascii="MS PGothic" w:cs="MS PGothic" w:eastAsia="MS PGothic" w:hAnsi="MS PGothic"/>
          <w:sz w:val="21"/>
          <w:szCs w:val="21"/>
          <w:color w:val="auto"/>
        </w:rPr>
        <w:t>‑</w:t>
      </w:r>
      <w:r>
        <w:rPr>
          <w:rFonts w:ascii="Arial" w:cs="Arial" w:eastAsia="Arial" w:hAnsi="Arial"/>
          <w:sz w:val="21"/>
          <w:szCs w:val="21"/>
          <w:color w:val="auto"/>
        </w:rPr>
        <w:t>day months) at the applicable Treasury Yield (as defined in the Notes) plus 15 basis points; plus, in either case, accrued interest to the Redemption Date. On or after the Par Call Date,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 “Par Call Date” means August 15, 2027.</w:t>
      </w:r>
    </w:p>
    <w:p>
      <w:pPr>
        <w:spacing w:after="0" w:line="189" w:lineRule="exact"/>
        <w:rPr>
          <w:rFonts w:ascii="Arial" w:cs="Arial" w:eastAsia="Arial" w:hAnsi="Arial"/>
          <w:sz w:val="19"/>
          <w:szCs w:val="19"/>
          <w:color w:val="auto"/>
        </w:rPr>
      </w:pPr>
    </w:p>
    <w:p>
      <w:pPr>
        <w:ind w:left="657" w:hanging="657"/>
        <w:spacing w:after="0" w:line="328" w:lineRule="auto"/>
        <w:tabs>
          <w:tab w:leader="none" w:pos="74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Company shall have no obligation to redeem, purchase or repay the Notes pursuant to any mandatory redemption, sinking fund or analogous provisions or at the option of a Holder thereof.</w:t>
      </w:r>
    </w:p>
    <w:p>
      <w:pPr>
        <w:spacing w:after="0" w:line="105" w:lineRule="exact"/>
        <w:rPr>
          <w:rFonts w:ascii="Arial" w:cs="Arial" w:eastAsia="Arial" w:hAnsi="Arial"/>
          <w:sz w:val="19"/>
          <w:szCs w:val="19"/>
          <w:color w:val="auto"/>
        </w:rPr>
      </w:pPr>
    </w:p>
    <w:p>
      <w:pPr>
        <w:ind w:left="657" w:right="180" w:hanging="657"/>
        <w:spacing w:after="0" w:line="274" w:lineRule="auto"/>
        <w:tabs>
          <w:tab w:leader="none" w:pos="739"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Notes will be subject to defeasance and discharge as contemplated by Section 1302 of the Indenture and to covenant defeasance under Section 1303 of the Indenture.</w:t>
      </w:r>
    </w:p>
    <w:p>
      <w:pPr>
        <w:spacing w:after="0" w:line="150" w:lineRule="exact"/>
        <w:rPr>
          <w:rFonts w:ascii="Arial" w:cs="Arial" w:eastAsia="Arial" w:hAnsi="Arial"/>
          <w:sz w:val="21"/>
          <w:szCs w:val="21"/>
          <w:color w:val="auto"/>
        </w:rPr>
      </w:pPr>
    </w:p>
    <w:p>
      <w:pPr>
        <w:ind w:left="657" w:right="100" w:hanging="657"/>
        <w:spacing w:after="0" w:line="251" w:lineRule="auto"/>
        <w:tabs>
          <w:tab w:leader="none" w:pos="74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Notes shall be entitled to the benefit of the covenants contained in Sections 1008 and 1009 of the Indenture.</w:t>
      </w:r>
    </w:p>
    <w:p>
      <w:pPr>
        <w:spacing w:after="0" w:line="173" w:lineRule="exact"/>
        <w:rPr>
          <w:rFonts w:ascii="Arial" w:cs="Arial" w:eastAsia="Arial" w:hAnsi="Arial"/>
          <w:sz w:val="22"/>
          <w:szCs w:val="22"/>
          <w:color w:val="auto"/>
        </w:rPr>
      </w:pPr>
    </w:p>
    <w:p>
      <w:pPr>
        <w:ind w:left="657" w:right="160" w:hanging="657"/>
        <w:spacing w:after="0" w:line="251" w:lineRule="auto"/>
        <w:tabs>
          <w:tab w:leader="none" w:pos="74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Bank of New York Mellon Trust Company, N.A. shall serve initially as Security Registrar for the Notes.</w:t>
      </w:r>
    </w:p>
    <w:p>
      <w:pPr>
        <w:spacing w:after="0" w:line="173" w:lineRule="exact"/>
        <w:rPr>
          <w:rFonts w:ascii="Arial" w:cs="Arial" w:eastAsia="Arial" w:hAnsi="Arial"/>
          <w:sz w:val="22"/>
          <w:szCs w:val="22"/>
          <w:color w:val="auto"/>
        </w:rPr>
      </w:pPr>
    </w:p>
    <w:p>
      <w:pPr>
        <w:ind w:left="737" w:hanging="737"/>
        <w:spacing w:after="0"/>
        <w:tabs>
          <w:tab w:leader="none" w:pos="73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Notes shall be substantially in the form of Exhibit A hereto.</w:t>
      </w:r>
    </w:p>
    <w:p>
      <w:pPr>
        <w:spacing w:after="0" w:line="206" w:lineRule="exact"/>
        <w:rPr>
          <w:rFonts w:ascii="Arial" w:cs="Arial" w:eastAsia="Arial" w:hAnsi="Arial"/>
          <w:sz w:val="22"/>
          <w:szCs w:val="22"/>
          <w:color w:val="auto"/>
        </w:rPr>
      </w:pPr>
    </w:p>
    <w:p>
      <w:pPr>
        <w:ind w:left="657" w:hanging="657"/>
        <w:spacing w:after="0" w:line="247" w:lineRule="auto"/>
        <w:tabs>
          <w:tab w:leader="none" w:pos="74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Notes will be fully and unconditionally guaranteed on a senior basis by the Company’s wholly owned subsidiary, Waste Management Holdings, Inc., pursuant to the terms and conditions of a Guarantee Agreement dated November 8, 2017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57"/>
          </w:cols>
          <w:pgMar w:left="1423" w:top="118" w:right="14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color w:val="auto"/>
        </w:rPr>
        <w:t>BOOK-ENTRY SECURITY</w:t>
      </w:r>
    </w:p>
    <w:p>
      <w:pPr>
        <w:spacing w:after="0" w:line="20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6080" w:type="dxa"/>
            <w:vAlign w:val="bottom"/>
          </w:tcPr>
          <w:p>
            <w:pPr>
              <w:spacing w:after="0"/>
              <w:rPr>
                <w:sz w:val="20"/>
                <w:szCs w:val="20"/>
                <w:color w:val="auto"/>
              </w:rPr>
            </w:pPr>
            <w:r>
              <w:rPr>
                <w:rFonts w:ascii="Arial" w:cs="Arial" w:eastAsia="Arial" w:hAnsi="Arial"/>
                <w:sz w:val="22"/>
                <w:szCs w:val="22"/>
                <w:color w:val="auto"/>
              </w:rPr>
              <w:t>RGN</w:t>
            </w:r>
          </w:p>
        </w:tc>
        <w:tc>
          <w:tcPr>
            <w:tcW w:w="1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22"/>
                <w:szCs w:val="22"/>
                <w:color w:val="auto"/>
                <w:w w:val="92"/>
              </w:rPr>
              <w:t>Principal Amount</w:t>
            </w:r>
          </w:p>
        </w:tc>
        <w:tc>
          <w:tcPr>
            <w:tcW w:w="0" w:type="dxa"/>
            <w:vAlign w:val="bottom"/>
          </w:tcPr>
          <w:p>
            <w:pPr>
              <w:spacing w:after="0"/>
              <w:rPr>
                <w:sz w:val="1"/>
                <w:szCs w:val="1"/>
                <w:color w:val="auto"/>
              </w:rPr>
            </w:pPr>
          </w:p>
        </w:tc>
      </w:tr>
      <w:tr>
        <w:trPr>
          <w:trHeight w:val="428"/>
        </w:trPr>
        <w:tc>
          <w:tcPr>
            <w:tcW w:w="6080" w:type="dxa"/>
            <w:vAlign w:val="bottom"/>
          </w:tcPr>
          <w:p>
            <w:pPr>
              <w:spacing w:after="0"/>
              <w:rPr>
                <w:sz w:val="24"/>
                <w:szCs w:val="24"/>
                <w:color w:val="auto"/>
              </w:rPr>
            </w:pPr>
          </w:p>
        </w:tc>
        <w:tc>
          <w:tcPr>
            <w:tcW w:w="1180" w:type="dxa"/>
            <w:vAlign w:val="bottom"/>
          </w:tcPr>
          <w:p>
            <w:pPr>
              <w:ind w:left="600"/>
              <w:spacing w:after="0"/>
              <w:rPr>
                <w:sz w:val="20"/>
                <w:szCs w:val="20"/>
                <w:color w:val="auto"/>
              </w:rPr>
            </w:pPr>
            <w:r>
              <w:rPr>
                <w:rFonts w:ascii="Arial" w:cs="Arial" w:eastAsia="Arial" w:hAnsi="Arial"/>
                <w:sz w:val="22"/>
                <w:szCs w:val="22"/>
                <w:color w:val="auto"/>
                <w:w w:val="91"/>
              </w:rPr>
              <w:t>U.S. $</w:t>
            </w:r>
          </w:p>
        </w:tc>
        <w:tc>
          <w:tcPr>
            <w:tcW w:w="1560" w:type="dxa"/>
            <w:vAlign w:val="bottom"/>
          </w:tcPr>
          <w:p>
            <w:pPr>
              <w:jc w:val="right"/>
              <w:spacing w:after="0"/>
              <w:rPr>
                <w:sz w:val="20"/>
                <w:szCs w:val="20"/>
                <w:color w:val="auto"/>
              </w:rPr>
            </w:pPr>
            <w:r>
              <w:rPr>
                <w:rFonts w:ascii="Arial" w:cs="Arial" w:eastAsia="Arial" w:hAnsi="Arial"/>
                <w:sz w:val="22"/>
                <w:szCs w:val="22"/>
                <w:color w:val="auto"/>
              </w:rPr>
              <w:t>, which</w:t>
            </w:r>
          </w:p>
        </w:tc>
        <w:tc>
          <w:tcPr>
            <w:tcW w:w="0" w:type="dxa"/>
            <w:vAlign w:val="bottom"/>
          </w:tcPr>
          <w:p>
            <w:pPr>
              <w:spacing w:after="0"/>
              <w:rPr>
                <w:sz w:val="1"/>
                <w:szCs w:val="1"/>
                <w:color w:val="auto"/>
              </w:rPr>
            </w:pPr>
          </w:p>
        </w:tc>
      </w:tr>
      <w:tr>
        <w:trPr>
          <w:trHeight w:val="243"/>
        </w:trPr>
        <w:tc>
          <w:tcPr>
            <w:tcW w:w="6080" w:type="dxa"/>
            <w:vAlign w:val="bottom"/>
            <w:vMerge w:val="restart"/>
          </w:tcPr>
          <w:p>
            <w:pPr>
              <w:ind w:left="2740"/>
              <w:spacing w:after="0"/>
              <w:rPr>
                <w:sz w:val="20"/>
                <w:szCs w:val="20"/>
                <w:color w:val="auto"/>
              </w:rPr>
            </w:pPr>
            <w:r>
              <w:rPr>
                <w:rFonts w:ascii="Arial" w:cs="Arial" w:eastAsia="Arial" w:hAnsi="Arial"/>
                <w:sz w:val="22"/>
                <w:szCs w:val="22"/>
                <w:color w:val="auto"/>
              </w:rPr>
              <w:t>WASTE MANAGEMENT, INC.</w:t>
            </w:r>
          </w:p>
        </w:tc>
        <w:tc>
          <w:tcPr>
            <w:tcW w:w="2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may be decreased by the</w:t>
            </w:r>
          </w:p>
        </w:tc>
        <w:tc>
          <w:tcPr>
            <w:tcW w:w="0" w:type="dxa"/>
            <w:vAlign w:val="bottom"/>
          </w:tcPr>
          <w:p>
            <w:pPr>
              <w:spacing w:after="0"/>
              <w:rPr>
                <w:sz w:val="1"/>
                <w:szCs w:val="1"/>
                <w:color w:val="auto"/>
              </w:rPr>
            </w:pPr>
          </w:p>
        </w:tc>
      </w:tr>
      <w:tr>
        <w:trPr>
          <w:trHeight w:val="261"/>
        </w:trPr>
        <w:tc>
          <w:tcPr>
            <w:tcW w:w="6080" w:type="dxa"/>
            <w:vAlign w:val="bottom"/>
            <w:vMerge w:val="continue"/>
          </w:tcPr>
          <w:p>
            <w:pPr>
              <w:spacing w:after="0"/>
              <w:rPr>
                <w:sz w:val="22"/>
                <w:szCs w:val="22"/>
                <w:color w:val="auto"/>
              </w:rPr>
            </w:pP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rPr>
              <w:t>Schedule of Exchanges of</w:t>
            </w:r>
          </w:p>
        </w:tc>
        <w:tc>
          <w:tcPr>
            <w:tcW w:w="0" w:type="dxa"/>
            <w:vAlign w:val="bottom"/>
          </w:tcPr>
          <w:p>
            <w:pPr>
              <w:spacing w:after="0"/>
              <w:rPr>
                <w:sz w:val="1"/>
                <w:szCs w:val="1"/>
                <w:color w:val="auto"/>
              </w:rPr>
            </w:pPr>
          </w:p>
        </w:tc>
      </w:tr>
    </w:tbl>
    <w:p>
      <w:pPr>
        <w:jc w:val="right"/>
        <w:ind w:right="120"/>
        <w:spacing w:after="0" w:line="230" w:lineRule="auto"/>
        <w:rPr>
          <w:sz w:val="20"/>
          <w:szCs w:val="20"/>
          <w:color w:val="auto"/>
        </w:rPr>
      </w:pPr>
      <w:r>
        <w:rPr>
          <w:rFonts w:ascii="Arial" w:cs="Arial" w:eastAsia="Arial" w:hAnsi="Arial"/>
          <w:sz w:val="22"/>
          <w:szCs w:val="22"/>
          <w:color w:val="auto"/>
        </w:rPr>
        <w:t>Definitive Security</w:t>
      </w:r>
    </w:p>
    <w:p>
      <w:pPr>
        <w:spacing w:after="0" w:line="1"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auto"/>
        </w:rPr>
        <w:t>attached hereto</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3.150% SENIOR NOTES DUE 2027</w:t>
      </w:r>
    </w:p>
    <w:p>
      <w:pPr>
        <w:spacing w:after="0" w:line="206" w:lineRule="exact"/>
        <w:rPr>
          <w:sz w:val="20"/>
          <w:szCs w:val="20"/>
          <w:color w:val="auto"/>
        </w:rPr>
      </w:pPr>
    </w:p>
    <w:p>
      <w:pPr>
        <w:ind w:left="7180"/>
        <w:spacing w:after="0"/>
        <w:rPr>
          <w:sz w:val="20"/>
          <w:szCs w:val="20"/>
          <w:color w:val="auto"/>
        </w:rPr>
      </w:pPr>
      <w:r>
        <w:rPr>
          <w:rFonts w:ascii="Arial" w:cs="Arial" w:eastAsia="Arial" w:hAnsi="Arial"/>
          <w:sz w:val="21"/>
          <w:szCs w:val="21"/>
          <w:color w:val="auto"/>
        </w:rPr>
        <w:t>CUSIP 94106L BE8</w:t>
      </w: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of Million ($ ) U.S. dollars, or such lesser principal sum as is shown on the attached Schedule of Exchanges of Definitive Security, on November 15, 2027 in such coin or currency of the United States of America as at the time of payment shall be legal tender for the payment of public and private debts, and to pay interest at an annual rate of 3.150% payable on May 15 and November 15 of each year, to the person in whose name this Security is registered at the close of business on the record date for such interest, which shall be the preceding May 1 or November 1, respectively, payable commencing May 15, 2018, with interest accruing from November 8, 2017,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8" w:name="page139"/>
    <w:bookmarkEnd w:id="138"/>
    <w:p>
      <w:pPr>
        <w:jc w:val="both"/>
        <w:ind w:firstLine="648"/>
        <w:spacing w:after="0" w:line="329" w:lineRule="auto"/>
        <w:rPr>
          <w:sz w:val="20"/>
          <w:szCs w:val="20"/>
          <w:color w:val="auto"/>
        </w:rPr>
      </w:pPr>
      <w:r>
        <w:rPr>
          <w:rFonts w:ascii="Arial" w:cs="Arial" w:eastAsia="Arial" w:hAnsi="Arial"/>
          <w:sz w:val="19"/>
          <w:szCs w:val="19"/>
          <w:color w:val="auto"/>
        </w:rPr>
        <w:t>Reference is made to the further provisions of this Security set forth on the reverse hereof. Such further provisions shall for all purposes have the same effect as though fully set forth at this place.</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This Security is issued in respect of a series of Securities of an initial aggregate of U.S. $750,000,000 in principal amount designated as the 3.150% Senior Notes due 2027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9" w:name="page140"/>
    <w:bookmarkEnd w:id="139"/>
    <w:p>
      <w:pPr>
        <w:ind w:firstLine="648"/>
        <w:spacing w:after="0" w:line="274" w:lineRule="auto"/>
        <w:rPr>
          <w:sz w:val="20"/>
          <w:szCs w:val="20"/>
          <w:color w:val="auto"/>
        </w:rPr>
      </w:pPr>
      <w:r>
        <w:rPr>
          <w:rFonts w:ascii="Arial" w:cs="Arial" w:eastAsia="Arial" w:hAnsi="Arial"/>
          <w:sz w:val="21"/>
          <w:szCs w:val="21"/>
          <w:color w:val="auto"/>
        </w:rPr>
        <w:t>This Security shall not be valid or become obligatory for any purpose until the Certificate of Authentication hereon shall have been manually signed by the Trustee under the Indenture.</w:t>
      </w:r>
    </w:p>
    <w:p>
      <w:pPr>
        <w:spacing w:after="0" w:line="15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WITNESS WHEREOF, the Company has caused this instrument to be duly executed under its corporate seal.</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220" w:type="dxa"/>
            <w:vAlign w:val="bottom"/>
          </w:tcPr>
          <w:p>
            <w:pPr>
              <w:spacing w:after="0"/>
              <w:rPr>
                <w:sz w:val="20"/>
                <w:szCs w:val="20"/>
                <w:color w:val="auto"/>
              </w:rPr>
            </w:pPr>
            <w:r>
              <w:rPr>
                <w:rFonts w:ascii="Arial" w:cs="Arial" w:eastAsia="Arial" w:hAnsi="Arial"/>
                <w:sz w:val="22"/>
                <w:szCs w:val="22"/>
                <w:color w:val="auto"/>
              </w:rPr>
              <w:t>Dated:</w:t>
            </w:r>
          </w:p>
        </w:tc>
        <w:tc>
          <w:tcPr>
            <w:tcW w:w="4720" w:type="dxa"/>
            <w:vAlign w:val="bottom"/>
            <w:gridSpan w:val="2"/>
          </w:tcPr>
          <w:p>
            <w:pPr>
              <w:ind w:left="80"/>
              <w:spacing w:after="0"/>
              <w:rPr>
                <w:sz w:val="20"/>
                <w:szCs w:val="20"/>
                <w:color w:val="auto"/>
              </w:rPr>
            </w:pPr>
            <w:r>
              <w:rPr>
                <w:rFonts w:ascii="Arial" w:cs="Arial" w:eastAsia="Arial" w:hAnsi="Arial"/>
                <w:sz w:val="22"/>
                <w:szCs w:val="22"/>
                <w:color w:val="auto"/>
              </w:rPr>
              <w:t>WASTE MANAGEMENT, INC.,</w:t>
            </w:r>
          </w:p>
        </w:tc>
      </w:tr>
      <w:tr>
        <w:trPr>
          <w:trHeight w:val="275"/>
        </w:trPr>
        <w:tc>
          <w:tcPr>
            <w:tcW w:w="4220" w:type="dxa"/>
            <w:vAlign w:val="bottom"/>
          </w:tcPr>
          <w:p>
            <w:pPr>
              <w:spacing w:after="0"/>
              <w:rPr>
                <w:sz w:val="23"/>
                <w:szCs w:val="23"/>
                <w:color w:val="auto"/>
              </w:rPr>
            </w:pPr>
          </w:p>
        </w:tc>
        <w:tc>
          <w:tcPr>
            <w:tcW w:w="4720" w:type="dxa"/>
            <w:vAlign w:val="bottom"/>
            <w:gridSpan w:val="2"/>
          </w:tcPr>
          <w:p>
            <w:pPr>
              <w:ind w:left="80"/>
              <w:spacing w:after="0"/>
              <w:rPr>
                <w:sz w:val="20"/>
                <w:szCs w:val="20"/>
                <w:color w:val="auto"/>
              </w:rPr>
            </w:pPr>
            <w:r>
              <w:rPr>
                <w:rFonts w:ascii="Arial" w:cs="Arial" w:eastAsia="Arial" w:hAnsi="Arial"/>
                <w:sz w:val="22"/>
                <w:szCs w:val="22"/>
                <w:color w:val="auto"/>
              </w:rPr>
              <w:t>a Delaware corporation</w:t>
            </w:r>
          </w:p>
        </w:tc>
      </w:tr>
      <w:tr>
        <w:trPr>
          <w:trHeight w:val="476"/>
        </w:trPr>
        <w:tc>
          <w:tcPr>
            <w:tcW w:w="4220" w:type="dxa"/>
            <w:vAlign w:val="bottom"/>
          </w:tcPr>
          <w:p>
            <w:pPr>
              <w:spacing w:after="0"/>
              <w:rPr>
                <w:sz w:val="24"/>
                <w:szCs w:val="24"/>
                <w:color w:val="auto"/>
              </w:rPr>
            </w:pPr>
          </w:p>
        </w:tc>
        <w:tc>
          <w:tcPr>
            <w:tcW w:w="4720" w:type="dxa"/>
            <w:vAlign w:val="bottom"/>
            <w:gridSpan w:val="2"/>
          </w:tcPr>
          <w:p>
            <w:pPr>
              <w:ind w:left="80"/>
              <w:spacing w:after="0"/>
              <w:rPr>
                <w:sz w:val="20"/>
                <w:szCs w:val="20"/>
                <w:color w:val="auto"/>
              </w:rPr>
            </w:pPr>
            <w:r>
              <w:rPr>
                <w:rFonts w:ascii="Arial" w:cs="Arial" w:eastAsia="Arial" w:hAnsi="Arial"/>
                <w:sz w:val="22"/>
                <w:szCs w:val="22"/>
                <w:color w:val="auto"/>
              </w:rPr>
              <w:t>By:</w:t>
            </w:r>
          </w:p>
        </w:tc>
      </w:tr>
      <w:tr>
        <w:trPr>
          <w:trHeight w:val="215"/>
        </w:trPr>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2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David L. Reed</w:t>
            </w:r>
          </w:p>
        </w:tc>
      </w:tr>
      <w:tr>
        <w:trPr>
          <w:trHeight w:val="275"/>
        </w:trPr>
        <w:tc>
          <w:tcPr>
            <w:tcW w:w="4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Arial" w:cs="Arial" w:eastAsia="Arial" w:hAnsi="Arial"/>
                <w:sz w:val="22"/>
                <w:szCs w:val="22"/>
                <w:color w:val="auto"/>
              </w:rPr>
              <w:t>Vice President and Treasurer</w:t>
            </w:r>
          </w:p>
        </w:tc>
      </w:tr>
      <w:tr>
        <w:trPr>
          <w:trHeight w:val="972"/>
        </w:trPr>
        <w:tc>
          <w:tcPr>
            <w:tcW w:w="4220" w:type="dxa"/>
            <w:vAlign w:val="bottom"/>
          </w:tcPr>
          <w:p>
            <w:pPr>
              <w:spacing w:after="0"/>
              <w:rPr>
                <w:sz w:val="24"/>
                <w:szCs w:val="24"/>
                <w:color w:val="auto"/>
              </w:rPr>
            </w:pPr>
          </w:p>
        </w:tc>
        <w:tc>
          <w:tcPr>
            <w:tcW w:w="4720" w:type="dxa"/>
            <w:vAlign w:val="bottom"/>
            <w:gridSpan w:val="2"/>
          </w:tcPr>
          <w:p>
            <w:pPr>
              <w:ind w:left="80"/>
              <w:spacing w:after="0"/>
              <w:rPr>
                <w:sz w:val="20"/>
                <w:szCs w:val="20"/>
                <w:color w:val="auto"/>
              </w:rPr>
            </w:pPr>
            <w:r>
              <w:rPr>
                <w:rFonts w:ascii="Arial" w:cs="Arial" w:eastAsia="Arial" w:hAnsi="Arial"/>
                <w:sz w:val="22"/>
                <w:szCs w:val="22"/>
                <w:color w:val="auto"/>
              </w:rPr>
              <w:t>Attest:</w:t>
            </w:r>
          </w:p>
        </w:tc>
      </w:tr>
      <w:tr>
        <w:trPr>
          <w:trHeight w:val="719"/>
        </w:trPr>
        <w:tc>
          <w:tcPr>
            <w:tcW w:w="4220" w:type="dxa"/>
            <w:vAlign w:val="bottom"/>
          </w:tcPr>
          <w:p>
            <w:pPr>
              <w:spacing w:after="0"/>
              <w:rPr>
                <w:sz w:val="24"/>
                <w:szCs w:val="24"/>
                <w:color w:val="auto"/>
              </w:rPr>
            </w:pPr>
          </w:p>
        </w:tc>
        <w:tc>
          <w:tcPr>
            <w:tcW w:w="4720" w:type="dxa"/>
            <w:vAlign w:val="bottom"/>
            <w:gridSpan w:val="2"/>
          </w:tcPr>
          <w:p>
            <w:pPr>
              <w:ind w:left="80"/>
              <w:spacing w:after="0"/>
              <w:rPr>
                <w:sz w:val="20"/>
                <w:szCs w:val="20"/>
                <w:color w:val="auto"/>
              </w:rPr>
            </w:pPr>
            <w:r>
              <w:rPr>
                <w:rFonts w:ascii="Arial" w:cs="Arial" w:eastAsia="Arial" w:hAnsi="Arial"/>
                <w:sz w:val="22"/>
                <w:szCs w:val="22"/>
                <w:color w:val="auto"/>
              </w:rPr>
              <w:t>By:</w:t>
            </w:r>
          </w:p>
        </w:tc>
      </w:tr>
      <w:tr>
        <w:trPr>
          <w:trHeight w:val="215"/>
        </w:trPr>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20" w:type="dxa"/>
            <w:vAlign w:val="bottom"/>
            <w:tcBorders>
              <w:top w:val="single" w:sz="8" w:color="auto"/>
            </w:tcBorders>
          </w:tcPr>
          <w:p>
            <w:pPr>
              <w:ind w:left="120"/>
              <w:spacing w:after="0" w:line="216" w:lineRule="exact"/>
              <w:rPr>
                <w:sz w:val="20"/>
                <w:szCs w:val="20"/>
                <w:color w:val="auto"/>
              </w:rPr>
            </w:pPr>
            <w:r>
              <w:rPr>
                <w:rFonts w:ascii="Arial" w:cs="Arial" w:eastAsia="Arial" w:hAnsi="Arial"/>
                <w:sz w:val="22"/>
                <w:szCs w:val="22"/>
                <w:color w:val="auto"/>
              </w:rPr>
              <w:t>Courtney A. Tippy</w:t>
            </w:r>
          </w:p>
        </w:tc>
      </w:tr>
      <w:tr>
        <w:trPr>
          <w:trHeight w:val="275"/>
        </w:trPr>
        <w:tc>
          <w:tcPr>
            <w:tcW w:w="4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Arial" w:cs="Arial" w:eastAsia="Arial" w:hAnsi="Arial"/>
                <w:sz w:val="22"/>
                <w:szCs w:val="22"/>
                <w:color w:val="auto"/>
                <w:w w:val="99"/>
              </w:rPr>
              <w:t>Vice President and Corporate Secretary</w:t>
            </w:r>
          </w:p>
        </w:tc>
      </w:tr>
      <w:tr>
        <w:trPr>
          <w:trHeight w:val="486"/>
        </w:trPr>
        <w:tc>
          <w:tcPr>
            <w:tcW w:w="4220" w:type="dxa"/>
            <w:vAlign w:val="bottom"/>
          </w:tcPr>
          <w:p>
            <w:pPr>
              <w:ind w:left="540"/>
              <w:spacing w:after="0"/>
              <w:rPr>
                <w:sz w:val="20"/>
                <w:szCs w:val="20"/>
                <w:color w:val="auto"/>
              </w:rPr>
            </w:pPr>
            <w:r>
              <w:rPr>
                <w:rFonts w:ascii="Arial" w:cs="Arial" w:eastAsia="Arial" w:hAnsi="Arial"/>
                <w:sz w:val="22"/>
                <w:szCs w:val="22"/>
                <w:color w:val="auto"/>
                <w:w w:val="96"/>
              </w:rPr>
              <w:t>CERTIFICATE OF AUTHENTICATION</w:t>
            </w: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This is one of the Securities of the series designated therein referred to in the within-mentioned Indenture.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Pr>
          <w:p>
            <w:pPr>
              <w:ind w:left="120"/>
              <w:spacing w:after="0"/>
              <w:rPr>
                <w:sz w:val="20"/>
                <w:szCs w:val="20"/>
                <w:color w:val="auto"/>
              </w:rPr>
            </w:pPr>
            <w:r>
              <w:rPr>
                <w:rFonts w:ascii="Arial" w:cs="Arial" w:eastAsia="Arial" w:hAnsi="Arial"/>
                <w:sz w:val="22"/>
                <w:szCs w:val="22"/>
                <w:color w:val="auto"/>
              </w:rPr>
              <w:t>Date of Authentication:</w:t>
            </w:r>
          </w:p>
        </w:tc>
        <w:tc>
          <w:tcPr>
            <w:tcW w:w="5740" w:type="dxa"/>
            <w:vAlign w:val="bottom"/>
            <w:gridSpan w:val="2"/>
          </w:tcPr>
          <w:p>
            <w:pPr>
              <w:ind w:left="1140"/>
              <w:spacing w:after="0"/>
              <w:rPr>
                <w:sz w:val="20"/>
                <w:szCs w:val="20"/>
                <w:color w:val="auto"/>
              </w:rPr>
            </w:pPr>
            <w:r>
              <w:rPr>
                <w:rFonts w:ascii="Arial" w:cs="Arial" w:eastAsia="Arial" w:hAnsi="Arial"/>
                <w:sz w:val="22"/>
                <w:szCs w:val="22"/>
                <w:color w:val="auto"/>
              </w:rPr>
              <w:t>The Bank of New York Mellon Trust Company,</w:t>
            </w:r>
          </w:p>
        </w:tc>
      </w:tr>
      <w:tr>
        <w:trPr>
          <w:trHeight w:val="275"/>
        </w:trPr>
        <w:tc>
          <w:tcPr>
            <w:tcW w:w="3320" w:type="dxa"/>
            <w:vAlign w:val="bottom"/>
          </w:tcPr>
          <w:p>
            <w:pPr>
              <w:spacing w:after="0"/>
              <w:rPr>
                <w:sz w:val="23"/>
                <w:szCs w:val="23"/>
                <w:color w:val="auto"/>
              </w:rPr>
            </w:pPr>
          </w:p>
        </w:tc>
        <w:tc>
          <w:tcPr>
            <w:tcW w:w="5740" w:type="dxa"/>
            <w:vAlign w:val="bottom"/>
            <w:gridSpan w:val="2"/>
          </w:tcPr>
          <w:p>
            <w:pPr>
              <w:ind w:left="1140"/>
              <w:spacing w:after="0"/>
              <w:rPr>
                <w:sz w:val="20"/>
                <w:szCs w:val="20"/>
                <w:color w:val="auto"/>
              </w:rPr>
            </w:pPr>
            <w:r>
              <w:rPr>
                <w:rFonts w:ascii="Arial" w:cs="Arial" w:eastAsia="Arial" w:hAnsi="Arial"/>
                <w:sz w:val="22"/>
                <w:szCs w:val="22"/>
                <w:color w:val="auto"/>
              </w:rPr>
              <w:t>N.A., as Trustee</w:t>
            </w:r>
          </w:p>
        </w:tc>
      </w:tr>
      <w:tr>
        <w:trPr>
          <w:trHeight w:val="476"/>
        </w:trPr>
        <w:tc>
          <w:tcPr>
            <w:tcW w:w="3320" w:type="dxa"/>
            <w:vAlign w:val="bottom"/>
          </w:tcPr>
          <w:p>
            <w:pPr>
              <w:spacing w:after="0"/>
              <w:rPr>
                <w:sz w:val="24"/>
                <w:szCs w:val="24"/>
                <w:color w:val="auto"/>
              </w:rPr>
            </w:pPr>
          </w:p>
        </w:tc>
        <w:tc>
          <w:tcPr>
            <w:tcW w:w="5740" w:type="dxa"/>
            <w:vAlign w:val="bottom"/>
            <w:gridSpan w:val="2"/>
          </w:tcPr>
          <w:p>
            <w:pPr>
              <w:ind w:left="1140"/>
              <w:spacing w:after="0"/>
              <w:rPr>
                <w:sz w:val="20"/>
                <w:szCs w:val="20"/>
                <w:color w:val="auto"/>
              </w:rPr>
            </w:pPr>
            <w:r>
              <w:rPr>
                <w:rFonts w:ascii="Arial" w:cs="Arial" w:eastAsia="Arial" w:hAnsi="Arial"/>
                <w:sz w:val="22"/>
                <w:szCs w:val="22"/>
                <w:color w:val="auto"/>
              </w:rPr>
              <w:t>By:</w:t>
            </w:r>
          </w:p>
        </w:tc>
      </w:tr>
      <w:tr>
        <w:trPr>
          <w:trHeight w:val="268"/>
        </w:trPr>
        <w:tc>
          <w:tcPr>
            <w:tcW w:w="3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96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Authorized Officer</w:t>
            </w:r>
          </w:p>
        </w:tc>
      </w:tr>
      <w:tr>
        <w:trPr>
          <w:trHeight w:val="448"/>
        </w:trPr>
        <w:tc>
          <w:tcPr>
            <w:tcW w:w="3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color w:val="auto"/>
        </w:rPr>
        <w:t>REVERSE OF BOOK-ENTRY SECURITY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3.150% SENIOR NOTES DUE 2027</w:t>
      </w:r>
    </w:p>
    <w:p>
      <w:pPr>
        <w:spacing w:after="0" w:line="2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3.150% Senior Notes due 2027 of the Company, in initial aggregate</w:t>
      </w:r>
    </w:p>
    <w:p>
      <w:pPr>
        <w:spacing w:after="0" w:line="2"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color w:val="auto"/>
        </w:rPr>
        <w:t>principal amount of</w:t>
      </w:r>
      <w:r>
        <w:rPr>
          <w:sz w:val="20"/>
          <w:szCs w:val="20"/>
          <w:color w:val="auto"/>
        </w:rPr>
        <w:tab/>
      </w:r>
      <w:r>
        <w:rPr>
          <w:rFonts w:ascii="Arial" w:cs="Arial" w:eastAsia="Arial" w:hAnsi="Arial"/>
          <w:sz w:val="19"/>
          <w:szCs w:val="19"/>
          <w:color w:val="auto"/>
        </w:rPr>
        <w:t>$750,000,000 (the “Securities”).</w:t>
      </w:r>
    </w:p>
    <w:p>
      <w:pPr>
        <w:spacing w:after="0" w:line="188" w:lineRule="exact"/>
        <w:rPr>
          <w:sz w:val="20"/>
          <w:szCs w:val="20"/>
          <w:color w:val="auto"/>
        </w:rPr>
      </w:pPr>
    </w:p>
    <w:p>
      <w:pPr>
        <w:ind w:left="1320" w:hanging="669"/>
        <w:spacing w:after="0"/>
        <w:tabs>
          <w:tab w:leader="none" w:pos="1320" w:val="left"/>
        </w:tabs>
        <w:numPr>
          <w:ilvl w:val="0"/>
          <w:numId w:val="122"/>
        </w:numPr>
        <w:rPr>
          <w:rFonts w:ascii="Arial" w:cs="Arial" w:eastAsia="Arial" w:hAnsi="Arial"/>
          <w:sz w:val="22"/>
          <w:szCs w:val="22"/>
          <w:color w:val="auto"/>
        </w:rPr>
      </w:pPr>
      <w:r>
        <w:rPr>
          <w:rFonts w:ascii="Arial" w:cs="Arial" w:eastAsia="Arial" w:hAnsi="Arial"/>
          <w:sz w:val="22"/>
          <w:szCs w:val="22"/>
          <w:i w:val="1"/>
          <w:iCs w:val="1"/>
          <w:color w:val="auto"/>
        </w:rPr>
        <w:t>Interest.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promises to pay interest on the principal amount of this Security at the rate of 3.150% per annum.</w:t>
      </w:r>
    </w:p>
    <w:p>
      <w:pPr>
        <w:spacing w:after="0" w:line="173" w:lineRule="exact"/>
        <w:rPr>
          <w:sz w:val="20"/>
          <w:szCs w:val="20"/>
          <w:color w:val="auto"/>
        </w:rPr>
      </w:pPr>
    </w:p>
    <w:p>
      <w:pPr>
        <w:jc w:val="both"/>
        <w:ind w:firstLine="648"/>
        <w:spacing w:after="0" w:line="247" w:lineRule="exact"/>
        <w:rPr>
          <w:sz w:val="20"/>
          <w:szCs w:val="20"/>
          <w:color w:val="auto"/>
        </w:rPr>
      </w:pPr>
      <w:r>
        <w:rPr>
          <w:rFonts w:ascii="Arial" w:cs="Arial" w:eastAsia="Arial" w:hAnsi="Arial"/>
          <w:sz w:val="19"/>
          <w:szCs w:val="19"/>
          <w:color w:val="auto"/>
        </w:rPr>
        <w:t>The Company will pay interest semi-annually on May 15 and November 15 of each year (each an “Interest Payment Date”), commencing May 15, 2018. Interest on the Securities will accrue from the most recent date to which interest has been paid or, if no interest has been paid on the Securities, from November 8, 2017. Interest will be computed on the basis of a 360</w:t>
      </w:r>
      <w:r>
        <w:rPr>
          <w:rFonts w:ascii="MS PGothic" w:cs="MS PGothic" w:eastAsia="MS PGothic" w:hAnsi="MS PGothic"/>
          <w:sz w:val="19"/>
          <w:szCs w:val="19"/>
          <w:color w:val="auto"/>
        </w:rPr>
        <w:t>‑</w:t>
      </w:r>
      <w:r>
        <w:rPr>
          <w:rFonts w:ascii="Arial" w:cs="Arial" w:eastAsia="Arial" w:hAnsi="Arial"/>
          <w:sz w:val="19"/>
          <w:szCs w:val="19"/>
          <w:color w:val="auto"/>
        </w:rPr>
        <w:t>day year consisting of twelve 30</w:t>
      </w:r>
      <w:r>
        <w:rPr>
          <w:rFonts w:ascii="MS PGothic" w:cs="MS PGothic" w:eastAsia="MS PGothic" w:hAnsi="MS PGothic"/>
          <w:sz w:val="19"/>
          <w:szCs w:val="19"/>
          <w:color w:val="auto"/>
        </w:rPr>
        <w:t>‑</w:t>
      </w:r>
      <w:r>
        <w:rPr>
          <w:rFonts w:ascii="Arial" w:cs="Arial" w:eastAsia="Arial" w:hAnsi="Arial"/>
          <w:sz w:val="19"/>
          <w:szCs w:val="19"/>
          <w:color w:val="auto"/>
        </w:rPr>
        <w:t>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3.150% per annum, in each case to the extent lawful.</w:t>
      </w:r>
    </w:p>
    <w:p>
      <w:pPr>
        <w:spacing w:after="0" w:line="187" w:lineRule="exact"/>
        <w:rPr>
          <w:sz w:val="20"/>
          <w:szCs w:val="20"/>
          <w:color w:val="auto"/>
        </w:rPr>
      </w:pPr>
    </w:p>
    <w:p>
      <w:pPr>
        <w:ind w:left="1320" w:hanging="669"/>
        <w:spacing w:after="0"/>
        <w:tabs>
          <w:tab w:leader="none" w:pos="1320" w:val="left"/>
        </w:tabs>
        <w:numPr>
          <w:ilvl w:val="0"/>
          <w:numId w:val="123"/>
        </w:numPr>
        <w:rPr>
          <w:rFonts w:ascii="Arial" w:cs="Arial" w:eastAsia="Arial" w:hAnsi="Arial"/>
          <w:sz w:val="22"/>
          <w:szCs w:val="22"/>
          <w:color w:val="auto"/>
        </w:rPr>
      </w:pPr>
      <w:r>
        <w:rPr>
          <w:rFonts w:ascii="Arial" w:cs="Arial" w:eastAsia="Arial" w:hAnsi="Arial"/>
          <w:sz w:val="22"/>
          <w:szCs w:val="22"/>
          <w:i w:val="1"/>
          <w:iCs w:val="1"/>
          <w:color w:val="auto"/>
        </w:rPr>
        <w:t>Method of Payment.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Floor21W, New York, New York, 10286 or at the option of the Company,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1" w:name="page142"/>
    <w:bookmarkEnd w:id="141"/>
    <w:p>
      <w:pPr>
        <w:spacing w:after="0" w:line="251" w:lineRule="auto"/>
        <w:rPr>
          <w:sz w:val="20"/>
          <w:szCs w:val="20"/>
          <w:color w:val="auto"/>
        </w:rPr>
      </w:pPr>
      <w:r>
        <w:rPr>
          <w:rFonts w:ascii="Arial" w:cs="Arial" w:eastAsia="Arial" w:hAnsi="Arial"/>
          <w:sz w:val="22"/>
          <w:szCs w:val="22"/>
          <w:color w:val="auto"/>
        </w:rPr>
        <w:t>interest may be made by check mailed to the Holders on the Regular Record Date or on the Special Record Date at their addresses set forth in the Security Register of Holders.</w:t>
      </w:r>
    </w:p>
    <w:p>
      <w:pPr>
        <w:spacing w:after="0" w:line="174" w:lineRule="exact"/>
        <w:rPr>
          <w:sz w:val="20"/>
          <w:szCs w:val="20"/>
          <w:color w:val="auto"/>
        </w:rPr>
      </w:pPr>
    </w:p>
    <w:p>
      <w:pPr>
        <w:ind w:left="1320" w:hanging="669"/>
        <w:spacing w:after="0"/>
        <w:tabs>
          <w:tab w:leader="none" w:pos="1320"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p>
    <w:p>
      <w:pPr>
        <w:spacing w:after="0" w:line="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8" w:lineRule="exact"/>
        <w:rPr>
          <w:sz w:val="20"/>
          <w:szCs w:val="20"/>
          <w:color w:val="auto"/>
        </w:rPr>
      </w:pPr>
    </w:p>
    <w:p>
      <w:pPr>
        <w:ind w:left="1320" w:hanging="669"/>
        <w:spacing w:after="0"/>
        <w:tabs>
          <w:tab w:leader="none" w:pos="1320" w:val="left"/>
        </w:tabs>
        <w:numPr>
          <w:ilvl w:val="0"/>
          <w:numId w:val="125"/>
        </w:numPr>
        <w:rPr>
          <w:rFonts w:ascii="Arial" w:cs="Arial" w:eastAsia="Arial" w:hAnsi="Arial"/>
          <w:sz w:val="22"/>
          <w:szCs w:val="22"/>
          <w:color w:val="auto"/>
        </w:rPr>
      </w:pPr>
      <w:r>
        <w:rPr>
          <w:rFonts w:ascii="Arial" w:cs="Arial" w:eastAsia="Arial" w:hAnsi="Arial"/>
          <w:sz w:val="22"/>
          <w:szCs w:val="22"/>
          <w:i w:val="1"/>
          <w:iCs w:val="1"/>
          <w:color w:val="auto"/>
        </w:rPr>
        <w:t>Indenture.</w:t>
      </w:r>
    </w:p>
    <w:p>
      <w:pPr>
        <w:spacing w:after="0" w:line="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This Security is one of a duly authorized issue of Debt Securities of the Company issued and to be issued in one or more series under the Indenture.</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2015 (the “Resolutions”) and the written consents of the Sole Director of Waste Management Holdings, Inc. on October 19, 2015 and October 24, 2017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$750,000,000.</w:t>
      </w:r>
    </w:p>
    <w:p>
      <w:pPr>
        <w:spacing w:after="0" w:line="190" w:lineRule="exact"/>
        <w:rPr>
          <w:sz w:val="20"/>
          <w:szCs w:val="20"/>
          <w:color w:val="auto"/>
        </w:rPr>
      </w:pPr>
    </w:p>
    <w:p>
      <w:pPr>
        <w:ind w:left="1320" w:hanging="669"/>
        <w:spacing w:after="0"/>
        <w:tabs>
          <w:tab w:leader="none" w:pos="1320" w:val="left"/>
        </w:tabs>
        <w:numPr>
          <w:ilvl w:val="0"/>
          <w:numId w:val="126"/>
        </w:numPr>
        <w:rPr>
          <w:rFonts w:ascii="Arial" w:cs="Arial" w:eastAsia="Arial" w:hAnsi="Arial"/>
          <w:sz w:val="22"/>
          <w:szCs w:val="22"/>
          <w:color w:val="auto"/>
        </w:rPr>
      </w:pPr>
      <w:r>
        <w:rPr>
          <w:rFonts w:ascii="Arial" w:cs="Arial" w:eastAsia="Arial" w:hAnsi="Arial"/>
          <w:sz w:val="22"/>
          <w:szCs w:val="22"/>
          <w:i w:val="1"/>
          <w:iCs w:val="1"/>
          <w:color w:val="auto"/>
        </w:rPr>
        <w:t>Redemption.</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Before the Par Call Date, the Securities will be redeemable and repayable, at the option of the Company, at any time in whole, or from time to time in part, at a Redemption Price (the “Make-Whole Price”) equal to the greater of: (i) 100% of the principal amount of the Securities to be redeemed; or</w:t>
      </w:r>
    </w:p>
    <w:p>
      <w:pPr>
        <w:spacing w:after="0" w:line="2" w:lineRule="exact"/>
        <w:rPr>
          <w:sz w:val="20"/>
          <w:szCs w:val="20"/>
          <w:color w:val="auto"/>
        </w:rPr>
      </w:pPr>
    </w:p>
    <w:p>
      <w:pPr>
        <w:jc w:val="both"/>
        <w:ind w:firstLine="3"/>
        <w:spacing w:after="0" w:line="245" w:lineRule="exact"/>
        <w:tabs>
          <w:tab w:leader="none" w:pos="33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sum, as calculated by the Company, of the present values of the remaining scheduled payments of principal and interest on the Securities that would be due if such Securities matured on the Par Call Date (exclusive of interest accrued to the Redemption Date) discounted to the Redemption Date on a semi-annual basis (assuming a 360</w:t>
      </w:r>
      <w:r>
        <w:rPr>
          <w:rFonts w:ascii="MS PGothic" w:cs="MS PGothic" w:eastAsia="MS PGothic" w:hAnsi="MS PGothic"/>
          <w:sz w:val="19"/>
          <w:szCs w:val="19"/>
          <w:color w:val="auto"/>
        </w:rPr>
        <w:t>‑</w:t>
      </w:r>
      <w:r>
        <w:rPr>
          <w:rFonts w:ascii="Arial" w:cs="Arial" w:eastAsia="Arial" w:hAnsi="Arial"/>
          <w:sz w:val="19"/>
          <w:szCs w:val="19"/>
          <w:color w:val="auto"/>
        </w:rPr>
        <w:t>day year consisting of twelve 30</w:t>
      </w:r>
      <w:r>
        <w:rPr>
          <w:rFonts w:ascii="MS PGothic" w:cs="MS PGothic" w:eastAsia="MS PGothic" w:hAnsi="MS PGothic"/>
          <w:sz w:val="19"/>
          <w:szCs w:val="19"/>
          <w:color w:val="auto"/>
        </w:rPr>
        <w:t>‑</w:t>
      </w:r>
      <w:r>
        <w:rPr>
          <w:rFonts w:ascii="Arial" w:cs="Arial" w:eastAsia="Arial" w:hAnsi="Arial"/>
          <w:sz w:val="19"/>
          <w:szCs w:val="19"/>
          <w:color w:val="auto"/>
        </w:rPr>
        <w:t>day months) at the applicable Treasury Yield plus 15 basis points; plus, in either case, accrued interest to the Redemption Date.</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or after the Par Call Date,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2" w:name="page143"/>
    <w:bookmarkEnd w:id="142"/>
    <w:p>
      <w:pPr>
        <w:jc w:val="both"/>
        <w:spacing w:after="0" w:line="274" w:lineRule="auto"/>
        <w:rPr>
          <w:sz w:val="20"/>
          <w:szCs w:val="20"/>
          <w:color w:val="auto"/>
        </w:rPr>
      </w:pPr>
      <w:r>
        <w:rPr>
          <w:rFonts w:ascii="Arial" w:cs="Arial" w:eastAsia="Arial" w:hAnsi="Arial"/>
          <w:sz w:val="21"/>
          <w:szCs w:val="21"/>
          <w:color w:val="auto"/>
        </w:rPr>
        <w:t>the Securities are redeemed at any time, the Trustee will select the Securities to be redeemed on a pro rata basis or by any other method the Trustee deems fair and appropriate.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determining the Make-Whole Price, the following definitions are applicable:</w:t>
      </w:r>
    </w:p>
    <w:p>
      <w:pPr>
        <w:spacing w:after="0" w:line="2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“Comparable Treasury Issue” means the United States Treasury security selected by an Independent Investment Banker as having a maturity comparable to the remaining term of the Securities, calculated as if the maturity date of such Securities were the Par Call Date (the “Remaining Life”), that would be utilized, at the time of selection and in accordance with customary financial practice, in pricing new issues of corporate debt securities of comparable maturity to the Remaining Life of the Securities.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“Independent Investment Banker” means one of the Reference Treasury Dealers appointed by us to act as the Independent Investment Banker from time to time.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“Comparable Treasury Price”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 Call Date” means August 15, 2027.</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“Reference Treasury Dealer” means (i) each of Barclays Capital Inc., J.P. Morgan Securities LLC and Merrill Lynch, Pierce, Fenner &amp; Smith Incorporated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“Reference Treasury Dealer Quotations” means, with respect to each Reference Treasury Dealer and any Redemption Date for the Securities, an average, as determined by the Independent Investment Banker, of the bid and asked prices for the Comparable Treasury Issue for the Securities (expressed in each case as a percentage of its principal amount) quoted in writing to the Independent Investment Banker by such Reference Treasury Dealer at 5:00 p.m., New York City time, on the third Business Day preceding such Redemption Date.</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Except as set forth above, the Securities will not be redeemable prior to their Stated Maturity and will not be entitled to the benefit of any sinking fund.</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Securities may be redeemed in part in a minimum principal amount of $2,000, or any integral multiple of $1,000 in excess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such redemption will also comply with Article Eleven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3" w:name="page144"/>
    <w:bookmarkEnd w:id="143"/>
    <w:p>
      <w:pPr>
        <w:ind w:left="1320" w:hanging="669"/>
        <w:spacing w:after="0"/>
        <w:tabs>
          <w:tab w:leader="none" w:pos="1320"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Change of Control Offer.</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the Change of Control Payment Date, the Company shall, to the extent lawful:</w:t>
      </w:r>
    </w:p>
    <w:p>
      <w:pPr>
        <w:spacing w:after="0" w:line="206" w:lineRule="exact"/>
        <w:rPr>
          <w:sz w:val="20"/>
          <w:szCs w:val="20"/>
          <w:color w:val="auto"/>
        </w:rPr>
      </w:pPr>
    </w:p>
    <w:p>
      <w:pPr>
        <w:ind w:left="980" w:hanging="329"/>
        <w:spacing w:after="0" w:line="251" w:lineRule="auto"/>
        <w:tabs>
          <w:tab w:leader="none" w:pos="9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accept for payment all Securities or portions of Securities properly tendered and not withdrawn pursuant to the Change of Control Offer;</w:t>
      </w:r>
    </w:p>
    <w:p>
      <w:pPr>
        <w:spacing w:after="0" w:line="173" w:lineRule="exact"/>
        <w:rPr>
          <w:rFonts w:ascii="Arial" w:cs="Arial" w:eastAsia="Arial" w:hAnsi="Arial"/>
          <w:sz w:val="22"/>
          <w:szCs w:val="22"/>
          <w:color w:val="auto"/>
        </w:rPr>
      </w:pPr>
    </w:p>
    <w:p>
      <w:pPr>
        <w:ind w:left="980" w:hanging="329"/>
        <w:spacing w:after="0" w:line="251" w:lineRule="auto"/>
        <w:tabs>
          <w:tab w:leader="none" w:pos="9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Securities or portions of Securities properly tendered; and</w:t>
      </w:r>
    </w:p>
    <w:p>
      <w:pPr>
        <w:spacing w:after="0" w:line="173" w:lineRule="exact"/>
        <w:rPr>
          <w:rFonts w:ascii="Arial" w:cs="Arial" w:eastAsia="Arial" w:hAnsi="Arial"/>
          <w:sz w:val="22"/>
          <w:szCs w:val="22"/>
          <w:color w:val="auto"/>
        </w:rPr>
      </w:pPr>
    </w:p>
    <w:p>
      <w:pPr>
        <w:jc w:val="both"/>
        <w:ind w:left="980" w:hanging="329"/>
        <w:spacing w:after="0"/>
        <w:tabs>
          <w:tab w:leader="none" w:pos="9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78" w:lineRule="exact"/>
        <w:rPr>
          <w:sz w:val="20"/>
          <w:szCs w:val="20"/>
          <w:color w:val="auto"/>
        </w:rPr>
      </w:pPr>
    </w:p>
    <w:p>
      <w:pPr>
        <w:jc w:val="both"/>
        <w:ind w:firstLine="648"/>
        <w:spacing w:after="0" w:line="248" w:lineRule="exact"/>
        <w:rPr>
          <w:sz w:val="20"/>
          <w:szCs w:val="20"/>
          <w:color w:val="auto"/>
        </w:rPr>
      </w:pPr>
      <w:r>
        <w:rPr>
          <w:rFonts w:ascii="Arial" w:cs="Arial" w:eastAsia="Arial" w:hAnsi="Arial"/>
          <w:sz w:val="19"/>
          <w:szCs w:val="19"/>
          <w:color w:val="auto"/>
        </w:rPr>
        <w:t>The Company will comply with the applicable requirements of Rule 14e</w:t>
      </w:r>
      <w:r>
        <w:rPr>
          <w:rFonts w:ascii="MS PGothic" w:cs="MS PGothic" w:eastAsia="MS PGothic" w:hAnsi="MS PGothic"/>
          <w:sz w:val="19"/>
          <w:szCs w:val="19"/>
          <w:color w:val="auto"/>
        </w:rPr>
        <w:t>‑</w:t>
      </w:r>
      <w:r>
        <w:rPr>
          <w:rFonts w:ascii="Arial" w:cs="Arial" w:eastAsia="Arial" w:hAnsi="Arial"/>
          <w:sz w:val="19"/>
          <w:szCs w:val="19"/>
          <w:color w:val="auto"/>
        </w:rPr>
        <w:t>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4" w:name="page145"/>
    <w:bookmarkEnd w:id="144"/>
    <w:p>
      <w:pPr>
        <w:jc w:val="both"/>
        <w:spacing w:after="0" w:line="251" w:lineRule="auto"/>
        <w:rPr>
          <w:sz w:val="20"/>
          <w:szCs w:val="20"/>
          <w:color w:val="auto"/>
        </w:rPr>
      </w:pPr>
      <w:r>
        <w:rPr>
          <w:rFonts w:ascii="Arial" w:cs="Arial" w:eastAsia="Arial" w:hAnsi="Arial"/>
          <w:sz w:val="22"/>
          <w:szCs w:val="22"/>
          <w:color w:val="auto"/>
        </w:rPr>
        <w:t>deemed to have breached its obligations under the Change of Control Offer provisions of this Security by virtue of any such conflict.</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purposes of the Change of Control Offer provisions of the Securities, the following terms are applicable:</w:t>
      </w:r>
    </w:p>
    <w:p>
      <w:pPr>
        <w:spacing w:after="0" w:line="173" w:lineRule="exact"/>
        <w:rPr>
          <w:sz w:val="20"/>
          <w:szCs w:val="20"/>
          <w:color w:val="auto"/>
        </w:rPr>
      </w:pPr>
    </w:p>
    <w:p>
      <w:pPr>
        <w:jc w:val="both"/>
        <w:ind w:firstLine="648"/>
        <w:spacing w:after="0" w:line="246" w:lineRule="exact"/>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w:t>
      </w:r>
      <w:r>
        <w:rPr>
          <w:rFonts w:ascii="MS PGothic" w:cs="MS PGothic" w:eastAsia="MS PGothic" w:hAnsi="MS PGothic"/>
          <w:sz w:val="19"/>
          <w:szCs w:val="19"/>
          <w:color w:val="auto"/>
        </w:rPr>
        <w:t>‑</w:t>
      </w:r>
      <w:r>
        <w:rPr>
          <w:rFonts w:ascii="Arial" w:cs="Arial" w:eastAsia="Arial" w:hAnsi="Arial"/>
          <w:sz w:val="19"/>
          <w:szCs w:val="19"/>
          <w:color w:val="auto"/>
        </w:rPr>
        <w:t>3 and 13d</w:t>
      </w:r>
      <w:r>
        <w:rPr>
          <w:rFonts w:ascii="MS PGothic" w:cs="MS PGothic" w:eastAsia="MS PGothic" w:hAnsi="MS PGothic"/>
          <w:sz w:val="19"/>
          <w:szCs w:val="19"/>
          <w:color w:val="auto"/>
        </w:rPr>
        <w:t>‑</w:t>
      </w:r>
      <w:r>
        <w:rPr>
          <w:rFonts w:ascii="Arial" w:cs="Arial" w:eastAsia="Arial" w:hAnsi="Arial"/>
          <w:sz w:val="19"/>
          <w:szCs w:val="19"/>
          <w:color w:val="auto"/>
        </w:rPr>
        <w:t>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“Change of Control Triggering Event” means the occurrence of both a Change of Control and a Rating Event.</w:t>
      </w:r>
    </w:p>
    <w:p>
      <w:pPr>
        <w:spacing w:after="0" w:line="17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“Fitch” means Fitch Inc. and its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5" w:name="page146"/>
    <w:bookmarkEnd w:id="145"/>
    <w:p>
      <w:pPr>
        <w:jc w:val="both"/>
        <w:ind w:firstLine="648"/>
        <w:spacing w:after="0" w:line="238" w:lineRule="auto"/>
        <w:rPr>
          <w:sz w:val="20"/>
          <w:szCs w:val="20"/>
          <w:color w:val="auto"/>
        </w:rPr>
      </w:pPr>
      <w:r>
        <w:rPr>
          <w:rFonts w:ascii="Arial" w:cs="Arial" w:eastAsia="Arial" w:hAnsi="Arial"/>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 and its successors.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“S&amp;P” means S&amp;P Global Ratings, a division of S&amp;P Global Inc., and its successors.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6" w:lineRule="exact"/>
        <w:rPr>
          <w:sz w:val="20"/>
          <w:szCs w:val="20"/>
          <w:color w:val="auto"/>
        </w:rPr>
      </w:pPr>
    </w:p>
    <w:p>
      <w:pPr>
        <w:ind w:left="1320" w:hanging="669"/>
        <w:spacing w:after="0"/>
        <w:tabs>
          <w:tab w:leader="none" w:pos="1320" w:val="left"/>
        </w:tabs>
        <w:numPr>
          <w:ilvl w:val="0"/>
          <w:numId w:val="130"/>
        </w:numPr>
        <w:rPr>
          <w:rFonts w:ascii="Arial" w:cs="Arial" w:eastAsia="Arial" w:hAnsi="Arial"/>
          <w:sz w:val="22"/>
          <w:szCs w:val="22"/>
          <w:color w:val="auto"/>
        </w:rPr>
      </w:pPr>
      <w:r>
        <w:rPr>
          <w:rFonts w:ascii="Arial" w:cs="Arial" w:eastAsia="Arial" w:hAnsi="Arial"/>
          <w:sz w:val="22"/>
          <w:szCs w:val="22"/>
          <w:i w:val="1"/>
          <w:iCs w:val="1"/>
          <w:color w:val="auto"/>
        </w:rPr>
        <w:t>Denominations; Transfer; Exchange.</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9" w:lineRule="exact"/>
        <w:rPr>
          <w:sz w:val="20"/>
          <w:szCs w:val="20"/>
          <w:color w:val="auto"/>
        </w:rPr>
      </w:pPr>
    </w:p>
    <w:p>
      <w:pPr>
        <w:ind w:left="1320" w:hanging="669"/>
        <w:spacing w:after="0"/>
        <w:tabs>
          <w:tab w:leader="none" w:pos="1320"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Person Deemed Owners.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registered Holder of a Security may be treated as the owner of it for all purposes.</w:t>
      </w:r>
    </w:p>
    <w:p>
      <w:pPr>
        <w:spacing w:after="0" w:line="206" w:lineRule="exact"/>
        <w:rPr>
          <w:sz w:val="20"/>
          <w:szCs w:val="20"/>
          <w:color w:val="auto"/>
        </w:rPr>
      </w:pPr>
    </w:p>
    <w:p>
      <w:pPr>
        <w:ind w:left="1320" w:hanging="669"/>
        <w:spacing w:after="0"/>
        <w:tabs>
          <w:tab w:leader="none" w:pos="1320" w:val="left"/>
        </w:tabs>
        <w:numPr>
          <w:ilvl w:val="0"/>
          <w:numId w:val="132"/>
        </w:numPr>
        <w:rPr>
          <w:rFonts w:ascii="Arial" w:cs="Arial" w:eastAsia="Arial" w:hAnsi="Arial"/>
          <w:sz w:val="22"/>
          <w:szCs w:val="22"/>
          <w:color w:val="auto"/>
        </w:rPr>
      </w:pPr>
      <w:r>
        <w:rPr>
          <w:rFonts w:ascii="Arial" w:cs="Arial" w:eastAsia="Arial" w:hAnsi="Arial"/>
          <w:sz w:val="22"/>
          <w:szCs w:val="22"/>
          <w:i w:val="1"/>
          <w:iCs w:val="1"/>
          <w:color w:val="auto"/>
        </w:rPr>
        <w:t>Amendment; Supplement; Waiver.</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6" w:name="page147"/>
    <w:bookmarkEnd w:id="146"/>
    <w:p>
      <w:pPr>
        <w:jc w:val="both"/>
        <w:spacing w:after="0" w:line="258" w:lineRule="auto"/>
        <w:rPr>
          <w:sz w:val="20"/>
          <w:szCs w:val="20"/>
          <w:color w:val="auto"/>
        </w:rPr>
      </w:pPr>
      <w:r>
        <w:rPr>
          <w:rFonts w:ascii="Arial" w:cs="Arial" w:eastAsia="Arial" w:hAnsi="Arial"/>
          <w:sz w:val="21"/>
          <w:szCs w:val="21"/>
          <w:color w:val="auto"/>
        </w:rPr>
        <w:t>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67" w:lineRule="exact"/>
        <w:rPr>
          <w:sz w:val="20"/>
          <w:szCs w:val="20"/>
          <w:color w:val="auto"/>
        </w:rPr>
      </w:pPr>
    </w:p>
    <w:p>
      <w:pPr>
        <w:ind w:left="1360" w:hanging="709"/>
        <w:spacing w:after="0"/>
        <w:tabs>
          <w:tab w:leader="none" w:pos="1360"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Defaults and Remedies.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0" w:lineRule="exact"/>
        <w:rPr>
          <w:sz w:val="20"/>
          <w:szCs w:val="20"/>
          <w:color w:val="auto"/>
        </w:rPr>
      </w:pPr>
    </w:p>
    <w:p>
      <w:pPr>
        <w:spacing w:after="0" w:line="202" w:lineRule="exact"/>
        <w:rPr>
          <w:sz w:val="20"/>
          <w:szCs w:val="20"/>
          <w:color w:val="auto"/>
        </w:rPr>
      </w:pPr>
    </w:p>
    <w:p>
      <w:pPr>
        <w:ind w:left="1360" w:hanging="709"/>
        <w:spacing w:after="0"/>
        <w:tabs>
          <w:tab w:leader="none" w:pos="1360"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Trustee Dealings with Company.</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5" w:lineRule="exact"/>
        <w:rPr>
          <w:sz w:val="20"/>
          <w:szCs w:val="20"/>
          <w:color w:val="auto"/>
        </w:rPr>
      </w:pPr>
    </w:p>
    <w:p>
      <w:pPr>
        <w:ind w:left="1360" w:hanging="709"/>
        <w:spacing w:after="0"/>
        <w:tabs>
          <w:tab w:leader="none" w:pos="1360"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Authentication.</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This Security shall not be valid until the Trustee or authenticating agent signs the certificate of authentication on the other side of this Security.</w:t>
      </w:r>
    </w:p>
    <w:p>
      <w:pPr>
        <w:spacing w:after="0" w:line="173" w:lineRule="exact"/>
        <w:rPr>
          <w:sz w:val="20"/>
          <w:szCs w:val="20"/>
          <w:color w:val="auto"/>
        </w:rPr>
      </w:pPr>
    </w:p>
    <w:p>
      <w:pPr>
        <w:ind w:left="1360" w:hanging="709"/>
        <w:spacing w:after="0"/>
        <w:tabs>
          <w:tab w:leader="none" w:pos="136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Abbreviations and Defined Terms.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7" w:name="page148"/>
    <w:bookmarkEnd w:id="147"/>
    <w:p>
      <w:pPr>
        <w:ind w:left="1360" w:hanging="709"/>
        <w:spacing w:after="0"/>
        <w:tabs>
          <w:tab w:leader="none" w:pos="1360" w:val="left"/>
        </w:tabs>
        <w:numPr>
          <w:ilvl w:val="0"/>
          <w:numId w:val="137"/>
        </w:numPr>
        <w:rPr>
          <w:rFonts w:ascii="Arial" w:cs="Arial" w:eastAsia="Arial" w:hAnsi="Arial"/>
          <w:sz w:val="22"/>
          <w:szCs w:val="22"/>
          <w:color w:val="auto"/>
        </w:rPr>
      </w:pPr>
      <w:r>
        <w:rPr>
          <w:rFonts w:ascii="Arial" w:cs="Arial" w:eastAsia="Arial" w:hAnsi="Arial"/>
          <w:sz w:val="22"/>
          <w:szCs w:val="22"/>
          <w:i w:val="1"/>
          <w:iCs w:val="1"/>
          <w:color w:val="auto"/>
        </w:rPr>
        <w:t>CUSIP Numbers.</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43" w:lineRule="exact"/>
        <w:rPr>
          <w:sz w:val="20"/>
          <w:szCs w:val="20"/>
          <w:color w:val="auto"/>
        </w:rPr>
      </w:pPr>
    </w:p>
    <w:p>
      <w:pPr>
        <w:ind w:left="1360" w:hanging="709"/>
        <w:spacing w:after="0"/>
        <w:tabs>
          <w:tab w:leader="none" w:pos="1360" w:val="left"/>
        </w:tabs>
        <w:numPr>
          <w:ilvl w:val="0"/>
          <w:numId w:val="138"/>
        </w:numPr>
        <w:rPr>
          <w:rFonts w:ascii="Arial" w:cs="Arial" w:eastAsia="Arial" w:hAnsi="Arial"/>
          <w:sz w:val="22"/>
          <w:szCs w:val="22"/>
          <w:color w:val="auto"/>
        </w:rPr>
      </w:pPr>
      <w:r>
        <w:rPr>
          <w:rFonts w:ascii="Arial" w:cs="Arial" w:eastAsia="Arial" w:hAnsi="Arial"/>
          <w:sz w:val="22"/>
          <w:szCs w:val="22"/>
          <w:i w:val="1"/>
          <w:iCs w:val="1"/>
          <w:color w:val="auto"/>
        </w:rPr>
        <w:t>Absolute Obligation.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85" w:lineRule="exact"/>
        <w:rPr>
          <w:sz w:val="20"/>
          <w:szCs w:val="20"/>
          <w:color w:val="auto"/>
        </w:rPr>
      </w:pPr>
    </w:p>
    <w:p>
      <w:pPr>
        <w:ind w:left="1360" w:hanging="709"/>
        <w:spacing w:after="0"/>
        <w:tabs>
          <w:tab w:leader="none" w:pos="1360"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No Recourse.</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1360" w:hanging="709"/>
        <w:spacing w:after="0"/>
        <w:tabs>
          <w:tab w:leader="none" w:pos="1360"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This Security shall be construed in accordance with and governed by the laws of the State of New York.</w:t>
      </w:r>
    </w:p>
    <w:p>
      <w:pPr>
        <w:spacing w:after="0" w:line="173" w:lineRule="exact"/>
        <w:rPr>
          <w:sz w:val="20"/>
          <w:szCs w:val="20"/>
          <w:color w:val="auto"/>
        </w:rPr>
      </w:pPr>
    </w:p>
    <w:p>
      <w:pPr>
        <w:ind w:left="1360" w:hanging="709"/>
        <w:spacing w:after="0"/>
        <w:tabs>
          <w:tab w:leader="none" w:pos="1360"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Guarantee.</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Securities will be fully and unconditionally guaranteed on a senior basis by the Company’s wholly owned subsidiary, Waste Management Holdings, Inc., pursuant to the terms and conditions of a Guarantee, dated as of November 8, 2017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2"/>
          <w:szCs w:val="22"/>
          <w:color w:val="auto"/>
        </w:rPr>
        <w:t>SCHEDULE OF EXCHANGES OF DEFINITIVE SECURITY</w:t>
      </w:r>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exchanges of a part of this Book-Entry Security for definitive Securities have been made: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Amount of</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Principal Amount of</w:t>
            </w:r>
          </w:p>
        </w:tc>
        <w:tc>
          <w:tcPr>
            <w:tcW w:w="16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decrease in</w:t>
            </w: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increase in</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this Book-Entry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Signature of</w:t>
            </w:r>
          </w:p>
        </w:tc>
      </w:tr>
      <w:tr>
        <w:trPr>
          <w:trHeight w:val="216"/>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Amount</w:t>
            </w: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Principal Amount</w:t>
            </w: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Security following</w:t>
            </w: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authorized officer of</w:t>
            </w:r>
          </w:p>
        </w:tc>
      </w:tr>
      <w:tr>
        <w:trPr>
          <w:trHeight w:val="216"/>
        </w:trPr>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of this Book-Entry</w:t>
            </w: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of this Book-Entry</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such decrease (or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Trustee or Security</w:t>
            </w:r>
          </w:p>
        </w:tc>
      </w:tr>
      <w:tr>
        <w:trPr>
          <w:trHeight w:val="234"/>
        </w:trPr>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rPr>
              <w:t>Date of Exchange</w:t>
            </w: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Security</w:t>
            </w: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Security</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increase)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Custodian</w:t>
            </w:r>
          </w:p>
        </w:tc>
      </w:tr>
      <w:tr>
        <w:trPr>
          <w:trHeight w:val="716"/>
        </w:trPr>
        <w:tc>
          <w:tcPr>
            <w:tcW w:w="15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i w:val="1"/>
          <w:iCs w:val="1"/>
          <w:color w:val="auto"/>
        </w:rPr>
        <w:t>Annex B</w:t>
      </w:r>
    </w:p>
    <w:p>
      <w:pPr>
        <w:jc w:val="center"/>
        <w:spacing w:after="0" w:line="238" w:lineRule="auto"/>
        <w:rPr>
          <w:sz w:val="20"/>
          <w:szCs w:val="20"/>
          <w:color w:val="auto"/>
        </w:rPr>
      </w:pPr>
      <w:r>
        <w:rPr>
          <w:rFonts w:ascii="Arial" w:cs="Arial" w:eastAsia="Arial" w:hAnsi="Arial"/>
          <w:sz w:val="22"/>
          <w:szCs w:val="22"/>
          <w:b w:val="1"/>
          <w:bCs w:val="1"/>
          <w:color w:val="auto"/>
        </w:rPr>
        <w:t>Resolutions of the Board of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Waste Management, Inc.</w:t>
      </w:r>
    </w:p>
    <w:p>
      <w:pPr>
        <w:spacing w:after="0" w:line="182" w:lineRule="exact"/>
        <w:rPr>
          <w:sz w:val="20"/>
          <w:szCs w:val="20"/>
          <w:color w:val="auto"/>
        </w:rPr>
      </w:pPr>
    </w:p>
    <w:p>
      <w:pPr>
        <w:jc w:val="both"/>
        <w:ind w:firstLine="648"/>
        <w:spacing w:after="0" w:line="248" w:lineRule="exact"/>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September 28, 2012, Waste Management, Inc. (the “Company”) filed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Exchange Commission (the “SEC”) an automatic shelf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3, File No. 333</w:t>
      </w:r>
      <w:r>
        <w:rPr>
          <w:rFonts w:ascii="MS PGothic" w:cs="MS PGothic" w:eastAsia="MS PGothic" w:hAnsi="MS PGothic"/>
          <w:sz w:val="19"/>
          <w:szCs w:val="19"/>
          <w:color w:val="auto"/>
        </w:rPr>
        <w:t>‑</w:t>
      </w:r>
      <w:r>
        <w:rPr>
          <w:rFonts w:ascii="Arial" w:cs="Arial" w:eastAsia="Arial" w:hAnsi="Arial"/>
          <w:sz w:val="19"/>
          <w:szCs w:val="19"/>
          <w:color w:val="auto"/>
        </w:rPr>
        <w:t>184157 (the “Automatic Shelf Registration Statement”),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rules and regulations promulgated by the SEC, the Automatic Shelf</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Statement will expire, by its terms, on September 28, 2015, three years after the effective date of the Automatic Shelf Registration Statement; and</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at the time of the Board of Directors’ approval of the Automatic Shelf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the Board of Directors also authorized the Company to offer and sell up to an aggregate of $3,000,000,000 of Securities (the “2012 Issuance Authorization”); and</w:t>
      </w:r>
    </w:p>
    <w:p>
      <w:pPr>
        <w:spacing w:after="0" w:line="177" w:lineRule="exact"/>
        <w:rPr>
          <w:sz w:val="20"/>
          <w:szCs w:val="20"/>
          <w:color w:val="auto"/>
        </w:rPr>
      </w:pPr>
    </w:p>
    <w:p>
      <w:pPr>
        <w:jc w:val="both"/>
        <w:ind w:firstLine="648"/>
        <w:spacing w:after="0" w:line="256" w:lineRule="exact"/>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and finds it in the best interests of the Company, to file a</w:t>
      </w:r>
      <w:r>
        <w:rPr>
          <w:rFonts w:ascii="Arial" w:cs="Arial" w:eastAsia="Arial" w:hAnsi="Arial"/>
          <w:sz w:val="22"/>
          <w:szCs w:val="22"/>
          <w:b w:val="1"/>
          <w:bCs w:val="1"/>
          <w:color w:val="auto"/>
        </w:rPr>
        <w:t xml:space="preserve"> </w:t>
      </w:r>
      <w:r>
        <w:rPr>
          <w:rFonts w:ascii="Arial" w:cs="Arial" w:eastAsia="Arial" w:hAnsi="Arial"/>
          <w:sz w:val="22"/>
          <w:szCs w:val="22"/>
          <w:color w:val="auto"/>
        </w:rPr>
        <w:t>new automatic shelf registration statement on Form S</w:t>
      </w:r>
      <w:r>
        <w:rPr>
          <w:rFonts w:ascii="MS PGothic" w:cs="MS PGothic" w:eastAsia="MS PGothic" w:hAnsi="MS PGothic"/>
          <w:sz w:val="22"/>
          <w:szCs w:val="22"/>
          <w:color w:val="auto"/>
        </w:rPr>
        <w:t>‑</w:t>
      </w:r>
      <w:r>
        <w:rPr>
          <w:rFonts w:ascii="Arial" w:cs="Arial" w:eastAsia="Arial" w:hAnsi="Arial"/>
          <w:sz w:val="22"/>
          <w:szCs w:val="22"/>
          <w:color w:val="auto"/>
        </w:rPr>
        <w:t>3 in order to facilitate any future offerings of securities by the Company or any selling security holders.</w:t>
      </w:r>
    </w:p>
    <w:p>
      <w:pPr>
        <w:spacing w:after="0" w:line="180" w:lineRule="exact"/>
        <w:rPr>
          <w:sz w:val="20"/>
          <w:szCs w:val="20"/>
          <w:color w:val="auto"/>
        </w:rPr>
      </w:pPr>
    </w:p>
    <w:p>
      <w:pPr>
        <w:jc w:val="both"/>
        <w:ind w:firstLine="648"/>
        <w:spacing w:after="0" w:line="246" w:lineRule="exact"/>
        <w:rPr>
          <w:sz w:val="20"/>
          <w:szCs w:val="20"/>
          <w:color w:val="auto"/>
        </w:rPr>
      </w:pPr>
      <w:r>
        <w:rPr>
          <w:rFonts w:ascii="Arial" w:cs="Arial" w:eastAsia="Arial" w:hAnsi="Arial"/>
          <w:sz w:val="19"/>
          <w:szCs w:val="19"/>
          <w:b w:val="1"/>
          <w:bCs w:val="1"/>
          <w:color w:val="auto"/>
        </w:rPr>
        <w:t xml:space="preserve">NOW, THEREFORE, BE IT RESOLVED, </w:t>
      </w:r>
      <w:r>
        <w:rPr>
          <w:rFonts w:ascii="Arial" w:cs="Arial" w:eastAsia="Arial" w:hAnsi="Arial"/>
          <w:sz w:val="19"/>
          <w:szCs w:val="19"/>
          <w:color w:val="auto"/>
        </w:rPr>
        <w:t>that the Company is hereby authorized to prepare</w:t>
      </w:r>
      <w:r>
        <w:rPr>
          <w:rFonts w:ascii="Arial" w:cs="Arial" w:eastAsia="Arial" w:hAnsi="Arial"/>
          <w:sz w:val="19"/>
          <w:szCs w:val="19"/>
          <w:b w:val="1"/>
          <w:bCs w:val="1"/>
          <w:color w:val="auto"/>
        </w:rPr>
        <w:t xml:space="preserve"> </w:t>
      </w:r>
      <w:r>
        <w:rPr>
          <w:rFonts w:ascii="Arial" w:cs="Arial" w:eastAsia="Arial" w:hAnsi="Arial"/>
          <w:sz w:val="19"/>
          <w:szCs w:val="19"/>
          <w:color w:val="auto"/>
        </w:rPr>
        <w:t>and file with the SEC an automatic shelf 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3 (the “New Registration Statement”), pursuant to the Securities Act of 1933, as amended, and the rules and regulations promulgated thereunder (the “Securities Act”), which New Registration Statement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WMHI; and any units consisting of one or more of the foregoing (the Debt Securities, Common Stock, warrants, preferred stock, guarantees and units collectively referred to herein as the “Securities”), to be issued from time to time;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the proper officers (as established pursuant to these resolutions)</w:t>
      </w:r>
      <w:r>
        <w:rPr>
          <w:rFonts w:ascii="Arial" w:cs="Arial" w:eastAsia="Arial" w:hAnsi="Arial"/>
          <w:sz w:val="21"/>
          <w:szCs w:val="21"/>
          <w:b w:val="1"/>
          <w:bCs w:val="1"/>
          <w:color w:val="auto"/>
        </w:rPr>
        <w:t xml:space="preserve"> </w:t>
      </w:r>
      <w:r>
        <w:rPr>
          <w:rFonts w:ascii="Arial" w:cs="Arial" w:eastAsia="Arial" w:hAnsi="Arial"/>
          <w:sz w:val="21"/>
          <w:szCs w:val="21"/>
          <w:color w:val="auto"/>
        </w:rPr>
        <w:t>be, and they hereby are, authorized, in their sole and absolute discretion, subject to any limitations set forth in these resolutions, to cause the Company to offer and sell up to an aggregate of $3,000,000,000 of Securities without further approval of the Board of Directors;</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RESOLVED FURTHER, </w:t>
      </w:r>
      <w:r>
        <w:rPr>
          <w:rFonts w:ascii="Arial" w:cs="Arial" w:eastAsia="Arial" w:hAnsi="Arial"/>
          <w:sz w:val="22"/>
          <w:szCs w:val="22"/>
          <w:color w:val="auto"/>
        </w:rPr>
        <w:t>that upon the filing date of the New Registration Statement,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to make new issuances of Securities pursuant to the 2012 Issuance Authorization shall be deemed rescinded;</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and the authorized employees (as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these resolutions) be, and each of them hereby is, authorized, in the name and on behalf of the Company, to execute and cause to be filed with the SEC any and all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0" w:name="page151"/>
    <w:bookmarkEnd w:id="150"/>
    <w:p>
      <w:pPr>
        <w:jc w:val="both"/>
        <w:spacing w:after="0" w:line="235" w:lineRule="auto"/>
        <w:rPr>
          <w:sz w:val="20"/>
          <w:szCs w:val="20"/>
          <w:color w:val="auto"/>
        </w:rPr>
      </w:pPr>
      <w:r>
        <w:rPr>
          <w:rFonts w:ascii="Arial" w:cs="Arial" w:eastAsia="Arial" w:hAnsi="Arial"/>
          <w:sz w:val="22"/>
          <w:szCs w:val="22"/>
          <w:color w:val="auto"/>
        </w:rPr>
        <w:t>(including, without limitation, post-effective amendments) or supplements to the New Registration Statement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RESOLVED FURTHER, </w:t>
      </w:r>
      <w:r>
        <w:rPr>
          <w:rFonts w:ascii="Arial" w:cs="Arial" w:eastAsia="Arial" w:hAnsi="Arial"/>
          <w:sz w:val="22"/>
          <w:szCs w:val="22"/>
          <w:color w:val="auto"/>
        </w:rPr>
        <w:t>that the Chief Legal Officer of the Company be, and he hereby is,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and appointed the agent for service of process on the Company under the Securities Act in connection with the New Registration Statement and any and all amendments and supplements thereto, with all powers incident to such appointment;</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and authorized employees be and hereby are</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and directed in the name and on behalf of the 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5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form of any additional resolutions required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appropriate qualification or registration of the 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of Directors with the same force and effect as if set out verbatim herein;</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any of the proper officers or authorized employees be,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them hereby is, authorized to approve at any time and 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any of the proper officers be, and each of them hereby is,</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at any time and from time to time, on behalf of the Company, (i) to determine, within any limits that may be set by the Board of Directors, the number of shares of Common Stock, preferred stock or other equity securities to be offered and sold by the Company pursuant to the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1" w:name="page152"/>
    <w:bookmarkEnd w:id="151"/>
    <w:p>
      <w:pPr>
        <w:jc w:val="both"/>
        <w:spacing w:after="0" w:line="248" w:lineRule="auto"/>
        <w:rPr>
          <w:sz w:val="20"/>
          <w:szCs w:val="20"/>
          <w:color w:val="auto"/>
        </w:rPr>
      </w:pPr>
      <w:r>
        <w:rPr>
          <w:rFonts w:ascii="Arial" w:cs="Arial" w:eastAsia="Arial" w:hAnsi="Arial"/>
          <w:sz w:val="21"/>
          <w:szCs w:val="21"/>
          <w:color w:val="auto"/>
        </w:rPr>
        <w:t>Registration Statement,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Registration Statement and the applicable purchase agreement, which action could be taken or which things could be done by the Board of Directors of the Company;</w:t>
      </w:r>
    </w:p>
    <w:p>
      <w:pPr>
        <w:spacing w:after="0" w:line="17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RESOLVED FURTHER, </w:t>
      </w:r>
      <w:r>
        <w:rPr>
          <w:rFonts w:ascii="Arial" w:cs="Arial" w:eastAsia="Arial" w:hAnsi="Arial"/>
          <w:sz w:val="22"/>
          <w:szCs w:val="22"/>
          <w:color w:val="auto"/>
        </w:rPr>
        <w:t>that any of the proper officers may, at any time and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on behalf of the Company, authorize the issuance of one 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in connection with any such series of Securities (but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limiting the authority hereinafter in these resolutions 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5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in connection with the issuance of Securities of any series which</w:t>
      </w:r>
      <w:r>
        <w:rPr>
          <w:rFonts w:ascii="Arial" w:cs="Arial" w:eastAsia="Arial" w:hAnsi="Arial"/>
          <w:sz w:val="21"/>
          <w:szCs w:val="21"/>
          <w:b w:val="1"/>
          <w:bCs w:val="1"/>
          <w:color w:val="auto"/>
        </w:rPr>
        <w:t xml:space="preserve"> </w:t>
      </w:r>
      <w:r>
        <w:rPr>
          <w:rFonts w:ascii="Arial" w:cs="Arial" w:eastAsia="Arial" w:hAnsi="Arial"/>
          <w:sz w:val="21"/>
          <w:szCs w:val="21"/>
          <w:color w:val="auto"/>
        </w:rPr>
        <w:t>may not be originally issued at one time (except as may 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in connection with any such series of Securities, any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proper officers is authorized to approve any amendment, 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6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and authorized employees be, and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them hereby is, authorized, in the name and on behalf of the 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14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be, and each of them hereby is,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and in accordance with the Company’s indentures 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2" w:name="page153"/>
    <w:bookmarkEnd w:id="152"/>
    <w:p>
      <w:pPr>
        <w:jc w:val="both"/>
        <w:spacing w:after="0" w:line="252" w:lineRule="auto"/>
        <w:rPr>
          <w:sz w:val="20"/>
          <w:szCs w:val="20"/>
          <w:color w:val="auto"/>
        </w:rPr>
      </w:pPr>
      <w:r>
        <w:rPr>
          <w:rFonts w:ascii="Arial" w:cs="Arial" w:eastAsia="Arial" w:hAnsi="Arial"/>
          <w:sz w:val="21"/>
          <w:szCs w:val="21"/>
          <w:color w:val="auto"/>
        </w:rPr>
        <w:t>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and authorized employees be, and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them hereby is, authorized, in the name and on behalf of the 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3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proper officers be, and each of them hereby is, authorized,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name and on behalf of the Company, to make 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the officers and authorized employees of the Company be, and</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them hereby is, authorized to take, or cause to be taken, any and all action which any such officer may deem necessary or desirable in order to carry out the purpose and intent of the foregoing resolutions or in order to perform, or cause to be performed, the obligations of the Company under the Securities, the New Registration Statement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for purposes of these resolutions, the term “proper officer”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mean any or all of the Chief Executive Officer, the Chief Financial Officer, the Chief Legal Officer, the Chief Accounting Officer and the Treasurer of the Company and the term “authorized employees” shall mean either or both of the Vice President and General Counsel – Corporate and Securities and the Assistant General Counsel – Securities &amp; Governance of the Company;</w:t>
      </w:r>
    </w:p>
    <w:p>
      <w:pPr>
        <w:spacing w:after="0" w:line="169"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RESOLVED FURTHER, </w:t>
      </w:r>
      <w:r>
        <w:rPr>
          <w:rFonts w:ascii="Arial" w:cs="Arial" w:eastAsia="Arial" w:hAnsi="Arial"/>
          <w:sz w:val="19"/>
          <w:szCs w:val="19"/>
          <w:color w:val="auto"/>
        </w:rPr>
        <w:t>that the form of any additional resolutions required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foregoing resolutions be and hereby is approved and adopted, provided the proper officers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3" w:name="page154"/>
    <w:bookmarkEnd w:id="153"/>
    <w:p>
      <w:pPr>
        <w:jc w:val="both"/>
        <w:spacing w:after="0" w:line="287" w:lineRule="auto"/>
        <w:rPr>
          <w:sz w:val="20"/>
          <w:szCs w:val="20"/>
          <w:color w:val="auto"/>
        </w:rPr>
      </w:pPr>
      <w:r>
        <w:rPr>
          <w:rFonts w:ascii="Arial" w:cs="Arial" w:eastAsia="Arial" w:hAnsi="Arial"/>
          <w:sz w:val="19"/>
          <w:szCs w:val="19"/>
          <w:color w:val="auto"/>
        </w:rPr>
        <w:t>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of Directors with the same force and effect as if set out verbatim herein; and</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RESOLVED FURTHER, </w:t>
      </w:r>
      <w:r>
        <w:rPr>
          <w:rFonts w:ascii="Arial" w:cs="Arial" w:eastAsia="Arial" w:hAnsi="Arial"/>
          <w:sz w:val="21"/>
          <w:szCs w:val="21"/>
          <w:color w:val="auto"/>
        </w:rPr>
        <w:t>that any officer of the Company is hereby authorized and directed to</w:t>
      </w:r>
      <w:r>
        <w:rPr>
          <w:rFonts w:ascii="Arial" w:cs="Arial" w:eastAsia="Arial" w:hAnsi="Arial"/>
          <w:sz w:val="21"/>
          <w:szCs w:val="21"/>
          <w:b w:val="1"/>
          <w:bCs w:val="1"/>
          <w:color w:val="auto"/>
        </w:rPr>
        <w:t xml:space="preserve"> </w:t>
      </w:r>
      <w:r>
        <w:rPr>
          <w:rFonts w:ascii="Arial" w:cs="Arial" w:eastAsia="Arial" w:hAnsi="Arial"/>
          <w:sz w:val="21"/>
          <w:szCs w:val="21"/>
          <w:color w:val="auto"/>
        </w:rPr>
        <w:t>make, provide, execute, and deliver any and all 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4.7</w:t>
      </w:r>
    </w:p>
    <w:p>
      <w:pPr>
        <w:spacing w:after="0" w:line="200" w:lineRule="exact"/>
        <w:rPr>
          <w:sz w:val="20"/>
          <w:szCs w:val="20"/>
          <w:color w:val="auto"/>
        </w:rPr>
      </w:pPr>
    </w:p>
    <w:p>
      <w:pPr>
        <w:spacing w:after="0" w:line="229"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GUARANTEE</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BY WASTE MANAGEMENT HOLDINGS, INC.</w:t>
      </w:r>
    </w:p>
    <w:p>
      <w:pPr>
        <w:spacing w:after="0" w:line="206"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(formerly known as Waste Management, Inc.)</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 Favor of The Bank of New York Mellon Trust Company, N.A., as Trustee for the Holders</w:t>
      </w:r>
    </w:p>
    <w:p>
      <w:pPr>
        <w:spacing w:after="0" w:line="20"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of Certain Debt Securities of</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WASTE MANAGEMENT, INC.</w:t>
      </w:r>
    </w:p>
    <w:p>
      <w:pPr>
        <w:spacing w:after="0" w:line="20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$750,000,000</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3.150% Senior Notes due 2027</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2" w:right="1419" w:bottom="1440" w:gutter="0" w:footer="0" w:header="0"/>
        </w:sectPr>
      </w:pPr>
    </w:p>
    <w:bookmarkStart w:id="155" w:name="page156"/>
    <w:bookmarkEnd w:id="155"/>
    <w:p>
      <w:pPr>
        <w:jc w:val="both"/>
        <w:ind w:firstLine="648"/>
        <w:spacing w:after="0" w:line="248" w:lineRule="auto"/>
        <w:rPr>
          <w:sz w:val="20"/>
          <w:szCs w:val="20"/>
          <w:color w:val="auto"/>
        </w:rPr>
      </w:pPr>
      <w:r>
        <w:rPr>
          <w:rFonts w:ascii="Arial" w:cs="Arial" w:eastAsia="Arial" w:hAnsi="Arial"/>
          <w:sz w:val="21"/>
          <w:szCs w:val="21"/>
          <w:color w:val="auto"/>
        </w:rPr>
        <w:t>GUARANTEE, dated as of November 8, 2017 (as amended from time to time, this “Guarantee”), made by Waste Management Holdings, Inc. (formerly known as Waste Management, Inc.), a Delaware corporation (the “Guarantor”), in favor of The Bank of New York Mellon Trust Company, N.A., as trustee for the holders of the $750 million aggregate principal amount of 3.150% Senior Notes due 2027 (the “Debt Securities”) of Waste Management, Inc. (formerly known as USA Waste Services, Inc.), a Delaware corporation (the “Issuer”).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Guarantee</w:t>
      </w:r>
      <w:r>
        <w:rPr>
          <w:rFonts w:ascii="Arial" w:cs="Arial" w:eastAsia="Arial" w:hAnsi="Arial"/>
          <w:sz w:val="22"/>
          <w:szCs w:val="22"/>
          <w:color w:val="auto"/>
        </w:rPr>
        <w:t>.</w:t>
      </w:r>
    </w:p>
    <w:p>
      <w:pPr>
        <w:spacing w:after="0" w:line="206" w:lineRule="exact"/>
        <w:rPr>
          <w:sz w:val="20"/>
          <w:szCs w:val="20"/>
          <w:color w:val="auto"/>
        </w:rPr>
      </w:pPr>
    </w:p>
    <w:p>
      <w:pPr>
        <w:ind w:right="80" w:firstLine="1299"/>
        <w:spacing w:after="0" w:line="275" w:lineRule="auto"/>
        <w:tabs>
          <w:tab w:leader="none" w:pos="263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58" w:lineRule="exact"/>
        <w:rPr>
          <w:rFonts w:ascii="Arial" w:cs="Arial" w:eastAsia="Arial" w:hAnsi="Arial"/>
          <w:sz w:val="19"/>
          <w:szCs w:val="19"/>
          <w:color w:val="auto"/>
        </w:rPr>
      </w:pPr>
    </w:p>
    <w:p>
      <w:pPr>
        <w:ind w:firstLine="1299"/>
        <w:spacing w:after="0" w:line="245" w:lineRule="auto"/>
        <w:tabs>
          <w:tab w:leader="none" w:pos="2642"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Guarantee Absolute</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43" w:lineRule="exact"/>
        <w:rPr>
          <w:sz w:val="20"/>
          <w:szCs w:val="20"/>
          <w:color w:val="auto"/>
        </w:rPr>
      </w:pPr>
    </w:p>
    <w:p>
      <w:pPr>
        <w:ind w:left="260" w:right="140" w:firstLine="1039"/>
        <w:spacing w:after="0" w:line="251" w:lineRule="auto"/>
        <w:tabs>
          <w:tab w:leader="none" w:pos="233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lack of validity or enforceability of the Indenture, the Debt Securities or any other agreement or instrument relating thereto;</w:t>
      </w:r>
    </w:p>
    <w:p>
      <w:pPr>
        <w:spacing w:after="0" w:line="173" w:lineRule="exact"/>
        <w:rPr>
          <w:rFonts w:ascii="Arial" w:cs="Arial" w:eastAsia="Arial" w:hAnsi="Arial"/>
          <w:sz w:val="22"/>
          <w:szCs w:val="22"/>
          <w:color w:val="auto"/>
        </w:rPr>
      </w:pPr>
    </w:p>
    <w:p>
      <w:pPr>
        <w:ind w:left="260" w:right="180" w:firstLine="1039"/>
        <w:spacing w:after="0"/>
        <w:tabs>
          <w:tab w:leader="none" w:pos="233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Obligations, or any other amendment or waiver of or any consent to departure from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156" w:name="page157"/>
    <w:bookmarkEnd w:id="156"/>
    <w:p>
      <w:pPr>
        <w:ind w:left="260" w:right="280" w:firstLine="1039"/>
        <w:spacing w:after="0" w:line="241" w:lineRule="auto"/>
        <w:tabs>
          <w:tab w:leader="none" w:pos="2323"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exchange, release or non-perfection of any collateral, or any release or amendment or waiver of or consent to departure from any other guaranty, for all or any of the Obligations; or</w:t>
      </w:r>
    </w:p>
    <w:p>
      <w:pPr>
        <w:spacing w:after="0" w:line="183" w:lineRule="exact"/>
        <w:rPr>
          <w:rFonts w:ascii="Arial" w:cs="Arial" w:eastAsia="Arial" w:hAnsi="Arial"/>
          <w:sz w:val="22"/>
          <w:szCs w:val="22"/>
          <w:color w:val="auto"/>
        </w:rPr>
      </w:pPr>
    </w:p>
    <w:p>
      <w:pPr>
        <w:ind w:left="260" w:right="40" w:firstLine="1039"/>
        <w:spacing w:after="0" w:line="251" w:lineRule="auto"/>
        <w:tabs>
          <w:tab w:leader="none" w:pos="237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other circumstance which might otherwise constitute a defense available to, or a discharge of, the Issuer or a guarantor.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Subordination</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Guarantor covenants and agrees that its obligation to make payments of the Obligations hereunder constitutes an unsecured obligation of the Guarantor ranking (a)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existing and future senior indebtedness of the Guarantor and (b) senior in right of payment to all existing and future subordinated indebtedness of the Guarantor.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Waiver; Subrogation</w:t>
      </w:r>
      <w:r>
        <w:rPr>
          <w:rFonts w:ascii="Arial" w:cs="Arial" w:eastAsia="Arial" w:hAnsi="Arial"/>
          <w:sz w:val="22"/>
          <w:szCs w:val="22"/>
          <w:color w:val="auto"/>
        </w:rPr>
        <w:t>.</w:t>
      </w:r>
    </w:p>
    <w:p>
      <w:pPr>
        <w:spacing w:after="0" w:line="206" w:lineRule="exact"/>
        <w:rPr>
          <w:sz w:val="20"/>
          <w:szCs w:val="20"/>
          <w:color w:val="auto"/>
        </w:rPr>
      </w:pPr>
    </w:p>
    <w:p>
      <w:pPr>
        <w:ind w:right="120" w:firstLine="1299"/>
        <w:spacing w:after="0" w:line="287" w:lineRule="auto"/>
        <w:tabs>
          <w:tab w:leader="none" w:pos="263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3" w:lineRule="exact"/>
        <w:rPr>
          <w:rFonts w:ascii="Arial" w:cs="Arial" w:eastAsia="Arial" w:hAnsi="Arial"/>
          <w:sz w:val="19"/>
          <w:szCs w:val="19"/>
          <w:color w:val="auto"/>
        </w:rPr>
      </w:pPr>
    </w:p>
    <w:p>
      <w:pPr>
        <w:ind w:right="40" w:firstLine="1299"/>
        <w:spacing w:after="0" w:line="249" w:lineRule="auto"/>
        <w:tabs>
          <w:tab w:leader="none" w:pos="2642"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 Waiver, Remedies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Continuing Guarantee; Transfer of Interest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Third Amended and Restated Revolving Credit Agreement dated July 10, 2015, by and among the Issuer, the Guarantor (as guarantor), Bank of America, N.A., as administrative agent, J.P. Morgan Securities LLC, Merrill Lynch, Pierce, Fenner &amp; Smith Incorporated and Barclays Bank PLC, as lead arrangers and joint book runners (or under any replacement or new principal credit facility of the Issuer) of the guarantee of the Guarantor thereunder, (ii) be binding upon the Guarantor, its successors and assigns, and (iii) inure to the benefit of and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7" w:name="page158"/>
    <w:bookmarkEnd w:id="157"/>
    <w:p>
      <w:pPr>
        <w:jc w:val="both"/>
        <w:spacing w:after="0" w:line="251" w:lineRule="auto"/>
        <w:rPr>
          <w:sz w:val="20"/>
          <w:szCs w:val="20"/>
          <w:color w:val="auto"/>
        </w:rPr>
      </w:pPr>
      <w:r>
        <w:rPr>
          <w:rFonts w:ascii="Arial" w:cs="Arial" w:eastAsia="Arial" w:hAnsi="Arial"/>
          <w:sz w:val="22"/>
          <w:szCs w:val="22"/>
          <w:color w:val="auto"/>
        </w:rPr>
        <w:t>enforceable by any holder of Debt Securities, the Trustee, and by their respective successors, transferees, and assigns.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Reinstatement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Governing Law</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8" w:name="page159"/>
    <w:bookmarkEnd w:id="158"/>
    <w:p>
      <w:pPr>
        <w:ind w:firstLine="648"/>
        <w:spacing w:after="0" w:line="274" w:lineRule="auto"/>
        <w:rPr>
          <w:sz w:val="20"/>
          <w:szCs w:val="20"/>
          <w:color w:val="auto"/>
        </w:rPr>
      </w:pPr>
      <w:r>
        <w:rPr>
          <w:rFonts w:ascii="Arial" w:cs="Arial" w:eastAsia="Arial" w:hAnsi="Arial"/>
          <w:sz w:val="21"/>
          <w:szCs w:val="21"/>
          <w:color w:val="auto"/>
        </w:rPr>
        <w:t>IN WITNESS WHEREOF, the Guarantor has caused this Guarantee to be duly executed and delivered by its officer thereunto duly authorized as of the date first above written.</w:t>
      </w:r>
    </w:p>
    <w:p>
      <w:pPr>
        <w:spacing w:after="0" w:line="16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WASTE MANAGEMENT HOLDINGS, INC.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7620</wp:posOffset>
            </wp:positionV>
            <wp:extent cx="25812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David L. Reed</w:t>
      </w:r>
    </w:p>
    <w:p>
      <w:pPr>
        <w:ind w:left="5000"/>
        <w:spacing w:after="0"/>
        <w:rPr>
          <w:sz w:val="20"/>
          <w:szCs w:val="20"/>
          <w:color w:val="auto"/>
        </w:rPr>
      </w:pPr>
      <w:r>
        <w:rPr>
          <w:rFonts w:ascii="Arial" w:cs="Arial" w:eastAsia="Arial" w:hAnsi="Arial"/>
          <w:sz w:val="22"/>
          <w:szCs w:val="22"/>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Jeff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7620</wp:posOffset>
            </wp:positionV>
            <wp:extent cx="25812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Jeff Bennett</w:t>
      </w:r>
    </w:p>
    <w:p>
      <w:pPr>
        <w:ind w:left="5000"/>
        <w:spacing w:after="0"/>
        <w:rPr>
          <w:sz w:val="20"/>
          <w:szCs w:val="20"/>
          <w:color w:val="auto"/>
        </w:rPr>
      </w:pPr>
      <w:r>
        <w:rPr>
          <w:rFonts w:ascii="Arial" w:cs="Arial" w:eastAsia="Arial" w:hAnsi="Arial"/>
          <w:sz w:val="22"/>
          <w:szCs w:val="22"/>
          <w:color w:val="auto"/>
        </w:rPr>
        <w:t>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4.8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Officers’ Certificates</w:t>
      </w:r>
    </w:p>
    <w:p>
      <w:pPr>
        <w:jc w:val="center"/>
        <w:spacing w:after="0" w:line="203" w:lineRule="auto"/>
        <w:rPr>
          <w:sz w:val="20"/>
          <w:szCs w:val="20"/>
          <w:color w:val="auto"/>
        </w:rPr>
      </w:pPr>
      <w:r>
        <w:rPr>
          <w:rFonts w:ascii="Arial" w:cs="Arial" w:eastAsia="Arial" w:hAnsi="Arial"/>
          <w:sz w:val="18"/>
          <w:szCs w:val="18"/>
          <w:b w:val="1"/>
          <w:bCs w:val="1"/>
          <w:color w:val="auto"/>
        </w:rPr>
        <w:t>delivered pursuant to Section 301 of the Indenture dated September 10, 1997</w:t>
      </w:r>
    </w:p>
    <w:p>
      <w:pPr>
        <w:jc w:val="center"/>
        <w:spacing w:after="0" w:line="204" w:lineRule="auto"/>
        <w:rPr>
          <w:sz w:val="20"/>
          <w:szCs w:val="20"/>
          <w:color w:val="auto"/>
        </w:rPr>
      </w:pPr>
      <w:r>
        <w:rPr>
          <w:rFonts w:ascii="Arial" w:cs="Arial" w:eastAsia="Arial" w:hAnsi="Arial"/>
          <w:sz w:val="18"/>
          <w:szCs w:val="18"/>
          <w:b w:val="1"/>
          <w:bCs w:val="1"/>
          <w:color w:val="auto"/>
        </w:rPr>
        <w:t>by and between Waste Management, Inc. and The Bank of New York Mellon Trust Company, N.A., as</w:t>
      </w:r>
    </w:p>
    <w:p>
      <w:pPr>
        <w:jc w:val="center"/>
        <w:spacing w:after="0"/>
        <w:rPr>
          <w:sz w:val="20"/>
          <w:szCs w:val="20"/>
          <w:color w:val="auto"/>
        </w:rPr>
      </w:pPr>
      <w:r>
        <w:rPr>
          <w:rFonts w:ascii="Arial" w:cs="Arial" w:eastAsia="Arial" w:hAnsi="Arial"/>
          <w:sz w:val="18"/>
          <w:szCs w:val="18"/>
          <w:b w:val="1"/>
          <w:bCs w:val="1"/>
          <w:color w:val="auto"/>
        </w:rPr>
        <w:t>Trustee, establishing the terms and form of Waste Management, Inc.’s Outstanding Senior Notes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9"/>
              </w:rPr>
              <w:t>Interest Rate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ind w:left="140"/>
              <w:spacing w:after="0" w:line="122" w:lineRule="exact"/>
              <w:rPr>
                <w:sz w:val="20"/>
                <w:szCs w:val="20"/>
                <w:color w:val="auto"/>
              </w:rPr>
            </w:pPr>
            <w:r>
              <w:rPr>
                <w:rFonts w:ascii="Arial" w:cs="Arial" w:eastAsia="Arial" w:hAnsi="Arial"/>
                <w:sz w:val="14"/>
                <w:szCs w:val="14"/>
                <w:b w:val="1"/>
                <w:bCs w:val="1"/>
                <w:color w:val="auto"/>
              </w:rPr>
              <w:t>Amount</w:t>
            </w:r>
          </w:p>
        </w:tc>
        <w:tc>
          <w:tcPr>
            <w:tcW w:w="1220" w:type="dxa"/>
            <w:vAlign w:val="bottom"/>
            <w:gridSpan w:val="2"/>
            <w:vMerge w:val="continue"/>
          </w:tcPr>
          <w:p>
            <w:pPr>
              <w:spacing w:after="0"/>
              <w:rPr>
                <w:sz w:val="10"/>
                <w:szCs w:val="10"/>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Issue Date</w:t>
            </w:r>
          </w:p>
        </w:tc>
        <w:tc>
          <w:tcPr>
            <w:tcW w:w="140" w:type="dxa"/>
            <w:vAlign w:val="bottom"/>
            <w:vMerge w:val="restart"/>
          </w:tcPr>
          <w:p>
            <w:pPr>
              <w:spacing w:after="0"/>
              <w:rPr>
                <w:sz w:val="10"/>
                <w:szCs w:val="10"/>
                <w:color w:val="auto"/>
              </w:rPr>
            </w:pPr>
          </w:p>
        </w:tc>
        <w:tc>
          <w:tcPr>
            <w:tcW w:w="12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vMerge w:val="restart"/>
          </w:tcPr>
          <w:p>
            <w:pPr>
              <w:spacing w:after="0"/>
              <w:rPr>
                <w:sz w:val="10"/>
                <w:szCs w:val="10"/>
                <w:color w:val="auto"/>
              </w:rPr>
            </w:pP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CUSIP</w:t>
            </w:r>
          </w:p>
        </w:tc>
        <w:tc>
          <w:tcPr>
            <w:tcW w:w="180" w:type="dxa"/>
            <w:vAlign w:val="bottom"/>
            <w:vMerge w:val="restart"/>
          </w:tcPr>
          <w:p>
            <w:pPr>
              <w:spacing w:after="0"/>
              <w:rPr>
                <w:sz w:val="10"/>
                <w:szCs w:val="10"/>
                <w:color w:val="auto"/>
              </w:rPr>
            </w:pPr>
          </w:p>
        </w:tc>
        <w:tc>
          <w:tcPr>
            <w:tcW w:w="1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Interest Payment Dates</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200"/>
              <w:spacing w:after="0" w:line="122" w:lineRule="exact"/>
              <w:rPr>
                <w:sz w:val="20"/>
                <w:szCs w:val="20"/>
                <w:color w:val="auto"/>
              </w:rPr>
            </w:pPr>
            <w:r>
              <w:rPr>
                <w:rFonts w:ascii="Arial" w:cs="Arial" w:eastAsia="Arial" w:hAnsi="Arial"/>
                <w:sz w:val="14"/>
                <w:szCs w:val="14"/>
                <w:b w:val="1"/>
                <w:bCs w:val="1"/>
                <w:color w:val="auto"/>
              </w:rPr>
              <w:t>Issued</w:t>
            </w:r>
          </w:p>
        </w:tc>
        <w:tc>
          <w:tcPr>
            <w:tcW w:w="360" w:type="dxa"/>
            <w:vAlign w:val="bottom"/>
          </w:tcPr>
          <w:p>
            <w:pPr>
              <w:spacing w:after="0"/>
              <w:rPr>
                <w:sz w:val="11"/>
                <w:szCs w:val="11"/>
                <w:color w:val="auto"/>
              </w:rPr>
            </w:pPr>
          </w:p>
        </w:tc>
        <w:tc>
          <w:tcPr>
            <w:tcW w:w="940" w:type="dxa"/>
            <w:vAlign w:val="bottom"/>
            <w:tcBorders>
              <w:bottom w:val="single" w:sz="8" w:color="auto"/>
            </w:tcBorders>
          </w:tcPr>
          <w:p>
            <w:pPr>
              <w:jc w:val="right"/>
              <w:ind w:right="13"/>
              <w:spacing w:after="0" w:line="122" w:lineRule="exact"/>
              <w:rPr>
                <w:sz w:val="20"/>
                <w:szCs w:val="20"/>
                <w:color w:val="auto"/>
              </w:rPr>
            </w:pPr>
            <w:r>
              <w:rPr>
                <w:rFonts w:ascii="Arial" w:cs="Arial" w:eastAsia="Arial" w:hAnsi="Arial"/>
                <w:sz w:val="14"/>
                <w:szCs w:val="14"/>
                <w:b w:val="1"/>
                <w:bCs w:val="1"/>
                <w:color w:val="auto"/>
              </w:rPr>
              <w:t>(per annum)</w:t>
            </w:r>
          </w:p>
        </w:tc>
        <w:tc>
          <w:tcPr>
            <w:tcW w:w="28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84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120"/>
              <w:spacing w:after="0" w:line="189" w:lineRule="exact"/>
              <w:rPr>
                <w:sz w:val="20"/>
                <w:szCs w:val="20"/>
                <w:color w:val="auto"/>
              </w:rPr>
            </w:pPr>
            <w:r>
              <w:rPr>
                <w:rFonts w:ascii="Arial" w:cs="Arial" w:eastAsia="Arial" w:hAnsi="Arial"/>
                <w:sz w:val="18"/>
                <w:szCs w:val="18"/>
                <w:color w:val="auto"/>
                <w:w w:val="95"/>
              </w:rPr>
              <w:t>600 million</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7.00</w:t>
            </w:r>
          </w:p>
        </w:tc>
        <w:tc>
          <w:tcPr>
            <w:tcW w:w="280" w:type="dxa"/>
            <w:vAlign w:val="bottom"/>
          </w:tcPr>
          <w:p>
            <w:pPr>
              <w:jc w:val="right"/>
              <w:ind w:right="30"/>
              <w:spacing w:after="0" w:line="189" w:lineRule="exact"/>
              <w:rPr>
                <w:sz w:val="20"/>
                <w:szCs w:val="20"/>
                <w:color w:val="auto"/>
              </w:rPr>
            </w:pPr>
            <w:r>
              <w:rPr>
                <w:rFonts w:ascii="Arial" w:cs="Arial" w:eastAsia="Arial" w:hAnsi="Arial"/>
                <w:sz w:val="18"/>
                <w:szCs w:val="18"/>
                <w:color w:val="auto"/>
                <w:w w:val="87"/>
              </w:rPr>
              <w:t>%</w:t>
            </w:r>
          </w:p>
        </w:tc>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89"/>
              </w:rPr>
              <w:t>7/17/1998</w:t>
            </w:r>
          </w:p>
        </w:tc>
        <w:tc>
          <w:tcPr>
            <w:tcW w:w="14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9"/>
              </w:rPr>
              <w:t>7/15/2028</w:t>
            </w:r>
          </w:p>
        </w:tc>
        <w:tc>
          <w:tcPr>
            <w:tcW w:w="160" w:type="dxa"/>
            <w:vAlign w:val="bottom"/>
          </w:tcPr>
          <w:p>
            <w:pPr>
              <w:spacing w:after="0"/>
              <w:rPr>
                <w:sz w:val="16"/>
                <w:szCs w:val="16"/>
                <w:color w:val="auto"/>
              </w:rPr>
            </w:pPr>
          </w:p>
        </w:tc>
        <w:tc>
          <w:tcPr>
            <w:tcW w:w="140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4"/>
              </w:rPr>
              <w:t>902917AH6</w:t>
            </w:r>
          </w:p>
        </w:tc>
        <w:tc>
          <w:tcPr>
            <w:tcW w:w="1840" w:type="dxa"/>
            <w:vAlign w:val="bottom"/>
          </w:tcPr>
          <w:p>
            <w:pPr>
              <w:ind w:left="420"/>
              <w:spacing w:after="0" w:line="189" w:lineRule="exact"/>
              <w:rPr>
                <w:sz w:val="20"/>
                <w:szCs w:val="20"/>
                <w:color w:val="auto"/>
              </w:rPr>
            </w:pPr>
            <w:r>
              <w:rPr>
                <w:rFonts w:ascii="Arial" w:cs="Arial" w:eastAsia="Arial" w:hAnsi="Arial"/>
                <w:sz w:val="18"/>
                <w:szCs w:val="18"/>
                <w:color w:val="auto"/>
                <w:w w:val="89"/>
              </w:rPr>
              <w:t>January 15; July 15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250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7.375%</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5/15/2029</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94106LAG4</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7.75%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5/21/2002</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5/15/2032</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94106LAN9</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6.125%</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11/30/2039**</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94106LAV1</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30; November 30</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4.75%</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6/8/2010</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6/30/2020**</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94106LAW9</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June 30; December 30</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4.60%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2/28/2011</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3/1/2021**</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941063AQ2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2.90%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9/12/2012</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9/15/2022**</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94106LAY5</w:t>
            </w:r>
          </w:p>
        </w:tc>
        <w:tc>
          <w:tcPr>
            <w:tcW w:w="1840" w:type="dxa"/>
            <w:vAlign w:val="bottom"/>
          </w:tcPr>
          <w:p>
            <w:pPr>
              <w:jc w:val="right"/>
              <w:spacing w:after="0"/>
              <w:rPr>
                <w:sz w:val="20"/>
                <w:szCs w:val="20"/>
                <w:color w:val="auto"/>
              </w:rPr>
            </w:pPr>
            <w:r>
              <w:rPr>
                <w:rFonts w:ascii="Arial" w:cs="Arial" w:eastAsia="Arial" w:hAnsi="Arial"/>
                <w:sz w:val="18"/>
                <w:szCs w:val="18"/>
                <w:color w:val="auto"/>
              </w:rPr>
              <w:t>March 15; September</w:t>
            </w:r>
          </w:p>
        </w:tc>
        <w:tc>
          <w:tcPr>
            <w:tcW w:w="42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350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3.50%</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5/15/2024**</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94106LAZ2</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600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3.125%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3/1/2025**</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94106LBA6</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450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3.90%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3/1/2035**</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94106LBB4</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750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4.10%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2/26/2015</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3/1/2045**</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94106LBC2</w:t>
            </w:r>
          </w:p>
        </w:tc>
        <w:tc>
          <w:tcPr>
            <w:tcW w:w="1840" w:type="dxa"/>
            <w:vAlign w:val="bottom"/>
          </w:tcPr>
          <w:p>
            <w:pPr>
              <w:ind w:left="320"/>
              <w:spacing w:after="0"/>
              <w:rPr>
                <w:sz w:val="20"/>
                <w:szCs w:val="20"/>
                <w:color w:val="auto"/>
              </w:rPr>
            </w:pPr>
            <w:r>
              <w:rPr>
                <w:rFonts w:ascii="Arial" w:cs="Arial" w:eastAsia="Arial" w:hAnsi="Arial"/>
                <w:sz w:val="18"/>
                <w:szCs w:val="18"/>
                <w:color w:val="auto"/>
                <w:w w:val="91"/>
              </w:rPr>
              <w:t>March 1; September</w:t>
            </w:r>
          </w:p>
        </w:tc>
        <w:tc>
          <w:tcPr>
            <w:tcW w:w="4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500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2.40%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5/15/2023**</w:t>
            </w:r>
          </w:p>
        </w:tc>
        <w:tc>
          <w:tcPr>
            <w:tcW w:w="1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94106LBD0</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r>
        <w:trPr>
          <w:trHeight w:val="270"/>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750 million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3.150%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11/15/2027**</w:t>
            </w:r>
          </w:p>
        </w:tc>
        <w:tc>
          <w:tcPr>
            <w:tcW w:w="160" w:type="dxa"/>
            <w:vAlign w:val="bottom"/>
          </w:tcPr>
          <w:p>
            <w:pPr>
              <w:spacing w:after="0"/>
              <w:rPr>
                <w:sz w:val="23"/>
                <w:szCs w:val="23"/>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94106LBE8</w:t>
            </w:r>
          </w:p>
        </w:tc>
        <w:tc>
          <w:tcPr>
            <w:tcW w:w="2260" w:type="dxa"/>
            <w:vAlign w:val="bottom"/>
            <w:gridSpan w:val="2"/>
          </w:tcPr>
          <w:p>
            <w:pPr>
              <w:ind w:left="300"/>
              <w:spacing w:after="0"/>
              <w:rPr>
                <w:sz w:val="20"/>
                <w:szCs w:val="20"/>
                <w:color w:val="auto"/>
              </w:rPr>
            </w:pPr>
            <w:r>
              <w:rPr>
                <w:rFonts w:ascii="Arial" w:cs="Arial" w:eastAsia="Arial" w:hAnsi="Arial"/>
                <w:sz w:val="18"/>
                <w:szCs w:val="18"/>
                <w:color w:val="auto"/>
              </w:rPr>
              <w:t>May 15; November 15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60" w:right="20" w:hanging="357"/>
        <w:spacing w:after="0" w:line="224" w:lineRule="auto"/>
        <w:tabs>
          <w:tab w:leader="none" w:pos="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of these series of Senior Notes have been partially redeemed, such that the remaining outstanding principal amount of such Senior Notes as of December 31, 2017 was $394.9 million due 2028, $139.2 million due 2029, $210.4 million due 2032 and $273.6 million due 2039.</w:t>
      </w:r>
    </w:p>
    <w:p>
      <w:pPr>
        <w:spacing w:after="0" w:line="123" w:lineRule="exact"/>
        <w:rPr>
          <w:sz w:val="20"/>
          <w:szCs w:val="20"/>
          <w:color w:val="auto"/>
        </w:rPr>
      </w:pPr>
    </w:p>
    <w:p>
      <w:pPr>
        <w:ind w:left="360" w:right="220" w:hanging="357"/>
        <w:spacing w:after="0" w:line="259" w:lineRule="auto"/>
        <w:tabs>
          <w:tab w:leader="none" w:pos="3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This schedule is provided in accordance with Instruction 2 to Regulation S-K Item 601, as each of the series of</w:t>
      </w:r>
    </w:p>
    <w:p>
      <w:pPr>
        <w:ind w:right="40"/>
        <w:spacing w:after="0" w:line="214" w:lineRule="auto"/>
        <w:rPr>
          <w:sz w:val="20"/>
          <w:szCs w:val="20"/>
          <w:color w:val="auto"/>
        </w:rPr>
      </w:pPr>
      <w:r>
        <w:rPr>
          <w:rFonts w:ascii="Arial" w:cs="Arial" w:eastAsia="Arial" w:hAnsi="Arial"/>
          <w:sz w:val="18"/>
          <w:szCs w:val="18"/>
          <w:color w:val="auto"/>
        </w:rPr>
        <w:t>Series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344805</wp:posOffset>
            </wp:positionV>
            <wp:extent cx="57543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0" w:name="page161"/>
    <w:bookmarkEnd w:id="160"/>
    <w:p>
      <w:pPr>
        <w:ind w:left="7840"/>
        <w:spacing w:after="0"/>
        <w:rPr>
          <w:sz w:val="20"/>
          <w:szCs w:val="20"/>
          <w:color w:val="auto"/>
        </w:rPr>
      </w:pPr>
      <w:r>
        <w:rPr>
          <w:rFonts w:ascii="Arial" w:cs="Arial" w:eastAsia="Arial" w:hAnsi="Arial"/>
          <w:sz w:val="19"/>
          <w:szCs w:val="19"/>
          <w:b w:val="1"/>
          <w:bCs w:val="1"/>
          <w:color w:val="auto"/>
        </w:rPr>
        <w:t>Exhibit 10.23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EMPLOYMENT AGREEMENT</w:t>
      </w:r>
      <w:r>
        <w:rPr>
          <w:rFonts w:ascii="Arial" w:cs="Arial" w:eastAsia="Arial" w:hAnsi="Arial"/>
          <w:sz w:val="21"/>
          <w:szCs w:val="21"/>
          <w:color w:val="auto"/>
        </w:rPr>
        <w:t xml:space="preserve"> (the “Agreement”) is made and entered into on this December 22, 2017, by and between USA Waste-Management Resources, LLC, for itself and on behalf of Waste Management, Inc. (“WMI”) and its subsidiaries and affiliated entities (collectively, the “Company”) and Charles C. Boettcher (the “Executive”). Executive and the Company are referred to individually herein as a “Party” and collectively as the “Parties.”</w:t>
      </w:r>
    </w:p>
    <w:p>
      <w:pPr>
        <w:spacing w:after="0" w:line="169"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WMI and Executive are currently parties to that certain Offer Letter dated</w:t>
      </w:r>
      <w:r>
        <w:rPr>
          <w:rFonts w:ascii="Arial" w:cs="Arial" w:eastAsia="Arial" w:hAnsi="Arial"/>
          <w:sz w:val="22"/>
          <w:szCs w:val="22"/>
          <w:b w:val="1"/>
          <w:bCs w:val="1"/>
          <w:color w:val="auto"/>
        </w:rPr>
        <w:t xml:space="preserve"> </w:t>
      </w:r>
      <w:r>
        <w:rPr>
          <w:rFonts w:ascii="Arial" w:cs="Arial" w:eastAsia="Arial" w:hAnsi="Arial"/>
          <w:sz w:val="22"/>
          <w:szCs w:val="22"/>
          <w:color w:val="auto"/>
        </w:rPr>
        <w:t>as of August 5, 2016 (including the Severance Exhibit and Loyalty Agreement attached thereto, the “Prior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the Prior Agreement, Executive has been employed by the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desire to enter into this Agreement, which shall supersede</w:t>
      </w:r>
      <w:r>
        <w:rPr>
          <w:rFonts w:ascii="Arial" w:cs="Arial" w:eastAsia="Arial" w:hAnsi="Arial"/>
          <w:sz w:val="22"/>
          <w:szCs w:val="22"/>
          <w:b w:val="1"/>
          <w:bCs w:val="1"/>
          <w:color w:val="auto"/>
        </w:rPr>
        <w:t xml:space="preserve"> </w:t>
      </w:r>
      <w:r>
        <w:rPr>
          <w:rFonts w:ascii="Arial" w:cs="Arial" w:eastAsia="Arial" w:hAnsi="Arial"/>
          <w:sz w:val="22"/>
          <w:szCs w:val="22"/>
          <w:color w:val="auto"/>
        </w:rPr>
        <w:t>and replace the Prior Agreement; and</w:t>
      </w:r>
    </w:p>
    <w:p>
      <w:pPr>
        <w:spacing w:after="0" w:line="16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continue to employ Executive, and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desires to continue to be employed by the Company, on the terms and conditions, and for the consideration, set forth herein.</w:t>
      </w:r>
    </w:p>
    <w:p>
      <w:pPr>
        <w:spacing w:after="0" w:line="177"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mutual promises, covenants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contained herein, the Company and Executive agree as follows:</w:t>
      </w:r>
    </w:p>
    <w:p>
      <w:pPr>
        <w:spacing w:after="0" w:line="163" w:lineRule="exact"/>
        <w:rPr>
          <w:sz w:val="20"/>
          <w:szCs w:val="20"/>
          <w:color w:val="auto"/>
        </w:rPr>
      </w:pPr>
    </w:p>
    <w:p>
      <w:pPr>
        <w:jc w:val="both"/>
        <w:ind w:firstLine="651"/>
        <w:spacing w:after="0" w:line="243" w:lineRule="auto"/>
        <w:tabs>
          <w:tab w:leader="none" w:pos="1418" w:val="left"/>
        </w:tabs>
        <w:numPr>
          <w:ilvl w:val="0"/>
          <w:numId w:val="148"/>
        </w:numPr>
        <w:rPr>
          <w:rFonts w:ascii="Arial" w:cs="Arial" w:eastAsia="Arial" w:hAnsi="Arial"/>
          <w:sz w:val="22"/>
          <w:szCs w:val="22"/>
          <w:color w:val="010000"/>
        </w:rPr>
      </w:pPr>
      <w:r>
        <w:rPr>
          <w:rFonts w:ascii="Arial" w:cs="Arial" w:eastAsia="Arial" w:hAnsi="Arial"/>
          <w:sz w:val="22"/>
          <w:szCs w:val="22"/>
          <w:b w:val="1"/>
          <w:bCs w:val="1"/>
          <w:color w:val="auto"/>
        </w:rPr>
        <w:t>Employment</w:t>
      </w:r>
      <w:r>
        <w:rPr>
          <w:rFonts w:ascii="Arial" w:cs="Arial" w:eastAsia="Arial" w:hAnsi="Arial"/>
          <w:sz w:val="22"/>
          <w:szCs w:val="22"/>
          <w:color w:val="auto"/>
        </w:rPr>
        <w:t>. The Company shall continue to employ Executive, and Executive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employed by the Company upon the terms and subject to the conditions set forth in this Agreement.</w:t>
      </w:r>
    </w:p>
    <w:p>
      <w:pPr>
        <w:spacing w:after="0" w:line="176" w:lineRule="exact"/>
        <w:rPr>
          <w:rFonts w:ascii="Arial" w:cs="Arial" w:eastAsia="Arial" w:hAnsi="Arial"/>
          <w:sz w:val="22"/>
          <w:szCs w:val="22"/>
          <w:color w:val="010000"/>
        </w:rPr>
      </w:pPr>
    </w:p>
    <w:p>
      <w:pPr>
        <w:jc w:val="both"/>
        <w:ind w:firstLine="651"/>
        <w:spacing w:after="0" w:line="239" w:lineRule="auto"/>
        <w:tabs>
          <w:tab w:leader="none" w:pos="1445" w:val="left"/>
        </w:tabs>
        <w:numPr>
          <w:ilvl w:val="0"/>
          <w:numId w:val="148"/>
        </w:numPr>
        <w:rPr>
          <w:rFonts w:ascii="Arial" w:cs="Arial" w:eastAsia="Arial" w:hAnsi="Arial"/>
          <w:sz w:val="22"/>
          <w:szCs w:val="22"/>
          <w:color w:val="010000"/>
        </w:rPr>
      </w:pPr>
      <w:r>
        <w:rPr>
          <w:rFonts w:ascii="Arial" w:cs="Arial" w:eastAsia="Arial" w:hAnsi="Arial"/>
          <w:sz w:val="22"/>
          <w:szCs w:val="22"/>
          <w:b w:val="1"/>
          <w:bCs w:val="1"/>
          <w:color w:val="auto"/>
        </w:rPr>
        <w:t>Term of Employment</w:t>
      </w:r>
      <w:r>
        <w:rPr>
          <w:rFonts w:ascii="Arial" w:cs="Arial" w:eastAsia="Arial" w:hAnsi="Arial"/>
          <w:sz w:val="22"/>
          <w:szCs w:val="22"/>
          <w:color w:val="auto"/>
        </w:rPr>
        <w:t>. The period of Executive’s employment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begin on December 22, 2017, and may be terminated by either party pursuant to Section 5 below. The period during which Executive is employed hereunder shall be referred to as the “Employment Period.”</w:t>
      </w:r>
    </w:p>
    <w:p>
      <w:pPr>
        <w:spacing w:after="0" w:line="180" w:lineRule="exact"/>
        <w:rPr>
          <w:rFonts w:ascii="Arial" w:cs="Arial" w:eastAsia="Arial" w:hAnsi="Arial"/>
          <w:sz w:val="22"/>
          <w:szCs w:val="22"/>
          <w:color w:val="010000"/>
        </w:rPr>
      </w:pPr>
    </w:p>
    <w:p>
      <w:pPr>
        <w:ind w:left="1300" w:hanging="649"/>
        <w:spacing w:after="0"/>
        <w:tabs>
          <w:tab w:leader="none" w:pos="1300" w:val="left"/>
        </w:tabs>
        <w:numPr>
          <w:ilvl w:val="0"/>
          <w:numId w:val="148"/>
        </w:numPr>
        <w:rPr>
          <w:rFonts w:ascii="Arial" w:cs="Arial" w:eastAsia="Arial" w:hAnsi="Arial"/>
          <w:sz w:val="22"/>
          <w:szCs w:val="22"/>
          <w:color w:val="010000"/>
        </w:rPr>
      </w:pPr>
      <w:r>
        <w:rPr>
          <w:rFonts w:ascii="Arial" w:cs="Arial" w:eastAsia="Arial" w:hAnsi="Arial"/>
          <w:sz w:val="22"/>
          <w:szCs w:val="22"/>
          <w:b w:val="1"/>
          <w:bCs w:val="1"/>
          <w:color w:val="auto"/>
        </w:rPr>
        <w:t>Duties and Responsibilities</w:t>
      </w:r>
      <w:r>
        <w:rPr>
          <w:rFonts w:ascii="Arial" w:cs="Arial" w:eastAsia="Arial" w:hAnsi="Arial"/>
          <w:sz w:val="22"/>
          <w:szCs w:val="22"/>
          <w:color w:val="auto"/>
        </w:rPr>
        <w:t>.</w:t>
      </w:r>
    </w:p>
    <w:p>
      <w:pPr>
        <w:spacing w:after="0" w:line="212" w:lineRule="exact"/>
        <w:rPr>
          <w:rFonts w:ascii="Arial" w:cs="Arial" w:eastAsia="Arial" w:hAnsi="Arial"/>
          <w:sz w:val="22"/>
          <w:szCs w:val="22"/>
          <w:color w:val="010000"/>
        </w:rPr>
      </w:pPr>
    </w:p>
    <w:p>
      <w:pPr>
        <w:jc w:val="both"/>
        <w:ind w:firstLine="1299"/>
        <w:spacing w:after="0" w:line="274" w:lineRule="auto"/>
        <w:tabs>
          <w:tab w:leader="none" w:pos="2090"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Executive is employed by USA Waste-Management Resources, LLC, an entity that provides employee services to WMI and to various subsidiaries and affiliated entities pursuant to one or more master services agreements. Executive shall perform such duties and services as may be assigned to Executive pursuant to such master services agreement. Executive’s employment and the Employment Agreement may be transferred or assigned to another subsidiary or affiliated entity. Among other duties and responsibilities that may be assigned, Executive shall continue to serve as WMI’s Senior Vice President and Chief Legal Officer. In such capacity, Executive shall continue to perform such duties and have the power, authority and functions consistent with such position, as may be deemed appropriate for the position and assigned to Executive from time to time by the President and Chief Executive Officer of 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269240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1" w:name="page162"/>
    <w:bookmarkEnd w:id="161"/>
    <w:p>
      <w:pPr>
        <w:jc w:val="both"/>
        <w:ind w:firstLine="651"/>
        <w:spacing w:after="0" w:line="246" w:lineRule="auto"/>
        <w:tabs>
          <w:tab w:leader="none" w:pos="1440" w:val="left"/>
        </w:tabs>
        <w:numPr>
          <w:ilvl w:val="0"/>
          <w:numId w:val="149"/>
        </w:numPr>
        <w:rPr>
          <w:rFonts w:ascii="Arial" w:cs="Arial" w:eastAsia="Arial" w:hAnsi="Arial"/>
          <w:sz w:val="21"/>
          <w:szCs w:val="21"/>
          <w:color w:val="010000"/>
        </w:rPr>
      </w:pPr>
      <w:r>
        <w:rPr>
          <w:rFonts w:ascii="Arial" w:cs="Arial" w:eastAsia="Arial" w:hAnsi="Arial"/>
          <w:sz w:val="21"/>
          <w:szCs w:val="21"/>
          <w:color w:val="auto"/>
        </w:rPr>
        <w:t>Executive shall devote substantially all his working time, attention and energies to the business of the Company, and its affiliated entities. Executive may make and manage his personal investments (provided such investments in other activities do not violate, in any material respect, the provisions of Section 9 of this Agreement), be involved in charitable and professional activities, and, with the prior written consent of the Board of Directors of WMI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135" w:lineRule="exact"/>
        <w:rPr>
          <w:sz w:val="20"/>
          <w:szCs w:val="20"/>
          <w:color w:val="auto"/>
        </w:rPr>
      </w:pPr>
    </w:p>
    <w:p>
      <w:pPr>
        <w:ind w:left="1300" w:hanging="649"/>
        <w:spacing w:after="0"/>
        <w:tabs>
          <w:tab w:leader="none" w:pos="1300" w:val="left"/>
        </w:tabs>
        <w:numPr>
          <w:ilvl w:val="0"/>
          <w:numId w:val="150"/>
        </w:numPr>
        <w:rPr>
          <w:rFonts w:ascii="Arial" w:cs="Arial" w:eastAsia="Arial" w:hAnsi="Arial"/>
          <w:sz w:val="22"/>
          <w:szCs w:val="22"/>
          <w:color w:val="010000"/>
        </w:rPr>
      </w:pPr>
      <w:r>
        <w:rPr>
          <w:rFonts w:ascii="Arial" w:cs="Arial" w:eastAsia="Arial" w:hAnsi="Arial"/>
          <w:sz w:val="22"/>
          <w:szCs w:val="22"/>
          <w:b w:val="1"/>
          <w:bCs w:val="1"/>
          <w:color w:val="auto"/>
        </w:rPr>
        <w:t>Compensation and Benefits</w:t>
      </w:r>
      <w:r>
        <w:rPr>
          <w:rFonts w:ascii="Arial" w:cs="Arial" w:eastAsia="Arial" w:hAnsi="Arial"/>
          <w:sz w:val="22"/>
          <w:szCs w:val="22"/>
          <w:color w:val="auto"/>
        </w:rPr>
        <w:t>.</w:t>
      </w:r>
    </w:p>
    <w:p>
      <w:pPr>
        <w:spacing w:after="0" w:line="179" w:lineRule="exact"/>
        <w:rPr>
          <w:rFonts w:ascii="Arial" w:cs="Arial" w:eastAsia="Arial" w:hAnsi="Arial"/>
          <w:sz w:val="22"/>
          <w:szCs w:val="22"/>
          <w:color w:val="010000"/>
        </w:rPr>
      </w:pPr>
    </w:p>
    <w:p>
      <w:pPr>
        <w:jc w:val="both"/>
        <w:ind w:firstLine="1299"/>
        <w:spacing w:after="0" w:line="249" w:lineRule="auto"/>
        <w:tabs>
          <w:tab w:leader="none" w:pos="2009" w:val="left"/>
        </w:tabs>
        <w:numPr>
          <w:ilvl w:val="1"/>
          <w:numId w:val="150"/>
        </w:numPr>
        <w:rPr>
          <w:rFonts w:ascii="Arial" w:cs="Arial" w:eastAsia="Arial" w:hAnsi="Arial"/>
          <w:sz w:val="21"/>
          <w:szCs w:val="21"/>
          <w:color w:val="010000"/>
        </w:rPr>
      </w:pPr>
      <w:r>
        <w:rPr>
          <w:rFonts w:ascii="Arial" w:cs="Arial" w:eastAsia="Arial" w:hAnsi="Arial"/>
          <w:sz w:val="21"/>
          <w:szCs w:val="21"/>
          <w:b w:val="1"/>
          <w:bCs w:val="1"/>
          <w:color w:val="auto"/>
        </w:rPr>
        <w:t>Base Salary</w:t>
      </w:r>
      <w:r>
        <w:rPr>
          <w:rFonts w:ascii="Arial" w:cs="Arial" w:eastAsia="Arial" w:hAnsi="Arial"/>
          <w:sz w:val="21"/>
          <w:szCs w:val="21"/>
          <w:color w:val="auto"/>
        </w:rPr>
        <w:t>. During the Employment Period, the Company shall pay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a base salary at the annual rate of Five Hundred Sixty Thousand Dollars ($560,000) per year, or such rate as may be determined from time to time by the Management Development and Compensation Committee (“Compensation Committee”) of the Board (“Base Salary”). Such Base Salary shall be paid in accordance with the Company’s standard payroll practice for its executive officers. Base Salary shall not be reduced except by mutual agreement.</w:t>
      </w:r>
    </w:p>
    <w:p>
      <w:pPr>
        <w:spacing w:after="0" w:line="130" w:lineRule="exact"/>
        <w:rPr>
          <w:rFonts w:ascii="Arial" w:cs="Arial" w:eastAsia="Arial" w:hAnsi="Arial"/>
          <w:sz w:val="21"/>
          <w:szCs w:val="21"/>
          <w:color w:val="010000"/>
        </w:rPr>
      </w:pPr>
    </w:p>
    <w:p>
      <w:pPr>
        <w:jc w:val="both"/>
        <w:ind w:firstLine="1299"/>
        <w:spacing w:after="0" w:line="246" w:lineRule="auto"/>
        <w:tabs>
          <w:tab w:leader="none" w:pos="2116" w:val="left"/>
        </w:tabs>
        <w:numPr>
          <w:ilvl w:val="1"/>
          <w:numId w:val="150"/>
        </w:numPr>
        <w:rPr>
          <w:rFonts w:ascii="Arial" w:cs="Arial" w:eastAsia="Arial" w:hAnsi="Arial"/>
          <w:sz w:val="21"/>
          <w:szCs w:val="21"/>
          <w:color w:val="010000"/>
        </w:rPr>
      </w:pPr>
      <w:r>
        <w:rPr>
          <w:rFonts w:ascii="Arial" w:cs="Arial" w:eastAsia="Arial" w:hAnsi="Arial"/>
          <w:sz w:val="21"/>
          <w:szCs w:val="21"/>
          <w:b w:val="1"/>
          <w:bCs w:val="1"/>
          <w:color w:val="auto"/>
        </w:rPr>
        <w:t>Annual Bonus</w:t>
      </w:r>
      <w:r>
        <w:rPr>
          <w:rFonts w:ascii="Arial" w:cs="Arial" w:eastAsia="Arial" w:hAnsi="Arial"/>
          <w:sz w:val="21"/>
          <w:szCs w:val="21"/>
          <w:color w:val="auto"/>
        </w:rPr>
        <w:t>. During the Employment Period, Executive will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participate in an annual incentive compensation plan of the Company, as established by the Compensation Committee from time to time. Executive’s target annual bonus under this Agreement will be Seventy Five Percent (75%) of his Base Salary in effect for such year (the “Target Bonus”), and his actual annual bonus may range from 0% to 150% of Base Salary (i.e., a maximum possible bonus of two times the Target Bonus), and will be determined based upon the achievement of certain corporate financial and/or performance goals, as may be established and approved from time to time by the Compensation Committee. The annual bonus will be paid no later than March 15th of the year following the year with respect to which it was earned.</w:t>
      </w:r>
    </w:p>
    <w:p>
      <w:pPr>
        <w:spacing w:after="0" w:line="135" w:lineRule="exact"/>
        <w:rPr>
          <w:rFonts w:ascii="Arial" w:cs="Arial" w:eastAsia="Arial" w:hAnsi="Arial"/>
          <w:sz w:val="21"/>
          <w:szCs w:val="21"/>
          <w:color w:val="010000"/>
        </w:rPr>
      </w:pPr>
    </w:p>
    <w:p>
      <w:pPr>
        <w:jc w:val="both"/>
        <w:ind w:firstLine="1299"/>
        <w:spacing w:after="0" w:line="249" w:lineRule="auto"/>
        <w:tabs>
          <w:tab w:leader="none" w:pos="1995" w:val="left"/>
        </w:tabs>
        <w:numPr>
          <w:ilvl w:val="1"/>
          <w:numId w:val="150"/>
        </w:numPr>
        <w:rPr>
          <w:rFonts w:ascii="Arial" w:cs="Arial" w:eastAsia="Arial" w:hAnsi="Arial"/>
          <w:sz w:val="21"/>
          <w:szCs w:val="21"/>
          <w:color w:val="010000"/>
        </w:rPr>
      </w:pPr>
      <w:r>
        <w:rPr>
          <w:rFonts w:ascii="Arial" w:cs="Arial" w:eastAsia="Arial" w:hAnsi="Arial"/>
          <w:sz w:val="21"/>
          <w:szCs w:val="21"/>
          <w:b w:val="1"/>
          <w:bCs w:val="1"/>
          <w:color w:val="auto"/>
        </w:rPr>
        <w:t>Benefit Plans and Vacation</w:t>
      </w:r>
      <w:r>
        <w:rPr>
          <w:rFonts w:ascii="Arial" w:cs="Arial" w:eastAsia="Arial" w:hAnsi="Arial"/>
          <w:sz w:val="21"/>
          <w:szCs w:val="21"/>
          <w:color w:val="auto"/>
        </w:rPr>
        <w:t>. Subject to the terms of such plans, Executive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eligible to participate in or receive benefits under any profit sharing plan, salary deferral plan, medical and dental benefits plan, life insurance plan, short-term and long-term disability plans, or any other health, welfare or fringe benefit plan, generally made available by the Company to similarly situated executive officers of WMI. The Company shall not be obligated to institute, maintain, or refrain from changing, amending, or discontinuing any benefit plan.</w:t>
      </w:r>
    </w:p>
    <w:p>
      <w:pPr>
        <w:spacing w:after="0" w:line="15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139" w:lineRule="exact"/>
        <w:rPr>
          <w:sz w:val="20"/>
          <w:szCs w:val="20"/>
          <w:color w:val="auto"/>
        </w:rPr>
      </w:pPr>
    </w:p>
    <w:p>
      <w:pPr>
        <w:jc w:val="both"/>
        <w:ind w:firstLine="1299"/>
        <w:spacing w:after="0" w:line="249" w:lineRule="auto"/>
        <w:tabs>
          <w:tab w:leader="none" w:pos="2102" w:val="left"/>
        </w:tabs>
        <w:numPr>
          <w:ilvl w:val="0"/>
          <w:numId w:val="151"/>
        </w:numPr>
        <w:rPr>
          <w:rFonts w:ascii="Arial" w:cs="Arial" w:eastAsia="Arial" w:hAnsi="Arial"/>
          <w:sz w:val="21"/>
          <w:szCs w:val="21"/>
          <w:color w:val="010000"/>
        </w:rPr>
      </w:pPr>
      <w:r>
        <w:rPr>
          <w:rFonts w:ascii="Arial" w:cs="Arial" w:eastAsia="Arial" w:hAnsi="Arial"/>
          <w:sz w:val="21"/>
          <w:szCs w:val="21"/>
          <w:b w:val="1"/>
          <w:bCs w:val="1"/>
          <w:color w:val="auto"/>
        </w:rPr>
        <w:t>Expense Reimbursement</w:t>
      </w:r>
      <w:r>
        <w:rPr>
          <w:rFonts w:ascii="Arial" w:cs="Arial" w:eastAsia="Arial" w:hAnsi="Arial"/>
          <w:sz w:val="21"/>
          <w:szCs w:val="21"/>
          <w:color w:val="auto"/>
        </w:rPr>
        <w:t>. The Company shall promptly reimburse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ordinary and necessary business expenses incurred by Executive in the 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2" w:name="page163"/>
    <w:bookmarkEnd w:id="162"/>
    <w:p>
      <w:pPr>
        <w:jc w:val="both"/>
        <w:ind w:firstLine="1299"/>
        <w:spacing w:after="0" w:line="243" w:lineRule="auto"/>
        <w:tabs>
          <w:tab w:leader="none" w:pos="2171" w:val="left"/>
        </w:tabs>
        <w:numPr>
          <w:ilvl w:val="1"/>
          <w:numId w:val="152"/>
        </w:numPr>
        <w:rPr>
          <w:rFonts w:ascii="Arial" w:cs="Arial" w:eastAsia="Arial" w:hAnsi="Arial"/>
          <w:sz w:val="22"/>
          <w:szCs w:val="22"/>
          <w:color w:val="010000"/>
        </w:rPr>
      </w:pPr>
      <w:r>
        <w:rPr>
          <w:rFonts w:ascii="Arial" w:cs="Arial" w:eastAsia="Arial" w:hAnsi="Arial"/>
          <w:sz w:val="22"/>
          <w:szCs w:val="22"/>
          <w:b w:val="1"/>
          <w:bCs w:val="1"/>
          <w:color w:val="auto"/>
        </w:rPr>
        <w:t>Other Perquisites</w:t>
      </w:r>
      <w:r>
        <w:rPr>
          <w:rFonts w:ascii="Arial" w:cs="Arial" w:eastAsia="Arial" w:hAnsi="Arial"/>
          <w:sz w:val="22"/>
          <w:szCs w:val="22"/>
          <w:color w:val="auto"/>
        </w:rPr>
        <w:t>. Executive shall be entitled to all perquisites provided to</w:t>
      </w:r>
      <w:r>
        <w:rPr>
          <w:rFonts w:ascii="Arial" w:cs="Arial" w:eastAsia="Arial" w:hAnsi="Arial"/>
          <w:sz w:val="22"/>
          <w:szCs w:val="22"/>
          <w:b w:val="1"/>
          <w:bCs w:val="1"/>
          <w:color w:val="auto"/>
        </w:rPr>
        <w:t xml:space="preserve"> </w:t>
      </w:r>
      <w:r>
        <w:rPr>
          <w:rFonts w:ascii="Arial" w:cs="Arial" w:eastAsia="Arial" w:hAnsi="Arial"/>
          <w:sz w:val="22"/>
          <w:szCs w:val="22"/>
          <w:color w:val="auto"/>
        </w:rPr>
        <w:t>similarly situated executive officers of WMI, as approved by the Compensation Committee, and as they may exist from time to time.</w:t>
      </w:r>
    </w:p>
    <w:p>
      <w:pPr>
        <w:spacing w:after="0" w:line="177" w:lineRule="exact"/>
        <w:rPr>
          <w:rFonts w:ascii="Arial" w:cs="Arial" w:eastAsia="Arial" w:hAnsi="Arial"/>
          <w:sz w:val="22"/>
          <w:szCs w:val="22"/>
          <w:color w:val="010000"/>
        </w:rPr>
      </w:pPr>
    </w:p>
    <w:p>
      <w:pPr>
        <w:jc w:val="both"/>
        <w:ind w:firstLine="651"/>
        <w:spacing w:after="0" w:line="237" w:lineRule="auto"/>
        <w:tabs>
          <w:tab w:leader="none" w:pos="1418" w:val="left"/>
        </w:tabs>
        <w:numPr>
          <w:ilvl w:val="0"/>
          <w:numId w:val="153"/>
        </w:numPr>
        <w:rPr>
          <w:rFonts w:ascii="Arial" w:cs="Arial" w:eastAsia="Arial" w:hAnsi="Arial"/>
          <w:sz w:val="22"/>
          <w:szCs w:val="22"/>
          <w:color w:val="010000"/>
        </w:rPr>
      </w:pPr>
      <w:r>
        <w:rPr>
          <w:rFonts w:ascii="Arial" w:cs="Arial" w:eastAsia="Arial" w:hAnsi="Arial"/>
          <w:sz w:val="22"/>
          <w:szCs w:val="22"/>
          <w:b w:val="1"/>
          <w:bCs w:val="1"/>
          <w:color w:val="auto"/>
        </w:rPr>
        <w:t>Termination of Employment</w:t>
      </w:r>
      <w:r>
        <w:rPr>
          <w:rFonts w:ascii="Arial" w:cs="Arial" w:eastAsia="Arial" w:hAnsi="Arial"/>
          <w:sz w:val="22"/>
          <w:szCs w:val="22"/>
          <w:color w:val="auto"/>
        </w:rPr>
        <w:t>. Executive’s employment hereunder may be terminated</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Employment Period for any reason or no reason at all. Upon any termination of employment for any reason, Executive shall immediately resign from all director memberships (including, without limitation, as a member of the Board), officer and other positions with WMI or any of its subsidiaries held by Executive at such time.</w:t>
      </w:r>
    </w:p>
    <w:p>
      <w:pPr>
        <w:spacing w:after="0" w:line="182" w:lineRule="exact"/>
        <w:rPr>
          <w:rFonts w:ascii="Arial" w:cs="Arial" w:eastAsia="Arial" w:hAnsi="Arial"/>
          <w:sz w:val="22"/>
          <w:szCs w:val="22"/>
          <w:color w:val="010000"/>
        </w:rPr>
      </w:pPr>
    </w:p>
    <w:p>
      <w:pPr>
        <w:ind w:left="1300" w:hanging="649"/>
        <w:spacing w:after="0"/>
        <w:tabs>
          <w:tab w:leader="none" w:pos="1300" w:val="left"/>
        </w:tabs>
        <w:numPr>
          <w:ilvl w:val="0"/>
          <w:numId w:val="153"/>
        </w:numPr>
        <w:rPr>
          <w:rFonts w:ascii="Arial" w:cs="Arial" w:eastAsia="Arial" w:hAnsi="Arial"/>
          <w:sz w:val="22"/>
          <w:szCs w:val="22"/>
          <w:color w:val="010000"/>
        </w:rPr>
      </w:pPr>
      <w:r>
        <w:rPr>
          <w:rFonts w:ascii="Arial" w:cs="Arial" w:eastAsia="Arial" w:hAnsi="Arial"/>
          <w:sz w:val="22"/>
          <w:szCs w:val="22"/>
          <w:b w:val="1"/>
          <w:bCs w:val="1"/>
          <w:color w:val="auto"/>
        </w:rPr>
        <w:t>Compensation Following Termination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299"/>
        <w:spacing w:after="0" w:line="275" w:lineRule="auto"/>
        <w:tabs>
          <w:tab w:leader="none" w:pos="2009" w:val="left"/>
        </w:tabs>
        <w:numPr>
          <w:ilvl w:val="1"/>
          <w:numId w:val="153"/>
        </w:numPr>
        <w:rPr>
          <w:rFonts w:ascii="Arial" w:cs="Arial" w:eastAsia="Arial" w:hAnsi="Arial"/>
          <w:sz w:val="19"/>
          <w:szCs w:val="19"/>
          <w:color w:val="010000"/>
        </w:rPr>
      </w:pPr>
      <w:r>
        <w:rPr>
          <w:rFonts w:ascii="Arial" w:cs="Arial" w:eastAsia="Arial" w:hAnsi="Arial"/>
          <w:sz w:val="19"/>
          <w:szCs w:val="19"/>
          <w:b w:val="1"/>
          <w:bCs w:val="1"/>
          <w:color w:val="auto"/>
        </w:rPr>
        <w:t>Severance Protection Plan</w:t>
      </w:r>
      <w:r>
        <w:rPr>
          <w:rFonts w:ascii="Arial" w:cs="Arial" w:eastAsia="Arial" w:hAnsi="Arial"/>
          <w:sz w:val="19"/>
          <w:szCs w:val="19"/>
          <w:color w:val="auto"/>
        </w:rPr>
        <w:t>. During the Employment Period, Executive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participant in the Waste Management Holdings, Inc. Executive Severance Protection Plan (the “Severance Plan”). No change to the Severance Plan made after the date hereof that materially and adversely affects Executive’s rights and benefits under the Severance Plan shall be applicable to Executive without Executive’s express written consent. For purposes of determining Executive’s entitlement to benefits under the Severance Plan or otherwise interpreting or construing Severance Plan terms (as applied to Executive), such terms shall be applied by their plain meaning and, if challenged by Executive, be subject to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by the arbitrator described in Section 12 without any deference provided in favor of the Committee under Section 4 of the Severance Plan.</w:t>
      </w:r>
    </w:p>
    <w:p>
      <w:pPr>
        <w:spacing w:after="0" w:line="150" w:lineRule="exact"/>
        <w:rPr>
          <w:rFonts w:ascii="Arial" w:cs="Arial" w:eastAsia="Arial" w:hAnsi="Arial"/>
          <w:sz w:val="19"/>
          <w:szCs w:val="19"/>
          <w:color w:val="010000"/>
        </w:rPr>
      </w:pPr>
    </w:p>
    <w:p>
      <w:pPr>
        <w:jc w:val="both"/>
        <w:ind w:firstLine="1299"/>
        <w:spacing w:after="0" w:line="243" w:lineRule="auto"/>
        <w:tabs>
          <w:tab w:leader="none" w:pos="2170" w:val="left"/>
        </w:tabs>
        <w:numPr>
          <w:ilvl w:val="1"/>
          <w:numId w:val="153"/>
        </w:numPr>
        <w:rPr>
          <w:rFonts w:ascii="Arial" w:cs="Arial" w:eastAsia="Arial" w:hAnsi="Arial"/>
          <w:sz w:val="22"/>
          <w:szCs w:val="22"/>
          <w:color w:val="010000"/>
        </w:rPr>
      </w:pPr>
      <w:r>
        <w:rPr>
          <w:rFonts w:ascii="Arial" w:cs="Arial" w:eastAsia="Arial" w:hAnsi="Arial"/>
          <w:sz w:val="22"/>
          <w:szCs w:val="22"/>
          <w:b w:val="1"/>
          <w:bCs w:val="1"/>
          <w:color w:val="auto"/>
        </w:rPr>
        <w:t>Certain Definitions</w:t>
      </w:r>
      <w:r>
        <w:rPr>
          <w:rFonts w:ascii="Arial" w:cs="Arial" w:eastAsia="Arial" w:hAnsi="Arial"/>
          <w:sz w:val="22"/>
          <w:szCs w:val="22"/>
          <w:color w:val="auto"/>
        </w:rPr>
        <w:t>. Notwithstanding anything in the Severance Plan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for purposes of Executive’s participation in the Severance Plan the following definitions shall apply:</w:t>
      </w:r>
    </w:p>
    <w:p>
      <w:pPr>
        <w:spacing w:after="0" w:line="182" w:lineRule="exact"/>
        <w:rPr>
          <w:rFonts w:ascii="Arial" w:cs="Arial" w:eastAsia="Arial" w:hAnsi="Arial"/>
          <w:sz w:val="22"/>
          <w:szCs w:val="22"/>
          <w:color w:val="010000"/>
        </w:rPr>
      </w:pPr>
    </w:p>
    <w:p>
      <w:pPr>
        <w:jc w:val="both"/>
        <w:ind w:left="1300" w:firstLine="648"/>
        <w:spacing w:after="0" w:line="272" w:lineRule="auto"/>
        <w:tabs>
          <w:tab w:leader="none" w:pos="2868" w:val="left"/>
        </w:tabs>
        <w:numPr>
          <w:ilvl w:val="2"/>
          <w:numId w:val="153"/>
        </w:numPr>
        <w:rPr>
          <w:rFonts w:ascii="Arial" w:cs="Arial" w:eastAsia="Arial" w:hAnsi="Arial"/>
          <w:sz w:val="19"/>
          <w:szCs w:val="19"/>
          <w:color w:val="010000"/>
        </w:rPr>
      </w:pPr>
      <w:r>
        <w:rPr>
          <w:rFonts w:ascii="Arial" w:cs="Arial" w:eastAsia="Arial" w:hAnsi="Arial"/>
          <w:sz w:val="19"/>
          <w:szCs w:val="19"/>
          <w:color w:val="auto"/>
        </w:rPr>
        <w:t xml:space="preserve">“Cause” shall mean any of the following: Executive’s (A) willful or deliberate and continual refusal to perform Executive’s employment duties reasonably requested by the Company after receipt of written notice to Executive of such failure to perform, specifying such failure (other than because of Executive’s sickness, illness or injury) and Executive’s failure to cure such nonperformance within ten (10) days of receipt of said written notice; (B) breach of any statutory or common law duty of loyalty to the Company; (C) conviction of, or plea of </w:t>
      </w:r>
      <w:r>
        <w:rPr>
          <w:rFonts w:ascii="Arial" w:cs="Arial" w:eastAsia="Arial" w:hAnsi="Arial"/>
          <w:sz w:val="19"/>
          <w:szCs w:val="19"/>
          <w:i w:val="1"/>
          <w:iCs w:val="1"/>
          <w:color w:val="auto"/>
        </w:rPr>
        <w:t>nolo contendre</w:t>
      </w:r>
      <w:r>
        <w:rPr>
          <w:rFonts w:ascii="Arial" w:cs="Arial" w:eastAsia="Arial" w:hAnsi="Arial"/>
          <w:sz w:val="19"/>
          <w:szCs w:val="19"/>
          <w:color w:val="auto"/>
        </w:rPr>
        <w:t xml:space="preserve"> to, any felony; (D) willful or intentional cause of material injury to the Company, its property, or its assets; (E) disclosure or attempted disclosure to any unauthorized person(s) of the Company’s proprietary or confidential information; (F) material violation or a repeated and willful violation of the Company’s policies or procedures, including but not limited to, the Company’s Code of Business Conduct and Ethics (or any successor policy) then in effect; or (G) breach of any of the covenants set forth in Section 9 hereof.</w:t>
      </w:r>
    </w:p>
    <w:p>
      <w:pPr>
        <w:spacing w:after="0" w:line="157" w:lineRule="exact"/>
        <w:rPr>
          <w:rFonts w:ascii="Arial" w:cs="Arial" w:eastAsia="Arial" w:hAnsi="Arial"/>
          <w:sz w:val="19"/>
          <w:szCs w:val="19"/>
          <w:color w:val="010000"/>
        </w:rPr>
      </w:pPr>
    </w:p>
    <w:p>
      <w:pPr>
        <w:jc w:val="both"/>
        <w:ind w:left="1300" w:firstLine="648"/>
        <w:spacing w:after="0" w:line="236" w:lineRule="auto"/>
        <w:tabs>
          <w:tab w:leader="none" w:pos="2644" w:val="left"/>
        </w:tabs>
        <w:numPr>
          <w:ilvl w:val="2"/>
          <w:numId w:val="153"/>
        </w:numPr>
        <w:rPr>
          <w:rFonts w:ascii="Arial" w:cs="Arial" w:eastAsia="Arial" w:hAnsi="Arial"/>
          <w:sz w:val="22"/>
          <w:szCs w:val="22"/>
          <w:color w:val="auto"/>
        </w:rPr>
      </w:pPr>
      <w:r>
        <w:rPr>
          <w:rFonts w:ascii="Arial" w:cs="Arial" w:eastAsia="Arial" w:hAnsi="Arial"/>
          <w:sz w:val="22"/>
          <w:szCs w:val="22"/>
          <w:color w:val="auto"/>
        </w:rPr>
        <w:t>A termination for “Good Reason” means a resignation of employment by Executive by written notice (“Notice of Termination for Good Reason”) given to the Chief Executive Officer of WMI within ninety (90) days after the occurrence of the Good Reason event, unless such circumstances are substantially corrected prior to the date of termination specified in the Notice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3" w:name="page164"/>
    <w:bookmarkEnd w:id="163"/>
    <w:p>
      <w:pPr>
        <w:jc w:val="both"/>
        <w:ind w:left="1300"/>
        <w:spacing w:after="0" w:line="270" w:lineRule="auto"/>
        <w:rPr>
          <w:sz w:val="20"/>
          <w:szCs w:val="20"/>
          <w:color w:val="auto"/>
        </w:rPr>
      </w:pPr>
      <w:r>
        <w:rPr>
          <w:rFonts w:ascii="Arial" w:cs="Arial" w:eastAsia="Arial" w:hAnsi="Arial"/>
          <w:sz w:val="19"/>
          <w:szCs w:val="19"/>
          <w:color w:val="auto"/>
        </w:rPr>
        <w:t>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(as defined in the Severance Plan),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Executive from the officer position with the Company specified herein, or removal of Executive from any of his then officer positions; (D) the relocation of the geographic location of Executive’s principal place of employment by more than 50 miles from the location of Executive’s principal place of employment as of the date of this Agreement; (E) any material breach by the Company of any provision of this Agreement or the Severance Plan; or (F) failure of any successor to the Company (whether direct or indirect and whether by merger, acquisition, consolidation or otherwise) to assume in a writing delivered to Executive upon the assignee becoming such, the obligations of the Company under both this Agreement and the Severance Plan, resulting in a material negative change in the employment relationship.</w:t>
      </w:r>
    </w:p>
    <w:p>
      <w:pPr>
        <w:spacing w:after="0" w:line="200" w:lineRule="exact"/>
        <w:rPr>
          <w:sz w:val="20"/>
          <w:szCs w:val="20"/>
          <w:color w:val="auto"/>
        </w:rPr>
      </w:pPr>
    </w:p>
    <w:p>
      <w:pPr>
        <w:spacing w:after="0" w:line="206" w:lineRule="exact"/>
        <w:rPr>
          <w:sz w:val="20"/>
          <w:szCs w:val="20"/>
          <w:color w:val="auto"/>
        </w:rPr>
      </w:pPr>
    </w:p>
    <w:p>
      <w:pPr>
        <w:jc w:val="both"/>
        <w:ind w:left="1300" w:firstLine="648"/>
        <w:spacing w:after="0" w:line="246" w:lineRule="auto"/>
        <w:tabs>
          <w:tab w:leader="none" w:pos="2610" w:val="left"/>
        </w:tabs>
        <w:numPr>
          <w:ilvl w:val="3"/>
          <w:numId w:val="154"/>
        </w:numPr>
        <w:rPr>
          <w:rFonts w:ascii="Arial" w:cs="Arial" w:eastAsia="Arial" w:hAnsi="Arial"/>
          <w:sz w:val="21"/>
          <w:szCs w:val="21"/>
          <w:color w:val="auto"/>
        </w:rPr>
      </w:pPr>
      <w:r>
        <w:rPr>
          <w:rFonts w:ascii="Arial" w:cs="Arial" w:eastAsia="Arial" w:hAnsi="Arial"/>
          <w:sz w:val="21"/>
          <w:szCs w:val="21"/>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6(b)(ii)(A) or (B), the date may be twenty (20) days after the giving of such notice.</w:t>
      </w:r>
    </w:p>
    <w:p>
      <w:pPr>
        <w:spacing w:after="0" w:line="174" w:lineRule="exact"/>
        <w:rPr>
          <w:rFonts w:ascii="Arial" w:cs="Arial" w:eastAsia="Arial" w:hAnsi="Arial"/>
          <w:sz w:val="21"/>
          <w:szCs w:val="21"/>
          <w:color w:val="auto"/>
        </w:rPr>
      </w:pPr>
    </w:p>
    <w:p>
      <w:pPr>
        <w:ind w:left="2060" w:hanging="761"/>
        <w:spacing w:after="0"/>
        <w:tabs>
          <w:tab w:leader="none" w:pos="2060" w:val="left"/>
        </w:tabs>
        <w:numPr>
          <w:ilvl w:val="2"/>
          <w:numId w:val="155"/>
        </w:numPr>
        <w:rPr>
          <w:rFonts w:ascii="Arial" w:cs="Arial" w:eastAsia="Arial" w:hAnsi="Arial"/>
          <w:sz w:val="19"/>
          <w:szCs w:val="19"/>
          <w:color w:val="010000"/>
        </w:rPr>
      </w:pPr>
      <w:r>
        <w:rPr>
          <w:rFonts w:ascii="Arial" w:cs="Arial" w:eastAsia="Arial" w:hAnsi="Arial"/>
          <w:sz w:val="19"/>
          <w:szCs w:val="19"/>
          <w:b w:val="1"/>
          <w:bCs w:val="1"/>
          <w:color w:val="auto"/>
        </w:rPr>
        <w:t>Amount of Certain Severance Plan Payments</w:t>
      </w:r>
      <w:r>
        <w:rPr>
          <w:rFonts w:ascii="Arial" w:cs="Arial" w:eastAsia="Arial" w:hAnsi="Arial"/>
          <w:sz w:val="19"/>
          <w:szCs w:val="19"/>
          <w:color w:val="auto"/>
        </w:rPr>
        <w:t>. Notwithstanding Section 8(a)</w:t>
      </w:r>
    </w:p>
    <w:p>
      <w:pPr>
        <w:spacing w:after="0" w:line="48" w:lineRule="exact"/>
        <w:rPr>
          <w:rFonts w:ascii="Arial" w:cs="Arial" w:eastAsia="Arial" w:hAnsi="Arial"/>
          <w:sz w:val="19"/>
          <w:szCs w:val="19"/>
          <w:color w:val="010000"/>
        </w:rPr>
      </w:pPr>
    </w:p>
    <w:p>
      <w:pPr>
        <w:jc w:val="both"/>
        <w:ind w:firstLine="3"/>
        <w:spacing w:after="0" w:line="246" w:lineRule="auto"/>
        <w:tabs>
          <w:tab w:leader="none" w:pos="38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of the Severance Plan, in the event that Executive becomes entitled to benefits under Section 8(a) of the Severance Plan, the cash bonus payments payable to Executive pursuant to Section 8(a)(iii) of the Severance Plan shall be payable at 100% of the maximum bonus, rather than the target bonus, for which Executive would be eligible in the absence of termination of employment.</w:t>
      </w:r>
    </w:p>
    <w:p>
      <w:pPr>
        <w:spacing w:after="0" w:line="174" w:lineRule="exact"/>
        <w:rPr>
          <w:rFonts w:ascii="Arial" w:cs="Arial" w:eastAsia="Arial" w:hAnsi="Arial"/>
          <w:sz w:val="21"/>
          <w:szCs w:val="21"/>
          <w:color w:val="auto"/>
        </w:rPr>
      </w:pPr>
    </w:p>
    <w:p>
      <w:pPr>
        <w:jc w:val="both"/>
        <w:ind w:firstLine="651"/>
        <w:spacing w:after="0" w:line="284" w:lineRule="auto"/>
        <w:tabs>
          <w:tab w:leader="none" w:pos="1729" w:val="left"/>
        </w:tabs>
        <w:numPr>
          <w:ilvl w:val="1"/>
          <w:numId w:val="156"/>
        </w:numPr>
        <w:rPr>
          <w:rFonts w:ascii="Arial" w:cs="Arial" w:eastAsia="Arial" w:hAnsi="Arial"/>
          <w:sz w:val="19"/>
          <w:szCs w:val="19"/>
          <w:color w:val="010000"/>
        </w:rPr>
      </w:pPr>
      <w:r>
        <w:rPr>
          <w:rFonts w:ascii="Arial" w:cs="Arial" w:eastAsia="Arial" w:hAnsi="Arial"/>
          <w:sz w:val="19"/>
          <w:szCs w:val="19"/>
          <w:b w:val="1"/>
          <w:bCs w:val="1"/>
          <w:color w:val="auto"/>
        </w:rPr>
        <w:t>No Other Benefits or Compensation</w:t>
      </w:r>
      <w:r>
        <w:rPr>
          <w:rFonts w:ascii="Arial" w:cs="Arial" w:eastAsia="Arial" w:hAnsi="Arial"/>
          <w:sz w:val="19"/>
          <w:szCs w:val="19"/>
          <w:color w:val="auto"/>
        </w:rPr>
        <w:t>. Except as may be provided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under the terms of any incentive compensation, employee benefit, or fringe 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4" w:name="page165"/>
    <w:bookmarkEnd w:id="164"/>
    <w:p>
      <w:pPr>
        <w:jc w:val="both"/>
        <w:ind w:firstLine="651"/>
        <w:spacing w:after="0" w:line="239" w:lineRule="auto"/>
        <w:tabs>
          <w:tab w:leader="none" w:pos="1459" w:val="left"/>
        </w:tabs>
        <w:numPr>
          <w:ilvl w:val="0"/>
          <w:numId w:val="157"/>
        </w:numPr>
        <w:rPr>
          <w:rFonts w:ascii="Arial" w:cs="Arial" w:eastAsia="Arial" w:hAnsi="Arial"/>
          <w:sz w:val="22"/>
          <w:szCs w:val="22"/>
          <w:color w:val="010000"/>
        </w:rPr>
      </w:pPr>
      <w:r>
        <w:rPr>
          <w:rFonts w:ascii="Arial" w:cs="Arial" w:eastAsia="Arial" w:hAnsi="Arial"/>
          <w:sz w:val="22"/>
          <w:szCs w:val="22"/>
          <w:b w:val="1"/>
          <w:bCs w:val="1"/>
          <w:color w:val="auto"/>
        </w:rPr>
        <w:t>No Mitigation</w:t>
      </w:r>
      <w:r>
        <w:rPr>
          <w:rFonts w:ascii="Arial" w:cs="Arial" w:eastAsia="Arial" w:hAnsi="Arial"/>
          <w:sz w:val="22"/>
          <w:szCs w:val="22"/>
          <w:color w:val="auto"/>
        </w:rPr>
        <w:t>. In the event of any termination of employment hereunder,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under no obligation to seek other employment, and there shall be no offset against any amounts due Executive under this Agreement on account of any remuneration attributable to any subsequent employment that Executive may obtain.</w:t>
      </w:r>
    </w:p>
    <w:p>
      <w:pPr>
        <w:spacing w:after="0" w:line="140" w:lineRule="exact"/>
        <w:rPr>
          <w:rFonts w:ascii="Arial" w:cs="Arial" w:eastAsia="Arial" w:hAnsi="Arial"/>
          <w:sz w:val="22"/>
          <w:szCs w:val="22"/>
          <w:color w:val="010000"/>
        </w:rPr>
      </w:pPr>
    </w:p>
    <w:p>
      <w:pPr>
        <w:jc w:val="both"/>
        <w:ind w:firstLine="651"/>
        <w:spacing w:after="0" w:line="271" w:lineRule="auto"/>
        <w:tabs>
          <w:tab w:leader="none" w:pos="1459" w:val="left"/>
        </w:tabs>
        <w:numPr>
          <w:ilvl w:val="0"/>
          <w:numId w:val="157"/>
        </w:numPr>
        <w:rPr>
          <w:rFonts w:ascii="Arial" w:cs="Arial" w:eastAsia="Arial" w:hAnsi="Arial"/>
          <w:sz w:val="19"/>
          <w:szCs w:val="19"/>
          <w:color w:val="010000"/>
        </w:rPr>
      </w:pPr>
      <w:r>
        <w:rPr>
          <w:rFonts w:ascii="Arial" w:cs="Arial" w:eastAsia="Arial" w:hAnsi="Arial"/>
          <w:sz w:val="19"/>
          <w:szCs w:val="19"/>
          <w:b w:val="1"/>
          <w:bCs w:val="1"/>
          <w:color w:val="auto"/>
        </w:rPr>
        <w:t>Protective Covenants</w:t>
      </w:r>
      <w:r>
        <w:rPr>
          <w:rFonts w:ascii="Arial" w:cs="Arial" w:eastAsia="Arial" w:hAnsi="Arial"/>
          <w:sz w:val="19"/>
          <w:szCs w:val="19"/>
          <w:color w:val="auto"/>
        </w:rPr>
        <w:t>. In reliance upon Executive’s promise to abide by the various</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protective covenants and restrictions provided for below, the 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the Company’s business. Executive agrees that each of Executive’s covenants in Section 9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124" w:lineRule="exact"/>
        <w:rPr>
          <w:rFonts w:ascii="Arial" w:cs="Arial" w:eastAsia="Arial" w:hAnsi="Arial"/>
          <w:sz w:val="19"/>
          <w:szCs w:val="19"/>
          <w:color w:val="010000"/>
        </w:rPr>
      </w:pPr>
    </w:p>
    <w:p>
      <w:pPr>
        <w:jc w:val="both"/>
        <w:ind w:left="660" w:firstLine="639"/>
        <w:spacing w:after="0" w:line="253" w:lineRule="auto"/>
        <w:tabs>
          <w:tab w:leader="none" w:pos="2426" w:val="left"/>
        </w:tabs>
        <w:numPr>
          <w:ilvl w:val="1"/>
          <w:numId w:val="157"/>
        </w:numPr>
        <w:rPr>
          <w:rFonts w:ascii="Arial" w:cs="Arial" w:eastAsia="Arial" w:hAnsi="Arial"/>
          <w:sz w:val="19"/>
          <w:szCs w:val="19"/>
          <w:color w:val="010000"/>
        </w:rPr>
      </w:pPr>
      <w:r>
        <w:rPr>
          <w:rFonts w:ascii="Arial" w:cs="Arial" w:eastAsia="Arial" w:hAnsi="Arial"/>
          <w:sz w:val="19"/>
          <w:szCs w:val="19"/>
          <w:b w:val="1"/>
          <w:bCs w:val="1"/>
          <w:color w:val="auto"/>
        </w:rPr>
        <w:t>Company Property, Computer Systems, and Inventions</w:t>
      </w:r>
      <w:r>
        <w:rPr>
          <w:rFonts w:ascii="Arial" w:cs="Arial" w:eastAsia="Arial" w:hAnsi="Arial"/>
          <w:sz w:val="19"/>
          <w:szCs w:val="19"/>
          <w:color w:val="auto"/>
        </w:rPr>
        <w:t>. All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records, data, and other documents prepared or possessed by 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w:t>
      </w:r>
    </w:p>
    <w:p>
      <w:pPr>
        <w:spacing w:after="0" w:line="12" w:lineRule="exact"/>
        <w:rPr>
          <w:rFonts w:ascii="Arial" w:cs="Arial" w:eastAsia="Arial" w:hAnsi="Arial"/>
          <w:sz w:val="19"/>
          <w:szCs w:val="19"/>
          <w:color w:val="010000"/>
        </w:rPr>
      </w:pPr>
    </w:p>
    <w:p>
      <w:pPr>
        <w:jc w:val="both"/>
        <w:ind w:left="660"/>
        <w:spacing w:after="0" w:line="233" w:lineRule="auto"/>
        <w:rPr>
          <w:rFonts w:ascii="Arial" w:cs="Arial" w:eastAsia="Arial" w:hAnsi="Arial"/>
          <w:sz w:val="19"/>
          <w:szCs w:val="19"/>
          <w:color w:val="010000"/>
        </w:rPr>
      </w:pPr>
      <w:r>
        <w:rPr>
          <w:rFonts w:ascii="Arial" w:cs="Arial" w:eastAsia="Arial" w:hAnsi="Arial"/>
          <w:sz w:val="21"/>
          <w:szCs w:val="21"/>
          <w:color w:val="auto"/>
        </w:rPr>
        <w:t>(i)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5" w:name="page166"/>
    <w:bookmarkEnd w:id="165"/>
    <w:p>
      <w:pPr>
        <w:jc w:val="both"/>
        <w:ind w:left="640"/>
        <w:spacing w:after="0" w:line="268" w:lineRule="auto"/>
        <w:rPr>
          <w:sz w:val="20"/>
          <w:szCs w:val="20"/>
          <w:color w:val="auto"/>
        </w:rPr>
      </w:pPr>
      <w:r>
        <w:rPr>
          <w:rFonts w:ascii="Arial" w:cs="Arial" w:eastAsia="Arial" w:hAnsi="Arial"/>
          <w:sz w:val="19"/>
          <w:szCs w:val="19"/>
          <w:color w:val="auto"/>
        </w:rPr>
        <w:t xml:space="preserve">upon request execute all documents and otherwise cooperate in the Company’s efforts to obtain the copyrights, patents, licenses, and other rights and interests that would be necessary to secure for the Company the complete benefit of Company IP. Executive will keep and maintain adequate and current written records of all improvements, processes, original works of authorship, derivative works, developments, concepts, ideas, discoveries, designs, know-how, trademarks, service marks, trade names, trade dress, improvements and trade secrets made by Executive (solely or jointly with others) during the term of Executive's employment with the Company. The records will be in the form of notes, sketches, drawings, and any other format that may be specified by the Company. The records will be available to and remain the sole property of the Company at all times To the extent state law where Executive resides requires it (such as under Cal. Lab. Code, § 2870, or comparable laws), Executive is notified that </w:t>
      </w:r>
      <w:r>
        <w:rPr>
          <w:rFonts w:ascii="Arial" w:cs="Arial" w:eastAsia="Arial" w:hAnsi="Arial"/>
          <w:sz w:val="19"/>
          <w:szCs w:val="19"/>
          <w:b w:val="1"/>
          <w:bCs w:val="1"/>
          <w:color w:val="auto"/>
        </w:rPr>
        <w:t>no</w:t>
      </w:r>
      <w:r>
        <w:rPr>
          <w:rFonts w:ascii="Arial" w:cs="Arial" w:eastAsia="Arial" w:hAnsi="Arial"/>
          <w:sz w:val="19"/>
          <w:szCs w:val="19"/>
          <w:color w:val="auto"/>
        </w:rPr>
        <w:t xml:space="preserve"> </w:t>
      </w:r>
      <w:r>
        <w:rPr>
          <w:rFonts w:ascii="Arial" w:cs="Arial" w:eastAsia="Arial" w:hAnsi="Arial"/>
          <w:sz w:val="19"/>
          <w:szCs w:val="19"/>
          <w:b w:val="1"/>
          <w:bCs w:val="1"/>
          <w:color w:val="auto"/>
        </w:rPr>
        <w:t>provision in this Agreement requires 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w:t>
      </w:r>
      <w:r>
        <w:rPr>
          <w:rFonts w:ascii="Arial" w:cs="Arial" w:eastAsia="Arial" w:hAnsi="Arial"/>
          <w:sz w:val="19"/>
          <w:szCs w:val="19"/>
          <w:color w:val="auto"/>
        </w:rPr>
        <w:t>. This paragraph is intended to compliment and supplement, not</w:t>
      </w:r>
      <w:r>
        <w:rPr>
          <w:rFonts w:ascii="Arial" w:cs="Arial" w:eastAsia="Arial" w:hAnsi="Arial"/>
          <w:sz w:val="19"/>
          <w:szCs w:val="19"/>
          <w:b w:val="1"/>
          <w:bCs w:val="1"/>
          <w:color w:val="auto"/>
        </w:rPr>
        <w:t xml:space="preserve"> </w:t>
      </w:r>
      <w:r>
        <w:rPr>
          <w:rFonts w:ascii="Arial" w:cs="Arial" w:eastAsia="Arial" w:hAnsi="Arial"/>
          <w:sz w:val="19"/>
          <w:szCs w:val="19"/>
          <w:color w:val="auto"/>
        </w:rPr>
        <w:t>replace, any 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 If the Company is unable because of Executive's mental or physical incapacity or for any other reason to secure Executive’s signature to apply for or to pursue any application for any United States or foreign letters patents or copyrights covering inventions or other rights assigned to the Company hereunder, then Executive hereby irrevocably designates and appoints the Company and its duly authorized officers and agents as Executive's agent and attorney-in-fact, to act for and in Executive's behalf and stead to execute and file any such applications and to do all other lawfully permitted acts or sign any documents to further the prosecution and issuance of letters patents and copyrights with the same legal force and effect as if executed by Executive. By Executive’s signature on this Agreement, Executive designates and appoints each executive officer of the Company as his/her agent and attorney-in-fact to execute any such papers on his/her behalf, and to take any and all actions the Company considers necessary to protect its rights and interests in any Company IP. Executive hereby waives and quitclaims to the Company any and all claims, of any nature whatsoever, which Executive now or may hereafter have for infringement of any patents or copyrights resulting from any such application assigned hereunder to the Company. Executive further agrees that he/she shall not, at any time hereafter, dispute, contest, or aid or assist others in disputing or contesting, either directly or indirectly, Company’s exclusive right, title, and interest in and to the Company IP and other proprietary rights therein claimed by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66" w:name="page167"/>
    <w:bookmarkEnd w:id="166"/>
    <w:p>
      <w:pPr>
        <w:jc w:val="both"/>
        <w:ind w:left="640" w:firstLine="639"/>
        <w:spacing w:after="0" w:line="245" w:lineRule="auto"/>
        <w:tabs>
          <w:tab w:leader="none" w:pos="2080" w:val="left"/>
        </w:tabs>
        <w:numPr>
          <w:ilvl w:val="0"/>
          <w:numId w:val="158"/>
        </w:numPr>
        <w:rPr>
          <w:rFonts w:ascii="Arial" w:cs="Arial" w:eastAsia="Arial" w:hAnsi="Arial"/>
          <w:sz w:val="21"/>
          <w:szCs w:val="21"/>
          <w:color w:val="010000"/>
        </w:rPr>
      </w:pPr>
      <w:r>
        <w:rPr>
          <w:rFonts w:ascii="Arial" w:cs="Arial" w:eastAsia="Arial" w:hAnsi="Arial"/>
          <w:sz w:val="21"/>
          <w:szCs w:val="21"/>
          <w:b w:val="1"/>
          <w:bCs w:val="1"/>
          <w:color w:val="auto"/>
        </w:rPr>
        <w:t>Confidential Information; Non-Disclosure</w:t>
      </w:r>
      <w:r>
        <w:rPr>
          <w:rFonts w:ascii="Arial" w:cs="Arial" w:eastAsia="Arial" w:hAnsi="Arial"/>
          <w:sz w:val="21"/>
          <w:szCs w:val="21"/>
          <w:color w:val="auto"/>
        </w:rPr>
        <w:t>. Executive acknowledges that the</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of the Company is highly competitive and that Executive’s 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181"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9"/>
          <w:szCs w:val="19"/>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175" w:lineRule="exact"/>
        <w:rPr>
          <w:sz w:val="20"/>
          <w:szCs w:val="20"/>
          <w:color w:val="auto"/>
        </w:rPr>
      </w:pPr>
    </w:p>
    <w:p>
      <w:pPr>
        <w:jc w:val="both"/>
        <w:ind w:left="640" w:firstLine="648"/>
        <w:spacing w:after="0" w:line="279" w:lineRule="auto"/>
        <w:rPr>
          <w:sz w:val="20"/>
          <w:szCs w:val="20"/>
          <w:color w:val="auto"/>
        </w:rPr>
      </w:pPr>
      <w:r>
        <w:rPr>
          <w:rFonts w:ascii="Arial" w:cs="Arial" w:eastAsia="Arial" w:hAnsi="Arial"/>
          <w:sz w:val="19"/>
          <w:szCs w:val="19"/>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2" w:right="1419" w:bottom="1440" w:gutter="0" w:footer="0" w:header="0"/>
        </w:sectPr>
      </w:pPr>
    </w:p>
    <w:bookmarkStart w:id="167" w:name="page168"/>
    <w:bookmarkEnd w:id="167"/>
    <w:p>
      <w:pPr>
        <w:ind w:left="640"/>
        <w:spacing w:after="0" w:line="251" w:lineRule="auto"/>
        <w:rPr>
          <w:sz w:val="20"/>
          <w:szCs w:val="20"/>
          <w:color w:val="auto"/>
        </w:rPr>
      </w:pPr>
      <w:r>
        <w:rPr>
          <w:rFonts w:ascii="Arial" w:cs="Arial" w:eastAsia="Arial" w:hAnsi="Arial"/>
          <w:sz w:val="22"/>
          <w:szCs w:val="22"/>
          <w:color w:val="auto"/>
        </w:rPr>
        <w:t>could use them to their own economic benefit and/or to the competitive disadvantage of the Company, and thus, should be treated as Company’s trade secrets.</w:t>
      </w:r>
    </w:p>
    <w:p>
      <w:pPr>
        <w:spacing w:after="0" w:line="168" w:lineRule="exact"/>
        <w:rPr>
          <w:sz w:val="20"/>
          <w:szCs w:val="20"/>
          <w:color w:val="auto"/>
        </w:rPr>
      </w:pPr>
    </w:p>
    <w:p>
      <w:pPr>
        <w:jc w:val="both"/>
        <w:ind w:left="640" w:firstLine="639"/>
        <w:spacing w:after="0" w:line="245" w:lineRule="auto"/>
        <w:tabs>
          <w:tab w:leader="none" w:pos="2001" w:val="left"/>
        </w:tabs>
        <w:numPr>
          <w:ilvl w:val="0"/>
          <w:numId w:val="159"/>
        </w:numPr>
        <w:rPr>
          <w:rFonts w:ascii="Arial" w:cs="Arial" w:eastAsia="Arial" w:hAnsi="Arial"/>
          <w:sz w:val="21"/>
          <w:szCs w:val="21"/>
          <w:color w:val="010000"/>
        </w:rPr>
      </w:pPr>
      <w:r>
        <w:rPr>
          <w:rFonts w:ascii="Arial" w:cs="Arial" w:eastAsia="Arial" w:hAnsi="Arial"/>
          <w:sz w:val="21"/>
          <w:szCs w:val="21"/>
          <w:b w:val="1"/>
          <w:bCs w:val="1"/>
          <w:color w:val="auto"/>
        </w:rPr>
        <w:t>Unfair Competition Restrictions</w:t>
      </w:r>
      <w:r>
        <w:rPr>
          <w:rFonts w:ascii="Arial" w:cs="Arial" w:eastAsia="Arial" w:hAnsi="Arial"/>
          <w:sz w:val="21"/>
          <w:szCs w:val="21"/>
          <w:color w:val="auto"/>
        </w:rPr>
        <w:t>. Ancillary to the rights provided to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employment termination, the Company’s provision of Confidential Information, specialized training, 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WMI:</w:t>
      </w:r>
    </w:p>
    <w:p>
      <w:pPr>
        <w:spacing w:after="0" w:line="181" w:lineRule="exact"/>
        <w:rPr>
          <w:sz w:val="20"/>
          <w:szCs w:val="20"/>
          <w:color w:val="auto"/>
        </w:rPr>
      </w:pPr>
    </w:p>
    <w:p>
      <w:pPr>
        <w:ind w:left="1280" w:right="660"/>
        <w:spacing w:after="0" w:line="276" w:lineRule="auto"/>
        <w:rPr>
          <w:sz w:val="20"/>
          <w:szCs w:val="20"/>
          <w:color w:val="auto"/>
        </w:rPr>
      </w:pPr>
      <w:r>
        <w:rPr>
          <w:rFonts w:ascii="Arial" w:cs="Arial" w:eastAsia="Arial" w:hAnsi="Arial"/>
          <w:sz w:val="19"/>
          <w:szCs w:val="19"/>
          <w:color w:val="auto"/>
        </w:rPr>
        <w:t>Engage in, or assist any person, entity, or business engaged in, the selling or providing of products or services that would displace the products or services that</w:t>
      </w:r>
    </w:p>
    <w:p>
      <w:pPr>
        <w:spacing w:after="0" w:line="2" w:lineRule="exact"/>
        <w:rPr>
          <w:sz w:val="20"/>
          <w:szCs w:val="20"/>
          <w:color w:val="auto"/>
        </w:rPr>
      </w:pPr>
    </w:p>
    <w:p>
      <w:pPr>
        <w:jc w:val="both"/>
        <w:ind w:left="1280" w:right="640" w:hanging="1"/>
        <w:spacing w:after="0" w:line="232" w:lineRule="auto"/>
        <w:tabs>
          <w:tab w:leader="none" w:pos="154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87" w:lineRule="exact"/>
        <w:rPr>
          <w:sz w:val="20"/>
          <w:szCs w:val="20"/>
          <w:color w:val="auto"/>
        </w:rPr>
      </w:pPr>
    </w:p>
    <w:p>
      <w:pPr>
        <w:jc w:val="both"/>
        <w:ind w:left="640"/>
        <w:spacing w:after="0" w:line="279" w:lineRule="auto"/>
        <w:rPr>
          <w:sz w:val="20"/>
          <w:szCs w:val="20"/>
          <w:color w:val="auto"/>
        </w:rPr>
      </w:pPr>
      <w:r>
        <w:rPr>
          <w:rFonts w:ascii="Arial" w:cs="Arial" w:eastAsia="Arial" w:hAnsi="Arial"/>
          <w:sz w:val="19"/>
          <w:szCs w:val="19"/>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51" w:lineRule="exact"/>
        <w:rPr>
          <w:sz w:val="20"/>
          <w:szCs w:val="20"/>
          <w:color w:val="auto"/>
        </w:rPr>
      </w:pPr>
    </w:p>
    <w:p>
      <w:pPr>
        <w:jc w:val="both"/>
        <w:ind w:left="640" w:firstLine="648"/>
        <w:spacing w:after="0" w:line="273" w:lineRule="auto"/>
        <w:rPr>
          <w:sz w:val="20"/>
          <w:szCs w:val="20"/>
          <w:color w:val="auto"/>
        </w:rPr>
      </w:pPr>
      <w:r>
        <w:rPr>
          <w:rFonts w:ascii="Arial" w:cs="Arial" w:eastAsia="Arial" w:hAnsi="Arial"/>
          <w:sz w:val="19"/>
          <w:szCs w:val="19"/>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WMI in writing to be of no material threat to the legitimate business interests of the Company.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68" w:name="page169"/>
    <w:bookmarkEnd w:id="168"/>
    <w:p>
      <w:pPr>
        <w:jc w:val="both"/>
        <w:ind w:left="640" w:firstLine="648"/>
        <w:spacing w:after="0" w:line="262" w:lineRule="auto"/>
        <w:rPr>
          <w:sz w:val="20"/>
          <w:szCs w:val="20"/>
          <w:color w:val="auto"/>
        </w:rPr>
      </w:pPr>
      <w:r>
        <w:rPr>
          <w:rFonts w:ascii="Arial" w:cs="Arial" w:eastAsia="Arial" w:hAnsi="Arial"/>
          <w:sz w:val="19"/>
          <w:szCs w:val="19"/>
          <w:color w:val="auto"/>
        </w:rPr>
        <w:t>Notwithstanding anything to the contrary, to the extent Executive is and remains an attorney actively and lawfully engaged in the practice of law, and Executive’s employment with the Company is terminated, nothing in this Agreement will be deemed to limit Executive’s ability to practice law in contravention of Model Rules of Professional Conduct, Rule 5.6(a), or any equivalent state rule, which applies to Executive and governs restrictions on the practice of law in the state(s) where Executive is licensed to practice. This paragraph applies only to, and exclusively to, the practice of law as a licensed attorney.</w:t>
      </w:r>
    </w:p>
    <w:p>
      <w:pPr>
        <w:spacing w:after="0" w:line="148" w:lineRule="exact"/>
        <w:rPr>
          <w:sz w:val="20"/>
          <w:szCs w:val="20"/>
          <w:color w:val="auto"/>
        </w:rPr>
      </w:pPr>
    </w:p>
    <w:p>
      <w:pPr>
        <w:jc w:val="both"/>
        <w:ind w:left="640" w:firstLine="639"/>
        <w:spacing w:after="0" w:line="263" w:lineRule="auto"/>
        <w:tabs>
          <w:tab w:leader="none" w:pos="2013" w:val="left"/>
        </w:tabs>
        <w:numPr>
          <w:ilvl w:val="0"/>
          <w:numId w:val="161"/>
        </w:numPr>
        <w:rPr>
          <w:rFonts w:ascii="Arial" w:cs="Arial" w:eastAsia="Arial" w:hAnsi="Arial"/>
          <w:sz w:val="19"/>
          <w:szCs w:val="19"/>
          <w:color w:val="010000"/>
        </w:rPr>
      </w:pPr>
      <w:r>
        <w:rPr>
          <w:rFonts w:ascii="Arial" w:cs="Arial" w:eastAsia="Arial" w:hAnsi="Arial"/>
          <w:sz w:val="19"/>
          <w:szCs w:val="19"/>
          <w:b w:val="1"/>
          <w:bCs w:val="1"/>
          <w:color w:val="auto"/>
        </w:rPr>
        <w:t>Non-Solicitation of Customers</w:t>
      </w:r>
      <w:r>
        <w:rPr>
          <w:rFonts w:ascii="Arial" w:cs="Arial" w:eastAsia="Arial" w:hAnsi="Arial"/>
          <w:sz w:val="19"/>
          <w:szCs w:val="19"/>
          <w:color w:val="auto"/>
        </w:rPr>
        <w:t>. For the Restricted Term, Executive will not, in</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through the direction or control of others, call on, service, or 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147" w:lineRule="exact"/>
        <w:rPr>
          <w:rFonts w:ascii="Arial" w:cs="Arial" w:eastAsia="Arial" w:hAnsi="Arial"/>
          <w:sz w:val="19"/>
          <w:szCs w:val="19"/>
          <w:color w:val="010000"/>
        </w:rPr>
      </w:pPr>
    </w:p>
    <w:p>
      <w:pPr>
        <w:jc w:val="both"/>
        <w:ind w:left="640" w:firstLine="639"/>
        <w:spacing w:after="0" w:line="225" w:lineRule="auto"/>
        <w:tabs>
          <w:tab w:leader="none" w:pos="2095" w:val="left"/>
        </w:tabs>
        <w:numPr>
          <w:ilvl w:val="0"/>
          <w:numId w:val="161"/>
        </w:numPr>
        <w:rPr>
          <w:rFonts w:ascii="Arial" w:cs="Arial" w:eastAsia="Arial" w:hAnsi="Arial"/>
          <w:sz w:val="22"/>
          <w:szCs w:val="22"/>
          <w:color w:val="010000"/>
        </w:rPr>
      </w:pPr>
      <w:r>
        <w:rPr>
          <w:rFonts w:ascii="Arial" w:cs="Arial" w:eastAsia="Arial" w:hAnsi="Arial"/>
          <w:sz w:val="22"/>
          <w:szCs w:val="22"/>
          <w:b w:val="1"/>
          <w:bCs w:val="1"/>
          <w:color w:val="auto"/>
        </w:rPr>
        <w:t>Non-Solicitation of Employees</w:t>
      </w:r>
      <w:r>
        <w:rPr>
          <w:rFonts w:ascii="Arial" w:cs="Arial" w:eastAsia="Arial" w:hAnsi="Arial"/>
          <w:sz w:val="22"/>
          <w:szCs w:val="22"/>
          <w:color w:val="auto"/>
        </w:rPr>
        <w:t>. During Executive’s employment, and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Term, Executive will not, in person or through the direction or 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70" w:lineRule="exact"/>
        <w:rPr>
          <w:rFonts w:ascii="Arial" w:cs="Arial" w:eastAsia="Arial" w:hAnsi="Arial"/>
          <w:sz w:val="22"/>
          <w:szCs w:val="22"/>
          <w:color w:val="010000"/>
        </w:rPr>
      </w:pPr>
    </w:p>
    <w:p>
      <w:pPr>
        <w:jc w:val="both"/>
        <w:ind w:left="640" w:firstLine="639"/>
        <w:spacing w:after="0" w:line="224" w:lineRule="auto"/>
        <w:tabs>
          <w:tab w:leader="none" w:pos="2085" w:val="left"/>
        </w:tabs>
        <w:numPr>
          <w:ilvl w:val="0"/>
          <w:numId w:val="161"/>
        </w:numPr>
        <w:rPr>
          <w:rFonts w:ascii="Arial" w:cs="Arial" w:eastAsia="Arial" w:hAnsi="Arial"/>
          <w:sz w:val="22"/>
          <w:szCs w:val="22"/>
          <w:color w:val="010000"/>
        </w:rPr>
      </w:pPr>
      <w:r>
        <w:rPr>
          <w:rFonts w:ascii="Arial" w:cs="Arial" w:eastAsia="Arial" w:hAnsi="Arial"/>
          <w:sz w:val="22"/>
          <w:szCs w:val="22"/>
          <w:b w:val="1"/>
          <w:bCs w:val="1"/>
          <w:color w:val="auto"/>
        </w:rPr>
        <w:t>Non-Disparagement</w:t>
      </w:r>
      <w:r>
        <w:rPr>
          <w:rFonts w:ascii="Arial" w:cs="Arial" w:eastAsia="Arial" w:hAnsi="Arial"/>
          <w:sz w:val="22"/>
          <w:szCs w:val="22"/>
          <w:color w:val="auto"/>
        </w:rPr>
        <w:t>. During Executive’s employment, and for the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Term,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70" w:lineRule="exact"/>
        <w:rPr>
          <w:rFonts w:ascii="Arial" w:cs="Arial" w:eastAsia="Arial" w:hAnsi="Arial"/>
          <w:sz w:val="22"/>
          <w:szCs w:val="22"/>
          <w:color w:val="010000"/>
        </w:rPr>
      </w:pPr>
    </w:p>
    <w:p>
      <w:pPr>
        <w:jc w:val="both"/>
        <w:ind w:left="640" w:firstLine="639"/>
        <w:spacing w:after="0" w:line="257" w:lineRule="auto"/>
        <w:tabs>
          <w:tab w:leader="none" w:pos="1986" w:val="left"/>
        </w:tabs>
        <w:numPr>
          <w:ilvl w:val="0"/>
          <w:numId w:val="161"/>
        </w:numPr>
        <w:rPr>
          <w:rFonts w:ascii="Arial" w:cs="Arial" w:eastAsia="Arial" w:hAnsi="Arial"/>
          <w:sz w:val="19"/>
          <w:szCs w:val="19"/>
          <w:color w:val="010000"/>
        </w:rPr>
      </w:pPr>
      <w:r>
        <w:rPr>
          <w:rFonts w:ascii="Arial" w:cs="Arial" w:eastAsia="Arial" w:hAnsi="Arial"/>
          <w:sz w:val="19"/>
          <w:szCs w:val="19"/>
          <w:b w:val="1"/>
          <w:bCs w:val="1"/>
          <w:color w:val="auto"/>
        </w:rPr>
        <w:t>Protected Communications</w:t>
      </w:r>
      <w:r>
        <w:rPr>
          <w:rFonts w:ascii="Arial" w:cs="Arial" w:eastAsia="Arial" w:hAnsi="Arial"/>
          <w:sz w:val="19"/>
          <w:szCs w:val="19"/>
          <w:color w:val="auto"/>
        </w:rPr>
        <w:t>. Nothing in this Agreement (particularly nothing in</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Paragraphs 9(b) and (f) regarding non-disclosure and non-disparagement) prohibits Executive from reporting an event that Executive reasonably and in good faith believes is a violation of law to the relevant law 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69" w:name="page170"/>
    <w:bookmarkEnd w:id="169"/>
    <w:p>
      <w:pPr>
        <w:jc w:val="both"/>
        <w:ind w:left="660"/>
        <w:spacing w:after="0" w:line="237" w:lineRule="auto"/>
        <w:rPr>
          <w:sz w:val="20"/>
          <w:szCs w:val="20"/>
          <w:color w:val="auto"/>
        </w:rPr>
      </w:pPr>
      <w:r>
        <w:rPr>
          <w:rFonts w:ascii="Arial" w:cs="Arial" w:eastAsia="Arial" w:hAnsi="Arial"/>
          <w:sz w:val="21"/>
          <w:szCs w:val="21"/>
          <w:color w:val="auto"/>
        </w:rPr>
        <w:t>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In addition, nothing herein prohibits Executive from engaging in a disclosure of information that is required by law (such as by court order or subpoena).</w:t>
      </w:r>
    </w:p>
    <w:p>
      <w:pPr>
        <w:spacing w:after="0" w:line="166" w:lineRule="exact"/>
        <w:rPr>
          <w:sz w:val="20"/>
          <w:szCs w:val="20"/>
          <w:color w:val="auto"/>
        </w:rPr>
      </w:pPr>
    </w:p>
    <w:p>
      <w:pPr>
        <w:ind w:left="1300" w:hanging="649"/>
        <w:spacing w:after="0"/>
        <w:tabs>
          <w:tab w:leader="none" w:pos="1300" w:val="left"/>
        </w:tabs>
        <w:numPr>
          <w:ilvl w:val="0"/>
          <w:numId w:val="162"/>
        </w:numPr>
        <w:rPr>
          <w:rFonts w:ascii="Arial" w:cs="Arial" w:eastAsia="Arial" w:hAnsi="Arial"/>
          <w:sz w:val="22"/>
          <w:szCs w:val="22"/>
          <w:color w:val="010000"/>
        </w:rPr>
      </w:pPr>
      <w:r>
        <w:rPr>
          <w:rFonts w:ascii="Arial" w:cs="Arial" w:eastAsia="Arial" w:hAnsi="Arial"/>
          <w:sz w:val="22"/>
          <w:szCs w:val="22"/>
          <w:b w:val="1"/>
          <w:bCs w:val="1"/>
          <w:color w:val="auto"/>
        </w:rPr>
        <w:t>Enforcement of Protective Covenants</w:t>
      </w:r>
      <w:r>
        <w:rPr>
          <w:rFonts w:ascii="Arial" w:cs="Arial" w:eastAsia="Arial" w:hAnsi="Arial"/>
          <w:sz w:val="22"/>
          <w:szCs w:val="22"/>
          <w:color w:val="auto"/>
        </w:rPr>
        <w:t>.</w:t>
      </w:r>
    </w:p>
    <w:p>
      <w:pPr>
        <w:spacing w:after="0" w:line="192" w:lineRule="exact"/>
        <w:rPr>
          <w:rFonts w:ascii="Arial" w:cs="Arial" w:eastAsia="Arial" w:hAnsi="Arial"/>
          <w:sz w:val="22"/>
          <w:szCs w:val="22"/>
          <w:color w:val="010000"/>
        </w:rPr>
      </w:pPr>
    </w:p>
    <w:p>
      <w:pPr>
        <w:jc w:val="both"/>
        <w:ind w:firstLine="1299"/>
        <w:spacing w:after="0" w:line="238" w:lineRule="auto"/>
        <w:tabs>
          <w:tab w:leader="none" w:pos="2171" w:val="left"/>
        </w:tabs>
        <w:numPr>
          <w:ilvl w:val="1"/>
          <w:numId w:val="162"/>
        </w:numPr>
        <w:rPr>
          <w:rFonts w:ascii="Arial" w:cs="Arial" w:eastAsia="Arial" w:hAnsi="Arial"/>
          <w:sz w:val="21"/>
          <w:szCs w:val="21"/>
          <w:color w:val="010000"/>
        </w:rPr>
      </w:pPr>
      <w:r>
        <w:rPr>
          <w:rFonts w:ascii="Arial" w:cs="Arial" w:eastAsia="Arial" w:hAnsi="Arial"/>
          <w:sz w:val="21"/>
          <w:szCs w:val="21"/>
          <w:b w:val="1"/>
          <w:bCs w:val="1"/>
          <w:color w:val="auto"/>
        </w:rPr>
        <w:t>Termination of Employment and Forfeiture of Compensation</w:t>
      </w:r>
      <w:r>
        <w:rPr>
          <w:rFonts w:ascii="Arial" w:cs="Arial" w:eastAsia="Arial" w:hAnsi="Arial"/>
          <w:sz w:val="21"/>
          <w:szCs w:val="21"/>
          <w:color w:val="auto"/>
        </w:rPr>
        <w:t>.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agrees that any breach by Executive of any of the Protective Covenants set forth in Section 9 during Executive’s employment with the Company shall be grounds for immediate employment termination of Executive for Cause, which shall be in addition to and not exclusive of any and all other rights and remedies the Company may have against Executive.</w:t>
      </w:r>
    </w:p>
    <w:p>
      <w:pPr>
        <w:spacing w:after="0" w:line="17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In the event that Executive violates one of the Protective Covenants, (i) the Company shall have the right to immediately cease making any payments that it may otherwise owe to Executive, if any, under this Agreement, the Severance Plan or otherwise (ii) Executive will forfeit any remaining rights to payments or continuing benefits provided by this Agreement, if there are any, under this Agreement, the Severance Plan or otherwise and (iii) upon the Company’s demand, Executive will refund to the Company any severance benefits or amounts, plus interest, previously paid by Company to Executive pursuant to this Agreement, the Severance Plan or otherwise,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384" w:lineRule="exact"/>
        <w:rPr>
          <w:sz w:val="20"/>
          <w:szCs w:val="20"/>
          <w:color w:val="auto"/>
        </w:rPr>
      </w:pPr>
    </w:p>
    <w:p>
      <w:pPr>
        <w:jc w:val="both"/>
        <w:ind w:firstLine="1299"/>
        <w:spacing w:after="0" w:line="232" w:lineRule="auto"/>
        <w:tabs>
          <w:tab w:leader="none" w:pos="2197" w:val="left"/>
        </w:tabs>
        <w:numPr>
          <w:ilvl w:val="0"/>
          <w:numId w:val="163"/>
        </w:numPr>
        <w:rPr>
          <w:rFonts w:ascii="Arial" w:cs="Arial" w:eastAsia="Arial" w:hAnsi="Arial"/>
          <w:sz w:val="21"/>
          <w:szCs w:val="21"/>
          <w:color w:val="010000"/>
        </w:rPr>
      </w:pPr>
      <w:r>
        <w:rPr>
          <w:rFonts w:ascii="Arial" w:cs="Arial" w:eastAsia="Arial" w:hAnsi="Arial"/>
          <w:sz w:val="21"/>
          <w:szCs w:val="21"/>
          <w:b w:val="1"/>
          <w:bCs w:val="1"/>
          <w:color w:val="auto"/>
        </w:rPr>
        <w:t>Right to Injunction</w:t>
      </w:r>
      <w:r>
        <w:rPr>
          <w:rFonts w:ascii="Arial" w:cs="Arial" w:eastAsia="Arial" w:hAnsi="Arial"/>
          <w:sz w:val="21"/>
          <w:szCs w:val="21"/>
          <w:color w:val="auto"/>
        </w:rPr>
        <w:t>. Executive acknowledges that a breach of a Protective</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 set forth in Section 9 hereof will cause irreparable damage to the 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173" w:lineRule="exact"/>
        <w:rPr>
          <w:rFonts w:ascii="Arial" w:cs="Arial" w:eastAsia="Arial" w:hAnsi="Arial"/>
          <w:sz w:val="21"/>
          <w:szCs w:val="21"/>
          <w:color w:val="010000"/>
        </w:rPr>
      </w:pPr>
    </w:p>
    <w:p>
      <w:pPr>
        <w:jc w:val="both"/>
        <w:ind w:firstLine="1299"/>
        <w:spacing w:after="0" w:line="259" w:lineRule="auto"/>
        <w:tabs>
          <w:tab w:leader="none" w:pos="2130" w:val="left"/>
        </w:tabs>
        <w:numPr>
          <w:ilvl w:val="0"/>
          <w:numId w:val="163"/>
        </w:numPr>
        <w:rPr>
          <w:rFonts w:ascii="Arial" w:cs="Arial" w:eastAsia="Arial" w:hAnsi="Arial"/>
          <w:sz w:val="19"/>
          <w:szCs w:val="19"/>
          <w:color w:val="010000"/>
        </w:rPr>
      </w:pPr>
      <w:r>
        <w:rPr>
          <w:rFonts w:ascii="Arial" w:cs="Arial" w:eastAsia="Arial" w:hAnsi="Arial"/>
          <w:sz w:val="19"/>
          <w:szCs w:val="19"/>
          <w:b w:val="1"/>
          <w:bCs w:val="1"/>
          <w:color w:val="auto"/>
        </w:rPr>
        <w:t>Reformation of Covenants</w:t>
      </w:r>
      <w:r>
        <w:rPr>
          <w:rFonts w:ascii="Arial" w:cs="Arial" w:eastAsia="Arial" w:hAnsi="Arial"/>
          <w:sz w:val="19"/>
          <w:szCs w:val="19"/>
          <w:color w:val="auto"/>
        </w:rPr>
        <w:t>. The Protective Covenants set forth in Section 9</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a series of separate but ancillary covenants, one for each applicable State in the United States and the District of Columbia, and one for each applicable foreign country. If in any judicial proceeding, a court shall hold that any of the Protective Covenants set forth in Section 9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to the extent necessary to permit the remaining separate covenants to be enforced in such proceeding.</w:t>
      </w:r>
    </w:p>
    <w:p>
      <w:pPr>
        <w:spacing w:after="0" w:line="235" w:lineRule="exact"/>
        <w:rPr>
          <w:sz w:val="20"/>
          <w:szCs w:val="20"/>
          <w:color w:val="auto"/>
        </w:rPr>
      </w:pPr>
    </w:p>
    <w:p>
      <w:pPr>
        <w:jc w:val="both"/>
        <w:ind w:firstLine="1299"/>
        <w:spacing w:after="0" w:line="244" w:lineRule="auto"/>
        <w:tabs>
          <w:tab w:leader="none" w:pos="2386" w:val="left"/>
        </w:tabs>
        <w:numPr>
          <w:ilvl w:val="1"/>
          <w:numId w:val="164"/>
        </w:numPr>
        <w:rPr>
          <w:rFonts w:ascii="Arial" w:cs="Arial" w:eastAsia="Arial" w:hAnsi="Arial"/>
          <w:sz w:val="21"/>
          <w:szCs w:val="21"/>
          <w:color w:val="010000"/>
        </w:rPr>
      </w:pPr>
      <w:r>
        <w:rPr>
          <w:rFonts w:ascii="Arial" w:cs="Arial" w:eastAsia="Arial" w:hAnsi="Arial"/>
          <w:sz w:val="21"/>
          <w:szCs w:val="21"/>
          <w:b w:val="1"/>
          <w:bCs w:val="1"/>
          <w:color w:val="auto"/>
        </w:rPr>
        <w:t>Survival</w:t>
      </w:r>
      <w:r>
        <w:rPr>
          <w:rFonts w:ascii="Arial" w:cs="Arial" w:eastAsia="Arial" w:hAnsi="Arial"/>
          <w:sz w:val="21"/>
          <w:szCs w:val="21"/>
          <w:color w:val="auto"/>
        </w:rPr>
        <w:t>. Executive and the Company further agree that the protective</w:t>
      </w:r>
      <w:r>
        <w:rPr>
          <w:rFonts w:ascii="Arial" w:cs="Arial" w:eastAsia="Arial" w:hAnsi="Arial"/>
          <w:sz w:val="21"/>
          <w:szCs w:val="21"/>
          <w:b w:val="1"/>
          <w:bCs w:val="1"/>
          <w:color w:val="auto"/>
        </w:rPr>
        <w:t xml:space="preserve"> </w:t>
      </w:r>
      <w:r>
        <w:rPr>
          <w:rFonts w:ascii="Arial" w:cs="Arial" w:eastAsia="Arial" w:hAnsi="Arial"/>
          <w:sz w:val="21"/>
          <w:szCs w:val="21"/>
          <w:color w:val="auto"/>
        </w:rPr>
        <w:t>Covenants set forth in Section 9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184" w:lineRule="exact"/>
        <w:rPr>
          <w:rFonts w:ascii="Arial" w:cs="Arial" w:eastAsia="Arial" w:hAnsi="Arial"/>
          <w:sz w:val="21"/>
          <w:szCs w:val="21"/>
          <w:color w:val="010000"/>
        </w:rPr>
      </w:pPr>
    </w:p>
    <w:p>
      <w:pPr>
        <w:ind w:left="1300" w:hanging="649"/>
        <w:spacing w:after="0"/>
        <w:tabs>
          <w:tab w:leader="none" w:pos="1300" w:val="left"/>
        </w:tabs>
        <w:numPr>
          <w:ilvl w:val="0"/>
          <w:numId w:val="165"/>
        </w:numPr>
        <w:rPr>
          <w:rFonts w:ascii="Arial" w:cs="Arial" w:eastAsia="Arial" w:hAnsi="Arial"/>
          <w:sz w:val="22"/>
          <w:szCs w:val="22"/>
          <w:color w:val="010000"/>
        </w:rPr>
      </w:pPr>
      <w:r>
        <w:rPr>
          <w:rFonts w:ascii="Arial" w:cs="Arial" w:eastAsia="Arial" w:hAnsi="Arial"/>
          <w:sz w:val="22"/>
          <w:szCs w:val="22"/>
          <w:b w:val="1"/>
          <w:bCs w:val="1"/>
          <w:color w:val="auto"/>
        </w:rPr>
        <w:t>Indemnification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299"/>
        <w:spacing w:after="0" w:line="278" w:lineRule="auto"/>
        <w:tabs>
          <w:tab w:leader="none" w:pos="2225" w:val="left"/>
        </w:tabs>
        <w:numPr>
          <w:ilvl w:val="1"/>
          <w:numId w:val="165"/>
        </w:numPr>
        <w:rPr>
          <w:rFonts w:ascii="Arial" w:cs="Arial" w:eastAsia="Arial" w:hAnsi="Arial"/>
          <w:sz w:val="19"/>
          <w:szCs w:val="19"/>
          <w:color w:val="010000"/>
        </w:rPr>
      </w:pPr>
      <w:r>
        <w:rPr>
          <w:rFonts w:ascii="Arial" w:cs="Arial" w:eastAsia="Arial" w:hAnsi="Arial"/>
          <w:sz w:val="19"/>
          <w:szCs w:val="19"/>
          <w:b w:val="1"/>
          <w:bCs w:val="1"/>
          <w:color w:val="auto"/>
        </w:rPr>
        <w:t>Indemnification Agreement</w:t>
      </w:r>
      <w:r>
        <w:rPr>
          <w:rFonts w:ascii="Arial" w:cs="Arial" w:eastAsia="Arial" w:hAnsi="Arial"/>
          <w:sz w:val="19"/>
          <w:szCs w:val="19"/>
          <w:color w:val="auto"/>
        </w:rPr>
        <w:t>. In the event that Executive and WMI (or an</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of WMI) are party to a separate indemnification agreement (the “Indemnification Agreement”) that is in effect at such time, the terms of such Indemnification Agreement shall govern Executive’s and the Company’s rights and obligations relating to indemnification, except to the extent the provisions of Section 11(b) are materially more favorable to Executive than the Indemnification Agreement. In the event no such Indemnification Agreement is in effect or the terms of Section 11(b) are materially more favorable to Executive, the provisions of Section 11(b) shall apply.</w:t>
      </w:r>
    </w:p>
    <w:p>
      <w:pPr>
        <w:spacing w:after="0" w:line="146" w:lineRule="exact"/>
        <w:rPr>
          <w:rFonts w:ascii="Arial" w:cs="Arial" w:eastAsia="Arial" w:hAnsi="Arial"/>
          <w:sz w:val="19"/>
          <w:szCs w:val="19"/>
          <w:color w:val="010000"/>
        </w:rPr>
      </w:pPr>
    </w:p>
    <w:p>
      <w:pPr>
        <w:jc w:val="both"/>
        <w:ind w:firstLine="1299"/>
        <w:spacing w:after="0" w:line="275" w:lineRule="auto"/>
        <w:tabs>
          <w:tab w:leader="none" w:pos="2008" w:val="left"/>
        </w:tabs>
        <w:numPr>
          <w:ilvl w:val="1"/>
          <w:numId w:val="165"/>
        </w:numPr>
        <w:rPr>
          <w:rFonts w:ascii="Arial" w:cs="Arial" w:eastAsia="Arial" w:hAnsi="Arial"/>
          <w:sz w:val="19"/>
          <w:szCs w:val="19"/>
          <w:color w:val="010000"/>
        </w:rPr>
      </w:pPr>
      <w:r>
        <w:rPr>
          <w:rFonts w:ascii="Arial" w:cs="Arial" w:eastAsia="Arial" w:hAnsi="Arial"/>
          <w:sz w:val="19"/>
          <w:szCs w:val="19"/>
          <w:b w:val="1"/>
          <w:bCs w:val="1"/>
          <w:color w:val="auto"/>
        </w:rPr>
        <w:t>Other Rights to Indemnification</w:t>
      </w:r>
      <w:r>
        <w:rPr>
          <w:rFonts w:ascii="Arial" w:cs="Arial" w:eastAsia="Arial" w:hAnsi="Arial"/>
          <w:sz w:val="19"/>
          <w:szCs w:val="19"/>
          <w:color w:val="auto"/>
        </w:rPr>
        <w:t>. Company shall indemnify and hold harmless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150" w:lineRule="exact"/>
        <w:rPr>
          <w:rFonts w:ascii="Arial" w:cs="Arial" w:eastAsia="Arial" w:hAnsi="Arial"/>
          <w:sz w:val="19"/>
          <w:szCs w:val="19"/>
          <w:color w:val="010000"/>
        </w:rPr>
      </w:pPr>
    </w:p>
    <w:p>
      <w:pPr>
        <w:jc w:val="both"/>
        <w:ind w:firstLine="651"/>
        <w:spacing w:after="0" w:line="247" w:lineRule="auto"/>
        <w:tabs>
          <w:tab w:leader="none" w:pos="1445" w:val="left"/>
        </w:tabs>
        <w:numPr>
          <w:ilvl w:val="0"/>
          <w:numId w:val="165"/>
        </w:numPr>
        <w:rPr>
          <w:rFonts w:ascii="Arial" w:cs="Arial" w:eastAsia="Arial" w:hAnsi="Arial"/>
          <w:sz w:val="21"/>
          <w:szCs w:val="21"/>
          <w:color w:val="010000"/>
        </w:rPr>
      </w:pPr>
      <w:r>
        <w:rPr>
          <w:rFonts w:ascii="Arial" w:cs="Arial" w:eastAsia="Arial" w:hAnsi="Arial"/>
          <w:sz w:val="21"/>
          <w:szCs w:val="21"/>
          <w:b w:val="1"/>
          <w:bCs w:val="1"/>
          <w:color w:val="auto"/>
        </w:rPr>
        <w:t>Arbitration</w:t>
      </w:r>
      <w:r>
        <w:rPr>
          <w:rFonts w:ascii="Arial" w:cs="Arial" w:eastAsia="Arial" w:hAnsi="Arial"/>
          <w:sz w:val="21"/>
          <w:szCs w:val="21"/>
          <w:color w:val="auto"/>
        </w:rPr>
        <w:t>. The parties agree that any dispute relating to this Agreement, 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9 of this Agreement, and related expedited discovery, may be pursued in a court of law to provide temporary injunctive relief pending a final determination of all issues of final relief through arbitration. The arbitration proceeding, including the rendering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1" w:name="page172"/>
    <w:bookmarkEnd w:id="171"/>
    <w:p>
      <w:pPr>
        <w:jc w:val="both"/>
        <w:spacing w:after="0" w:line="231" w:lineRule="auto"/>
        <w:rPr>
          <w:sz w:val="20"/>
          <w:szCs w:val="20"/>
          <w:color w:val="auto"/>
        </w:rPr>
      </w:pPr>
      <w:r>
        <w:rPr>
          <w:rFonts w:ascii="Arial" w:cs="Arial" w:eastAsia="Arial" w:hAnsi="Arial"/>
          <w:sz w:val="21"/>
          <w:szCs w:val="21"/>
          <w:color w:val="auto"/>
        </w:rPr>
        <w:t>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76" w:lineRule="exact"/>
        <w:rPr>
          <w:sz w:val="20"/>
          <w:szCs w:val="20"/>
          <w:color w:val="auto"/>
        </w:rPr>
      </w:pPr>
    </w:p>
    <w:p>
      <w:pPr>
        <w:ind w:firstLine="651"/>
        <w:spacing w:after="0" w:line="243" w:lineRule="auto"/>
        <w:tabs>
          <w:tab w:leader="none" w:pos="1567" w:val="left"/>
        </w:tabs>
        <w:numPr>
          <w:ilvl w:val="0"/>
          <w:numId w:val="166"/>
        </w:numPr>
        <w:rPr>
          <w:rFonts w:ascii="Arial" w:cs="Arial" w:eastAsia="Arial" w:hAnsi="Arial"/>
          <w:sz w:val="22"/>
          <w:szCs w:val="22"/>
          <w:color w:val="010000"/>
        </w:rPr>
      </w:pPr>
      <w:r>
        <w:rPr>
          <w:rFonts w:ascii="Arial" w:cs="Arial" w:eastAsia="Arial" w:hAnsi="Arial"/>
          <w:sz w:val="22"/>
          <w:szCs w:val="22"/>
          <w:b w:val="1"/>
          <w:bCs w:val="1"/>
          <w:color w:val="auto"/>
        </w:rPr>
        <w:t>Withholding of Taxes</w:t>
      </w:r>
      <w:r>
        <w:rPr>
          <w:rFonts w:ascii="Arial" w:cs="Arial" w:eastAsia="Arial" w:hAnsi="Arial"/>
          <w:sz w:val="22"/>
          <w:szCs w:val="22"/>
          <w:color w:val="auto"/>
        </w:rPr>
        <w:t>. The Company may withhold from any compensation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benefits payable under this Agreement all applicable federal, state, local, or other taxes.</w:t>
      </w:r>
    </w:p>
    <w:p>
      <w:pPr>
        <w:spacing w:after="0" w:line="163" w:lineRule="exact"/>
        <w:rPr>
          <w:rFonts w:ascii="Arial" w:cs="Arial" w:eastAsia="Arial" w:hAnsi="Arial"/>
          <w:sz w:val="22"/>
          <w:szCs w:val="22"/>
          <w:color w:val="010000"/>
        </w:rPr>
      </w:pPr>
    </w:p>
    <w:p>
      <w:pPr>
        <w:jc w:val="both"/>
        <w:ind w:firstLine="651"/>
        <w:spacing w:after="0" w:line="263" w:lineRule="auto"/>
        <w:tabs>
          <w:tab w:leader="none" w:pos="1296" w:val="left"/>
        </w:tabs>
        <w:numPr>
          <w:ilvl w:val="0"/>
          <w:numId w:val="166"/>
        </w:numPr>
        <w:rPr>
          <w:rFonts w:ascii="Arial" w:cs="Arial" w:eastAsia="Arial" w:hAnsi="Arial"/>
          <w:sz w:val="19"/>
          <w:szCs w:val="19"/>
          <w:color w:val="010000"/>
        </w:rPr>
      </w:pPr>
      <w:r>
        <w:rPr>
          <w:rFonts w:ascii="Arial" w:cs="Arial" w:eastAsia="Arial" w:hAnsi="Arial"/>
          <w:sz w:val="19"/>
          <w:szCs w:val="19"/>
          <w:b w:val="1"/>
          <w:bCs w:val="1"/>
          <w:color w:val="auto"/>
        </w:rPr>
        <w:t>Source of Payments</w:t>
      </w:r>
      <w:r>
        <w:rPr>
          <w:rFonts w:ascii="Arial" w:cs="Arial" w:eastAsia="Arial" w:hAnsi="Arial"/>
          <w:sz w:val="19"/>
          <w:szCs w:val="19"/>
          <w:color w:val="auto"/>
        </w:rPr>
        <w:t>. All payments provided under this Agreement, other than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47" w:lineRule="exact"/>
        <w:rPr>
          <w:rFonts w:ascii="Arial" w:cs="Arial" w:eastAsia="Arial" w:hAnsi="Arial"/>
          <w:sz w:val="19"/>
          <w:szCs w:val="19"/>
          <w:color w:val="010000"/>
        </w:rPr>
      </w:pPr>
    </w:p>
    <w:p>
      <w:pPr>
        <w:jc w:val="both"/>
        <w:ind w:firstLine="651"/>
        <w:spacing w:after="0" w:line="269" w:lineRule="auto"/>
        <w:tabs>
          <w:tab w:leader="none" w:pos="1323" w:val="left"/>
        </w:tabs>
        <w:numPr>
          <w:ilvl w:val="0"/>
          <w:numId w:val="166"/>
        </w:numPr>
        <w:rPr>
          <w:rFonts w:ascii="Arial" w:cs="Arial" w:eastAsia="Arial" w:hAnsi="Arial"/>
          <w:sz w:val="19"/>
          <w:szCs w:val="19"/>
          <w:color w:val="010000"/>
        </w:rPr>
      </w:pPr>
      <w:r>
        <w:rPr>
          <w:rFonts w:ascii="Arial" w:cs="Arial" w:eastAsia="Arial" w:hAnsi="Arial"/>
          <w:sz w:val="19"/>
          <w:szCs w:val="19"/>
          <w:b w:val="1"/>
          <w:bCs w:val="1"/>
          <w:color w:val="auto"/>
        </w:rPr>
        <w:t>Assignment</w:t>
      </w:r>
      <w:r>
        <w:rPr>
          <w:rFonts w:ascii="Arial" w:cs="Arial" w:eastAsia="Arial" w:hAnsi="Arial"/>
          <w:sz w:val="19"/>
          <w:szCs w:val="19"/>
          <w:color w:val="auto"/>
        </w:rPr>
        <w:t>. This Agreement shall inure to the benefit of the Company, its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successors, and assigns. Except as 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39" w:lineRule="exact"/>
        <w:rPr>
          <w:rFonts w:ascii="Arial" w:cs="Arial" w:eastAsia="Arial" w:hAnsi="Arial"/>
          <w:sz w:val="19"/>
          <w:szCs w:val="19"/>
          <w:color w:val="010000"/>
        </w:rPr>
      </w:pPr>
    </w:p>
    <w:p>
      <w:pPr>
        <w:jc w:val="both"/>
        <w:ind w:firstLine="651"/>
        <w:spacing w:after="0" w:line="259" w:lineRule="auto"/>
        <w:tabs>
          <w:tab w:leader="none" w:pos="1364" w:val="left"/>
        </w:tabs>
        <w:numPr>
          <w:ilvl w:val="0"/>
          <w:numId w:val="166"/>
        </w:numPr>
        <w:rPr>
          <w:rFonts w:ascii="Arial" w:cs="Arial" w:eastAsia="Arial" w:hAnsi="Arial"/>
          <w:sz w:val="19"/>
          <w:szCs w:val="19"/>
          <w:color w:val="010000"/>
        </w:rPr>
      </w:pPr>
      <w:r>
        <w:rPr>
          <w:rFonts w:ascii="Arial" w:cs="Arial" w:eastAsia="Arial" w:hAnsi="Arial"/>
          <w:sz w:val="19"/>
          <w:szCs w:val="19"/>
          <w:b w:val="1"/>
          <w:bCs w:val="1"/>
          <w:color w:val="auto"/>
        </w:rPr>
        <w:t>Entire Agreement; Amendment</w:t>
      </w:r>
      <w:r>
        <w:rPr>
          <w:rFonts w:ascii="Arial" w:cs="Arial" w:eastAsia="Arial" w:hAnsi="Arial"/>
          <w:sz w:val="19"/>
          <w:szCs w:val="19"/>
          <w:color w:val="auto"/>
        </w:rPr>
        <w:t>. This Agreement shall supersede any and all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oral or written agreements, representations, or 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147" w:lineRule="exact"/>
        <w:rPr>
          <w:rFonts w:ascii="Arial" w:cs="Arial" w:eastAsia="Arial" w:hAnsi="Arial"/>
          <w:sz w:val="19"/>
          <w:szCs w:val="19"/>
          <w:color w:val="010000"/>
        </w:rPr>
      </w:pPr>
    </w:p>
    <w:p>
      <w:pPr>
        <w:jc w:val="both"/>
        <w:ind w:firstLine="651"/>
        <w:spacing w:after="0" w:line="241" w:lineRule="auto"/>
        <w:tabs>
          <w:tab w:leader="none" w:pos="1432" w:val="left"/>
        </w:tabs>
        <w:numPr>
          <w:ilvl w:val="0"/>
          <w:numId w:val="166"/>
        </w:numPr>
        <w:rPr>
          <w:rFonts w:ascii="Arial" w:cs="Arial" w:eastAsia="Arial" w:hAnsi="Arial"/>
          <w:sz w:val="21"/>
          <w:szCs w:val="21"/>
          <w:color w:val="010000"/>
        </w:rPr>
      </w:pPr>
      <w:r>
        <w:rPr>
          <w:rFonts w:ascii="Arial" w:cs="Arial" w:eastAsia="Arial" w:hAnsi="Arial"/>
          <w:sz w:val="21"/>
          <w:szCs w:val="21"/>
          <w:b w:val="1"/>
          <w:bCs w:val="1"/>
          <w:color w:val="auto"/>
        </w:rPr>
        <w:t>Governing Law and Venue</w:t>
      </w:r>
      <w:r>
        <w:rPr>
          <w:rFonts w:ascii="Arial" w:cs="Arial" w:eastAsia="Arial" w:hAnsi="Arial"/>
          <w:sz w:val="21"/>
          <w:szCs w:val="21"/>
          <w:color w:val="auto"/>
        </w:rPr>
        <w:t>. This Agreement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Texas applicable to agreements made and to be performed in that State, without regard to its conflict of laws provisions. The parties agree that any legal action arising from this Agreement that is not required to be resolved through arbitration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2" w:name="page173"/>
    <w:bookmarkEnd w:id="172"/>
    <w:p>
      <w:pPr>
        <w:spacing w:after="0" w:line="239" w:lineRule="auto"/>
        <w:rPr>
          <w:sz w:val="20"/>
          <w:szCs w:val="20"/>
          <w:color w:val="auto"/>
        </w:rPr>
      </w:pPr>
      <w:r>
        <w:rPr>
          <w:rFonts w:ascii="Arial" w:cs="Arial" w:eastAsia="Arial" w:hAnsi="Arial"/>
          <w:sz w:val="22"/>
          <w:szCs w:val="22"/>
          <w:color w:val="auto"/>
        </w:rPr>
        <w:t>pursuant to Section 12 must be pursued in a court of competent jurisdiction that is located in Houston, Texas.</w:t>
      </w:r>
    </w:p>
    <w:p>
      <w:pPr>
        <w:spacing w:after="0" w:line="166" w:lineRule="exact"/>
        <w:rPr>
          <w:sz w:val="20"/>
          <w:szCs w:val="20"/>
          <w:color w:val="auto"/>
        </w:rPr>
      </w:pPr>
    </w:p>
    <w:p>
      <w:pPr>
        <w:jc w:val="both"/>
        <w:ind w:firstLine="651"/>
        <w:spacing w:after="0" w:line="227" w:lineRule="auto"/>
        <w:tabs>
          <w:tab w:leader="none" w:pos="1580" w:val="left"/>
        </w:tabs>
        <w:numPr>
          <w:ilvl w:val="0"/>
          <w:numId w:val="167"/>
        </w:numPr>
        <w:rPr>
          <w:rFonts w:ascii="Arial" w:cs="Arial" w:eastAsia="Arial" w:hAnsi="Arial"/>
          <w:sz w:val="22"/>
          <w:szCs w:val="22"/>
          <w:color w:val="010000"/>
        </w:rPr>
      </w:pPr>
      <w:r>
        <w:rPr>
          <w:rFonts w:ascii="Arial" w:cs="Arial" w:eastAsia="Arial" w:hAnsi="Arial"/>
          <w:sz w:val="22"/>
          <w:szCs w:val="22"/>
          <w:b w:val="1"/>
          <w:bCs w:val="1"/>
          <w:color w:val="auto"/>
        </w:rPr>
        <w:t>Notices</w:t>
      </w:r>
      <w:r>
        <w:rPr>
          <w:rFonts w:ascii="Arial" w:cs="Arial" w:eastAsia="Arial" w:hAnsi="Arial"/>
          <w:sz w:val="22"/>
          <w:szCs w:val="22"/>
          <w:color w:val="auto"/>
        </w:rPr>
        <w:t>. Any notice, consent, request, or other communication made or given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9060"/>
          </w:cols>
          <w:pgMar w:left="1420" w:top="118" w:right="1419" w:bottom="1440" w:gutter="0" w:footer="0" w:header="0"/>
        </w:sectPr>
      </w:pP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the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USA Waste-Management Resources, LLC</w:t>
      </w:r>
    </w:p>
    <w:p>
      <w:pPr>
        <w:spacing w:after="0" w:line="33" w:lineRule="exact"/>
        <w:rPr>
          <w:sz w:val="20"/>
          <w:szCs w:val="20"/>
          <w:color w:val="auto"/>
        </w:rPr>
      </w:pPr>
    </w:p>
    <w:p>
      <w:pPr>
        <w:sectPr>
          <w:pgSz w:w="11900" w:h="16838" w:orient="portrait"/>
          <w:cols w:equalWidth="0" w:num="2">
            <w:col w:w="2800" w:space="420"/>
            <w:col w:w="5840"/>
          </w:cols>
          <w:pgMar w:left="1420" w:top="118" w:right="1419" w:bottom="1440" w:gutter="0" w:footer="0" w:header="0"/>
          <w:type w:val="continuous"/>
        </w:sectPr>
      </w:pPr>
    </w:p>
    <w:p>
      <w:pPr>
        <w:ind w:left="3240"/>
        <w:spacing w:after="0"/>
        <w:rPr>
          <w:sz w:val="20"/>
          <w:szCs w:val="20"/>
          <w:color w:val="auto"/>
        </w:rPr>
      </w:pPr>
      <w:r>
        <w:rPr>
          <w:rFonts w:ascii="Arial" w:cs="Arial" w:eastAsia="Arial" w:hAnsi="Arial"/>
          <w:sz w:val="22"/>
          <w:szCs w:val="22"/>
          <w:color w:val="auto"/>
        </w:rPr>
        <w:t>1001 Fannin</w:t>
      </w:r>
    </w:p>
    <w:p>
      <w:pPr>
        <w:ind w:left="3240"/>
        <w:spacing w:after="0" w:line="230" w:lineRule="auto"/>
        <w:rPr>
          <w:sz w:val="20"/>
          <w:szCs w:val="20"/>
          <w:color w:val="auto"/>
        </w:rPr>
      </w:pPr>
      <w:r>
        <w:rPr>
          <w:rFonts w:ascii="Arial" w:cs="Arial" w:eastAsia="Arial" w:hAnsi="Arial"/>
          <w:sz w:val="22"/>
          <w:szCs w:val="22"/>
          <w:color w:val="auto"/>
        </w:rPr>
        <w:t>Houston, Texas 77002</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Attention: Chief People Officer</w:t>
      </w:r>
    </w:p>
    <w:p>
      <w:pPr>
        <w:sectPr>
          <w:pgSz w:w="11900" w:h="16838" w:orient="portrait"/>
          <w:cols w:equalWidth="0" w:num="1">
            <w:col w:w="9060"/>
          </w:cols>
          <w:pgMar w:left="1420" w:top="118" w:right="1419" w:bottom="1440" w:gutter="0" w:footer="0" w:header="0"/>
          <w:type w:val="continuous"/>
        </w:sectPr>
      </w:pP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To Executive: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At the address for Executive on file with the Company.</w:t>
      </w:r>
    </w:p>
    <w:p>
      <w:pPr>
        <w:spacing w:after="0" w:line="200" w:lineRule="exact"/>
        <w:rPr>
          <w:sz w:val="20"/>
          <w:szCs w:val="20"/>
          <w:color w:val="auto"/>
        </w:rPr>
      </w:pPr>
    </w:p>
    <w:p>
      <w:pPr>
        <w:sectPr>
          <w:pgSz w:w="11900" w:h="16838" w:orient="portrait"/>
          <w:cols w:equalWidth="0" w:num="2">
            <w:col w:w="2500" w:space="700"/>
            <w:col w:w="5860"/>
          </w:cols>
          <w:pgMar w:left="1420" w:top="118" w:right="1419" w:bottom="1440" w:gutter="0" w:footer="0" w:header="0"/>
          <w:type w:val="continuous"/>
        </w:sectPr>
      </w:pPr>
    </w:p>
    <w:p>
      <w:pPr>
        <w:spacing w:after="0" w:line="35" w:lineRule="exact"/>
        <w:rPr>
          <w:sz w:val="20"/>
          <w:szCs w:val="20"/>
          <w:color w:val="auto"/>
        </w:rPr>
      </w:pPr>
    </w:p>
    <w:p>
      <w:pPr>
        <w:ind w:left="1300" w:hanging="649"/>
        <w:spacing w:after="0"/>
        <w:tabs>
          <w:tab w:leader="none" w:pos="1300" w:val="left"/>
        </w:tabs>
        <w:numPr>
          <w:ilvl w:val="0"/>
          <w:numId w:val="168"/>
        </w:numPr>
        <w:rPr>
          <w:rFonts w:ascii="Arial" w:cs="Arial" w:eastAsia="Arial" w:hAnsi="Arial"/>
          <w:sz w:val="22"/>
          <w:szCs w:val="22"/>
          <w:color w:val="010000"/>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192" w:lineRule="exact"/>
        <w:rPr>
          <w:rFonts w:ascii="Arial" w:cs="Arial" w:eastAsia="Arial" w:hAnsi="Arial"/>
          <w:sz w:val="22"/>
          <w:szCs w:val="22"/>
          <w:color w:val="010000"/>
        </w:rPr>
      </w:pPr>
    </w:p>
    <w:p>
      <w:pPr>
        <w:jc w:val="both"/>
        <w:ind w:firstLine="1299"/>
        <w:spacing w:after="0" w:line="286" w:lineRule="auto"/>
        <w:tabs>
          <w:tab w:leader="none" w:pos="2009" w:val="left"/>
        </w:tabs>
        <w:numPr>
          <w:ilvl w:val="1"/>
          <w:numId w:val="168"/>
        </w:numPr>
        <w:rPr>
          <w:rFonts w:ascii="Arial" w:cs="Arial" w:eastAsia="Arial" w:hAnsi="Arial"/>
          <w:sz w:val="19"/>
          <w:szCs w:val="19"/>
          <w:color w:val="010000"/>
        </w:rPr>
      </w:pPr>
      <w:r>
        <w:rPr>
          <w:rFonts w:ascii="Arial" w:cs="Arial" w:eastAsia="Arial" w:hAnsi="Arial"/>
          <w:sz w:val="19"/>
          <w:szCs w:val="19"/>
          <w:b w:val="1"/>
          <w:bCs w:val="1"/>
          <w:color w:val="auto"/>
        </w:rPr>
        <w:t>Waiver</w:t>
      </w:r>
      <w:r>
        <w:rPr>
          <w:rFonts w:ascii="Arial" w:cs="Arial" w:eastAsia="Arial" w:hAnsi="Arial"/>
          <w:sz w:val="19"/>
          <w:szCs w:val="19"/>
          <w:color w:val="auto"/>
        </w:rPr>
        <w:t>. The failure of a party to insist upon strict adherence to any term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on any occasion shall not be considered a waiver thereof or deprive that party of the right thereafter to insist upon strict adherence to that term or any other term of this Agreement.</w:t>
      </w:r>
    </w:p>
    <w:p>
      <w:pPr>
        <w:spacing w:after="0" w:line="123" w:lineRule="exact"/>
        <w:rPr>
          <w:rFonts w:ascii="Arial" w:cs="Arial" w:eastAsia="Arial" w:hAnsi="Arial"/>
          <w:sz w:val="19"/>
          <w:szCs w:val="19"/>
          <w:color w:val="010000"/>
        </w:rPr>
      </w:pPr>
    </w:p>
    <w:p>
      <w:pPr>
        <w:jc w:val="both"/>
        <w:ind w:firstLine="1299"/>
        <w:spacing w:after="0" w:line="229" w:lineRule="auto"/>
        <w:tabs>
          <w:tab w:leader="none" w:pos="2210" w:val="left"/>
        </w:tabs>
        <w:numPr>
          <w:ilvl w:val="1"/>
          <w:numId w:val="168"/>
        </w:numPr>
        <w:rPr>
          <w:rFonts w:ascii="Arial" w:cs="Arial" w:eastAsia="Arial" w:hAnsi="Arial"/>
          <w:sz w:val="22"/>
          <w:szCs w:val="22"/>
          <w:color w:val="010000"/>
        </w:rPr>
      </w:pPr>
      <w:r>
        <w:rPr>
          <w:rFonts w:ascii="Arial" w:cs="Arial" w:eastAsia="Arial" w:hAnsi="Arial"/>
          <w:sz w:val="22"/>
          <w:szCs w:val="22"/>
          <w:b w:val="1"/>
          <w:bCs w:val="1"/>
          <w:color w:val="auto"/>
        </w:rPr>
        <w:t>Severability</w:t>
      </w:r>
      <w:r>
        <w:rPr>
          <w:rFonts w:ascii="Arial" w:cs="Arial" w:eastAsia="Arial" w:hAnsi="Arial"/>
          <w:sz w:val="22"/>
          <w:szCs w:val="22"/>
          <w:color w:val="auto"/>
        </w:rPr>
        <w:t>. Subject to Section 10 hereof, if any term or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68" w:lineRule="exact"/>
        <w:rPr>
          <w:rFonts w:ascii="Arial" w:cs="Arial" w:eastAsia="Arial" w:hAnsi="Arial"/>
          <w:sz w:val="22"/>
          <w:szCs w:val="22"/>
          <w:color w:val="010000"/>
        </w:rPr>
      </w:pPr>
    </w:p>
    <w:p>
      <w:pPr>
        <w:ind w:firstLine="1299"/>
        <w:spacing w:after="0" w:line="243" w:lineRule="auto"/>
        <w:tabs>
          <w:tab w:leader="none" w:pos="2076" w:val="left"/>
        </w:tabs>
        <w:numPr>
          <w:ilvl w:val="1"/>
          <w:numId w:val="168"/>
        </w:numPr>
        <w:rPr>
          <w:rFonts w:ascii="Arial" w:cs="Arial" w:eastAsia="Arial" w:hAnsi="Arial"/>
          <w:sz w:val="22"/>
          <w:szCs w:val="22"/>
          <w:color w:val="010000"/>
        </w:rPr>
      </w:pPr>
      <w:r>
        <w:rPr>
          <w:rFonts w:ascii="Arial" w:cs="Arial" w:eastAsia="Arial" w:hAnsi="Arial"/>
          <w:sz w:val="22"/>
          <w:szCs w:val="22"/>
          <w:b w:val="1"/>
          <w:bCs w:val="1"/>
          <w:color w:val="auto"/>
        </w:rPr>
        <w:t>Headings</w:t>
      </w:r>
      <w:r>
        <w:rPr>
          <w:rFonts w:ascii="Arial" w:cs="Arial" w:eastAsia="Arial" w:hAnsi="Arial"/>
          <w:sz w:val="22"/>
          <w:szCs w:val="22"/>
          <w:color w:val="auto"/>
        </w:rPr>
        <w:t>. Section headings are used herein for convenience of reference only</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not affect the meaning of any provision of this Agreement.</w:t>
      </w:r>
    </w:p>
    <w:p>
      <w:pPr>
        <w:spacing w:after="0" w:line="163" w:lineRule="exact"/>
        <w:rPr>
          <w:rFonts w:ascii="Arial" w:cs="Arial" w:eastAsia="Arial" w:hAnsi="Arial"/>
          <w:sz w:val="22"/>
          <w:szCs w:val="22"/>
          <w:color w:val="010000"/>
        </w:rPr>
      </w:pPr>
    </w:p>
    <w:p>
      <w:pPr>
        <w:ind w:firstLine="1299"/>
        <w:spacing w:after="0" w:line="243" w:lineRule="auto"/>
        <w:tabs>
          <w:tab w:leader="none" w:pos="2278" w:val="left"/>
        </w:tabs>
        <w:numPr>
          <w:ilvl w:val="1"/>
          <w:numId w:val="168"/>
        </w:numPr>
        <w:rPr>
          <w:rFonts w:ascii="Arial" w:cs="Arial" w:eastAsia="Arial" w:hAnsi="Arial"/>
          <w:sz w:val="22"/>
          <w:szCs w:val="22"/>
          <w:color w:val="010000"/>
        </w:rPr>
      </w:pPr>
      <w:r>
        <w:rPr>
          <w:rFonts w:ascii="Arial" w:cs="Arial" w:eastAsia="Arial" w:hAnsi="Arial"/>
          <w:sz w:val="22"/>
          <w:szCs w:val="22"/>
          <w:b w:val="1"/>
          <w:bCs w:val="1"/>
          <w:color w:val="auto"/>
        </w:rPr>
        <w:t>Rules of Construction</w:t>
      </w:r>
      <w:r>
        <w:rPr>
          <w:rFonts w:ascii="Arial" w:cs="Arial" w:eastAsia="Arial" w:hAnsi="Arial"/>
          <w:sz w:val="22"/>
          <w:szCs w:val="22"/>
          <w:color w:val="auto"/>
        </w:rPr>
        <w:t>. Whenever the context so requires, the use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singular shall be deemed to include the plural and vice versa.</w:t>
      </w:r>
    </w:p>
    <w:p>
      <w:pPr>
        <w:spacing w:after="0" w:line="163" w:lineRule="exact"/>
        <w:rPr>
          <w:rFonts w:ascii="Arial" w:cs="Arial" w:eastAsia="Arial" w:hAnsi="Arial"/>
          <w:sz w:val="22"/>
          <w:szCs w:val="22"/>
          <w:color w:val="010000"/>
        </w:rPr>
      </w:pPr>
    </w:p>
    <w:p>
      <w:pPr>
        <w:jc w:val="both"/>
        <w:ind w:firstLine="1299"/>
        <w:spacing w:after="0" w:line="233" w:lineRule="auto"/>
        <w:tabs>
          <w:tab w:leader="none" w:pos="1995" w:val="left"/>
        </w:tabs>
        <w:numPr>
          <w:ilvl w:val="1"/>
          <w:numId w:val="168"/>
        </w:numPr>
        <w:rPr>
          <w:rFonts w:ascii="Arial" w:cs="Arial" w:eastAsia="Arial" w:hAnsi="Arial"/>
          <w:sz w:val="22"/>
          <w:szCs w:val="22"/>
          <w:color w:val="010000"/>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any number of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so executed shall be deemed to be an original, and such counterparts will together constitute but one Agreement.</w:t>
      </w:r>
    </w:p>
    <w:p>
      <w:pPr>
        <w:spacing w:after="0" w:line="168" w:lineRule="exact"/>
        <w:rPr>
          <w:rFonts w:ascii="Arial" w:cs="Arial" w:eastAsia="Arial" w:hAnsi="Arial"/>
          <w:sz w:val="22"/>
          <w:szCs w:val="22"/>
          <w:color w:val="010000"/>
        </w:rPr>
      </w:pPr>
    </w:p>
    <w:p>
      <w:pPr>
        <w:ind w:left="1300" w:hanging="649"/>
        <w:spacing w:after="0"/>
        <w:tabs>
          <w:tab w:leader="none" w:pos="1300" w:val="left"/>
        </w:tabs>
        <w:numPr>
          <w:ilvl w:val="0"/>
          <w:numId w:val="168"/>
        </w:numPr>
        <w:rPr>
          <w:rFonts w:ascii="Arial" w:cs="Arial" w:eastAsia="Arial" w:hAnsi="Arial"/>
          <w:sz w:val="22"/>
          <w:szCs w:val="22"/>
          <w:color w:val="010000"/>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92" w:lineRule="exact"/>
        <w:rPr>
          <w:rFonts w:ascii="Arial" w:cs="Arial" w:eastAsia="Arial" w:hAnsi="Arial"/>
          <w:sz w:val="22"/>
          <w:szCs w:val="22"/>
          <w:color w:val="010000"/>
        </w:rPr>
      </w:pPr>
    </w:p>
    <w:p>
      <w:pPr>
        <w:jc w:val="both"/>
        <w:ind w:firstLine="1299"/>
        <w:spacing w:after="0" w:line="234" w:lineRule="auto"/>
        <w:tabs>
          <w:tab w:leader="none" w:pos="2198" w:val="left"/>
        </w:tabs>
        <w:numPr>
          <w:ilvl w:val="1"/>
          <w:numId w:val="168"/>
        </w:numPr>
        <w:rPr>
          <w:rFonts w:ascii="Arial" w:cs="Arial" w:eastAsia="Arial" w:hAnsi="Arial"/>
          <w:sz w:val="21"/>
          <w:szCs w:val="21"/>
          <w:color w:val="010000"/>
        </w:rPr>
      </w:pPr>
      <w:r>
        <w:rPr>
          <w:rFonts w:ascii="Arial" w:cs="Arial" w:eastAsia="Arial" w:hAnsi="Arial"/>
          <w:sz w:val="21"/>
          <w:szCs w:val="21"/>
          <w:b w:val="1"/>
          <w:bCs w:val="1"/>
          <w:color w:val="auto"/>
        </w:rPr>
        <w:t>Compliance and Exemption</w:t>
      </w:r>
      <w:r>
        <w:rPr>
          <w:rFonts w:ascii="Arial" w:cs="Arial" w:eastAsia="Arial" w:hAnsi="Arial"/>
          <w:sz w:val="21"/>
          <w:szCs w:val="21"/>
          <w:color w:val="auto"/>
        </w:rPr>
        <w:t>. It is intended that the payments and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under this Agreement shall be exempt from or comply with the application of the requirements of Section 409A of the Internal Revenue Code of 1986, as amended (“Section 409A”). This Agreement shall be construed, administered and governed in a manner that affects such intent. Specifically, any taxable benefits or payments provided under this Agreement are deemed to be separate payments that qualify for the “short-term deferral” exclusion from Section 409A to the maximum extent possible, and to the extent they do not so qualify, are intended to qualify for the “involuntary separation pay” exclusion from Section 409A, to the maximum extent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type w:val="continuous"/>
        </w:sectPr>
      </w:pPr>
    </w:p>
    <w:bookmarkStart w:id="173" w:name="page174"/>
    <w:bookmarkEnd w:id="173"/>
    <w:p>
      <w:pPr>
        <w:jc w:val="both"/>
        <w:spacing w:after="0" w:line="274" w:lineRule="auto"/>
        <w:rPr>
          <w:sz w:val="20"/>
          <w:szCs w:val="20"/>
          <w:color w:val="auto"/>
        </w:rPr>
      </w:pPr>
      <w:r>
        <w:rPr>
          <w:rFonts w:ascii="Arial" w:cs="Arial" w:eastAsia="Arial" w:hAnsi="Arial"/>
          <w:sz w:val="19"/>
          <w:szCs w:val="19"/>
          <w:color w:val="auto"/>
        </w:rPr>
        <w:t>possible. To the extent that none of these exceptions (or any other available exception) applies, then notwithstanding anything contained herein to the contrary, and to the extent required to comply with Section 409A, if Executive is a “specified employee,” as determined by WMI, as of his Termination Date, then all amounts due under this Agreement that constitute a “deferral of compensation” within the meaning of Section 409A, that are provided as a result of a “separation from service” within the meaning of Section 409A, and that would otherwise be paid or provided during the first six months following the Termination Date, shall be accumulated through and paid or provided on the first business day that is more than six months after the date of the Termination Date (or, if Executive dies during such six-month period, within 90 days after Executive’s death).</w:t>
      </w:r>
    </w:p>
    <w:p>
      <w:pPr>
        <w:spacing w:after="0" w:line="154" w:lineRule="exact"/>
        <w:rPr>
          <w:sz w:val="20"/>
          <w:szCs w:val="20"/>
          <w:color w:val="auto"/>
        </w:rPr>
      </w:pPr>
    </w:p>
    <w:p>
      <w:pPr>
        <w:jc w:val="both"/>
        <w:ind w:firstLine="1299"/>
        <w:spacing w:after="0" w:line="275" w:lineRule="auto"/>
        <w:tabs>
          <w:tab w:leader="none" w:pos="2278" w:val="left"/>
        </w:tabs>
        <w:numPr>
          <w:ilvl w:val="0"/>
          <w:numId w:val="169"/>
        </w:numPr>
        <w:rPr>
          <w:rFonts w:ascii="Arial" w:cs="Arial" w:eastAsia="Arial" w:hAnsi="Arial"/>
          <w:sz w:val="19"/>
          <w:szCs w:val="19"/>
          <w:color w:val="010000"/>
        </w:rPr>
      </w:pPr>
      <w:r>
        <w:rPr>
          <w:rFonts w:ascii="Arial" w:cs="Arial" w:eastAsia="Arial" w:hAnsi="Arial"/>
          <w:sz w:val="19"/>
          <w:szCs w:val="19"/>
          <w:b w:val="1"/>
          <w:bCs w:val="1"/>
          <w:color w:val="auto"/>
        </w:rPr>
        <w:t>Reimbursements and In-Kind Benefits</w:t>
      </w:r>
      <w:r>
        <w:rPr>
          <w:rFonts w:ascii="Arial" w:cs="Arial" w:eastAsia="Arial" w:hAnsi="Arial"/>
          <w:sz w:val="19"/>
          <w:szCs w:val="19"/>
          <w:color w:val="auto"/>
        </w:rPr>
        <w:t>. All reimbursements and in kind</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provided under this Agreement shall be made or provided in accordance with the requirements of Section 409A, including, where applicable, the requirement that (i) any reimbursement shall be for expenses incurred during Executive’s lifetime (or during a shorter period of time specified in the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spacing w:after="0" w:line="150" w:lineRule="exact"/>
        <w:rPr>
          <w:rFonts w:ascii="Arial" w:cs="Arial" w:eastAsia="Arial" w:hAnsi="Arial"/>
          <w:sz w:val="19"/>
          <w:szCs w:val="19"/>
          <w:color w:val="010000"/>
        </w:rPr>
      </w:pPr>
    </w:p>
    <w:p>
      <w:pPr>
        <w:jc w:val="both"/>
        <w:ind w:firstLine="1299"/>
        <w:spacing w:after="0" w:line="245" w:lineRule="auto"/>
        <w:tabs>
          <w:tab w:leader="none" w:pos="2022" w:val="left"/>
        </w:tabs>
        <w:numPr>
          <w:ilvl w:val="0"/>
          <w:numId w:val="169"/>
        </w:numPr>
        <w:rPr>
          <w:rFonts w:ascii="Arial" w:cs="Arial" w:eastAsia="Arial" w:hAnsi="Arial"/>
          <w:sz w:val="21"/>
          <w:szCs w:val="21"/>
          <w:color w:val="010000"/>
        </w:rPr>
      </w:pPr>
      <w:r>
        <w:rPr>
          <w:rFonts w:ascii="Arial" w:cs="Arial" w:eastAsia="Arial" w:hAnsi="Arial"/>
          <w:sz w:val="21"/>
          <w:szCs w:val="21"/>
          <w:b w:val="1"/>
          <w:bCs w:val="1"/>
          <w:color w:val="auto"/>
        </w:rPr>
        <w:t>Six Month Delay Period</w:t>
      </w:r>
      <w:r>
        <w:rPr>
          <w:rFonts w:ascii="Arial" w:cs="Arial" w:eastAsia="Arial" w:hAnsi="Arial"/>
          <w:sz w:val="21"/>
          <w:szCs w:val="21"/>
          <w:color w:val="auto"/>
        </w:rPr>
        <w:t>. 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if Executive is determined by WMI on the date of Executive’s separation from service to be a “specified employee” within the meaning of Section 409A(a)(2)(B), and the stock of the Company is publicly traded, then the payments specified as being subject to this Section 20 shall not be made or provided to the extent required by Section 409A until the later of (A) the payment date set forth in this Agreement or (B) the date that is the earliest of (i) the expiration of the six-month period measured from the date of Executive’s separation from service within the meaning of Section 409A, (ii) the date of Executive’s death, or (iii) such other date that complies with, or is exempt from, the requirements of Section 409A (the “Delay Period”). Payments subject to the Delay Period shall be paid to Executive without interest for such delay in payment. All other payments and benefits due under this Agreement that are not subject to the foregoing shall be paid or provided in accordance with the normal payment dates specified for them herein.</w:t>
      </w:r>
    </w:p>
    <w:p>
      <w:pPr>
        <w:spacing w:after="0" w:line="175" w:lineRule="exact"/>
        <w:rPr>
          <w:rFonts w:ascii="Arial" w:cs="Arial" w:eastAsia="Arial" w:hAnsi="Arial"/>
          <w:sz w:val="21"/>
          <w:szCs w:val="21"/>
          <w:color w:val="010000"/>
        </w:rPr>
      </w:pPr>
    </w:p>
    <w:p>
      <w:pPr>
        <w:jc w:val="both"/>
        <w:ind w:firstLine="1299"/>
        <w:spacing w:after="0" w:line="237" w:lineRule="auto"/>
        <w:tabs>
          <w:tab w:leader="none" w:pos="2386" w:val="left"/>
        </w:tabs>
        <w:numPr>
          <w:ilvl w:val="0"/>
          <w:numId w:val="169"/>
        </w:numPr>
        <w:rPr>
          <w:rFonts w:ascii="Arial" w:cs="Arial" w:eastAsia="Arial" w:hAnsi="Arial"/>
          <w:sz w:val="22"/>
          <w:szCs w:val="22"/>
          <w:color w:val="010000"/>
        </w:rPr>
      </w:pPr>
      <w:r>
        <w:rPr>
          <w:rFonts w:ascii="Arial" w:cs="Arial" w:eastAsia="Arial" w:hAnsi="Arial"/>
          <w:sz w:val="22"/>
          <w:szCs w:val="22"/>
          <w:b w:val="1"/>
          <w:bCs w:val="1"/>
          <w:color w:val="auto"/>
        </w:rPr>
        <w:t>Substitution</w:t>
      </w:r>
      <w:r>
        <w:rPr>
          <w:rFonts w:ascii="Arial" w:cs="Arial" w:eastAsia="Arial" w:hAnsi="Arial"/>
          <w:sz w:val="22"/>
          <w:szCs w:val="22"/>
          <w:color w:val="auto"/>
        </w:rPr>
        <w:t>. To the extent any payment or benefit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considered a substitution of previously forfeited or relinquished deferred compensation under Treas. Reg. Section 1.409A-3(f), the payment or benefit payable under this Agreement shall be paid at the same time and on the same schedule that the original deferred compensation would have been paid, unless an exemption applies.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4" w:name="page175"/>
    <w:bookmarkEnd w:id="174"/>
    <w:p>
      <w:pPr>
        <w:ind w:firstLine="648"/>
        <w:spacing w:after="0" w:line="251" w:lineRule="auto"/>
        <w:rPr>
          <w:sz w:val="20"/>
          <w:szCs w:val="20"/>
          <w:color w:val="auto"/>
        </w:rPr>
      </w:pPr>
      <w:r>
        <w:rPr>
          <w:rFonts w:ascii="Arial" w:cs="Arial" w:eastAsia="Arial" w:hAnsi="Arial"/>
          <w:sz w:val="22"/>
          <w:szCs w:val="22"/>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40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CHARLES C. BOETTCHER</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7620</wp:posOffset>
            </wp:positionV>
            <wp:extent cx="29241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Charles C. Boettcher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5" w:name="page176"/>
    <w:bookmarkEnd w:id="175"/>
    <w:p>
      <w:pPr>
        <w:ind w:firstLine="648"/>
        <w:spacing w:after="0" w:line="251" w:lineRule="auto"/>
        <w:rPr>
          <w:sz w:val="20"/>
          <w:szCs w:val="20"/>
          <w:color w:val="auto"/>
        </w:rPr>
      </w:pPr>
      <w:r>
        <w:rPr>
          <w:rFonts w:ascii="Arial" w:cs="Arial" w:eastAsia="Arial" w:hAnsi="Arial"/>
          <w:sz w:val="22"/>
          <w:szCs w:val="22"/>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400" w:lineRule="exact"/>
        <w:rPr>
          <w:sz w:val="20"/>
          <w:szCs w:val="20"/>
          <w:color w:val="auto"/>
        </w:rPr>
      </w:pPr>
    </w:p>
    <w:p>
      <w:pPr>
        <w:ind w:left="4420"/>
        <w:spacing w:after="0"/>
        <w:tabs>
          <w:tab w:leader="none" w:pos="6580" w:val="left"/>
        </w:tabs>
        <w:rPr>
          <w:sz w:val="20"/>
          <w:szCs w:val="20"/>
          <w:color w:val="auto"/>
        </w:rPr>
      </w:pPr>
      <w:r>
        <w:rPr>
          <w:rFonts w:ascii="Arial" w:cs="Arial" w:eastAsia="Arial" w:hAnsi="Arial"/>
          <w:sz w:val="21"/>
          <w:szCs w:val="21"/>
          <w:b w:val="1"/>
          <w:bCs w:val="1"/>
          <w:color w:val="auto"/>
        </w:rPr>
        <w:t>USA</w:t>
      </w:r>
      <w:r>
        <w:rPr>
          <w:sz w:val="20"/>
          <w:szCs w:val="20"/>
          <w:color w:val="auto"/>
        </w:rPr>
        <w:tab/>
      </w:r>
      <w:r>
        <w:rPr>
          <w:rFonts w:ascii="Arial" w:cs="Arial" w:eastAsia="Arial" w:hAnsi="Arial"/>
          <w:sz w:val="21"/>
          <w:szCs w:val="21"/>
          <w:b w:val="1"/>
          <w:bCs w:val="1"/>
          <w:color w:val="auto"/>
        </w:rPr>
        <w:t>WASTE-MANAGEMENT</w:t>
      </w:r>
    </w:p>
    <w:p>
      <w:pPr>
        <w:spacing w:after="0" w:line="16"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RESOURCES, LLC</w:t>
      </w:r>
    </w:p>
    <w:p>
      <w:pPr>
        <w:ind w:left="4420"/>
        <w:spacing w:after="0"/>
        <w:rPr>
          <w:sz w:val="20"/>
          <w:szCs w:val="20"/>
          <w:color w:val="auto"/>
        </w:rPr>
      </w:pPr>
      <w:r>
        <w:rPr>
          <w:rFonts w:ascii="Arial" w:cs="Arial" w:eastAsia="Arial" w:hAnsi="Arial"/>
          <w:sz w:val="22"/>
          <w:szCs w:val="22"/>
          <w:color w:val="auto"/>
        </w:rPr>
        <w:t>(The “Company”)</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7620</wp:posOffset>
            </wp:positionV>
            <wp:extent cx="27012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22"/>
          <w:szCs w:val="22"/>
          <w:color w:val="auto"/>
        </w:rPr>
        <w:t>Courtney A. Tippy</w:t>
      </w:r>
    </w:p>
    <w:p>
      <w:pPr>
        <w:ind w:left="4820"/>
        <w:spacing w:after="0"/>
        <w:rPr>
          <w:sz w:val="20"/>
          <w:szCs w:val="20"/>
          <w:color w:val="auto"/>
        </w:rPr>
      </w:pPr>
      <w:r>
        <w:rPr>
          <w:rFonts w:ascii="Arial" w:cs="Arial" w:eastAsia="Arial" w:hAnsi="Arial"/>
          <w:sz w:val="22"/>
          <w:szCs w:val="22"/>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8159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6521450" cy="8159750"/>
                    </a:xfrm>
                    <a:prstGeom prst="rect">
                      <a:avLst/>
                    </a:prstGeom>
                    <a:noFill/>
                  </pic:spPr>
                </pic:pic>
              </a:graphicData>
            </a:graphic>
          </wp:anchor>
        </w:drawing>
        <w:t>Exhibit 10.37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2017 Long Term Incentive Compensation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Award Agreement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(Mid-Year Award) under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Waste Management, Inc. 2014 Stock Incentive Plan</w:t>
      </w:r>
    </w:p>
    <w:p>
      <w:pPr>
        <w:spacing w:after="0" w:line="20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This Award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effective as of [GrantDate] (the “</w:t>
      </w:r>
      <w:r>
        <w:rPr>
          <w:rFonts w:ascii="Arial" w:cs="Arial" w:eastAsia="Arial" w:hAnsi="Arial"/>
          <w:sz w:val="18"/>
          <w:szCs w:val="18"/>
          <w:b w:val="1"/>
          <w:bCs w:val="1"/>
          <w:color w:val="auto"/>
        </w:rPr>
        <w:t>Grant Date</w:t>
      </w:r>
      <w:r>
        <w:rPr>
          <w:rFonts w:ascii="Arial" w:cs="Arial" w:eastAsia="Arial" w:hAnsi="Arial"/>
          <w:sz w:val="18"/>
          <w:szCs w:val="18"/>
          <w:color w:val="auto"/>
        </w:rPr>
        <w:t>”), by and between Waste Management,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(together with its Subsidiaries and Affiliates, “</w:t>
      </w:r>
      <w:r>
        <w:rPr>
          <w:rFonts w:ascii="Arial" w:cs="Arial" w:eastAsia="Arial" w:hAnsi="Arial"/>
          <w:sz w:val="18"/>
          <w:szCs w:val="18"/>
          <w:b w:val="1"/>
          <w:bCs w:val="1"/>
          <w:color w:val="auto"/>
        </w:rPr>
        <w:t>WM</w:t>
      </w:r>
      <w:r>
        <w:rPr>
          <w:rFonts w:ascii="Arial" w:cs="Arial" w:eastAsia="Arial" w:hAnsi="Arial"/>
          <w:sz w:val="18"/>
          <w:szCs w:val="18"/>
          <w:color w:val="auto"/>
        </w:rPr>
        <w:t>”), and you (“</w:t>
      </w:r>
      <w:r>
        <w:rPr>
          <w:rFonts w:ascii="Arial" w:cs="Arial" w:eastAsia="Arial" w:hAnsi="Arial"/>
          <w:sz w:val="18"/>
          <w:szCs w:val="18"/>
          <w:b w:val="1"/>
          <w:bCs w:val="1"/>
          <w:color w:val="auto"/>
        </w:rPr>
        <w:t>Employee</w:t>
      </w:r>
      <w:r>
        <w:rPr>
          <w:rFonts w:ascii="Arial" w:cs="Arial" w:eastAsia="Arial" w:hAnsi="Arial"/>
          <w:sz w:val="18"/>
          <w:szCs w:val="18"/>
          <w:color w:val="auto"/>
        </w:rPr>
        <w:t>”). At all times, the Awards under this Agreement are subject to the terms and conditions of the Waste Management, Inc. 2014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this Agreement, and all applicable administrative interpretations and practices. A copy of the Plan is available online at </w:t>
      </w:r>
      <w:r>
        <w:rPr>
          <w:rFonts w:ascii="Arial" w:cs="Arial" w:eastAsia="Arial" w:hAnsi="Arial"/>
          <w:sz w:val="18"/>
          <w:szCs w:val="18"/>
          <w:b w:val="1"/>
          <w:bCs w:val="1"/>
          <w:color w:val="000099"/>
        </w:rPr>
        <w:t>http://visor.wm.com</w:t>
      </w:r>
      <w:r>
        <w:rPr>
          <w:rFonts w:ascii="Arial" w:cs="Arial" w:eastAsia="Arial" w:hAnsi="Arial"/>
          <w:sz w:val="18"/>
          <w:szCs w:val="18"/>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Arial" w:cs="Arial" w:eastAsia="Arial" w:hAnsi="Arial"/>
          <w:sz w:val="18"/>
          <w:szCs w:val="18"/>
          <w:b w:val="1"/>
          <w:bCs w:val="1"/>
          <w:u w:val="single" w:color="auto"/>
          <w:color w:val="000099"/>
        </w:rPr>
        <w:t>www.wm.com</w:t>
      </w:r>
      <w:r>
        <w:rPr>
          <w:rFonts w:ascii="Arial" w:cs="Arial" w:eastAsia="Arial" w:hAnsi="Arial"/>
          <w:sz w:val="18"/>
          <w:szCs w:val="18"/>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u w:val="single" w:color="auto"/>
          <w:color w:val="auto"/>
        </w:rPr>
        <w:t>You must execute this Agreement in full, online in accordance with the instructions below, prior to</w:t>
      </w:r>
      <w:r>
        <w:rPr>
          <w:rFonts w:ascii="Arial" w:cs="Arial" w:eastAsia="Arial" w:hAnsi="Arial"/>
          <w:sz w:val="20"/>
          <w:szCs w:val="20"/>
          <w:b w:val="1"/>
          <w:bCs w:val="1"/>
          <w:color w:val="auto"/>
        </w:rPr>
        <w:t xml:space="preserve"> [AcceptByDate], </w:t>
      </w:r>
      <w:r>
        <w:rPr>
          <w:rFonts w:ascii="Arial" w:cs="Arial" w:eastAsia="Arial" w:hAnsi="Arial"/>
          <w:sz w:val="20"/>
          <w:szCs w:val="20"/>
          <w:b w:val="1"/>
          <w:bCs w:val="1"/>
          <w:u w:val="single" w:color="auto"/>
          <w:color w:val="auto"/>
        </w:rPr>
        <w:t>in order for this Agreement to become effective</w:t>
      </w:r>
      <w:r>
        <w:rPr>
          <w:rFonts w:ascii="Arial" w:cs="Arial" w:eastAsia="Arial" w:hAnsi="Arial"/>
          <w:sz w:val="20"/>
          <w:szCs w:val="20"/>
          <w:b w:val="1"/>
          <w:bCs w:val="1"/>
          <w:color w:val="auto"/>
        </w:rPr>
        <w:t>. If you do not execute this Agreement by correctly following the instructions below, your Awards may be cancelled.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Important Instructions for Executing this Agreement</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 xml:space="preserve">If you have previously received a stock-based incentive award, simply log on to </w:t>
      </w:r>
      <w:r>
        <w:rPr>
          <w:rFonts w:ascii="Arial" w:cs="Arial" w:eastAsia="Arial" w:hAnsi="Arial"/>
          <w:sz w:val="19"/>
          <w:szCs w:val="19"/>
          <w:b w:val="1"/>
          <w:bCs w:val="1"/>
          <w:u w:val="single" w:color="auto"/>
          <w:color w:val="000099"/>
        </w:rPr>
        <w:t>www.mywmtotalrewards.com</w:t>
      </w:r>
      <w:r>
        <w:rPr>
          <w:rFonts w:ascii="Arial" w:cs="Arial" w:eastAsia="Arial" w:hAnsi="Arial"/>
          <w:sz w:val="19"/>
          <w:szCs w:val="19"/>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9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Arial" w:cs="Arial" w:eastAsia="Arial" w:hAnsi="Arial"/>
          <w:sz w:val="19"/>
          <w:szCs w:val="19"/>
          <w:b w:val="1"/>
          <w:bCs w:val="1"/>
          <w:u w:val="single" w:color="auto"/>
          <w:color w:val="000099"/>
        </w:rPr>
        <w:t>www.mywmtotalrewards.com</w:t>
      </w:r>
      <w:r>
        <w:rPr>
          <w:rFonts w:ascii="Arial" w:cs="Arial" w:eastAsia="Arial" w:hAnsi="Arial"/>
          <w:sz w:val="19"/>
          <w:szCs w:val="19"/>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Arial" w:cs="Arial" w:eastAsia="Arial" w:hAnsi="Arial"/>
          <w:sz w:val="19"/>
          <w:szCs w:val="19"/>
          <w:b w:val="1"/>
          <w:bCs w:val="1"/>
          <w:u w:val="single" w:color="auto"/>
          <w:color w:val="000099"/>
        </w:rPr>
        <w:t>www.benefits.ml.com</w:t>
      </w:r>
      <w:r>
        <w:rPr>
          <w:rFonts w:ascii="Arial" w:cs="Arial" w:eastAsia="Arial" w:hAnsi="Arial"/>
          <w:sz w:val="19"/>
          <w:szCs w:val="19"/>
          <w:color w:val="auto"/>
        </w:rPr>
        <w:t>. Once logged in, follow the prompts to “Open a Brokerage Account”. When you have successfully created your account, follow the online instructions and complete all of the steps required to accept the award.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Restricted Stock Units</w:t>
      </w:r>
    </w:p>
    <w:p>
      <w:pPr>
        <w:spacing w:after="0" w:line="249" w:lineRule="exact"/>
        <w:rPr>
          <w:sz w:val="20"/>
          <w:szCs w:val="20"/>
          <w:color w:val="auto"/>
        </w:rPr>
      </w:pPr>
    </w:p>
    <w:p>
      <w:pPr>
        <w:ind w:left="340" w:right="100" w:hanging="333"/>
        <w:spacing w:after="0" w:line="244" w:lineRule="auto"/>
        <w:tabs>
          <w:tab w:leader="none" w:pos="362"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RSU Grant</w:t>
      </w:r>
      <w:r>
        <w:rPr>
          <w:rFonts w:ascii="Arial" w:cs="Arial" w:eastAsia="Arial" w:hAnsi="Arial"/>
          <w:sz w:val="20"/>
          <w:szCs w:val="20"/>
          <w:color w:val="auto"/>
        </w:rPr>
        <w:t>. The Company grants to Employee the number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i w:val="1"/>
          <w:iCs w:val="1"/>
          <w:color w:val="auto"/>
        </w:rPr>
        <w:t>”</w:t>
      </w:r>
      <w:r>
        <w:rPr>
          <w:rFonts w:ascii="Arial" w:cs="Arial" w:eastAsia="Arial" w:hAnsi="Arial"/>
          <w:sz w:val="20"/>
          <w:szCs w:val="20"/>
          <w:color w:val="auto"/>
        </w:rPr>
        <w:t>) provided in the Notice of Long Term Incentive Award dated [GrantDate]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RSUs are notational units of measurement denominated in shares of common stock of the Company, $.01 par value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Each RSU represents a hypothetical share of Common Stock. Upon your timely execution of this Agreement, WM will credit your RSUs to an unfunded bookkeeping account for you.</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259080</wp:posOffset>
            </wp:positionV>
            <wp:extent cx="63887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40"/>
          </w:cols>
          <w:pgMar w:left="1080" w:top="625" w:right="1079" w:bottom="1440" w:gutter="0" w:footer="0" w:header="0"/>
        </w:sectPr>
      </w:pPr>
    </w:p>
    <w:bookmarkStart w:id="177" w:name="page178"/>
    <w:bookmarkEnd w:id="177"/>
    <w:p>
      <w:pPr>
        <w:ind w:left="340" w:right="60" w:hanging="333"/>
        <w:spacing w:after="0" w:line="244" w:lineRule="auto"/>
        <w:tabs>
          <w:tab w:leader="none" w:pos="362"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77565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6521450" cy="7756525"/>
                    </a:xfrm>
                    <a:prstGeom prst="rect">
                      <a:avLst/>
                    </a:prstGeom>
                    <a:noFill/>
                  </pic:spPr>
                </pic:pic>
              </a:graphicData>
            </a:graphic>
          </wp:anchor>
        </w:drawing>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vest entirely on the third (3</w:t>
      </w:r>
      <w:r>
        <w:rPr>
          <w:rFonts w:ascii="Arial" w:cs="Arial" w:eastAsia="Arial" w:hAnsi="Arial"/>
          <w:sz w:val="10"/>
          <w:szCs w:val="10"/>
          <w:color w:val="auto"/>
        </w:rPr>
        <w:t>rd</w:t>
      </w:r>
      <w:r>
        <w:rPr>
          <w:rFonts w:ascii="Arial" w:cs="Arial" w:eastAsia="Arial" w:hAnsi="Arial"/>
          <w:sz w:val="20"/>
          <w:szCs w:val="20"/>
          <w:color w:val="auto"/>
        </w:rPr>
        <w:t xml:space="preserve">) anniversary of the Grant Date, unless earlier vested or forfeited under this Agreement. The date of vesting is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xml:space="preserve">. Except as otherwise provided herein, your RSUs generally vest only if you are continuously employed from the Grant Date to the Vesting Date, subject to the exceptions discussed below. The period of time from the Grant Date (inclusive) to the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127" w:lineRule="exact"/>
        <w:rPr>
          <w:rFonts w:ascii="Arial" w:cs="Arial" w:eastAsia="Arial" w:hAnsi="Arial"/>
          <w:sz w:val="20"/>
          <w:szCs w:val="20"/>
          <w:color w:val="auto"/>
        </w:rPr>
      </w:pPr>
    </w:p>
    <w:p>
      <w:pPr>
        <w:ind w:left="340" w:right="40" w:hanging="333"/>
        <w:spacing w:after="0" w:line="291" w:lineRule="auto"/>
        <w:tabs>
          <w:tab w:leader="none" w:pos="362"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 of RSU Award</w:t>
      </w:r>
      <w:r>
        <w:rPr>
          <w:rFonts w:ascii="Arial" w:cs="Arial" w:eastAsia="Arial" w:hAnsi="Arial"/>
          <w:sz w:val="18"/>
          <w:szCs w:val="18"/>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Important Award Details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Your RSU Awards under this Agreement are subject to important terms and conditions set forth below. Please read them carefully and seek advice from your own legal and tax advisors before executing this Agreement.</w:t>
      </w:r>
    </w:p>
    <w:p>
      <w:pPr>
        <w:spacing w:after="0" w:line="109" w:lineRule="exact"/>
        <w:rPr>
          <w:sz w:val="20"/>
          <w:szCs w:val="20"/>
          <w:color w:val="auto"/>
        </w:rPr>
      </w:pPr>
    </w:p>
    <w:p>
      <w:pPr>
        <w:ind w:left="340" w:hanging="333"/>
        <w:spacing w:after="0" w:line="276" w:lineRule="auto"/>
        <w:tabs>
          <w:tab w:leader="none" w:pos="36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specifically Section 409A (a)(2)(C)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97" w:lineRule="exact"/>
        <w:rPr>
          <w:rFonts w:ascii="Arial" w:cs="Arial" w:eastAsia="Arial" w:hAnsi="Arial"/>
          <w:sz w:val="18"/>
          <w:szCs w:val="18"/>
          <w:color w:val="auto"/>
        </w:rPr>
      </w:pPr>
    </w:p>
    <w:p>
      <w:pPr>
        <w:ind w:left="360" w:hanging="353"/>
        <w:spacing w:after="0"/>
        <w:tabs>
          <w:tab w:leader="none" w:pos="36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Retirement; Involuntary Termination of Employment Without Cause by WM</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660" w:hanging="329"/>
        <w:spacing w:after="0" w:line="274" w:lineRule="auto"/>
        <w:tabs>
          <w:tab w:leader="none" w:pos="671"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RSU Award</w:t>
      </w:r>
      <w:r>
        <w:rPr>
          <w:rFonts w:ascii="Arial" w:cs="Arial" w:eastAsia="Arial" w:hAnsi="Arial"/>
          <w:sz w:val="18"/>
          <w:szCs w:val="18"/>
          <w:color w:val="auto"/>
        </w:rPr>
        <w:t>. Upon Employee’s Retirement (as defined below) or an involuntary Termination of Employment by WM without Cause, Employee shall be entitled to the amount of RSUs and any related Dividend Equivalents on such RSUs through the Vesting Date that Employee would have been entitled to under this Agreement if Employee had remained employed until the Vesting Date multiplied by the fraction which has as its numerator the total number of days that Employee was employed by WM during the period beginning on the Grant Date and ending on the date of Termination of Employment and has as its denominator 1096, which shall be issued and paid no later than 74 days following the normal Vesting Date (i.e. the three-year anniversary of the Grant Date).</w:t>
      </w:r>
    </w:p>
    <w:p>
      <w:pPr>
        <w:spacing w:after="0" w:line="101" w:lineRule="exact"/>
        <w:rPr>
          <w:rFonts w:ascii="Arial" w:cs="Arial" w:eastAsia="Arial" w:hAnsi="Arial"/>
          <w:sz w:val="18"/>
          <w:szCs w:val="18"/>
          <w:color w:val="auto"/>
        </w:rPr>
      </w:pPr>
    </w:p>
    <w:p>
      <w:pPr>
        <w:ind w:left="680" w:hanging="349"/>
        <w:spacing w:after="0"/>
        <w:tabs>
          <w:tab w:leader="none" w:pos="6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the event Employee is employed by a subsidiary of the Company that is sold by the Company in a transaction</w:t>
      </w:r>
    </w:p>
    <w:p>
      <w:pPr>
        <w:spacing w:after="0" w:line="38" w:lineRule="exact"/>
        <w:rPr>
          <w:rFonts w:ascii="Arial" w:cs="Arial" w:eastAsia="Arial" w:hAnsi="Arial"/>
          <w:sz w:val="18"/>
          <w:szCs w:val="18"/>
          <w:color w:val="auto"/>
        </w:rPr>
      </w:pPr>
    </w:p>
    <w:p>
      <w:pPr>
        <w:ind w:left="660" w:right="40" w:hanging="4"/>
        <w:spacing w:after="0"/>
        <w:tabs>
          <w:tab w:leader="none" w:pos="896" w:val="left"/>
        </w:tabs>
        <w:numPr>
          <w:ilvl w:val="2"/>
          <w:numId w:val="172"/>
        </w:numPr>
        <w:rPr>
          <w:rFonts w:ascii="Arial" w:cs="Arial" w:eastAsia="Arial" w:hAnsi="Arial"/>
          <w:sz w:val="20"/>
          <w:szCs w:val="20"/>
          <w:color w:val="auto"/>
        </w:rPr>
      </w:pPr>
      <w:r>
        <w:rPr>
          <w:rFonts w:ascii="Arial" w:cs="Arial" w:eastAsia="Arial" w:hAnsi="Arial"/>
          <w:sz w:val="20"/>
          <w:szCs w:val="20"/>
          <w:color w:val="auto"/>
        </w:rPr>
        <w:t>that would not constitute a Change in Control of the Company within the meaning of paragraph 5.d.i. below, but (ii) that would constitute a Change in Control of the subsidiary within the meaning of paragraph 5.d.i.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30" w:lineRule="exact"/>
        <w:rPr>
          <w:rFonts w:ascii="Arial" w:cs="Arial" w:eastAsia="Arial" w:hAnsi="Arial"/>
          <w:sz w:val="20"/>
          <w:szCs w:val="20"/>
          <w:color w:val="auto"/>
        </w:rPr>
      </w:pPr>
    </w:p>
    <w:p>
      <w:pPr>
        <w:ind w:left="660" w:hanging="329"/>
        <w:spacing w:after="0"/>
        <w:tabs>
          <w:tab w:leader="none" w:pos="660" w:val="left"/>
        </w:tabs>
        <w:numPr>
          <w:ilvl w:val="1"/>
          <w:numId w:val="172"/>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148" w:lineRule="exact"/>
        <w:rPr>
          <w:rFonts w:ascii="Arial" w:cs="Arial" w:eastAsia="Arial" w:hAnsi="Arial"/>
          <w:sz w:val="20"/>
          <w:szCs w:val="20"/>
          <w:color w:val="auto"/>
        </w:rPr>
      </w:pPr>
    </w:p>
    <w:p>
      <w:pPr>
        <w:ind w:left="1300" w:right="260" w:hanging="320"/>
        <w:spacing w:after="0" w:line="244" w:lineRule="auto"/>
        <w:tabs>
          <w:tab w:leader="none" w:pos="1328" w:val="left"/>
        </w:tabs>
        <w:numPr>
          <w:ilvl w:val="3"/>
          <w:numId w:val="17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after Employee (1) has reached age 55 or greater; (2) has a sum of age plus years of Service (as defined in paragraph ii. below) with WM equal to 65 or greater; and (3) has completed at least 5 consecutive full years of Service with WM during the 5 year period immediately preceding the resignation.</w:t>
      </w:r>
    </w:p>
    <w:p>
      <w:pPr>
        <w:spacing w:after="0" w:line="127" w:lineRule="exact"/>
        <w:rPr>
          <w:rFonts w:ascii="Arial" w:cs="Arial" w:eastAsia="Arial" w:hAnsi="Arial"/>
          <w:sz w:val="20"/>
          <w:szCs w:val="20"/>
          <w:color w:val="auto"/>
        </w:rPr>
      </w:pPr>
    </w:p>
    <w:p>
      <w:pPr>
        <w:ind w:left="1300" w:right="20" w:hanging="320"/>
        <w:spacing w:after="0" w:line="291" w:lineRule="auto"/>
        <w:tabs>
          <w:tab w:leader="none" w:pos="1333" w:val="left"/>
        </w:tabs>
        <w:numPr>
          <w:ilvl w:val="3"/>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w:t>
      </w:r>
      <w:r>
        <w:rPr>
          <w:rFonts w:ascii="Arial" w:cs="Arial" w:eastAsia="Arial" w:hAnsi="Arial"/>
          <w:sz w:val="18"/>
          <w:szCs w:val="18"/>
          <w:color w:val="auto"/>
        </w:rPr>
        <w:t>is measured from Employee’s original date of hire by WM, except as provided below. In the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break of employment by Employee from WM of one year or more in length, Employee’s service before the break of employment is not considered Service. Service with an entity acquired by WM is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259080</wp:posOffset>
            </wp:positionV>
            <wp:extent cx="638873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40"/>
          </w:cols>
          <w:pgMar w:left="1080" w:top="636" w:right="1079" w:bottom="1440" w:gutter="0" w:footer="0" w:header="0"/>
        </w:sectPr>
      </w:pPr>
    </w:p>
    <w:bookmarkStart w:id="178" w:name="page179"/>
    <w:bookmarkEnd w:id="178"/>
    <w:p>
      <w:pPr>
        <w:ind w:left="1293" w:right="120"/>
        <w:spacing w:after="0" w:line="26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82022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6521450" cy="8202295"/>
                    </a:xfrm>
                    <a:prstGeom prst="rect">
                      <a:avLst/>
                    </a:prstGeom>
                    <a:noFill/>
                  </pic:spPr>
                </pic:pic>
              </a:graphicData>
            </a:graphic>
          </wp:anchor>
        </w:drawing>
        <w:t>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63" w:lineRule="exact"/>
        <w:rPr>
          <w:sz w:val="20"/>
          <w:szCs w:val="20"/>
          <w:color w:val="auto"/>
        </w:rPr>
      </w:pPr>
    </w:p>
    <w:p>
      <w:pPr>
        <w:ind w:left="333" w:right="20" w:hanging="333"/>
        <w:spacing w:after="0" w:line="276" w:lineRule="auto"/>
        <w:tabs>
          <w:tab w:leader="none" w:pos="35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Other Reasons</w:t>
      </w:r>
      <w:r>
        <w:rPr>
          <w:rFonts w:ascii="Arial" w:cs="Arial" w:eastAsia="Arial" w:hAnsi="Arial"/>
          <w:sz w:val="18"/>
          <w:szCs w:val="18"/>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151" w:lineRule="exact"/>
        <w:rPr>
          <w:rFonts w:ascii="Arial" w:cs="Arial" w:eastAsia="Arial" w:hAnsi="Arial"/>
          <w:sz w:val="18"/>
          <w:szCs w:val="18"/>
          <w:color w:val="auto"/>
        </w:rPr>
      </w:pPr>
    </w:p>
    <w:p>
      <w:pPr>
        <w:ind w:left="353" w:hanging="353"/>
        <w:spacing w:after="0"/>
        <w:tabs>
          <w:tab w:leader="none" w:pos="353"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53" w:hanging="329"/>
        <w:spacing w:after="0" w:line="256" w:lineRule="auto"/>
        <w:tabs>
          <w:tab w:leader="none" w:pos="664"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9"/>
          <w:szCs w:val="19"/>
          <w:b w:val="1"/>
          <w:bCs w:val="1"/>
          <w:i w:val="1"/>
          <w:iCs w:val="1"/>
          <w:color w:val="auto"/>
        </w:rPr>
        <w:t>Misconduct</w:t>
      </w:r>
      <w:r>
        <w:rPr>
          <w:rFonts w:ascii="Arial" w:cs="Arial" w:eastAsia="Arial" w:hAnsi="Arial"/>
          <w:sz w:val="19"/>
          <w:szCs w:val="19"/>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9"/>
          <w:szCs w:val="19"/>
          <w:b w:val="1"/>
          <w:bCs w:val="1"/>
          <w:i w:val="1"/>
          <w:iCs w:val="1"/>
          <w:color w:val="auto"/>
        </w:rPr>
        <w:t>Independent Third Party</w:t>
      </w:r>
      <w:r>
        <w:rPr>
          <w:rFonts w:ascii="Arial" w:cs="Arial" w:eastAsia="Arial" w:hAnsi="Arial"/>
          <w:sz w:val="19"/>
          <w:szCs w:val="19"/>
          <w:color w:val="auto"/>
        </w:rPr>
        <w:t>) appointed by the Committee.</w:t>
      </w:r>
    </w:p>
    <w:p>
      <w:pPr>
        <w:spacing w:after="0" w:line="167" w:lineRule="exact"/>
        <w:rPr>
          <w:rFonts w:ascii="Arial" w:cs="Arial" w:eastAsia="Arial" w:hAnsi="Arial"/>
          <w:sz w:val="19"/>
          <w:szCs w:val="19"/>
          <w:color w:val="auto"/>
        </w:rPr>
      </w:pPr>
    </w:p>
    <w:p>
      <w:pPr>
        <w:ind w:left="653" w:right="120" w:hanging="329"/>
        <w:spacing w:after="0" w:line="263" w:lineRule="auto"/>
        <w:tabs>
          <w:tab w:leader="none" w:pos="675" w:val="left"/>
        </w:tabs>
        <w:numPr>
          <w:ilvl w:val="1"/>
          <w:numId w:val="173"/>
        </w:numPr>
        <w:rPr>
          <w:rFonts w:ascii="Arial" w:cs="Arial" w:eastAsia="Arial" w:hAnsi="Arial"/>
          <w:sz w:val="19"/>
          <w:szCs w:val="19"/>
          <w:color w:val="auto"/>
        </w:rPr>
      </w:pPr>
      <w:r>
        <w:rPr>
          <w:rFonts w:ascii="Arial" w:cs="Arial" w:eastAsia="Arial" w:hAnsi="Arial"/>
          <w:sz w:val="19"/>
          <w:szCs w:val="19"/>
          <w:color w:val="auto"/>
        </w:rPr>
        <w:t>Following a determination of Misconduct by Employee, Employee may dispute such determination pursuant to binding arbitration as set forth in paragraph 18 under “</w:t>
      </w:r>
      <w:r>
        <w:rPr>
          <w:rFonts w:ascii="Arial" w:cs="Arial" w:eastAsia="Arial" w:hAnsi="Arial"/>
          <w:sz w:val="19"/>
          <w:szCs w:val="19"/>
          <w:b w:val="1"/>
          <w:bCs w:val="1"/>
          <w:color w:val="00B050"/>
        </w:rPr>
        <w:t>General Terms</w:t>
      </w:r>
      <w:r>
        <w:rPr>
          <w:rFonts w:ascii="Arial" w:cs="Arial" w:eastAsia="Arial" w:hAnsi="Arial"/>
          <w:sz w:val="19"/>
          <w:szCs w:val="19"/>
          <w:color w:val="auto"/>
        </w:rPr>
        <w:t>” provided, however, that if Employee is determined to have benefited from, but not engaged in, Misconduct, Employee will have no right to dispute such determination and such determination shall be conclusive and binding.</w:t>
      </w:r>
    </w:p>
    <w:p>
      <w:pPr>
        <w:spacing w:after="0" w:line="163" w:lineRule="exact"/>
        <w:rPr>
          <w:rFonts w:ascii="Arial" w:cs="Arial" w:eastAsia="Arial" w:hAnsi="Arial"/>
          <w:sz w:val="19"/>
          <w:szCs w:val="19"/>
          <w:color w:val="auto"/>
        </w:rPr>
      </w:pPr>
    </w:p>
    <w:p>
      <w:pPr>
        <w:ind w:left="653" w:right="240" w:hanging="329"/>
        <w:spacing w:after="0" w:line="287" w:lineRule="auto"/>
        <w:tabs>
          <w:tab w:leader="none" w:pos="66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WM must initiate recovery pursuant to this paragraph 4 by the earliest of (i) one year after discovery of alleged Misconduct, or (ii) the second anniversary of Employee’s Termination of Employment.</w:t>
      </w:r>
    </w:p>
    <w:p>
      <w:pPr>
        <w:spacing w:after="0" w:line="139" w:lineRule="exact"/>
        <w:rPr>
          <w:rFonts w:ascii="Arial" w:cs="Arial" w:eastAsia="Arial" w:hAnsi="Arial"/>
          <w:sz w:val="19"/>
          <w:szCs w:val="19"/>
          <w:color w:val="auto"/>
        </w:rPr>
      </w:pPr>
    </w:p>
    <w:p>
      <w:pPr>
        <w:ind w:left="653" w:right="360" w:hanging="329"/>
        <w:spacing w:after="0" w:line="287" w:lineRule="auto"/>
        <w:tabs>
          <w:tab w:leader="none" w:pos="671" w:val="left"/>
        </w:tabs>
        <w:numPr>
          <w:ilvl w:val="1"/>
          <w:numId w:val="173"/>
        </w:numPr>
        <w:rPr>
          <w:rFonts w:ascii="Arial" w:cs="Arial" w:eastAsia="Arial" w:hAnsi="Arial"/>
          <w:sz w:val="19"/>
          <w:szCs w:val="19"/>
          <w:color w:val="auto"/>
        </w:rPr>
      </w:pPr>
      <w:r>
        <w:rPr>
          <w:rFonts w:ascii="Arial" w:cs="Arial" w:eastAsia="Arial" w:hAnsi="Arial"/>
          <w:sz w:val="19"/>
          <w:szCs w:val="19"/>
          <w:color w:val="auto"/>
        </w:rPr>
        <w:t>The provisions of this paragraph 4, without any implication as to any other provision of this Agreement, shall survive the expiration or termination of this Agreement and Employee’s employment.</w:t>
      </w:r>
    </w:p>
    <w:p>
      <w:pPr>
        <w:spacing w:after="0" w:line="139" w:lineRule="exact"/>
        <w:rPr>
          <w:rFonts w:ascii="Arial" w:cs="Arial" w:eastAsia="Arial" w:hAnsi="Arial"/>
          <w:sz w:val="19"/>
          <w:szCs w:val="19"/>
          <w:color w:val="auto"/>
        </w:rPr>
      </w:pPr>
    </w:p>
    <w:p>
      <w:pPr>
        <w:ind w:left="333" w:hanging="333"/>
        <w:spacing w:after="0" w:line="271" w:lineRule="auto"/>
        <w:tabs>
          <w:tab w:leader="none" w:pos="35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Acceleration of Vesting upon Change in Control</w:t>
      </w:r>
      <w:r>
        <w:rPr>
          <w:rFonts w:ascii="Arial" w:cs="Arial" w:eastAsia="Arial" w:hAnsi="Arial"/>
          <w:sz w:val="18"/>
          <w:szCs w:val="18"/>
          <w:color w:val="auto"/>
        </w:rPr>
        <w:t>. If there is Change in Control prior to the close of the Restriction Period, all outstanding but unvested RSUs will be immediately vested in full and, along with all associated Dividend Equivalents up to the original Vesting Date, will be due and payable within 74 days following such original Vesting Date, unless the successor entity assumes all RSU Awards granted under the Plan and converts the awards to equivalent grants in the successor effective as of the Change in Control.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 time or (ii) in the case of Retirement or involuntary Termination of Employment without Cause, within 74 days following the original Vesting Date.</w:t>
      </w:r>
    </w:p>
    <w:p>
      <w:pPr>
        <w:spacing w:after="0" w:line="157" w:lineRule="exact"/>
        <w:rPr>
          <w:rFonts w:ascii="Arial" w:cs="Arial" w:eastAsia="Arial" w:hAnsi="Arial"/>
          <w:sz w:val="18"/>
          <w:szCs w:val="18"/>
          <w:color w:val="auto"/>
        </w:rPr>
      </w:pPr>
    </w:p>
    <w:p>
      <w:pPr>
        <w:ind w:left="813" w:right="1680" w:hanging="489"/>
        <w:spacing w:after="0" w:line="472" w:lineRule="auto"/>
        <w:tabs>
          <w:tab w:leader="none" w:pos="65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The following terms shall have the meanings set forth below for purposes of this Agreement: i.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means the first to occur of any of the following:</w:t>
      </w:r>
    </w:p>
    <w:p>
      <w:pPr>
        <w:spacing w:after="0" w:line="189" w:lineRule="exact"/>
        <w:rPr>
          <w:sz w:val="20"/>
          <w:szCs w:val="20"/>
          <w:color w:val="auto"/>
        </w:rPr>
      </w:pPr>
    </w:p>
    <w:p>
      <w:pPr>
        <w:jc w:val="center"/>
        <w:ind w:right="-32"/>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259080</wp:posOffset>
            </wp:positionV>
            <wp:extent cx="638873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693"/>
          </w:cols>
          <w:pgMar w:left="1087" w:top="636" w:right="1119" w:bottom="1440" w:gutter="0" w:footer="0" w:header="0"/>
        </w:sectPr>
      </w:pPr>
    </w:p>
    <w:bookmarkStart w:id="179" w:name="page180"/>
    <w:bookmarkEnd w:id="179"/>
    <w:p>
      <w:pPr>
        <w:ind w:left="1620" w:right="60" w:hanging="316"/>
        <w:spacing w:after="0" w:line="244" w:lineRule="auto"/>
        <w:tabs>
          <w:tab w:leader="none" w:pos="1642" w:val="left"/>
        </w:tabs>
        <w:numPr>
          <w:ilvl w:val="0"/>
          <w:numId w:val="17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79025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6521450" cy="7902575"/>
                    </a:xfrm>
                    <a:prstGeom prst="rect">
                      <a:avLst/>
                    </a:prstGeom>
                    <a:noFill/>
                  </pic:spPr>
                </pic:pic>
              </a:graphicData>
            </a:graphic>
          </wp:anchor>
        </w:drawing>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113" w:lineRule="exact"/>
        <w:rPr>
          <w:rFonts w:ascii="Arial" w:cs="Arial" w:eastAsia="Arial" w:hAnsi="Arial"/>
          <w:sz w:val="20"/>
          <w:szCs w:val="20"/>
          <w:color w:val="auto"/>
        </w:rPr>
      </w:pPr>
    </w:p>
    <w:p>
      <w:pPr>
        <w:ind w:left="1620" w:right="60" w:hanging="316"/>
        <w:spacing w:after="0" w:line="260" w:lineRule="auto"/>
        <w:tabs>
          <w:tab w:leader="none" w:pos="164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9" w:lineRule="exact"/>
        <w:rPr>
          <w:rFonts w:ascii="Arial" w:cs="Arial" w:eastAsia="Arial" w:hAnsi="Arial"/>
          <w:sz w:val="19"/>
          <w:szCs w:val="19"/>
          <w:color w:val="auto"/>
        </w:rPr>
      </w:pPr>
    </w:p>
    <w:p>
      <w:pPr>
        <w:ind w:left="1620" w:right="20" w:hanging="316"/>
        <w:spacing w:after="0" w:line="242" w:lineRule="auto"/>
        <w:tabs>
          <w:tab w:leader="none" w:pos="164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following individuals cease for any reason to constitute a majority of the number of directors then serving: individuals who, at the Grant Date, constitute the Board of Directors of the Company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114" w:lineRule="exact"/>
        <w:rPr>
          <w:rFonts w:ascii="Arial" w:cs="Arial" w:eastAsia="Arial" w:hAnsi="Arial"/>
          <w:sz w:val="20"/>
          <w:szCs w:val="20"/>
          <w:color w:val="auto"/>
        </w:rPr>
      </w:pPr>
    </w:p>
    <w:p>
      <w:pPr>
        <w:ind w:left="1620" w:hanging="316"/>
        <w:spacing w:after="0" w:line="255" w:lineRule="auto"/>
        <w:tabs>
          <w:tab w:leader="none" w:pos="164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107"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in each of cases 1 through 4, that in the event the award or portion of the award is determined to constitute a non-exempt “deferral of compensation” pursuant to Section 409A, to the extent necessary to avoid the imposition of any penalties or additional tax under Section 409A, with respect to such award or portion of award the Change of Control event must </w:t>
      </w:r>
      <w:r>
        <w:rPr>
          <w:rFonts w:ascii="Arial" w:cs="Arial" w:eastAsia="Arial" w:hAnsi="Arial"/>
          <w:sz w:val="20"/>
          <w:szCs w:val="20"/>
          <w:color w:val="auto"/>
          <w:highlight w:val="white"/>
        </w:rPr>
        <w:t>also constitute a “change in the ownership of a corporation,” a “change in the effective control of a</w:t>
      </w:r>
      <w:r>
        <w:rPr>
          <w:rFonts w:ascii="Arial" w:cs="Arial" w:eastAsia="Arial" w:hAnsi="Arial"/>
          <w:sz w:val="20"/>
          <w:szCs w:val="20"/>
          <w:color w:val="auto"/>
        </w:rPr>
        <w:t xml:space="preserve"> </w:t>
      </w:r>
      <w:r>
        <w:rPr>
          <w:rFonts w:ascii="Arial" w:cs="Arial" w:eastAsia="Arial" w:hAnsi="Arial"/>
          <w:sz w:val="20"/>
          <w:szCs w:val="20"/>
          <w:color w:val="auto"/>
          <w:highlight w:val="white"/>
        </w:rPr>
        <w:t>corporation,” or a “change in the ownership of a substantial portion of a corporation’s assets,” in each case, within the meaning of Section 409A.</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of this definition, the following terms shall have the following meanings:</w:t>
      </w:r>
    </w:p>
    <w:p>
      <w:pPr>
        <w:spacing w:after="0" w:line="121" w:lineRule="exact"/>
        <w:rPr>
          <w:sz w:val="20"/>
          <w:szCs w:val="20"/>
          <w:color w:val="auto"/>
        </w:rPr>
      </w:pPr>
    </w:p>
    <w:p>
      <w:pPr>
        <w:ind w:left="1960" w:right="320" w:firstLine="640"/>
        <w:spacing w:after="0" w:line="260" w:lineRule="auto"/>
        <w:tabs>
          <w:tab w:leader="none" w:pos="3229" w:val="left"/>
        </w:tabs>
        <w:numPr>
          <w:ilvl w:val="1"/>
          <w:numId w:val="1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Securities and Exchange Act of 1934, as amended from time to time; and</w:t>
      </w:r>
    </w:p>
    <w:p>
      <w:pPr>
        <w:spacing w:after="0" w:line="95" w:lineRule="exact"/>
        <w:rPr>
          <w:rFonts w:ascii="Arial" w:cs="Arial" w:eastAsia="Arial" w:hAnsi="Arial"/>
          <w:sz w:val="20"/>
          <w:szCs w:val="20"/>
          <w:color w:val="auto"/>
        </w:rPr>
      </w:pPr>
    </w:p>
    <w:p>
      <w:pPr>
        <w:ind w:left="1960" w:right="40" w:firstLine="640"/>
        <w:spacing w:after="0" w:line="275" w:lineRule="auto"/>
        <w:tabs>
          <w:tab w:leader="none" w:pos="321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set forth in Section 3(a)(9) of the Exchange Act, as modified and used in Sections 13(d) and 14(d) thereof, except that such term shall not include</w:t>
      </w:r>
    </w:p>
    <w:p>
      <w:pPr>
        <w:ind w:left="1960" w:right="380" w:hanging="8"/>
        <w:spacing w:after="0" w:line="332" w:lineRule="auto"/>
        <w:tabs>
          <w:tab w:leader="none" w:pos="22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 (2) a trustee or other fiduciary holding securities under an employee benefit plan of the Company, (3) an employee benefit plan of the Company, (4) an underwriter temporarily holding securities pursuant to an offering of such securities or (5) a corporation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250825</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40"/>
          </w:cols>
          <w:pgMar w:left="1080" w:top="636" w:right="1079" w:bottom="1440" w:gutter="0" w:footer="0" w:header="0"/>
        </w:sectPr>
      </w:pPr>
    </w:p>
    <w:bookmarkStart w:id="180" w:name="page181"/>
    <w:bookmarkEnd w:id="180"/>
    <w:p>
      <w:pPr>
        <w:ind w:left="1953" w:right="5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78422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6521450" cy="7842250"/>
                    </a:xfrm>
                    <a:prstGeom prst="rect">
                      <a:avLst/>
                    </a:prstGeom>
                    <a:noFill/>
                  </pic:spPr>
                </pic:pic>
              </a:graphicData>
            </a:graphic>
          </wp:anchor>
        </w:drawing>
        <w:t>owned, directly or indirectly, by the stockholders of the Company in substantially the same proportions as their ownership of shares of Common Stock.</w:t>
      </w:r>
    </w:p>
    <w:p>
      <w:pPr>
        <w:spacing w:after="0" w:line="109" w:lineRule="exact"/>
        <w:rPr>
          <w:sz w:val="20"/>
          <w:szCs w:val="20"/>
          <w:color w:val="auto"/>
        </w:rPr>
      </w:pPr>
    </w:p>
    <w:p>
      <w:pPr>
        <w:ind w:left="1133" w:right="60" w:hanging="316"/>
        <w:spacing w:after="0" w:line="276" w:lineRule="auto"/>
        <w:tabs>
          <w:tab w:leader="none" w:pos="1117" w:val="left"/>
        </w:tabs>
        <w:numPr>
          <w:ilvl w:val="1"/>
          <w:numId w:val="1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of Employment </w:t>
      </w:r>
      <w:r>
        <w:rPr>
          <w:rFonts w:ascii="Arial" w:cs="Arial" w:eastAsia="Arial" w:hAnsi="Arial"/>
          <w:sz w:val="18"/>
          <w:szCs w:val="18"/>
          <w:color w:val="auto"/>
        </w:rPr>
        <w:t>means the termination of Employee’s employment or other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97" w:lineRule="exact"/>
        <w:rPr>
          <w:rFonts w:ascii="Arial" w:cs="Arial" w:eastAsia="Arial" w:hAnsi="Arial"/>
          <w:sz w:val="18"/>
          <w:szCs w:val="18"/>
          <w:color w:val="auto"/>
        </w:rPr>
      </w:pPr>
    </w:p>
    <w:p>
      <w:pPr>
        <w:ind w:left="1133" w:hanging="316"/>
        <w:spacing w:after="0" w:line="271" w:lineRule="auto"/>
        <w:tabs>
          <w:tab w:leader="none" w:pos="1171" w:val="left"/>
        </w:tabs>
        <w:numPr>
          <w:ilvl w:val="1"/>
          <w:numId w:val="17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Cause </w:t>
      </w:r>
      <w:r>
        <w:rPr>
          <w:rFonts w:ascii="Arial" w:cs="Arial" w:eastAsia="Arial" w:hAnsi="Arial"/>
          <w:sz w:val="18"/>
          <w:szCs w:val="18"/>
          <w:color w:val="auto"/>
        </w:rPr>
        <w:t>means any of the following: (1) willful or deliberate and continual refusal to materially perform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Employee’s </w:t>
      </w:r>
      <w:r>
        <w:rPr>
          <w:rFonts w:ascii="Arial" w:cs="Arial" w:eastAsia="Arial" w:hAnsi="Arial"/>
          <w:sz w:val="18"/>
          <w:szCs w:val="18"/>
          <w:b w:val="1"/>
          <w:bCs w:val="1"/>
          <w:i w:val="1"/>
          <w:iCs w:val="1"/>
          <w:color w:val="auto"/>
        </w:rPr>
        <w:t>duties</w:t>
      </w:r>
      <w:r>
        <w:rPr>
          <w:rFonts w:ascii="Arial" w:cs="Arial" w:eastAsia="Arial" w:hAnsi="Arial"/>
          <w:sz w:val="18"/>
          <w:szCs w:val="18"/>
          <w:color w:val="auto"/>
        </w:rPr>
        <w:t xml:space="preserve">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(4) Employee willfully or intentionally caused material injury to WM, its property, or its assets; (5) Employee disclosed to unauthorized person(s) proprietary or confidential information of WM that causes a material injury to WM; (6) any material violation or a repeated and willful violation of WM’s policies or procedures, including but not limited to, WM’s Code of Business Conduct and Ethics (or any successor policy) then in effect.</w:t>
      </w:r>
    </w:p>
    <w:p>
      <w:pPr>
        <w:spacing w:after="0" w:line="107" w:lineRule="exact"/>
        <w:rPr>
          <w:rFonts w:ascii="Arial" w:cs="Arial" w:eastAsia="Arial" w:hAnsi="Arial"/>
          <w:sz w:val="18"/>
          <w:szCs w:val="18"/>
          <w:color w:val="auto"/>
        </w:rPr>
      </w:pPr>
    </w:p>
    <w:p>
      <w:pPr>
        <w:ind w:left="1133" w:right="20" w:hanging="316"/>
        <w:spacing w:after="0" w:line="250" w:lineRule="auto"/>
        <w:tabs>
          <w:tab w:leader="none" w:pos="1148" w:val="left"/>
        </w:tabs>
        <w:numPr>
          <w:ilvl w:val="1"/>
          <w:numId w:val="17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on which a Change in Control first occurs and ending on the second anniversary of the date on which a Change in Control occurs.</w:t>
      </w:r>
    </w:p>
    <w:p>
      <w:pPr>
        <w:spacing w:after="0" w:line="118" w:lineRule="exact"/>
        <w:rPr>
          <w:rFonts w:ascii="Arial" w:cs="Arial" w:eastAsia="Arial" w:hAnsi="Arial"/>
          <w:sz w:val="20"/>
          <w:szCs w:val="20"/>
          <w:color w:val="auto"/>
        </w:rPr>
      </w:pPr>
    </w:p>
    <w:p>
      <w:pPr>
        <w:ind w:left="333" w:right="80" w:hanging="333"/>
        <w:spacing w:after="0" w:line="256" w:lineRule="auto"/>
        <w:tabs>
          <w:tab w:leader="none" w:pos="405"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Dividend Equivalents</w:t>
      </w:r>
      <w:r>
        <w:rPr>
          <w:rFonts w:ascii="Arial" w:cs="Arial" w:eastAsia="Arial" w:hAnsi="Arial"/>
          <w:sz w:val="19"/>
          <w:szCs w:val="19"/>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RSUs as soon as administratively feasible (and no later than 74 days) following the original Vesting Date.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102" w:lineRule="exact"/>
        <w:rPr>
          <w:sz w:val="20"/>
          <w:szCs w:val="20"/>
          <w:color w:val="auto"/>
        </w:rPr>
      </w:pPr>
    </w:p>
    <w:p>
      <w:pPr>
        <w:jc w:val="center"/>
        <w:ind w:right="-32"/>
        <w:spacing w:after="0"/>
        <w:rPr>
          <w:sz w:val="20"/>
          <w:szCs w:val="20"/>
          <w:color w:val="auto"/>
        </w:rPr>
      </w:pPr>
      <w:r>
        <w:rPr>
          <w:rFonts w:ascii="Arial" w:cs="Arial" w:eastAsia="Arial" w:hAnsi="Arial"/>
          <w:sz w:val="29"/>
          <w:szCs w:val="29"/>
          <w:b w:val="1"/>
          <w:bCs w:val="1"/>
          <w:color w:val="auto"/>
        </w:rPr>
        <w:t>General Terms</w:t>
      </w:r>
    </w:p>
    <w:p>
      <w:pPr>
        <w:spacing w:after="0" w:line="168" w:lineRule="exact"/>
        <w:rPr>
          <w:sz w:val="20"/>
          <w:szCs w:val="20"/>
          <w:color w:val="auto"/>
        </w:rPr>
      </w:pPr>
    </w:p>
    <w:p>
      <w:pPr>
        <w:ind w:left="393" w:hanging="393"/>
        <w:spacing w:after="0"/>
        <w:tabs>
          <w:tab w:leader="none" w:pos="393"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653" w:right="20" w:hanging="329"/>
        <w:spacing w:after="0" w:line="282" w:lineRule="auto"/>
        <w:tabs>
          <w:tab w:leader="none" w:pos="65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94" w:lineRule="exact"/>
        <w:rPr>
          <w:rFonts w:ascii="Arial" w:cs="Arial" w:eastAsia="Arial" w:hAnsi="Arial"/>
          <w:sz w:val="18"/>
          <w:szCs w:val="18"/>
          <w:color w:val="auto"/>
        </w:rPr>
      </w:pPr>
    </w:p>
    <w:p>
      <w:pPr>
        <w:ind w:left="653" w:hanging="329"/>
        <w:spacing w:after="0" w:line="276" w:lineRule="auto"/>
        <w:tabs>
          <w:tab w:leader="none" w:pos="67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w:t>
      </w:r>
    </w:p>
    <w:p>
      <w:pPr>
        <w:spacing w:after="0" w:line="382" w:lineRule="exact"/>
        <w:rPr>
          <w:sz w:val="20"/>
          <w:szCs w:val="20"/>
          <w:color w:val="auto"/>
        </w:rPr>
      </w:pPr>
    </w:p>
    <w:p>
      <w:pPr>
        <w:jc w:val="center"/>
        <w:ind w:right="-32"/>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250825</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93"/>
          </w:cols>
          <w:pgMar w:left="1087" w:top="636" w:right="1119" w:bottom="1440" w:gutter="0" w:footer="0" w:header="0"/>
        </w:sectPr>
      </w:pPr>
    </w:p>
    <w:bookmarkStart w:id="181" w:name="page182"/>
    <w:bookmarkEnd w:id="181"/>
    <w:p>
      <w:pPr>
        <w:ind w:left="660" w:right="40"/>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8194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6521450" cy="8194040"/>
                    </a:xfrm>
                    <a:prstGeom prst="rect">
                      <a:avLst/>
                    </a:prstGeom>
                    <a:noFill/>
                  </pic:spPr>
                </pic:pic>
              </a:graphicData>
            </a:graphic>
          </wp:anchor>
        </w:drawing>
        <w:t>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205" w:lineRule="exact"/>
        <w:rPr>
          <w:sz w:val="20"/>
          <w:szCs w:val="20"/>
          <w:color w:val="auto"/>
        </w:rPr>
      </w:pPr>
    </w:p>
    <w:p>
      <w:pPr>
        <w:ind w:left="360" w:hanging="353"/>
        <w:spacing w:after="0"/>
        <w:tabs>
          <w:tab w:leader="none" w:pos="36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No fractional shares of Common Stock will be issued under the Plan or this Agreement.</w:t>
      </w:r>
    </w:p>
    <w:p>
      <w:pPr>
        <w:spacing w:after="0" w:line="240" w:lineRule="exact"/>
        <w:rPr>
          <w:rFonts w:ascii="Arial" w:cs="Arial" w:eastAsia="Arial" w:hAnsi="Arial"/>
          <w:sz w:val="19"/>
          <w:szCs w:val="19"/>
          <w:color w:val="auto"/>
        </w:rPr>
      </w:pPr>
    </w:p>
    <w:p>
      <w:pPr>
        <w:ind w:left="340" w:right="40" w:hanging="333"/>
        <w:spacing w:after="0" w:line="274" w:lineRule="auto"/>
        <w:tabs>
          <w:tab w:leader="none" w:pos="36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Employee agrees that Employee is responsible for federal, state and local tax consequences associated with the RSU Awards (and any associated Dividend Equivalents) under this Agreement. Upon the occurrence of a taxable event with respect to any RSU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82" w:lineRule="exact"/>
        <w:rPr>
          <w:rFonts w:ascii="Arial" w:cs="Arial" w:eastAsia="Arial" w:hAnsi="Arial"/>
          <w:sz w:val="18"/>
          <w:szCs w:val="18"/>
          <w:color w:val="auto"/>
        </w:rPr>
      </w:pPr>
    </w:p>
    <w:p>
      <w:pPr>
        <w:ind w:left="340" w:hanging="333"/>
        <w:spacing w:after="0" w:line="242" w:lineRule="auto"/>
        <w:tabs>
          <w:tab w:leader="none" w:pos="362"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RSU Award are being acquired for investment and not with a view to sale or distribution.</w:t>
      </w:r>
    </w:p>
    <w:p>
      <w:pPr>
        <w:spacing w:after="0" w:line="211" w:lineRule="exact"/>
        <w:rPr>
          <w:sz w:val="20"/>
          <w:szCs w:val="20"/>
          <w:color w:val="auto"/>
        </w:rPr>
      </w:pPr>
    </w:p>
    <w:p>
      <w:pPr>
        <w:ind w:left="340" w:right="20"/>
        <w:spacing w:after="0" w:line="269" w:lineRule="auto"/>
        <w:rPr>
          <w:sz w:val="20"/>
          <w:szCs w:val="20"/>
          <w:color w:val="auto"/>
        </w:rPr>
      </w:pPr>
      <w:r>
        <w:rPr>
          <w:rFonts w:ascii="Arial" w:cs="Arial" w:eastAsia="Arial" w:hAnsi="Arial"/>
          <w:sz w:val="18"/>
          <w:szCs w:val="18"/>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RSU Award after the Employee’s death is entitled to do so; (c) establishment of Employee’s compliance with any necessary representations or terms and conditions of the Plan or this Agreement, or</w:t>
      </w:r>
    </w:p>
    <w:p>
      <w:pPr>
        <w:spacing w:after="0" w:line="4" w:lineRule="exact"/>
        <w:rPr>
          <w:sz w:val="20"/>
          <w:szCs w:val="20"/>
          <w:color w:val="auto"/>
        </w:rPr>
      </w:pPr>
    </w:p>
    <w:p>
      <w:pPr>
        <w:ind w:left="620" w:hanging="289"/>
        <w:spacing w:after="0"/>
        <w:tabs>
          <w:tab w:leader="none" w:pos="62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compliance with any federal, state, or local tax withholding obligations.</w:t>
      </w:r>
    </w:p>
    <w:p>
      <w:pPr>
        <w:spacing w:after="0" w:line="213" w:lineRule="exact"/>
        <w:rPr>
          <w:rFonts w:ascii="Arial" w:cs="Arial" w:eastAsia="Arial" w:hAnsi="Arial"/>
          <w:sz w:val="20"/>
          <w:szCs w:val="20"/>
          <w:color w:val="auto"/>
        </w:rPr>
      </w:pPr>
    </w:p>
    <w:p>
      <w:pPr>
        <w:ind w:left="340" w:right="120" w:hanging="333"/>
        <w:spacing w:after="0" w:line="278" w:lineRule="auto"/>
        <w:tabs>
          <w:tab w:leader="none" w:pos="36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RSU Award prior to the date on which Employee is recorded as the holder of such shares of Common Stock on the records of the Company, including no right to dividends declared on the Common Stock underlying the RSU Award. Notwithstanding the foregoing, Dividend Equivalents shall be paid to Employee in accordance with and subject to the terms of paragraph 7 under “</w:t>
      </w:r>
      <w:r>
        <w:rPr>
          <w:rFonts w:ascii="Arial" w:cs="Arial" w:eastAsia="Arial" w:hAnsi="Arial"/>
          <w:sz w:val="18"/>
          <w:szCs w:val="18"/>
          <w:b w:val="1"/>
          <w:bCs w:val="1"/>
          <w:color w:val="00B050"/>
        </w:rPr>
        <w:t>Important Award Details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340" w:hanging="333"/>
        <w:spacing w:after="0" w:line="257" w:lineRule="auto"/>
        <w:tabs>
          <w:tab w:leader="none" w:pos="416"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 under “</w:t>
      </w:r>
      <w:r>
        <w:rPr>
          <w:rFonts w:ascii="Arial" w:cs="Arial" w:eastAsia="Arial" w:hAnsi="Arial"/>
          <w:sz w:val="19"/>
          <w:szCs w:val="19"/>
          <w:b w:val="1"/>
          <w:bCs w:val="1"/>
          <w:color w:val="00B050"/>
        </w:rPr>
        <w:t>Important Award Details</w:t>
      </w:r>
      <w:r>
        <w:rPr>
          <w:rFonts w:ascii="Arial" w:cs="Arial" w:eastAsia="Arial" w:hAnsi="Arial"/>
          <w:sz w:val="19"/>
          <w:szCs w:val="19"/>
          <w:color w:val="auto"/>
        </w:rPr>
        <w:t>.”</w:t>
      </w:r>
    </w:p>
    <w:p>
      <w:pPr>
        <w:spacing w:after="0" w:line="194" w:lineRule="exact"/>
        <w:rPr>
          <w:rFonts w:ascii="Arial" w:cs="Arial" w:eastAsia="Arial" w:hAnsi="Arial"/>
          <w:sz w:val="19"/>
          <w:szCs w:val="19"/>
          <w:color w:val="auto"/>
        </w:rPr>
      </w:pPr>
    </w:p>
    <w:p>
      <w:pPr>
        <w:ind w:left="360" w:hanging="353"/>
        <w:spacing w:after="0"/>
        <w:tabs>
          <w:tab w:leader="none" w:pos="360"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29" w:lineRule="exact"/>
        <w:rPr>
          <w:sz w:val="20"/>
          <w:szCs w:val="20"/>
          <w:color w:val="auto"/>
        </w:rPr>
      </w:pPr>
    </w:p>
    <w:p>
      <w:pPr>
        <w:ind w:left="660" w:hanging="329"/>
        <w:spacing w:after="0" w:line="260" w:lineRule="auto"/>
        <w:tabs>
          <w:tab w:leader="none" w:pos="83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RSU Awards other than in the sole discretion of the Committee;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259080</wp:posOffset>
            </wp:positionV>
            <wp:extent cx="638873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40"/>
          </w:cols>
          <w:pgMar w:left="1080" w:top="636" w:right="1079" w:bottom="1440" w:gutter="0" w:footer="0" w:header="0"/>
        </w:sectPr>
      </w:pPr>
    </w:p>
    <w:bookmarkStart w:id="182" w:name="page183"/>
    <w:bookmarkEnd w:id="182"/>
    <w:p>
      <w:pPr>
        <w:jc w:val="both"/>
        <w:ind w:left="660" w:hanging="329"/>
        <w:spacing w:after="0" w:line="269" w:lineRule="auto"/>
        <w:tabs>
          <w:tab w:leader="none" w:pos="706" w:val="left"/>
        </w:tabs>
        <w:numPr>
          <w:ilvl w:val="1"/>
          <w:numId w:val="18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81083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6521450" cy="8108315"/>
                    </a:xfrm>
                    <a:prstGeom prst="rect">
                      <a:avLst/>
                    </a:prstGeom>
                    <a:noFill/>
                  </pic:spPr>
                </pic:pic>
              </a:graphicData>
            </a:graphic>
          </wp:anchor>
        </w:drawing>
        <w:t>give Employee or any other person any interest in any fund or in any specified asset or assets of WM (other than the RSU Awards made by this Agreement, the related Dividend Equivalents awarded under this Agreement, and any Common Stock issuable under the terms and conditions of such RSU Awards); or</w:t>
      </w:r>
    </w:p>
    <w:p>
      <w:pPr>
        <w:spacing w:after="0" w:line="102" w:lineRule="exact"/>
        <w:rPr>
          <w:rFonts w:ascii="Arial" w:cs="Arial" w:eastAsia="Arial" w:hAnsi="Arial"/>
          <w:sz w:val="19"/>
          <w:szCs w:val="19"/>
          <w:color w:val="auto"/>
        </w:rPr>
      </w:pPr>
    </w:p>
    <w:p>
      <w:pPr>
        <w:ind w:left="660" w:hanging="329"/>
        <w:spacing w:after="0"/>
        <w:tabs>
          <w:tab w:leader="none" w:pos="660" w:val="left"/>
        </w:tabs>
        <w:numPr>
          <w:ilvl w:val="1"/>
          <w:numId w:val="184"/>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134" w:lineRule="exact"/>
        <w:rPr>
          <w:rFonts w:ascii="Arial" w:cs="Arial" w:eastAsia="Arial" w:hAnsi="Arial"/>
          <w:sz w:val="20"/>
          <w:szCs w:val="20"/>
          <w:color w:val="auto"/>
        </w:rPr>
      </w:pPr>
    </w:p>
    <w:p>
      <w:pPr>
        <w:ind w:left="340" w:right="20" w:hanging="333"/>
        <w:spacing w:after="0" w:line="260" w:lineRule="auto"/>
        <w:tabs>
          <w:tab w:leader="none" w:pos="362"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09" w:lineRule="exact"/>
        <w:rPr>
          <w:rFonts w:ascii="Arial" w:cs="Arial" w:eastAsia="Arial" w:hAnsi="Arial"/>
          <w:sz w:val="20"/>
          <w:szCs w:val="20"/>
          <w:color w:val="auto"/>
        </w:rPr>
      </w:pPr>
    </w:p>
    <w:p>
      <w:pPr>
        <w:ind w:left="340" w:right="100" w:hanging="333"/>
        <w:spacing w:after="0" w:line="260" w:lineRule="auto"/>
        <w:tabs>
          <w:tab w:leader="none" w:pos="362"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09" w:lineRule="exact"/>
        <w:rPr>
          <w:rFonts w:ascii="Arial" w:cs="Arial" w:eastAsia="Arial" w:hAnsi="Arial"/>
          <w:sz w:val="20"/>
          <w:szCs w:val="20"/>
          <w:color w:val="auto"/>
        </w:rPr>
      </w:pPr>
    </w:p>
    <w:p>
      <w:pPr>
        <w:ind w:left="660" w:right="20" w:hanging="329"/>
        <w:spacing w:after="0" w:line="271" w:lineRule="auto"/>
        <w:tabs>
          <w:tab w:leader="none" w:pos="67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Employee understands and agrees that the RSU Awards granted under this Agreement are granted under the authority of the Plan and these RSU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07" w:lineRule="exact"/>
        <w:rPr>
          <w:rFonts w:ascii="Arial" w:cs="Arial" w:eastAsia="Arial" w:hAnsi="Arial"/>
          <w:sz w:val="18"/>
          <w:szCs w:val="18"/>
          <w:color w:val="auto"/>
        </w:rPr>
      </w:pPr>
    </w:p>
    <w:p>
      <w:pPr>
        <w:jc w:val="both"/>
        <w:ind w:left="660" w:right="20" w:hanging="329"/>
        <w:spacing w:after="0" w:line="250" w:lineRule="auto"/>
        <w:tabs>
          <w:tab w:leader="none" w:pos="701" w:val="left"/>
        </w:tabs>
        <w:numPr>
          <w:ilvl w:val="1"/>
          <w:numId w:val="185"/>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18" w:lineRule="exact"/>
        <w:rPr>
          <w:rFonts w:ascii="Arial" w:cs="Arial" w:eastAsia="Arial" w:hAnsi="Arial"/>
          <w:sz w:val="20"/>
          <w:szCs w:val="20"/>
          <w:color w:val="auto"/>
        </w:rPr>
      </w:pPr>
    </w:p>
    <w:p>
      <w:pPr>
        <w:jc w:val="both"/>
        <w:ind w:left="660" w:hanging="329"/>
        <w:spacing w:after="0" w:line="291" w:lineRule="auto"/>
        <w:tabs>
          <w:tab w:leader="none" w:pos="71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4" w:lineRule="exact"/>
        <w:rPr>
          <w:rFonts w:ascii="Arial" w:cs="Arial" w:eastAsia="Arial" w:hAnsi="Arial"/>
          <w:sz w:val="18"/>
          <w:szCs w:val="18"/>
          <w:color w:val="auto"/>
        </w:rPr>
      </w:pPr>
    </w:p>
    <w:p>
      <w:pPr>
        <w:ind w:left="340" w:right="260" w:hanging="333"/>
        <w:spacing w:after="0" w:line="250" w:lineRule="auto"/>
        <w:tabs>
          <w:tab w:leader="none" w:pos="362"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18" w:lineRule="exact"/>
        <w:rPr>
          <w:rFonts w:ascii="Arial" w:cs="Arial" w:eastAsia="Arial" w:hAnsi="Arial"/>
          <w:sz w:val="20"/>
          <w:szCs w:val="20"/>
          <w:color w:val="auto"/>
        </w:rPr>
      </w:pPr>
    </w:p>
    <w:p>
      <w:pPr>
        <w:ind w:left="340" w:right="320" w:hanging="333"/>
        <w:spacing w:after="0" w:line="328" w:lineRule="auto"/>
        <w:tabs>
          <w:tab w:leader="none" w:pos="35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Covenant Requirement Essential Part of RSU Award</w:t>
      </w:r>
      <w:r>
        <w:rPr>
          <w:rFonts w:ascii="Arial" w:cs="Arial" w:eastAsia="Arial" w:hAnsi="Arial"/>
          <w:sz w:val="16"/>
          <w:szCs w:val="16"/>
          <w:color w:val="auto"/>
        </w:rPr>
        <w:t>. An overriding condition (even if any other provision of the Plan and this Agreement are conflicting) for Employee to receive any benefit from or payment of any RSU Award under this Agreement, is that Employee must also have entered into an agreement containing restrictive covenants concerning limitations on Employee’s behavior following termination of employment that is satisfactory to WM.</w:t>
      </w:r>
    </w:p>
    <w:p>
      <w:pPr>
        <w:spacing w:after="0" w:line="61" w:lineRule="exact"/>
        <w:rPr>
          <w:rFonts w:ascii="Arial" w:cs="Arial" w:eastAsia="Arial" w:hAnsi="Arial"/>
          <w:sz w:val="16"/>
          <w:szCs w:val="16"/>
          <w:color w:val="auto"/>
        </w:rPr>
      </w:pPr>
    </w:p>
    <w:p>
      <w:pPr>
        <w:ind w:left="360" w:hanging="353"/>
        <w:spacing w:after="0"/>
        <w:tabs>
          <w:tab w:leader="none" w:pos="36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148" w:lineRule="exact"/>
        <w:rPr>
          <w:rFonts w:ascii="Arial" w:cs="Arial" w:eastAsia="Arial" w:hAnsi="Arial"/>
          <w:sz w:val="20"/>
          <w:szCs w:val="20"/>
          <w:color w:val="auto"/>
        </w:rPr>
      </w:pPr>
    </w:p>
    <w:p>
      <w:pPr>
        <w:ind w:left="340" w:right="20" w:hanging="333"/>
        <w:spacing w:after="0" w:line="271" w:lineRule="auto"/>
        <w:tabs>
          <w:tab w:leader="none" w:pos="362"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259080</wp:posOffset>
            </wp:positionV>
            <wp:extent cx="638873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40"/>
          </w:cols>
          <w:pgMar w:left="1080" w:top="636" w:right="1079" w:bottom="1440" w:gutter="0" w:footer="0" w:header="0"/>
        </w:sectPr>
      </w:pPr>
    </w:p>
    <w:bookmarkStart w:id="183" w:name="page184"/>
    <w:bookmarkEnd w:id="183"/>
    <w:p>
      <w:pPr>
        <w:ind w:left="333"/>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8082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521450" cy="8082280"/>
                    </a:xfrm>
                    <a:prstGeom prst="rect">
                      <a:avLst/>
                    </a:prstGeom>
                    <a:noFill/>
                  </pic:spPr>
                </pic:pic>
              </a:graphicData>
            </a:graphic>
          </wp:anchor>
        </w:drawing>
        <w:t>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14" w:lineRule="exact"/>
        <w:rPr>
          <w:sz w:val="20"/>
          <w:szCs w:val="20"/>
          <w:color w:val="auto"/>
        </w:rPr>
      </w:pPr>
    </w:p>
    <w:p>
      <w:pPr>
        <w:ind w:left="333" w:hanging="333"/>
        <w:spacing w:after="0" w:line="255" w:lineRule="auto"/>
        <w:tabs>
          <w:tab w:leader="none" w:pos="35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Use of Personal Data</w:t>
      </w:r>
      <w:r>
        <w:rPr>
          <w:rFonts w:ascii="Arial" w:cs="Arial" w:eastAsia="Arial" w:hAnsi="Arial"/>
          <w:sz w:val="19"/>
          <w:szCs w:val="19"/>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15" w:lineRule="exact"/>
        <w:rPr>
          <w:rFonts w:ascii="Arial" w:cs="Arial" w:eastAsia="Arial" w:hAnsi="Arial"/>
          <w:sz w:val="19"/>
          <w:szCs w:val="19"/>
          <w:color w:val="auto"/>
        </w:rPr>
      </w:pPr>
    </w:p>
    <w:p>
      <w:pPr>
        <w:ind w:left="333" w:right="100" w:hanging="333"/>
        <w:spacing w:after="0" w:line="246" w:lineRule="auto"/>
        <w:tabs>
          <w:tab w:leader="none" w:pos="355"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24" w:lineRule="exact"/>
        <w:rPr>
          <w:rFonts w:ascii="Arial" w:cs="Arial" w:eastAsia="Arial" w:hAnsi="Arial"/>
          <w:sz w:val="20"/>
          <w:szCs w:val="20"/>
          <w:color w:val="auto"/>
        </w:rPr>
      </w:pPr>
    </w:p>
    <w:p>
      <w:pPr>
        <w:ind w:left="333" w:right="120" w:hanging="333"/>
        <w:spacing w:after="0" w:line="278" w:lineRule="auto"/>
        <w:tabs>
          <w:tab w:leader="none" w:pos="355"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97" w:lineRule="exact"/>
        <w:rPr>
          <w:rFonts w:ascii="Arial" w:cs="Arial" w:eastAsia="Arial" w:hAnsi="Arial"/>
          <w:sz w:val="18"/>
          <w:szCs w:val="18"/>
          <w:color w:val="auto"/>
        </w:rPr>
      </w:pPr>
    </w:p>
    <w:p>
      <w:pPr>
        <w:ind w:left="333" w:right="20" w:hanging="333"/>
        <w:spacing w:after="0" w:line="260" w:lineRule="auto"/>
        <w:tabs>
          <w:tab w:leader="none" w:pos="35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113" w:lineRule="exact"/>
        <w:rPr>
          <w:rFonts w:ascii="Arial" w:cs="Arial" w:eastAsia="Arial" w:hAnsi="Arial"/>
          <w:sz w:val="19"/>
          <w:szCs w:val="19"/>
          <w:color w:val="auto"/>
        </w:rPr>
      </w:pPr>
    </w:p>
    <w:p>
      <w:pPr>
        <w:ind w:left="333" w:right="200" w:hanging="333"/>
        <w:spacing w:after="0" w:line="255" w:lineRule="auto"/>
        <w:tabs>
          <w:tab w:leader="none" w:pos="35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Binding Arbitration</w:t>
      </w:r>
      <w:r>
        <w:rPr>
          <w:rFonts w:ascii="Arial" w:cs="Arial" w:eastAsia="Arial" w:hAnsi="Arial"/>
          <w:sz w:val="19"/>
          <w:szCs w:val="19"/>
          <w:color w:val="auto"/>
        </w:rPr>
        <w:t>.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w:t>
      </w:r>
      <w:r>
        <w:rPr>
          <w:rFonts w:ascii="Arial" w:cs="Arial" w:eastAsia="Arial" w:hAnsi="Arial"/>
          <w:sz w:val="19"/>
          <w:szCs w:val="19"/>
          <w:b w:val="1"/>
          <w:bCs w:val="1"/>
          <w:color w:val="00B050"/>
        </w:rPr>
        <w:t>Important Award Details</w:t>
      </w:r>
      <w:r>
        <w:rPr>
          <w:rFonts w:ascii="Arial" w:cs="Arial" w:eastAsia="Arial" w:hAnsi="Arial"/>
          <w:sz w:val="19"/>
          <w:szCs w:val="19"/>
          <w:color w:val="auto"/>
        </w:rPr>
        <w:t xml:space="preserve">”), the Company and Employee agree that such dispute shall be settled exclusively by final and binding arbitration, as governed by the Federal Arbitration Act (9 U.S.C.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9"/>
          <w:szCs w:val="19"/>
          <w:b w:val="1"/>
          <w:bCs w:val="1"/>
          <w:color w:val="000099"/>
        </w:rPr>
        <w:t>www.jamsadr.com</w:t>
      </w:r>
      <w:r>
        <w:rPr>
          <w:rFonts w:ascii="Arial" w:cs="Arial" w:eastAsia="Arial" w:hAnsi="Arial"/>
          <w:sz w:val="19"/>
          <w:szCs w:val="19"/>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200" w:lineRule="exact"/>
        <w:rPr>
          <w:sz w:val="20"/>
          <w:szCs w:val="20"/>
          <w:color w:val="auto"/>
        </w:rPr>
      </w:pPr>
    </w:p>
    <w:p>
      <w:pPr>
        <w:spacing w:after="0" w:line="204" w:lineRule="exact"/>
        <w:rPr>
          <w:sz w:val="20"/>
          <w:szCs w:val="20"/>
          <w:color w:val="auto"/>
        </w:rPr>
      </w:pPr>
    </w:p>
    <w:p>
      <w:pPr>
        <w:jc w:val="center"/>
        <w:ind w:right="-12"/>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259080</wp:posOffset>
            </wp:positionV>
            <wp:extent cx="638873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713"/>
          </w:cols>
          <w:pgMar w:left="1087" w:top="636" w:right="1099" w:bottom="1440" w:gutter="0" w:footer="0" w:header="0"/>
        </w:sectPr>
      </w:pPr>
    </w:p>
    <w:bookmarkStart w:id="184" w:name="page185"/>
    <w:bookmarkEnd w:id="184"/>
    <w:p>
      <w:pPr>
        <w:ind w:left="500" w:right="540" w:hanging="333"/>
        <w:spacing w:after="0" w:line="260" w:lineRule="auto"/>
        <w:tabs>
          <w:tab w:leader="none" w:pos="522"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520065</wp:posOffset>
            </wp:positionH>
            <wp:positionV relativeFrom="page">
              <wp:posOffset>99695</wp:posOffset>
            </wp:positionV>
            <wp:extent cx="6521450" cy="3751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6521450" cy="3751580"/>
                    </a:xfrm>
                    <a:prstGeom prst="rect">
                      <a:avLst/>
                    </a:prstGeom>
                    <a:noFill/>
                  </pic:spPr>
                </pic:pic>
              </a:graphicData>
            </a:graphic>
          </wp:anchor>
        </w:drawing>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Execution</w:t>
      </w:r>
    </w:p>
    <w:p>
      <w:pPr>
        <w:spacing w:after="0" w:line="243" w:lineRule="exact"/>
        <w:rPr>
          <w:sz w:val="20"/>
          <w:szCs w:val="20"/>
          <w:color w:val="auto"/>
        </w:rPr>
      </w:pPr>
    </w:p>
    <w:p>
      <w:pPr>
        <w:ind w:left="160" w:right="160"/>
        <w:spacing w:after="0" w:line="267" w:lineRule="auto"/>
        <w:rPr>
          <w:sz w:val="20"/>
          <w:szCs w:val="20"/>
          <w:color w:val="auto"/>
        </w:rPr>
      </w:pPr>
      <w:r>
        <w:rPr>
          <w:rFonts w:ascii="Arial" w:cs="Arial" w:eastAsia="Arial" w:hAnsi="Arial"/>
          <w:sz w:val="20"/>
          <w:szCs w:val="20"/>
          <w:b w:val="1"/>
          <w:bCs w:val="1"/>
          <w:color w:val="333333"/>
        </w:rPr>
        <w:t>IN WITNESS WHEREOF</w:t>
      </w:r>
      <w:r>
        <w:rPr>
          <w:rFonts w:ascii="Arial" w:cs="Arial" w:eastAsia="Arial" w:hAnsi="Arial"/>
          <w:sz w:val="20"/>
          <w:szCs w:val="20"/>
          <w:color w:val="333333"/>
        </w:rPr>
        <w:t>, the Company has caused this Agreement to be duly executed by one of its officers thereunto</w:t>
      </w:r>
      <w:r>
        <w:rPr>
          <w:rFonts w:ascii="Arial" w:cs="Arial" w:eastAsia="Arial" w:hAnsi="Arial"/>
          <w:sz w:val="20"/>
          <w:szCs w:val="20"/>
          <w:b w:val="1"/>
          <w:bCs w:val="1"/>
          <w:color w:val="333333"/>
        </w:rPr>
        <w:t xml:space="preserve"> </w:t>
      </w:r>
      <w:r>
        <w:rPr>
          <w:rFonts w:ascii="Arial" w:cs="Arial" w:eastAsia="Arial" w:hAnsi="Arial"/>
          <w:sz w:val="20"/>
          <w:szCs w:val="20"/>
          <w:color w:val="333333"/>
        </w:rPr>
        <w:t>duly authorized and Employee has executed this Agreement, effective as of [GrantDate].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160"/>
              <w:spacing w:after="0"/>
              <w:rPr>
                <w:sz w:val="20"/>
                <w:szCs w:val="20"/>
                <w:color w:val="auto"/>
              </w:rPr>
            </w:pPr>
            <w:r>
              <w:rPr>
                <w:rFonts w:ascii="Arial" w:cs="Arial" w:eastAsia="Arial" w:hAnsi="Arial"/>
                <w:sz w:val="20"/>
                <w:szCs w:val="20"/>
                <w:color w:val="auto"/>
              </w:rPr>
              <w:t>Barry Caldwell</w:t>
            </w:r>
          </w:p>
        </w:tc>
        <w:tc>
          <w:tcPr>
            <w:tcW w:w="6880" w:type="dxa"/>
            <w:vAlign w:val="bottom"/>
          </w:tcPr>
          <w:p>
            <w:pPr>
              <w:jc w:val="right"/>
              <w:ind w:right="3081"/>
              <w:spacing w:after="0"/>
              <w:rPr>
                <w:sz w:val="20"/>
                <w:szCs w:val="20"/>
                <w:color w:val="auto"/>
              </w:rPr>
            </w:pPr>
            <w:r>
              <w:rPr>
                <w:rFonts w:ascii="Arial" w:cs="Arial" w:eastAsia="Arial" w:hAnsi="Arial"/>
                <w:sz w:val="20"/>
                <w:szCs w:val="20"/>
                <w:color w:val="auto"/>
              </w:rPr>
              <w:t>Employee</w:t>
            </w:r>
          </w:p>
        </w:tc>
      </w:tr>
      <w:tr>
        <w:trPr>
          <w:trHeight w:val="250"/>
        </w:trPr>
        <w:tc>
          <w:tcPr>
            <w:tcW w:w="3180" w:type="dxa"/>
            <w:vAlign w:val="bottom"/>
          </w:tcPr>
          <w:p>
            <w:pPr>
              <w:ind w:left="160"/>
              <w:spacing w:after="0"/>
              <w:rPr>
                <w:sz w:val="20"/>
                <w:szCs w:val="20"/>
                <w:color w:val="auto"/>
              </w:rPr>
            </w:pPr>
            <w:r>
              <w:rPr>
                <w:rFonts w:ascii="Arial" w:cs="Arial" w:eastAsia="Arial" w:hAnsi="Arial"/>
                <w:sz w:val="20"/>
                <w:szCs w:val="20"/>
                <w:color w:val="auto"/>
              </w:rPr>
              <w:t>Date</w:t>
            </w:r>
          </w:p>
        </w:tc>
        <w:tc>
          <w:tcPr>
            <w:tcW w:w="6880" w:type="dxa"/>
            <w:vAlign w:val="bottom"/>
          </w:tcPr>
          <w:p>
            <w:pPr>
              <w:spacing w:after="0"/>
              <w:rPr>
                <w:sz w:val="21"/>
                <w:szCs w:val="21"/>
                <w:color w:val="auto"/>
              </w:rPr>
            </w:pPr>
          </w:p>
        </w:tc>
      </w:tr>
      <w:tr>
        <w:trPr>
          <w:trHeight w:val="891"/>
        </w:trPr>
        <w:tc>
          <w:tcPr>
            <w:tcW w:w="3180" w:type="dxa"/>
            <w:vAlign w:val="bottom"/>
          </w:tcPr>
          <w:p>
            <w:pPr>
              <w:spacing w:after="0"/>
              <w:rPr>
                <w:sz w:val="24"/>
                <w:szCs w:val="24"/>
                <w:color w:val="auto"/>
              </w:rPr>
            </w:pPr>
          </w:p>
        </w:tc>
        <w:tc>
          <w:tcPr>
            <w:tcW w:w="6880" w:type="dxa"/>
            <w:vAlign w:val="bottom"/>
          </w:tcPr>
          <w:p>
            <w:pPr>
              <w:jc w:val="right"/>
              <w:ind w:right="4881"/>
              <w:spacing w:after="0"/>
              <w:rPr>
                <w:sz w:val="20"/>
                <w:szCs w:val="20"/>
                <w:color w:val="auto"/>
              </w:rPr>
            </w:pPr>
            <w:r>
              <w:rPr>
                <w:rFonts w:ascii="Arial" w:cs="Arial" w:eastAsia="Arial" w:hAnsi="Arial"/>
                <w:sz w:val="20"/>
                <w:szCs w:val="20"/>
                <w:color w:val="auto"/>
              </w:rPr>
              <w:t>9</w:t>
            </w:r>
          </w:p>
        </w:tc>
      </w:tr>
      <w:tr>
        <w:trPr>
          <w:trHeight w:val="395"/>
        </w:trPr>
        <w:tc>
          <w:tcPr>
            <w:tcW w:w="31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636" w:right="919" w:bottom="1440" w:gutter="0" w:footer="0" w:header="0"/>
        </w:sectPr>
      </w:pPr>
    </w:p>
    <w:bookmarkStart w:id="185" w:name="page186"/>
    <w:bookmarkEnd w:id="185"/>
    <w:p>
      <w:pPr>
        <w:ind w:left="8140"/>
        <w:spacing w:after="0"/>
        <w:rPr>
          <w:sz w:val="20"/>
          <w:szCs w:val="20"/>
          <w:color w:val="auto"/>
        </w:rPr>
      </w:pPr>
      <w:r>
        <w:rPr>
          <w:rFonts w:ascii="Arial" w:cs="Arial" w:eastAsia="Arial" w:hAnsi="Arial"/>
          <w:sz w:val="16"/>
          <w:szCs w:val="16"/>
          <w:b w:val="1"/>
          <w:bCs w:val="1"/>
          <w:color w:val="auto"/>
        </w:rPr>
        <w:t>Exhibit 12.1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Income before income taxes and losses in equity investments (b)</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Implicit interest in rents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Earnings available for fixed charges (b)</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Implicit interest in rents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fixed charges (b)</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gridSpan w:val="2"/>
          </w:tcPr>
          <w:p>
            <w:pPr>
              <w:ind w:left="200"/>
              <w:spacing w:after="0" w:line="203" w:lineRule="exact"/>
              <w:rPr>
                <w:sz w:val="20"/>
                <w:szCs w:val="20"/>
                <w:color w:val="auto"/>
              </w:rPr>
            </w:pPr>
            <w:r>
              <w:rPr>
                <w:rFonts w:ascii="Arial" w:cs="Arial" w:eastAsia="Arial" w:hAnsi="Arial"/>
                <w:sz w:val="18"/>
                <w:szCs w:val="18"/>
                <w:color w:val="auto"/>
              </w:rPr>
              <w:t>Ratio of earnings to fixed charges (a)</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6.3x</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5.3x</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3.4x</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4.3x</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Adjusted ratio of earnings to fixed charges (c)</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5.5x</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4.9x</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4.2x</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53" w:lineRule="auto"/>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income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3" w:lineRule="exact"/>
        <w:rPr>
          <w:rFonts w:ascii="Arial" w:cs="Arial" w:eastAsia="Arial" w:hAnsi="Arial"/>
          <w:sz w:val="18"/>
          <w:szCs w:val="18"/>
          <w:color w:val="auto"/>
        </w:rPr>
      </w:pPr>
    </w:p>
    <w:p>
      <w:pPr>
        <w:jc w:val="both"/>
        <w:ind w:left="320" w:hanging="317"/>
        <w:spacing w:after="0" w:line="265" w:lineRule="auto"/>
        <w:tabs>
          <w:tab w:leader="none" w:pos="3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jc w:val="both"/>
        <w:ind w:left="320" w:hanging="317"/>
        <w:spacing w:after="0" w:line="253" w:lineRule="auto"/>
        <w:tabs>
          <w:tab w:leader="none" w:pos="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divestitures, losses on early extinguishment of debt and other adjustments, including our subsidiary’s estimated potential share of an environmental remediation liability and related costs for a closed site. A reconciliation showing the effect of these items on our income before income taxes and losses in equity investments used to calculate our earnings available for fixed charges is as follows (in millions):</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2"/>
        </w:trPr>
        <w:tc>
          <w:tcPr>
            <w:tcW w:w="4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2"/>
              </w:rPr>
              <w:t>As reported income before income taxes and losses in equity</w:t>
            </w: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82"/>
        </w:trPr>
        <w:tc>
          <w:tcPr>
            <w:tcW w:w="4520" w:type="dxa"/>
            <w:vAlign w:val="bottom"/>
          </w:tcPr>
          <w:p>
            <w:pPr>
              <w:spacing w:after="0" w:line="182" w:lineRule="exact"/>
              <w:rPr>
                <w:sz w:val="20"/>
                <w:szCs w:val="20"/>
                <w:color w:val="auto"/>
              </w:rPr>
            </w:pPr>
            <w:r>
              <w:rPr>
                <w:rFonts w:ascii="Arial" w:cs="Arial" w:eastAsia="Arial" w:hAnsi="Arial"/>
                <w:sz w:val="18"/>
                <w:szCs w:val="18"/>
                <w:color w:val="auto"/>
                <w:w w:val="97"/>
              </w:rPr>
              <w:t>Adjustments to income before income taxes and losses in</w:t>
            </w: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Restructuring costs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Asset impairments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expense from divestitures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Loss on early extinguishment of debt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Environmental remediation and other adjustments</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520" w:type="dxa"/>
            <w:vAlign w:val="bottom"/>
          </w:tcPr>
          <w:p>
            <w:pPr>
              <w:spacing w:after="0" w:line="182" w:lineRule="exact"/>
              <w:rPr>
                <w:sz w:val="20"/>
                <w:szCs w:val="20"/>
                <w:color w:val="auto"/>
              </w:rPr>
            </w:pPr>
            <w:r>
              <w:rPr>
                <w:rFonts w:ascii="Arial" w:cs="Arial" w:eastAsia="Arial" w:hAnsi="Arial"/>
                <w:sz w:val="18"/>
                <w:szCs w:val="18"/>
                <w:color w:val="auto"/>
                <w:w w:val="97"/>
              </w:rPr>
              <w:t>Adjusted income before income taxes and losses in equity</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$ 2,253</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$ 1,987</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$ 1,761</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$ 1,727</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1,526</w:t>
            </w:r>
          </w:p>
        </w:tc>
        <w:tc>
          <w:tcPr>
            <w:tcW w:w="0" w:type="dxa"/>
            <w:vAlign w:val="bottom"/>
          </w:tcPr>
          <w:p>
            <w:pPr>
              <w:spacing w:after="0"/>
              <w:rPr>
                <w:sz w:val="1"/>
                <w:szCs w:val="1"/>
                <w:color w:val="auto"/>
              </w:rPr>
            </w:pPr>
          </w:p>
        </w:tc>
      </w:tr>
      <w:tr>
        <w:trPr>
          <w:trHeight w:val="217"/>
        </w:trPr>
        <w:tc>
          <w:tcPr>
            <w:tcW w:w="45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tcPr>
          <w:p>
            <w:pPr>
              <w:ind w:left="2340"/>
              <w:spacing w:after="0"/>
              <w:rPr>
                <w:sz w:val="20"/>
                <w:szCs w:val="20"/>
                <w:color w:val="auto"/>
              </w:rPr>
            </w:pPr>
            <w:r>
              <w:rPr>
                <w:rFonts w:ascii="Arial" w:cs="Arial" w:eastAsia="Arial" w:hAnsi="Arial"/>
                <w:sz w:val="18"/>
                <w:szCs w:val="18"/>
                <w:b w:val="1"/>
                <w:bCs w:val="1"/>
                <w:color w:val="auto"/>
                <w:w w:val="89"/>
              </w:rPr>
              <w:t>Exhibit 21.1</w:t>
            </w:r>
          </w:p>
        </w:tc>
      </w:tr>
      <w:tr>
        <w:trPr>
          <w:trHeight w:val="378"/>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24"/>
                <w:szCs w:val="2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1-800-Pack-Rat, LLC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635952 Ontario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Ontario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8242348 Canada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Federally Chartered/Canada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Acaverde S.A. de C.V.</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Advanced Environmental Technical Services,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Akron Regional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Alliance Sanitary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Alpharetta Transfer Station,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American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Anderson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Antelope Valley Recycling and Disposal Facility,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Arden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Atlantic Waste Disposal,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Automated Salvage Transport Co.,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Avalon South,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Azusa Land Reclamation,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B&amp;B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Barre Landfill Gas Associates, L.P.</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Big Dipper Enterprises,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Dakota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Bluegrass Containment,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Burnsville Sanitary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 Newco,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Cal Sierra Disposal</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California Asbestos Monofill,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Canadian Waste Services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Ontario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Capital Sanitation Company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Nevada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Capitol Disposal,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Alaska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Carolina Grading,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Cedar Ridge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Central Disposal Systems,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Iowa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Chadwick Road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Chambers Clearview Environmental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Chambers Development Company,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Chambers Development of Ohio,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Chambers of Georgia,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Chambers of Mississippi,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Chemical Waste Management of Indiana,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Chemical Waste Management of the Northwest,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Washington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Chemical Waste Management,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Chesser Island Road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City Environmental Services, Inc. of Waters</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Cleburne Landfill Company Corp.</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Alabama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Coast Waste Management,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Connecticut Valley Sanitary Waste Disposal,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Conservation Services,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Colorado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Coshocton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Cougar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Countryside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Illinois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CR Group,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Utah</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Cuyahoga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CWM Chemical Services,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Dafter Sanitary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Dauphin Meadows,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Deep Valley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21" w:right="141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Deer Track Park Landfill, Inc.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Deffenbaugh Container Company,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Missouri</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Deffenbaugh Disposal,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Deffenbaugh Group Holdings,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Deffenbaugh Industries,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Missouri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Deffenbaugh of Arkansas,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Deffenbaugh Recycling Company,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Del Almo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Delaware Recyclable Products,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Dickinson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Disposal Service, Incorporated</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Dolphin Services &amp; Chemicals,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Dolphin-One,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Earthmovers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East Liverpool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Eastern One Land Corporation</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Eco-Vista,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Arkansas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eCycling Services,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ELDA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Elk River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Energy Injection Services of Mississippi,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Envirofil of Illinois,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Illinois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Evergreen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Evergreen Recycling and Disposal Facility,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Finch Waste Co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Fred J. Eckert Sanitary Service,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G.I. Industries</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Utah</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 Landfills,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Gallia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Garnet of Maryland,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Gateway Transfer Station,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Georgia Waste Systems,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Giordano Recycling,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Glades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Glen's Sanitary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Grand Central Sanitary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Greenbow,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Alabama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Greenleaf Compaction,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Arizona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Allentown,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Greenstar Georgia,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Managed Services - Connecticut,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Greenstar Managed Services - RLWM,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Illinois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Mid-America,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Greenstar New Jersey,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Ohio,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Greenstar Paterson,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Pittsburgh,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Greenstar Recycled Holdings,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Greenstar,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Guadalupe Mines Mutual Water Company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Guadalupe Rubbish Disposal Co.,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Ham Lake Haulers,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Harris Sanitation,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Harwood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Hedco Landfill Limited</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England</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High Mountain Fuels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Hillsboro Landfill Inc.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Holyoke Sanitary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 Landfills,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International Environmental Management,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Jahner Sanitation,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Dakota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Jay County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 and W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Keene Road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Kelly Run Sanitation,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King George Landfill Properties,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Virginia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King George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Kirby Canyon Holdings,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L&amp;K Acquisitions,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Missouri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L&amp;K Group Holdings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Lakeville Recycling, L.P.</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Land South Holdings,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Landfill Services of Charleston,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Laurel Highlands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LCS Services,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Liberty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Liquid Waste Management,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Longleaf C&amp;D Disposal Facility,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Looney Bins,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Mahoning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Mass Gravel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Mc Ginnes Industrial Maintenance Corporation</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McDaniel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Dakota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McGill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Meadowfill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Michigan Environs,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Midwest One Land Corporation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Modesto Garbage Co.,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Moor Refuse,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Mountain Indemnity Insurance Company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Mountainview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Utah</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Mountainview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Nassau Landfill,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National Guaranty Insurance Company of Vermont</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Vermont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England CR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Milford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Orleans Landfill,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North Manatee Recycling and Disposal Facility,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Northwestern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Nu-Way Live Oak Reclamation,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Oak Grove Disposal Co.,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Oakleaf Global Holdings,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Oakleaf Waste Management,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Oakleaf Waste Management,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Connecticut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Oakridge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Oakwood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OGH Acquisition Corporation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Okeechobee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Ozark Ridge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Arkansas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 &amp; R Environmental Industries,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North Carolina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Pacific Waste Management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Pappy,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5" w:right="141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Peltz H.C., LLC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Pen-Rob,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Arizona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People's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Peterson Demolition,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Phoenix Resources,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Pine Grove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Pine Tree Acres,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Prime Westport,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Quail Hollow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Questquill Limited</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England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 &amp; B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RAA Colorado,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RAA Trucking,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Wisconsin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RCI Hudson,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Recycle America Co.,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Recycle America Holdings,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Redwood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Refuse Services,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Refuse,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Nevada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Reliable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Remote Landfill Services,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Tennessee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Reno Disposal Co.</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Nevada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Resco Holdings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Resource Control Composting,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Resource Control,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Richland County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Riverbend Landfill Co.</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Roll Off Service,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RTS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Rust Engineering &amp; Construction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Rust International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 &amp; J Landfill Limited Partnership</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 &amp; S Grading,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 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S&amp;T Materials,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Sanifill de Mexico (US),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Sanifill de Mexico, S.A. de C.V.</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Mexico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SC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SF Land Acquisition,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Shade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Shawnee Rock Company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Missouri</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Sierra Estrella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Arizona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Southern Alleghenies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Southern One Land Corporation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Southern Waste Services,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Spruce Ridge,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Stony Hollow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Suburban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Swire Waste Management Limited</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Texarkana Landfill,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Texas Pack Rat - Austin #1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Texas Pack Rat - Dallas #1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Texas Pack Rat - Houston #1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Texas Pack Rat - Houston #2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Texas Pack Rat - Houston #3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Texas Pack Rat - San Antonio #1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Texas Pack Rat Service Company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 Peltz Group, LLC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The Waste Management Charitable Foundation</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 Woodlands of Van Buren,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Thermal Remediation Solutions,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TN'T Sands,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Trail Ridge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Transamerican Waste Central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Trash Hunters,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Truck and Industrial Supply,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Twin Bridges Golf Club, L.P.</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Indiana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TX Newco,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United Waste Systems Leasing,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USA South Hills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USA Valley Facility,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USA Waste Geneva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USA Waste Landfill Operations and Transfer,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USA Waste of California,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USA Waste of Texas Landfills,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USA Waste of Virginia Landfills,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USA Waste Services of NYC,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USA Waste-Management Resources,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USA-Crinc,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USB LIHTC Fund 2010-1,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UWS Barre,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Valley Garbage and Rubbish Company,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Vern's Refuse Service,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North Dakota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Vickery Environmental,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Vista Landfill,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Voyageur Disposal Processing,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Warner Company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Away Group,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Alabama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Arizona Landfills,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Buckeye,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China Holdings, Limited</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Hong Kong</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Collection and Recycling,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Disposal Services of Colorado,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Maine,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Disposal Services of Maryland,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Massachusetts,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Disposal Services of Oregon,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Disposal Services of Pennsylvania,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Disposal Services of Virginia,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Energy Services of Texas,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 of Florida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Indycoke,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International,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National Services,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National Transportation Services,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Alameda County,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Alaska,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Arizona,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Arkansas,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California,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Canada Corporation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Nova Scotia</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Waste Management of Carolinas,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North Carolina</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Colorado, Inc.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Connecticut,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Delaware,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Fairless,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Five Oaks Recycling and Disposal Facility,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Georgia,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Hawaii,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Idaho,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Idaho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Illinois,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Indiana Holdings One,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Indiana Holdings Two,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Indiana,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Iowa,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Iowa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Kansas,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Kansas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Kentucky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Kentucky,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Leon County,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Florida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Londonderry,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Louisiana Holdings One,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Louisiana,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Maine,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Maryland,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Maryland</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Massachusetts,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Metro Atlanta,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Michigan,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Minnesota,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Minnesota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Mississippi,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Missouri,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Montana,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Nebraska,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Nevada,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Nevada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New Hampshire,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Connecticut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New Jersey,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New Mexico,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New Mexico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New York,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North Dakota,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Ohio,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Oklahoma,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Oklahoma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Oregon,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Oregon</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Pennsylvania Gas Recovery,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Pennsylvania,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Rhode Island,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South Carolina,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 Carolina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South Dakota,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South Dakota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Texas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Texas,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Tunica Landfill,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Mississippi</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Utah,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Utah</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Virginia,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Virginia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Washington,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West Virginia,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of Wisconsin,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Wisconsin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of Wyoming,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Partners,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8"/>
              </w:rPr>
              <w:t>Waste Management Recycling and Disposal Services of California,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California</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Waste Management Recycling of New Jersey,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Service Center, Inc.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Waste Management, Inc. of Tennessee</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Tennessee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Western One Land Corporation</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Western Waste Industries</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California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Western Waste of Texas,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Westminster Land Acquisition,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Massachusetts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Wheelabrator Technologies International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White Lake Landfill,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Michigan</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Willow Oak Landfill,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Georgia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Avon,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Bagco,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Billerica,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Boston CORE,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CCP Solutions,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Conversion Fund,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Corporate Services,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Curbside,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DC 1,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Emergency Employee Support Fund,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Energy Resources,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Energy Services of Ohio,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Ohio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Energy Solutions,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Green Squad,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GreenOps,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GTL JV Holdings,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GTL,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GTL,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Healthcare Solutions,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Illinois Renewable Energy,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Intellectual Property Holdings,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International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KS Energy Resources,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LampTracker,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Landfills of Ohio,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Landfills of Tennessee,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Leasing of Arizona,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Leasing of Texas, L.P.</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Leasing Services of Texas,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LNG,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Logistics India Private Limited</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India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Logistics,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Mercury Waste,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Middle Tennessee Environmental Center,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Mobile Bay Environmental Center,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ND Energy Resources II,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ND Energy Resources,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Nevada Renewable Energy,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North Broward,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of North Dakota Energy Disposal Solutions,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Dakota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Organic Growth,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 Holdings,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Pack-Rat of California,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Pack-Rat of Illinois,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Pack-Rat of Kentucky,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Pack-Rat of Maryland,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WM Pack-Rat of Massachusetts,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22"/>
        </w:trPr>
        <w:tc>
          <w:tcPr>
            <w:tcW w:w="5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Entity Name</w:t>
            </w:r>
          </w:p>
        </w:tc>
        <w:tc>
          <w:tcPr>
            <w:tcW w:w="180" w:type="dxa"/>
            <w:vAlign w:val="bottom"/>
            <w:tcBorders>
              <w:bottom w:val="single" w:sz="8" w:color="CCEEFF"/>
            </w:tcBorders>
          </w:tcPr>
          <w:p>
            <w:pPr>
              <w:spacing w:after="0"/>
              <w:rPr>
                <w:sz w:val="14"/>
                <w:szCs w:val="14"/>
                <w:color w:val="auto"/>
              </w:rPr>
            </w:pPr>
          </w:p>
        </w:tc>
        <w:tc>
          <w:tcPr>
            <w:tcW w:w="3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i w:val="1"/>
                <w:iCs w:val="1"/>
                <w:color w:val="auto"/>
              </w:rPr>
              <w:t>Jurisdiction of Formation / Incorporation</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Pack-Rat of Michigan, LLC</w:t>
            </w:r>
          </w:p>
        </w:tc>
        <w:tc>
          <w:tcPr>
            <w:tcW w:w="18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Pack-Rat of Nevada,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Pack-Rat of Ohio,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Pack-Rat of Rhode Island,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Pack-Rat,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Partnership Holdings,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Phoenix Energy Resources,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PRG,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Propane,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Quebec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Federally Chartered/Canada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RA Canada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Ontario</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Recycle America,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Recycle Europe,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Recycling Latin America,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Refined Coal,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Renewable Energy,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Resource Recovery &amp; Recycling Center,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Resources,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Pennsylvania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Safety Services,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Security Services,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Services SA</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Argentina</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Storage II,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Storage,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Texas Pack Rat,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Trash Monitor Plus,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TX Energy Resources II,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TX Energy Resources,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WY Energy Resources II,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 WY Energy Resources III,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 WY Energy Resources,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WMI Mexico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WMNA Container Recycling,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WMRE of Kentucky,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WMRE of Michigan,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WMRE of Ohio, LLC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WMRE of Ohio-American, LLC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WMSALSA,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WTI Air Pollution Control Inc.</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WTI Rust Holdings Inc.</w:t>
            </w: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Delaware</w:t>
            </w:r>
          </w:p>
        </w:tc>
      </w:tr>
      <w:tr>
        <w:trPr>
          <w:trHeight w:val="466"/>
        </w:trPr>
        <w:tc>
          <w:tcPr>
            <w:tcW w:w="5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5" w:right="14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20" w:right="120" w:hanging="1"/>
        <w:spacing w:after="0" w:line="308" w:lineRule="auto"/>
        <w:tabs>
          <w:tab w:leader="none" w:pos="63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Registration Statement (Form S-8 No. 333-204319) of Waste Management, Inc. pertaining to the issuance of shares of common stock pursuant to the Waste Management, Inc. Employee Stock Purchase Plan,</w:t>
      </w:r>
    </w:p>
    <w:p>
      <w:pPr>
        <w:spacing w:after="0" w:line="146" w:lineRule="exact"/>
        <w:rPr>
          <w:rFonts w:ascii="Arial" w:cs="Arial" w:eastAsia="Arial" w:hAnsi="Arial"/>
          <w:sz w:val="17"/>
          <w:szCs w:val="17"/>
          <w:color w:val="auto"/>
        </w:rPr>
      </w:pPr>
    </w:p>
    <w:p>
      <w:pPr>
        <w:ind w:left="220" w:firstLine="3"/>
        <w:spacing w:after="0" w:line="277" w:lineRule="auto"/>
        <w:tabs>
          <w:tab w:leader="none" w:pos="47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Registration Statement (Form S-8 No. 333-195980) of Waste Management, Inc. pertaining to the issuance of shares of common stock pursuant to the 2014 Stock Incentive Plan,</w:t>
      </w:r>
    </w:p>
    <w:p>
      <w:pPr>
        <w:spacing w:after="0" w:line="170" w:lineRule="exact"/>
        <w:rPr>
          <w:rFonts w:ascii="Arial" w:cs="Arial" w:eastAsia="Arial" w:hAnsi="Arial"/>
          <w:sz w:val="18"/>
          <w:szCs w:val="18"/>
          <w:color w:val="auto"/>
        </w:rPr>
      </w:pPr>
    </w:p>
    <w:p>
      <w:pPr>
        <w:jc w:val="both"/>
        <w:ind w:left="220" w:firstLine="3"/>
        <w:spacing w:after="0" w:line="264" w:lineRule="auto"/>
        <w:tabs>
          <w:tab w:leader="none" w:pos="53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Registration Statement (Form S-8 No. 333-184156 and Post-Effective Amendment No. 1 thereto) of Waste Management, Inc. pertaining to the issuance of shares of common stock pursuant to the Waste Management Retirement Savings Plan,</w:t>
      </w:r>
    </w:p>
    <w:p>
      <w:pPr>
        <w:spacing w:after="0" w:line="181" w:lineRule="exact"/>
        <w:rPr>
          <w:rFonts w:ascii="Arial" w:cs="Arial" w:eastAsia="Arial" w:hAnsi="Arial"/>
          <w:sz w:val="18"/>
          <w:szCs w:val="18"/>
          <w:color w:val="auto"/>
        </w:rPr>
      </w:pPr>
    </w:p>
    <w:p>
      <w:pPr>
        <w:ind w:left="480" w:hanging="257"/>
        <w:spacing w:after="0"/>
        <w:tabs>
          <w:tab w:leader="none" w:pos="4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Registration Statement (Form S-3 Automatic Shelf Registration No. 333-207628) of Waste Management, Inc.,</w:t>
      </w:r>
    </w:p>
    <w:p>
      <w:pPr>
        <w:spacing w:after="0" w:line="236" w:lineRule="exact"/>
        <w:rPr>
          <w:rFonts w:ascii="Arial" w:cs="Arial" w:eastAsia="Arial" w:hAnsi="Arial"/>
          <w:sz w:val="17"/>
          <w:szCs w:val="17"/>
          <w:color w:val="auto"/>
        </w:rPr>
      </w:pPr>
    </w:p>
    <w:p>
      <w:pPr>
        <w:ind w:left="220" w:firstLine="3"/>
        <w:spacing w:after="0" w:line="277" w:lineRule="auto"/>
        <w:tabs>
          <w:tab w:leader="none" w:pos="54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Registration Statement (Form S-4 No. 333-32805 and Post-Effective Amendment No. 1 thereto) of Waste Management, Inc., and</w:t>
      </w:r>
    </w:p>
    <w:p>
      <w:pPr>
        <w:spacing w:after="0" w:line="170" w:lineRule="exact"/>
        <w:rPr>
          <w:rFonts w:ascii="Arial" w:cs="Arial" w:eastAsia="Arial" w:hAnsi="Arial"/>
          <w:sz w:val="18"/>
          <w:szCs w:val="18"/>
          <w:color w:val="auto"/>
        </w:rPr>
      </w:pPr>
    </w:p>
    <w:p>
      <w:pPr>
        <w:ind w:left="220" w:firstLine="3"/>
        <w:spacing w:after="0" w:line="308" w:lineRule="auto"/>
        <w:tabs>
          <w:tab w:leader="none" w:pos="53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Registration Statement (Form S-8 No. 333-159476 and Post-Effective Amendment No. 1 thereto) of Waste Management, Inc. pertaining to the issuance of shares of common stock pursuant to the 2009 Stock Incentive Plan,</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our reports dated February 15, 2018,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2017.</w:t>
      </w:r>
    </w:p>
    <w:p>
      <w:pPr>
        <w:spacing w:after="0" w:line="39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85" w:lineRule="exact"/>
        <w:rPr>
          <w:sz w:val="20"/>
          <w:szCs w:val="20"/>
          <w:color w:val="auto"/>
        </w:rPr>
      </w:pPr>
    </w:p>
    <w:p>
      <w:pPr>
        <w:ind w:left="680" w:hanging="236"/>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JAMES C. FISH, JR.</w:t>
            </w:r>
          </w:p>
        </w:tc>
      </w:tr>
      <w:tr>
        <w:trPr>
          <w:trHeight w:val="195"/>
        </w:trPr>
        <w:tc>
          <w:tcPr>
            <w:tcW w:w="3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85" w:lineRule="exact"/>
        <w:rPr>
          <w:sz w:val="20"/>
          <w:szCs w:val="20"/>
          <w:color w:val="auto"/>
        </w:rPr>
      </w:pPr>
    </w:p>
    <w:p>
      <w:pPr>
        <w:ind w:left="680" w:hanging="236"/>
        <w:spacing w:after="0"/>
        <w:tabs>
          <w:tab w:leader="none" w:pos="6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report on Form 10-K of Waste Management, Inc.;</w:t>
      </w:r>
    </w:p>
    <w:p>
      <w:pPr>
        <w:spacing w:after="0" w:line="184" w:lineRule="exact"/>
        <w:rPr>
          <w:rFonts w:ascii="Arial" w:cs="Arial" w:eastAsia="Arial" w:hAnsi="Arial"/>
          <w:sz w:val="18"/>
          <w:szCs w:val="18"/>
          <w:color w:val="auto"/>
        </w:rPr>
      </w:pPr>
    </w:p>
    <w:p>
      <w:pPr>
        <w:jc w:val="both"/>
        <w:ind w:firstLine="444"/>
        <w:spacing w:after="0" w:line="264" w:lineRule="auto"/>
        <w:tabs>
          <w:tab w:leader="none" w:pos="7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firstLine="444"/>
        <w:spacing w:after="0" w:line="264" w:lineRule="auto"/>
        <w:tabs>
          <w:tab w:leader="none" w:pos="70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firstLine="444"/>
        <w:spacing w:after="0" w:line="286" w:lineRule="auto"/>
        <w:tabs>
          <w:tab w:leader="none" w:pos="662"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25" w:lineRule="exact"/>
        <w:rPr>
          <w:rFonts w:ascii="Arial" w:cs="Arial" w:eastAsia="Arial" w:hAnsi="Arial"/>
          <w:sz w:val="17"/>
          <w:szCs w:val="17"/>
          <w:color w:val="auto"/>
        </w:rPr>
      </w:pPr>
    </w:p>
    <w:p>
      <w:pPr>
        <w:jc w:val="both"/>
        <w:ind w:left="440" w:firstLine="444"/>
        <w:spacing w:after="0" w:line="259" w:lineRule="auto"/>
        <w:tabs>
          <w:tab w:leader="none" w:pos="117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440" w:firstLine="444"/>
        <w:spacing w:after="0" w:line="259" w:lineRule="auto"/>
        <w:tabs>
          <w:tab w:leader="none" w:pos="122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440" w:firstLine="444"/>
        <w:spacing w:after="0" w:line="264" w:lineRule="auto"/>
        <w:tabs>
          <w:tab w:leader="none" w:pos="115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440" w:firstLine="444"/>
        <w:spacing w:after="0" w:line="259" w:lineRule="auto"/>
        <w:tabs>
          <w:tab w:leader="none" w:pos="117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firstLine="444"/>
        <w:spacing w:after="0" w:line="264" w:lineRule="auto"/>
        <w:tabs>
          <w:tab w:leader="none" w:pos="69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440" w:firstLine="444"/>
        <w:spacing w:after="0" w:line="264" w:lineRule="auto"/>
        <w:tabs>
          <w:tab w:leader="none" w:pos="119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440" w:firstLine="444"/>
        <w:spacing w:after="0" w:line="277" w:lineRule="auto"/>
        <w:tabs>
          <w:tab w:leader="none" w:pos="112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400" w:type="dxa"/>
            <w:vAlign w:val="bottom"/>
          </w:tcPr>
          <w:p>
            <w:pPr>
              <w:spacing w:after="0"/>
              <w:rPr>
                <w:sz w:val="16"/>
                <w:szCs w:val="16"/>
                <w:color w:val="auto"/>
              </w:rPr>
            </w:pPr>
          </w:p>
        </w:tc>
        <w:tc>
          <w:tcPr>
            <w:tcW w:w="41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4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4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2017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5" w:right="14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Waste Management, Inc. (the “Company”) on Form 10-K for the period ended December 31, 2017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440" w:firstLine="444"/>
        <w:spacing w:after="0" w:line="277" w:lineRule="auto"/>
        <w:tabs>
          <w:tab w:leader="none" w:pos="11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440" w:firstLine="444"/>
        <w:spacing w:after="0" w:line="277" w:lineRule="auto"/>
        <w:tabs>
          <w:tab w:leader="none" w:pos="114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200" w:type="dxa"/>
            <w:vAlign w:val="bottom"/>
          </w:tcPr>
          <w:p>
            <w:pPr>
              <w:ind w:left="1520"/>
              <w:spacing w:after="0" w:line="195" w:lineRule="exact"/>
              <w:rPr>
                <w:sz w:val="20"/>
                <w:szCs w:val="20"/>
                <w:color w:val="auto"/>
              </w:rPr>
            </w:pPr>
            <w:r>
              <w:rPr>
                <w:rFonts w:ascii="Arial" w:cs="Arial" w:eastAsia="Arial" w:hAnsi="Arial"/>
                <w:sz w:val="18"/>
                <w:szCs w:val="18"/>
                <w:color w:val="auto"/>
              </w:rPr>
              <w:t>Devina A. Rankin</w:t>
            </w:r>
          </w:p>
        </w:tc>
      </w:tr>
      <w:tr>
        <w:trPr>
          <w:trHeight w:val="216"/>
        </w:trPr>
        <w:tc>
          <w:tcPr>
            <w:tcW w:w="320" w:type="dxa"/>
            <w:vAlign w:val="bottom"/>
          </w:tcPr>
          <w:p>
            <w:pPr>
              <w:spacing w:after="0"/>
              <w:rPr>
                <w:sz w:val="18"/>
                <w:szCs w:val="18"/>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89"/>
              </w:rPr>
              <w:t>Senior Vice President and</w:t>
            </w:r>
          </w:p>
        </w:tc>
      </w:tr>
      <w:tr>
        <w:trPr>
          <w:trHeight w:val="230"/>
        </w:trPr>
        <w:tc>
          <w:tcPr>
            <w:tcW w:w="32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66"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During the year ended December 31, 2017,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92"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In addition, during the year ended December 31, 2017,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
      <w:numFmt w:val="bullet"/>
      <w:start w:val="1"/>
    </w:lvl>
  </w:abstractNum>
  <w:abstractNum w:abstractNumId="4">
    <w:nsid w:val="7672BD23"/>
    <w:multiLevelType w:val="hybridMultilevel"/>
    <w:lvl w:ilvl="0">
      <w:lvlJc w:val="left"/>
      <w:lvlText w:val="(%1)"/>
      <w:numFmt w:val="lowerRoman"/>
      <w:start w:val="2"/>
    </w:lvl>
  </w:abstractNum>
  <w:abstractNum w:abstractNumId="5">
    <w:nsid w:val="6FC75AF8"/>
    <w:multiLevelType w:val="hybridMultilevel"/>
    <w:lvl w:ilvl="0">
      <w:lvlJc w:val="left"/>
      <w:lvlText w:val="·"/>
      <w:numFmt w:val="bullet"/>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
      <w:numFmt w:val="bullet"/>
      <w:start w:val="1"/>
    </w:lvl>
  </w:abstractNum>
  <w:abstractNum w:abstractNumId="8">
    <w:nsid w:val="5F3534A4"/>
    <w:multiLevelType w:val="hybridMultilevel"/>
    <w:lvl w:ilvl="0">
      <w:lvlJc w:val="left"/>
      <w:lvlText w:val="·"/>
      <w:numFmt w:val="bullet"/>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
      <w:numFmt w:val="bullet"/>
      <w:start w:val="1"/>
    </w:lvl>
  </w:abstractNum>
  <w:abstractNum w:abstractNumId="12">
    <w:nsid w:val="3FA62ACA"/>
    <w:multiLevelType w:val="hybridMultilevel"/>
    <w:lvl w:ilvl="0">
      <w:lvlJc w:val="left"/>
      <w:lvlText w:val="·"/>
      <w:numFmt w:val="bullet"/>
      <w:start w:val="1"/>
    </w:lvl>
  </w:abstractNum>
  <w:abstractNum w:abstractNumId="13">
    <w:nsid w:val="14FCE74E"/>
    <w:multiLevelType w:val="hybridMultilevel"/>
    <w:lvl w:ilvl="0">
      <w:lvlJc w:val="left"/>
      <w:lvlText w:val="·"/>
      <w:numFmt w:val="bullet"/>
      <w:start w:val="1"/>
    </w:lvl>
  </w:abstractNum>
  <w:abstractNum w:abstractNumId="14">
    <w:nsid w:val="6A3DD3E8"/>
    <w:multiLevelType w:val="hybridMultilevel"/>
    <w:lvl w:ilvl="0">
      <w:lvlJc w:val="left"/>
      <w:lvlText w:val="(%1)"/>
      <w:numFmt w:val="lowerLetter"/>
      <w:start w:val="1"/>
    </w:lvl>
  </w:abstractNum>
  <w:abstractNum w:abstractNumId="15">
    <w:nsid w:val="71C91298"/>
    <w:multiLevelType w:val="hybridMultilevel"/>
    <w:lvl w:ilvl="0">
      <w:lvlJc w:val="left"/>
      <w:lvlText w:val="(%1)"/>
      <w:numFmt w:val="lowerLetter"/>
      <w:start w:val="1"/>
    </w:lvl>
  </w:abstractNum>
  <w:abstractNum w:abstractNumId="16">
    <w:nsid w:val="9DAF632"/>
    <w:multiLevelType w:val="hybridMultilevel"/>
    <w:lvl w:ilvl="0">
      <w:lvlJc w:val="left"/>
      <w:lvlText w:val="(%1)"/>
      <w:numFmt w:val="lowerLetter"/>
      <w:start w:val="1"/>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
      <w:numFmt w:val="bullet"/>
      <w:start w:val="1"/>
    </w:lvl>
  </w:abstractNum>
  <w:abstractNum w:abstractNumId="19">
    <w:nsid w:val="5092CA79"/>
    <w:multiLevelType w:val="hybridMultilevel"/>
    <w:lvl w:ilvl="0">
      <w:lvlJc w:val="left"/>
      <w:lvlText w:val="·"/>
      <w:numFmt w:val="bullet"/>
      <w:start w:val="1"/>
    </w:lvl>
  </w:abstractNum>
  <w:abstractNum w:abstractNumId="20">
    <w:nsid w:val="1D545C4D"/>
    <w:multiLevelType w:val="hybridMultilevel"/>
    <w:lvl w:ilvl="0">
      <w:lvlJc w:val="left"/>
      <w:lvlText w:val="·"/>
      <w:numFmt w:val="bullet"/>
      <w:start w:val="1"/>
    </w:lvl>
  </w:abstractNum>
  <w:abstractNum w:abstractNumId="21">
    <w:nsid w:val="59ADEA3D"/>
    <w:multiLevelType w:val="hybridMultilevel"/>
    <w:lvl w:ilvl="0">
      <w:lvlJc w:val="left"/>
      <w:lvlText w:val="·"/>
      <w:numFmt w:val="bullet"/>
      <w:start w:val="1"/>
    </w:lvl>
  </w:abstractNum>
  <w:abstractNum w:abstractNumId="22">
    <w:nsid w:val="288F1A34"/>
    <w:multiLevelType w:val="hybridMultilevel"/>
    <w:lvl w:ilvl="0">
      <w:lvlJc w:val="left"/>
      <w:lvlText w:val="(%1)"/>
      <w:numFmt w:val="lowerLetter"/>
      <w:start w:val="1"/>
    </w:lvl>
  </w:abstractNum>
  <w:abstractNum w:abstractNumId="23">
    <w:nsid w:val="2A155DBC"/>
    <w:multiLevelType w:val="hybridMultilevel"/>
    <w:lvl w:ilvl="0">
      <w:lvlJc w:val="left"/>
      <w:lvlText w:val="(%1)"/>
      <w:numFmt w:val="lowerRoman"/>
      <w:start w:val="2"/>
    </w:lvl>
  </w:abstractNum>
  <w:abstractNum w:abstractNumId="24">
    <w:nsid w:val="1D9F6E5F"/>
    <w:multiLevelType w:val="hybridMultilevel"/>
    <w:lvl w:ilvl="0">
      <w:lvlJc w:val="left"/>
      <w:lvlText w:val="·"/>
      <w:numFmt w:val="bullet"/>
      <w:start w:val="1"/>
    </w:lvl>
  </w:abstractNum>
  <w:abstractNum w:abstractNumId="25">
    <w:nsid w:val="97E1B4E"/>
    <w:multiLevelType w:val="hybridMultilevel"/>
    <w:lvl w:ilvl="0">
      <w:lvlJc w:val="left"/>
      <w:lvlText w:val="·"/>
      <w:numFmt w:val="bullet"/>
      <w:start w:val="1"/>
    </w:lvl>
  </w:abstractNum>
  <w:abstractNum w:abstractNumId="26">
    <w:nsid w:val="51088277"/>
    <w:multiLevelType w:val="hybridMultilevel"/>
    <w:lvl w:ilvl="0">
      <w:lvlJc w:val="left"/>
      <w:lvlText w:val="·"/>
      <w:numFmt w:val="bullet"/>
      <w:start w:val="1"/>
    </w:lvl>
  </w:abstractNum>
  <w:abstractNum w:abstractNumId="27">
    <w:nsid w:val="1CA0C5FA"/>
    <w:multiLevelType w:val="hybridMultilevel"/>
    <w:lvl w:ilvl="0">
      <w:lvlJc w:val="left"/>
      <w:lvlText w:val="·"/>
      <w:numFmt w:val="bullet"/>
      <w:start w:val="1"/>
    </w:lvl>
  </w:abstractNum>
  <w:abstractNum w:abstractNumId="28">
    <w:nsid w:val="53584BCB"/>
    <w:multiLevelType w:val="hybridMultilevel"/>
    <w:lvl w:ilvl="0">
      <w:lvlJc w:val="left"/>
      <w:lvlText w:val="(%1)"/>
      <w:numFmt w:val="lowerLetter"/>
      <w:start w:val="1"/>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lowerRoman"/>
      <w:start w:val="1"/>
    </w:lvl>
  </w:abstractNum>
  <w:abstractNum w:abstractNumId="31">
    <w:nsid w:val="23D86AAC"/>
    <w:multiLevelType w:val="hybridMultilevel"/>
    <w:lvl w:ilvl="0">
      <w:lvlJc w:val="left"/>
      <w:lvlText w:val="(%1)"/>
      <w:numFmt w:val="lowerRoman"/>
      <w:start w:val="3"/>
    </w:lvl>
  </w:abstractNum>
  <w:abstractNum w:abstractNumId="32">
    <w:nsid w:val="45E6D486"/>
    <w:multiLevelType w:val="hybridMultilevel"/>
    <w:lvl w:ilvl="0">
      <w:lvlJc w:val="left"/>
      <w:lvlText w:val="·"/>
      <w:numFmt w:val="bullet"/>
      <w:start w:val="1"/>
    </w:lvl>
  </w:abstractNum>
  <w:abstractNum w:abstractNumId="33">
    <w:nsid w:val="5C10FE21"/>
    <w:multiLevelType w:val="hybridMultilevel"/>
    <w:lvl w:ilvl="0">
      <w:lvlJc w:val="left"/>
      <w:lvlText w:val="·"/>
      <w:numFmt w:val="bullet"/>
      <w:start w:val="1"/>
    </w:lvl>
  </w:abstractNum>
  <w:abstractNum w:abstractNumId="34">
    <w:nsid w:val="E7FFA2B"/>
    <w:multiLevelType w:val="hybridMultilevel"/>
    <w:lvl w:ilvl="0">
      <w:lvlJc w:val="left"/>
      <w:lvlText w:val="(%1)"/>
      <w:numFmt w:val="lowerRoman"/>
      <w:start w:val="7"/>
    </w:lvl>
  </w:abstractNum>
  <w:abstractNum w:abstractNumId="35">
    <w:nsid w:val="3C5991AA"/>
    <w:multiLevelType w:val="hybridMultilevel"/>
    <w:lvl w:ilvl="0">
      <w:lvlJc w:val="left"/>
      <w:lvlText w:val="(%1)"/>
      <w:numFmt w:val="lowerRoman"/>
      <w:start w:val="10"/>
    </w:lvl>
  </w:abstractNum>
  <w:abstractNum w:abstractNumId="36">
    <w:nsid w:val="4BD8591A"/>
    <w:multiLevelType w:val="hybridMultilevel"/>
    <w:lvl w:ilvl="0">
      <w:lvlJc w:val="left"/>
      <w:lvlText w:val="(%1)"/>
      <w:numFmt w:val="lowerRoman"/>
      <w:start w:val="2"/>
    </w:lvl>
  </w:abstractNum>
  <w:abstractNum w:abstractNumId="37">
    <w:nsid w:val="78DF6A55"/>
    <w:multiLevelType w:val="hybridMultilevel"/>
    <w:lvl w:ilvl="0">
      <w:lvlJc w:val="left"/>
      <w:lvlText w:val="(%1)"/>
      <w:numFmt w:val="lowerRoman"/>
      <w:start w:val="4"/>
    </w:lvl>
  </w:abstractNum>
  <w:abstractNum w:abstractNumId="38">
    <w:nsid w:val="39B7AAA2"/>
    <w:multiLevelType w:val="hybridMultilevel"/>
    <w:lvl w:ilvl="0">
      <w:lvlJc w:val="left"/>
      <w:lvlText w:val="(%1)"/>
      <w:numFmt w:val="lowerRoman"/>
      <w:start w:val="2"/>
    </w:lvl>
  </w:abstractNum>
  <w:abstractNum w:abstractNumId="39">
    <w:nsid w:val="2B0D8DBE"/>
    <w:multiLevelType w:val="hybridMultilevel"/>
    <w:lvl w:ilvl="0">
      <w:lvlJc w:val="left"/>
      <w:lvlText w:val="(%1)"/>
      <w:numFmt w:val="lowerRoman"/>
      <w:start w:val="4"/>
    </w:lvl>
  </w:abstractNum>
  <w:abstractNum w:abstractNumId="40">
    <w:nsid w:val="6C80EC70"/>
    <w:multiLevelType w:val="hybridMultilevel"/>
    <w:lvl w:ilvl="0">
      <w:lvlJc w:val="left"/>
      <w:lvlText w:val="(%1)"/>
      <w:numFmt w:val="lowerRoman"/>
      <w:start w:val="2"/>
    </w:lvl>
  </w:abstractNum>
  <w:abstractNum w:abstractNumId="41">
    <w:nsid w:val="379E21B5"/>
    <w:multiLevelType w:val="hybridMultilevel"/>
    <w:lvl w:ilvl="0">
      <w:lvlJc w:val="left"/>
      <w:lvlText w:val="(%1)"/>
      <w:numFmt w:val="lowerRoman"/>
      <w:start w:val="1"/>
    </w:lvl>
  </w:abstractNum>
  <w:abstractNum w:abstractNumId="42">
    <w:nsid w:val="69E373"/>
    <w:multiLevelType w:val="hybridMultilevel"/>
    <w:lvl w:ilvl="0">
      <w:lvlJc w:val="left"/>
      <w:lvlText w:val="·"/>
      <w:numFmt w:val="bullet"/>
      <w:start w:val="1"/>
    </w:lvl>
  </w:abstractNum>
  <w:abstractNum w:abstractNumId="43">
    <w:nsid w:val="2C27173B"/>
    <w:multiLevelType w:val="hybridMultilevel"/>
    <w:lvl w:ilvl="0">
      <w:lvlJc w:val="left"/>
      <w:lvlText w:val="·"/>
      <w:numFmt w:val="bullet"/>
      <w:start w:val="1"/>
    </w:lvl>
  </w:abstractNum>
  <w:abstractNum w:abstractNumId="44">
    <w:nsid w:val="4C9B0904"/>
    <w:multiLevelType w:val="hybridMultilevel"/>
    <w:lvl w:ilvl="0">
      <w:lvlJc w:val="left"/>
      <w:lvlText w:val="·"/>
      <w:numFmt w:val="bullet"/>
      <w:start w:val="1"/>
    </w:lvl>
  </w:abstractNum>
  <w:abstractNum w:abstractNumId="45">
    <w:nsid w:val="6AA7B75C"/>
    <w:multiLevelType w:val="hybridMultilevel"/>
    <w:lvl w:ilvl="0">
      <w:lvlJc w:val="left"/>
      <w:lvlText w:val="(%1)"/>
      <w:numFmt w:val="lowerRoman"/>
      <w:start w:val="4"/>
    </w:lvl>
  </w:abstractNum>
  <w:abstractNum w:abstractNumId="46">
    <w:nsid w:val="1DF029D3"/>
    <w:multiLevelType w:val="hybridMultilevel"/>
    <w:lvl w:ilvl="0">
      <w:lvlJc w:val="left"/>
      <w:lvlText w:val="·"/>
      <w:numFmt w:val="bullet"/>
      <w:start w:val="1"/>
    </w:lvl>
  </w:abstractNum>
  <w:abstractNum w:abstractNumId="47">
    <w:nsid w:val="5675FF36"/>
    <w:multiLevelType w:val="hybridMultilevel"/>
    <w:lvl w:ilvl="0">
      <w:lvlJc w:val="left"/>
      <w:lvlText w:val="·"/>
      <w:numFmt w:val="bullet"/>
      <w:start w:val="1"/>
    </w:lvl>
  </w:abstractNum>
  <w:abstractNum w:abstractNumId="48">
    <w:nsid w:val="3DD15094"/>
    <w:multiLevelType w:val="hybridMultilevel"/>
    <w:lvl w:ilvl="0">
      <w:lvlJc w:val="left"/>
      <w:lvlText w:val="·"/>
      <w:numFmt w:val="bullet"/>
      <w:start w:val="1"/>
    </w:lvl>
  </w:abstractNum>
  <w:abstractNum w:abstractNumId="49">
    <w:nsid w:val="3DB012B3"/>
    <w:multiLevelType w:val="hybridMultilevel"/>
    <w:lvl w:ilvl="0">
      <w:lvlJc w:val="left"/>
      <w:lvlText w:val="·"/>
      <w:numFmt w:val="bullet"/>
      <w:start w:val="1"/>
    </w:lvl>
  </w:abstractNum>
  <w:abstractNum w:abstractNumId="50">
    <w:nsid w:val="2708C9AF"/>
    <w:multiLevelType w:val="hybridMultilevel"/>
    <w:lvl w:ilvl="0">
      <w:lvlJc w:val="left"/>
      <w:lvlText w:val="·"/>
      <w:numFmt w:val="bullet"/>
      <w:start w:val="1"/>
    </w:lvl>
  </w:abstractNum>
  <w:abstractNum w:abstractNumId="51">
    <w:nsid w:val="5B25ACE2"/>
    <w:multiLevelType w:val="hybridMultilevel"/>
    <w:lvl w:ilvl="0">
      <w:lvlJc w:val="left"/>
      <w:lvlText w:val="(%1)"/>
      <w:numFmt w:val="lowerRoman"/>
      <w:start w:val="4"/>
    </w:lvl>
    <w:lvl w:ilvl="1">
      <w:lvlJc w:val="left"/>
      <w:lvlText w:val="·"/>
      <w:numFmt w:val="bullet"/>
      <w:start w:val="1"/>
    </w:lvl>
  </w:abstractNum>
  <w:abstractNum w:abstractNumId="52">
    <w:nsid w:val="175DFCF0"/>
    <w:multiLevelType w:val="hybridMultilevel"/>
    <w:lvl w:ilvl="0">
      <w:lvlJc w:val="left"/>
      <w:lvlText w:val="(%1)"/>
      <w:numFmt w:val="lowerRoman"/>
      <w:start w:val="6"/>
    </w:lvl>
    <w:lvl w:ilvl="1">
      <w:lvlJc w:val="left"/>
      <w:lvlText w:val="·"/>
      <w:numFmt w:val="bullet"/>
      <w:start w:val="1"/>
    </w:lvl>
  </w:abstractNum>
  <w:abstractNum w:abstractNumId="53">
    <w:nsid w:val="4F97E3E4"/>
    <w:multiLevelType w:val="hybridMultilevel"/>
    <w:lvl w:ilvl="0">
      <w:lvlJc w:val="left"/>
      <w:lvlText w:val="(%1)"/>
      <w:numFmt w:val="lowerRoman"/>
      <w:start w:val="8"/>
    </w:lvl>
    <w:lvl w:ilvl="1">
      <w:lvlJc w:val="left"/>
      <w:lvlText w:val="·"/>
      <w:numFmt w:val="bullet"/>
      <w:start w:val="1"/>
    </w:lvl>
  </w:abstractNum>
  <w:abstractNum w:abstractNumId="54">
    <w:nsid w:val="53B0A9E"/>
    <w:multiLevelType w:val="hybridMultilevel"/>
    <w:lvl w:ilvl="0">
      <w:lvlJc w:val="left"/>
      <w:lvlText w:val="·"/>
      <w:numFmt w:val="bullet"/>
      <w:start w:val="1"/>
    </w:lvl>
  </w:abstractNum>
  <w:abstractNum w:abstractNumId="55">
    <w:nsid w:val="34FD6B4F"/>
    <w:multiLevelType w:val="hybridMultilevel"/>
    <w:lvl w:ilvl="0">
      <w:lvlJc w:val="left"/>
      <w:lvlText w:val="(%1)"/>
      <w:numFmt w:val="lowerLetter"/>
      <w:start w:val="1"/>
    </w:lvl>
  </w:abstractNum>
  <w:abstractNum w:abstractNumId="56">
    <w:nsid w:val="5915FF32"/>
    <w:multiLevelType w:val="hybridMultilevel"/>
    <w:lvl w:ilvl="0">
      <w:lvlJc w:val="left"/>
      <w:lvlText w:val="(%1)"/>
      <w:numFmt w:val="lowerLetter"/>
      <w:start w:val="2"/>
    </w:lvl>
  </w:abstractNum>
  <w:abstractNum w:abstractNumId="57">
    <w:nsid w:val="56438D15"/>
    <w:multiLevelType w:val="hybridMultilevel"/>
    <w:lvl w:ilvl="0">
      <w:lvlJc w:val="left"/>
      <w:lvlText w:val="(%1)"/>
      <w:numFmt w:val="lowerLetter"/>
      <w:start w:val="1"/>
    </w:lvl>
  </w:abstractNum>
  <w:abstractNum w:abstractNumId="58">
    <w:nsid w:val="519E3149"/>
    <w:multiLevelType w:val="hybridMultilevel"/>
    <w:lvl w:ilvl="0">
      <w:lvlJc w:val="left"/>
      <w:lvlText w:val="(%1)"/>
      <w:numFmt w:val="lowerLetter"/>
      <w:start w:val="1"/>
    </w:lvl>
  </w:abstractNum>
  <w:abstractNum w:abstractNumId="59">
    <w:nsid w:val="2C6E4AFD"/>
    <w:multiLevelType w:val="hybridMultilevel"/>
    <w:lvl w:ilvl="0">
      <w:lvlJc w:val="left"/>
      <w:lvlText w:val="(%1)"/>
      <w:numFmt w:val="lowerLetter"/>
      <w:start w:val="1"/>
    </w:lvl>
  </w:abstractNum>
  <w:abstractNum w:abstractNumId="60">
    <w:nsid w:val="17A1B582"/>
    <w:multiLevelType w:val="hybridMultilevel"/>
    <w:lvl w:ilvl="0">
      <w:lvlJc w:val="left"/>
      <w:lvlText w:val="(%1)"/>
      <w:numFmt w:val="lowerLetter"/>
      <w:start w:val="1"/>
    </w:lvl>
  </w:abstractNum>
  <w:abstractNum w:abstractNumId="61">
    <w:nsid w:val="4DF72E4E"/>
    <w:multiLevelType w:val="hybridMultilevel"/>
    <w:lvl w:ilvl="0">
      <w:lvlJc w:val="left"/>
      <w:lvlText w:val="·"/>
      <w:numFmt w:val="bullet"/>
      <w:start w:val="1"/>
    </w:lvl>
    <w:lvl w:ilvl="1">
      <w:lvlJc w:val="left"/>
      <w:lvlText w:val="(%2)"/>
      <w:numFmt w:val="lowerRoman"/>
      <w:start w:val="2"/>
    </w:lvl>
  </w:abstractNum>
  <w:abstractNum w:abstractNumId="62">
    <w:nsid w:val="5046B5A9"/>
    <w:multiLevelType w:val="hybridMultilevel"/>
    <w:lvl w:ilvl="0">
      <w:lvlJc w:val="left"/>
      <w:lvlText w:val="(%1)"/>
      <w:numFmt w:val="lowerRoman"/>
      <w:start w:val="2"/>
    </w:lvl>
  </w:abstractNum>
  <w:abstractNum w:abstractNumId="63">
    <w:nsid w:val="5D888A08"/>
    <w:multiLevelType w:val="hybridMultilevel"/>
    <w:lvl w:ilvl="0">
      <w:lvlJc w:val="left"/>
      <w:lvlText w:val="(%1)"/>
      <w:numFmt w:val="lowerRoman"/>
      <w:start w:val="4"/>
    </w:lvl>
  </w:abstractNum>
  <w:abstractNum w:abstractNumId="64">
    <w:nsid w:val="2A082C70"/>
    <w:multiLevelType w:val="hybridMultilevel"/>
    <w:lvl w:ilvl="0">
      <w:lvlJc w:val="left"/>
      <w:lvlText w:val="(%1)"/>
      <w:numFmt w:val="lowerRoman"/>
      <w:start w:val="6"/>
    </w:lvl>
  </w:abstractNum>
  <w:abstractNum w:abstractNumId="65">
    <w:nsid w:val="5EC6AFD4"/>
    <w:multiLevelType w:val="hybridMultilevel"/>
    <w:lvl w:ilvl="0">
      <w:lvlJc w:val="left"/>
      <w:lvlText w:val="(%1)"/>
      <w:numFmt w:val="lowerRoman"/>
      <w:start w:val="1"/>
    </w:lvl>
  </w:abstractNum>
  <w:abstractNum w:abstractNumId="66">
    <w:nsid w:val="19E21BB2"/>
    <w:multiLevelType w:val="hybridMultilevel"/>
    <w:lvl w:ilvl="0">
      <w:lvlJc w:val="left"/>
      <w:lvlText w:val="(%1)"/>
      <w:numFmt w:val="lowerLetter"/>
      <w:start w:val="1"/>
    </w:lvl>
  </w:abstractNum>
  <w:abstractNum w:abstractNumId="67">
    <w:nsid w:val="75E0858A"/>
    <w:multiLevelType w:val="hybridMultilevel"/>
    <w:lvl w:ilvl="0">
      <w:lvlJc w:val="left"/>
      <w:lvlText w:val="(%1)"/>
      <w:numFmt w:val="lowerLetter"/>
      <w:start w:val="1"/>
    </w:lvl>
  </w:abstractNum>
  <w:abstractNum w:abstractNumId="68">
    <w:nsid w:val="57A61A29"/>
    <w:multiLevelType w:val="hybridMultilevel"/>
    <w:lvl w:ilvl="0">
      <w:lvlJc w:val="left"/>
      <w:lvlText w:val="·"/>
      <w:numFmt w:val="bullet"/>
      <w:start w:val="1"/>
    </w:lvl>
  </w:abstractNum>
  <w:abstractNum w:abstractNumId="69">
    <w:nsid w:val="5399C654"/>
    <w:multiLevelType w:val="hybridMultilevel"/>
    <w:lvl w:ilvl="0">
      <w:lvlJc w:val="left"/>
      <w:lvlText w:val="·"/>
      <w:numFmt w:val="bullet"/>
      <w:start w:val="1"/>
    </w:lvl>
  </w:abstractNum>
  <w:abstractNum w:abstractNumId="70">
    <w:nsid w:val="20EE1348"/>
    <w:multiLevelType w:val="hybridMultilevel"/>
    <w:lvl w:ilvl="0">
      <w:lvlJc w:val="left"/>
      <w:lvlText w:val="·"/>
      <w:numFmt w:val="bullet"/>
      <w:start w:val="1"/>
    </w:lvl>
  </w:abstractNum>
  <w:abstractNum w:abstractNumId="71">
    <w:nsid w:val="4427069A"/>
    <w:multiLevelType w:val="hybridMultilevel"/>
    <w:lvl w:ilvl="0">
      <w:lvlJc w:val="left"/>
      <w:lvlText w:val="·"/>
      <w:numFmt w:val="bullet"/>
      <w:start w:val="1"/>
    </w:lvl>
  </w:abstractNum>
  <w:abstractNum w:abstractNumId="72">
    <w:nsid w:val="B37E80A"/>
    <w:multiLevelType w:val="hybridMultilevel"/>
    <w:lvl w:ilvl="0">
      <w:lvlJc w:val="left"/>
      <w:lvlText w:val="·"/>
      <w:numFmt w:val="bullet"/>
      <w:start w:val="1"/>
    </w:lvl>
  </w:abstractNum>
  <w:abstractNum w:abstractNumId="73">
    <w:nsid w:val="2157F6BC"/>
    <w:multiLevelType w:val="hybridMultilevel"/>
    <w:lvl w:ilvl="0">
      <w:lvlJc w:val="left"/>
      <w:lvlText w:val="·"/>
      <w:numFmt w:val="bullet"/>
      <w:start w:val="1"/>
    </w:lvl>
  </w:abstractNum>
  <w:abstractNum w:abstractNumId="74">
    <w:nsid w:val="704E1DD5"/>
    <w:multiLevelType w:val="hybridMultilevel"/>
    <w:lvl w:ilvl="0">
      <w:lvlJc w:val="left"/>
      <w:lvlText w:val="·"/>
      <w:numFmt w:val="bullet"/>
      <w:start w:val="1"/>
    </w:lvl>
  </w:abstractNum>
  <w:abstractNum w:abstractNumId="75">
    <w:nsid w:val="57D2F10E"/>
    <w:multiLevelType w:val="hybridMultilevel"/>
    <w:lvl w:ilvl="0">
      <w:lvlJc w:val="left"/>
      <w:lvlText w:val="·"/>
      <w:numFmt w:val="bullet"/>
      <w:start w:val="1"/>
    </w:lvl>
  </w:abstractNum>
  <w:abstractNum w:abstractNumId="76">
    <w:nsid w:val="BFFAE18"/>
    <w:multiLevelType w:val="hybridMultilevel"/>
    <w:lvl w:ilvl="0">
      <w:lvlJc w:val="left"/>
      <w:lvlText w:val="(%1)"/>
      <w:numFmt w:val="lowerLetter"/>
      <w:start w:val="1"/>
    </w:lvl>
  </w:abstractNum>
  <w:abstractNum w:abstractNumId="77">
    <w:nsid w:val="E3E47A8"/>
    <w:multiLevelType w:val="hybridMultilevel"/>
    <w:lvl w:ilvl="0">
      <w:lvlJc w:val="left"/>
      <w:lvlText w:val="(%1)"/>
      <w:numFmt w:val="lowerLetter"/>
      <w:start w:val="4"/>
    </w:lvl>
  </w:abstractNum>
  <w:abstractNum w:abstractNumId="78">
    <w:nsid w:val="2E48F044"/>
    <w:multiLevelType w:val="hybridMultilevel"/>
    <w:lvl w:ilvl="0">
      <w:lvlJc w:val="left"/>
      <w:lvlText w:val="(%1)"/>
      <w:numFmt w:val="lowerRoman"/>
      <w:start w:val="1"/>
    </w:lvl>
  </w:abstractNum>
  <w:abstractNum w:abstractNumId="79">
    <w:nsid w:val="49D0FEAC"/>
    <w:multiLevelType w:val="hybridMultilevel"/>
    <w:lvl w:ilvl="0">
      <w:lvlJc w:val="left"/>
      <w:lvlText w:val="·"/>
      <w:numFmt w:val="bullet"/>
      <w:start w:val="1"/>
    </w:lvl>
  </w:abstractNum>
  <w:abstractNum w:abstractNumId="80">
    <w:nsid w:val="4BEE5A5B"/>
    <w:multiLevelType w:val="hybridMultilevel"/>
    <w:lvl w:ilvl="0">
      <w:lvlJc w:val="left"/>
      <w:lvlText w:val="·"/>
      <w:numFmt w:val="bullet"/>
      <w:start w:val="1"/>
    </w:lvl>
  </w:abstractNum>
  <w:abstractNum w:abstractNumId="81">
    <w:nsid w:val="5551B9F3"/>
    <w:multiLevelType w:val="hybridMultilevel"/>
    <w:lvl w:ilvl="0">
      <w:lvlJc w:val="left"/>
      <w:lvlText w:val="·"/>
      <w:numFmt w:val="bullet"/>
      <w:start w:val="1"/>
    </w:lvl>
  </w:abstractNum>
  <w:abstractNum w:abstractNumId="82">
    <w:nsid w:val="24F6AB8E"/>
    <w:multiLevelType w:val="hybridMultilevel"/>
    <w:lvl w:ilvl="0">
      <w:lvlJc w:val="left"/>
      <w:lvlText w:val="·"/>
      <w:numFmt w:val="bullet"/>
      <w:start w:val="1"/>
    </w:lvl>
  </w:abstractNum>
  <w:abstractNum w:abstractNumId="83">
    <w:nsid w:val="634C574C"/>
    <w:multiLevelType w:val="hybridMultilevel"/>
    <w:lvl w:ilvl="0">
      <w:lvlJc w:val="left"/>
      <w:lvlText w:val="·"/>
      <w:numFmt w:val="bullet"/>
      <w:start w:val="1"/>
    </w:lvl>
    <w:lvl w:ilvl="1">
      <w:lvlJc w:val="left"/>
      <w:lvlText w:val="·"/>
      <w:numFmt w:val="bullet"/>
      <w:start w:val="1"/>
    </w:lvl>
  </w:abstractNum>
  <w:abstractNum w:abstractNumId="84">
    <w:nsid w:val="24E99DD7"/>
    <w:multiLevelType w:val="hybridMultilevel"/>
    <w:lvl w:ilvl="0">
      <w:lvlJc w:val="left"/>
      <w:lvlText w:val="·"/>
      <w:numFmt w:val="bullet"/>
      <w:start w:val="1"/>
    </w:lvl>
  </w:abstractNum>
  <w:abstractNum w:abstractNumId="85">
    <w:nsid w:val="2A31B62D"/>
    <w:multiLevelType w:val="hybridMultilevel"/>
    <w:lvl w:ilvl="0">
      <w:lvlJc w:val="left"/>
      <w:lvlText w:val="(%1)"/>
      <w:numFmt w:val="lowerRoman"/>
      <w:start w:val="4"/>
    </w:lvl>
  </w:abstractNum>
  <w:abstractNum w:abstractNumId="86">
    <w:nsid w:val="1849C29B"/>
    <w:multiLevelType w:val="hybridMultilevel"/>
    <w:lvl w:ilvl="0">
      <w:lvlJc w:val="left"/>
      <w:lvlText w:val="(%1)"/>
      <w:numFmt w:val="lowerLetter"/>
      <w:start w:val="1"/>
    </w:lvl>
  </w:abstractNum>
  <w:abstractNum w:abstractNumId="87">
    <w:nsid w:val="7DFF9D09"/>
    <w:multiLevelType w:val="hybridMultilevel"/>
    <w:lvl w:ilvl="0">
      <w:lvlJc w:val="left"/>
      <w:lvlText w:val="%1."/>
      <w:numFmt w:val="decimal"/>
      <w:start w:val="5"/>
    </w:lvl>
  </w:abstractNum>
  <w:abstractNum w:abstractNumId="88">
    <w:nsid w:val="754342"/>
    <w:multiLevelType w:val="hybridMultilevel"/>
    <w:lvl w:ilvl="0">
      <w:lvlJc w:val="left"/>
      <w:lvlText w:val="(%1)"/>
      <w:numFmt w:val="lowerRoman"/>
      <w:start w:val="1"/>
    </w:lvl>
  </w:abstractNum>
  <w:abstractNum w:abstractNumId="89">
    <w:nsid w:val="69E7F3E5"/>
    <w:multiLevelType w:val="hybridMultilevel"/>
    <w:lvl w:ilvl="0">
      <w:lvlJc w:val="left"/>
      <w:lvlText w:val="(%1)"/>
      <w:numFmt w:val="lowerRoman"/>
      <w:start w:val="3"/>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2"/>
    </w:lvl>
  </w:abstractNum>
  <w:abstractNum w:abstractNumId="92">
    <w:nsid w:val="37DF2233"/>
    <w:multiLevelType w:val="hybridMultilevel"/>
    <w:lvl w:ilvl="0">
      <w:lvlJc w:val="left"/>
      <w:lvlText w:val="(%1)"/>
      <w:numFmt w:val="lowerLetter"/>
      <w:start w:val="5"/>
    </w:lvl>
  </w:abstractNum>
  <w:abstractNum w:abstractNumId="93">
    <w:nsid w:val="7AB49DAF"/>
    <w:multiLevelType w:val="hybridMultilevel"/>
    <w:lvl w:ilvl="0">
      <w:lvlJc w:val="left"/>
      <w:lvlText w:val="(%1)"/>
      <w:numFmt w:val="lowerLetter"/>
      <w:start w:val="1"/>
    </w:lvl>
  </w:abstractNum>
  <w:abstractNum w:abstractNumId="94">
    <w:nsid w:val="759F82CD"/>
    <w:multiLevelType w:val="hybridMultilevel"/>
    <w:lvl w:ilvl="0">
      <w:lvlJc w:val="left"/>
      <w:lvlText w:val="·"/>
      <w:numFmt w:val="bullet"/>
      <w:start w:val="1"/>
    </w:lvl>
  </w:abstractNum>
  <w:abstractNum w:abstractNumId="95">
    <w:nsid w:val="61E74EA3"/>
    <w:multiLevelType w:val="hybridMultilevel"/>
    <w:lvl w:ilvl="0">
      <w:lvlJc w:val="left"/>
      <w:lvlText w:val="·"/>
      <w:numFmt w:val="bullet"/>
      <w:start w:val="1"/>
    </w:lvl>
  </w:abstractNum>
  <w:abstractNum w:abstractNumId="96">
    <w:nsid w:val="597B4D84"/>
    <w:multiLevelType w:val="hybridMultilevel"/>
    <w:lvl w:ilvl="0">
      <w:lvlJc w:val="left"/>
      <w:lvlText w:val="·"/>
      <w:numFmt w:val="bullet"/>
      <w:start w:val="1"/>
    </w:lvl>
  </w:abstractNum>
  <w:abstractNum w:abstractNumId="97">
    <w:nsid w:val="F819E7F"/>
    <w:multiLevelType w:val="hybridMultilevel"/>
    <w:lvl w:ilvl="0">
      <w:lvlJc w:val="left"/>
      <w:lvlText w:val="(%1)"/>
      <w:numFmt w:val="lowerRoman"/>
      <w:start w:val="2"/>
    </w:lvl>
  </w:abstractNum>
  <w:abstractNum w:abstractNumId="98">
    <w:nsid w:val="57C7D42D"/>
    <w:multiLevelType w:val="hybridMultilevel"/>
    <w:lvl w:ilvl="0">
      <w:lvlJc w:val="left"/>
      <w:lvlText w:val="(%1)"/>
      <w:numFmt w:val="lowerRoman"/>
      <w:start w:val="1"/>
    </w:lvl>
  </w:abstractNum>
  <w:abstractNum w:abstractNumId="99">
    <w:nsid w:val="312167AD"/>
    <w:multiLevelType w:val="hybridMultilevel"/>
    <w:lvl w:ilvl="0">
      <w:lvlJc w:val="left"/>
      <w:lvlText w:val="(%1)"/>
      <w:numFmt w:val="lowerLetter"/>
      <w:start w:val="1"/>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lowerLetter"/>
      <w:start w:val="1"/>
    </w:lvl>
  </w:abstractNum>
  <w:abstractNum w:abstractNumId="102">
    <w:nsid w:val="75486E47"/>
    <w:multiLevelType w:val="hybridMultilevel"/>
    <w:lvl w:ilvl="0">
      <w:lvlJc w:val="left"/>
      <w:lvlText w:val="(%1)"/>
      <w:numFmt w:val="lowerLetter"/>
      <w:start w:val="1"/>
    </w:lvl>
  </w:abstractNum>
  <w:abstractNum w:abstractNumId="103">
    <w:nsid w:val="6E534CDE"/>
    <w:multiLevelType w:val="hybridMultilevel"/>
    <w:lvl w:ilvl="0">
      <w:lvlJc w:val="left"/>
      <w:lvlText w:val="(%1)"/>
      <w:numFmt w:val="lowerLetter"/>
      <w:start w:val="2"/>
    </w:lvl>
  </w:abstractNum>
  <w:abstractNum w:abstractNumId="104">
    <w:nsid w:val="1A0DDE32"/>
    <w:multiLevelType w:val="hybridMultilevel"/>
    <w:lvl w:ilvl="0">
      <w:lvlJc w:val="left"/>
      <w:lvlText w:val="(%1)"/>
      <w:numFmt w:val="lowerLetter"/>
      <w:start w:val="8"/>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lowerLetter"/>
      <w:start w:val="1"/>
    </w:lvl>
  </w:abstractNum>
  <w:abstractNum w:abstractNumId="107">
    <w:nsid w:val="260D8C4A"/>
    <w:multiLevelType w:val="hybridMultilevel"/>
    <w:lvl w:ilvl="0">
      <w:lvlJc w:val="left"/>
      <w:lvlText w:val="·"/>
      <w:numFmt w:val="bullet"/>
      <w:start w:val="1"/>
    </w:lvl>
  </w:abstractNum>
  <w:abstractNum w:abstractNumId="108">
    <w:nsid w:val="73D4D3C4"/>
    <w:multiLevelType w:val="hybridMultilevel"/>
    <w:lvl w:ilvl="0">
      <w:lvlJc w:val="left"/>
      <w:lvlText w:val="·"/>
      <w:numFmt w:val="bullet"/>
      <w:start w:val="1"/>
    </w:lvl>
  </w:abstractNum>
  <w:abstractNum w:abstractNumId="109">
    <w:nsid w:val="746F2E30"/>
    <w:multiLevelType w:val="hybridMultilevel"/>
    <w:lvl w:ilvl="0">
      <w:lvlJc w:val="left"/>
      <w:lvlText w:val="·"/>
      <w:numFmt w:val="bullet"/>
      <w:start w:val="1"/>
    </w:lvl>
  </w:abstractNum>
  <w:abstractNum w:abstractNumId="110">
    <w:nsid w:val="6FDE8AF6"/>
    <w:multiLevelType w:val="hybridMultilevel"/>
    <w:lvl w:ilvl="0">
      <w:lvlJc w:val="left"/>
      <w:lvlText w:val="·"/>
      <w:numFmt w:val="bullet"/>
      <w:start w:val="1"/>
    </w:lvl>
  </w:abstractNum>
  <w:abstractNum w:abstractNumId="111">
    <w:nsid w:val="3FC32E20"/>
    <w:multiLevelType w:val="hybridMultilevel"/>
    <w:lvl w:ilvl="0">
      <w:lvlJc w:val="left"/>
      <w:lvlText w:val="·"/>
      <w:numFmt w:val="bullet"/>
      <w:start w:val="1"/>
    </w:lvl>
  </w:abstractNum>
  <w:abstractNum w:abstractNumId="112">
    <w:nsid w:val="49C0E823"/>
    <w:multiLevelType w:val="hybridMultilevel"/>
    <w:lvl w:ilvl="0">
      <w:lvlJc w:val="left"/>
      <w:lvlText w:val="(%1)"/>
      <w:numFmt w:val="lowerLetter"/>
      <w:start w:val="1"/>
    </w:lvl>
  </w:abstractNum>
  <w:abstractNum w:abstractNumId="113">
    <w:nsid w:val="14D53685"/>
    <w:multiLevelType w:val="hybridMultilevel"/>
    <w:lvl w:ilvl="0">
      <w:lvlJc w:val="left"/>
      <w:lvlText w:val="%1."/>
      <w:numFmt w:val="lowerRoman"/>
      <w:start w:val="1"/>
    </w:lvl>
  </w:abstractNum>
  <w:abstractNum w:abstractNumId="114">
    <w:nsid w:val="230F856C"/>
    <w:multiLevelType w:val="hybridMultilevel"/>
    <w:lvl w:ilvl="0">
      <w:lvlJc w:val="left"/>
      <w:lvlText w:val="(%1)"/>
      <w:numFmt w:val="lowerLetter"/>
      <w:start w:val="1"/>
    </w:lvl>
  </w:abstractNum>
  <w:abstractNum w:abstractNumId="115">
    <w:nsid w:val="6EAA85FB"/>
    <w:multiLevelType w:val="hybridMultilevel"/>
    <w:lvl w:ilvl="0">
      <w:lvlJc w:val="left"/>
      <w:lvlText w:val="*"/>
      <w:numFmt w:val="bullet"/>
      <w:start w:val="1"/>
    </w:lvl>
  </w:abstractNum>
  <w:abstractNum w:abstractNumId="116">
    <w:nsid w:val="3F06ECB2"/>
    <w:multiLevelType w:val="hybridMultilevel"/>
    <w:lvl w:ilvl="0">
      <w:lvlJc w:val="left"/>
      <w:lvlText w:val="†"/>
      <w:numFmt w:val="bullet"/>
      <w:start w:val="1"/>
    </w:lvl>
  </w:abstractNum>
  <w:abstractNum w:abstractNumId="117">
    <w:nsid w:val="3B594807"/>
    <w:multiLevelType w:val="hybridMultilevel"/>
    <w:lvl w:ilvl="0">
      <w:lvlJc w:val="left"/>
      <w:lvlText w:val="(%1)"/>
      <w:numFmt w:val="lowerLetter"/>
      <w:start w:val="1"/>
    </w:lvl>
  </w:abstractNum>
  <w:abstractNum w:abstractNumId="118">
    <w:nsid w:val="6CAA2304"/>
    <w:multiLevelType w:val="hybridMultilevel"/>
    <w:lvl w:ilvl="0">
      <w:lvlJc w:val="left"/>
      <w:lvlText w:val="%1."/>
      <w:numFmt w:val="decimal"/>
      <w:start w:val="1"/>
    </w:lvl>
  </w:abstractNum>
  <w:abstractNum w:abstractNumId="119">
    <w:nsid w:val="3F7C2FF4"/>
    <w:multiLevelType w:val="hybridMultilevel"/>
    <w:lvl w:ilvl="0">
      <w:lvlJc w:val="left"/>
      <w:lvlText w:val="(%1)"/>
      <w:numFmt w:val="decimal"/>
      <w:start w:val="1"/>
    </w:lvl>
  </w:abstractNum>
  <w:abstractNum w:abstractNumId="120">
    <w:nsid w:val="25413BEC"/>
    <w:multiLevelType w:val="hybridMultilevel"/>
    <w:lvl w:ilvl="0">
      <w:lvlJc w:val="left"/>
      <w:lvlText w:val="(%1)"/>
      <w:numFmt w:val="decimal"/>
      <w:start w:val="9"/>
    </w:lvl>
  </w:abstractNum>
  <w:abstractNum w:abstractNumId="121">
    <w:nsid w:val="17180B0B"/>
    <w:multiLevelType w:val="hybridMultilevel"/>
    <w:lvl w:ilvl="0">
      <w:lvlJc w:val="left"/>
      <w:lvlText w:val="%1."/>
      <w:numFmt w:val="decimal"/>
      <w:start w:val="1"/>
    </w:lvl>
  </w:abstractNum>
  <w:abstractNum w:abstractNumId="122">
    <w:nsid w:val="579328B9"/>
    <w:multiLevelType w:val="hybridMultilevel"/>
    <w:lvl w:ilvl="0">
      <w:lvlJc w:val="left"/>
      <w:lvlText w:val="%1."/>
      <w:numFmt w:val="decimal"/>
      <w:start w:val="2"/>
    </w:lvl>
  </w:abstractNum>
  <w:abstractNum w:abstractNumId="123">
    <w:nsid w:val="5D205E20"/>
    <w:multiLevelType w:val="hybridMultilevel"/>
    <w:lvl w:ilvl="0">
      <w:lvlJc w:val="left"/>
      <w:lvlText w:val="%1."/>
      <w:numFmt w:val="decimal"/>
      <w:start w:val="3"/>
    </w:lvl>
  </w:abstractNum>
  <w:abstractNum w:abstractNumId="124">
    <w:nsid w:val="11CCA8BA"/>
    <w:multiLevelType w:val="hybridMultilevel"/>
    <w:lvl w:ilvl="0">
      <w:lvlJc w:val="left"/>
      <w:lvlText w:val="%1."/>
      <w:numFmt w:val="decimal"/>
      <w:start w:val="4"/>
    </w:lvl>
  </w:abstractNum>
  <w:abstractNum w:abstractNumId="125">
    <w:nsid w:val="4D32AB86"/>
    <w:multiLevelType w:val="hybridMultilevel"/>
    <w:lvl w:ilvl="0">
      <w:lvlJc w:val="left"/>
      <w:lvlText w:val="%1."/>
      <w:numFmt w:val="decimal"/>
      <w:start w:val="5"/>
    </w:lvl>
  </w:abstractNum>
  <w:abstractNum w:abstractNumId="126">
    <w:nsid w:val="3F07ACC3"/>
    <w:multiLevelType w:val="hybridMultilevel"/>
    <w:lvl w:ilvl="0">
      <w:lvlJc w:val="left"/>
      <w:lvlText w:val="(%1)"/>
      <w:numFmt w:val="lowerRoman"/>
      <w:start w:val="2"/>
    </w:lvl>
  </w:abstractNum>
  <w:abstractNum w:abstractNumId="127">
    <w:nsid w:val="6B47F63E"/>
    <w:multiLevelType w:val="hybridMultilevel"/>
    <w:lvl w:ilvl="0">
      <w:lvlJc w:val="left"/>
      <w:lvlText w:val="%1."/>
      <w:numFmt w:val="decimal"/>
      <w:start w:val="6"/>
    </w:lvl>
  </w:abstractNum>
  <w:abstractNum w:abstractNumId="128">
    <w:nsid w:val="5CB44A05"/>
    <w:multiLevelType w:val="hybridMultilevel"/>
    <w:lvl w:ilvl="0">
      <w:lvlJc w:val="left"/>
      <w:lvlText w:val="·"/>
      <w:numFmt w:val="bullet"/>
      <w:start w:val="1"/>
    </w:lvl>
  </w:abstractNum>
  <w:abstractNum w:abstractNumId="129">
    <w:nsid w:val="16CF80F1"/>
    <w:multiLevelType w:val="hybridMultilevel"/>
    <w:lvl w:ilvl="0">
      <w:lvlJc w:val="left"/>
      <w:lvlText w:val="%1."/>
      <w:numFmt w:val="decimal"/>
      <w:start w:val="7"/>
    </w:lvl>
  </w:abstractNum>
  <w:abstractNum w:abstractNumId="130">
    <w:nsid w:val="1C695DEC"/>
    <w:multiLevelType w:val="hybridMultilevel"/>
    <w:lvl w:ilvl="0">
      <w:lvlJc w:val="left"/>
      <w:lvlText w:val="%1."/>
      <w:numFmt w:val="decimal"/>
      <w:start w:val="8"/>
    </w:lvl>
  </w:abstractNum>
  <w:abstractNum w:abstractNumId="131">
    <w:nsid w:val="3FCFAED9"/>
    <w:multiLevelType w:val="hybridMultilevel"/>
    <w:lvl w:ilvl="0">
      <w:lvlJc w:val="left"/>
      <w:lvlText w:val="%1."/>
      <w:numFmt w:val="decimal"/>
      <w:start w:val="9"/>
    </w:lvl>
  </w:abstractNum>
  <w:abstractNum w:abstractNumId="132">
    <w:nsid w:val="F856867"/>
    <w:multiLevelType w:val="hybridMultilevel"/>
    <w:lvl w:ilvl="0">
      <w:lvlJc w:val="left"/>
      <w:lvlText w:val="%1."/>
      <w:numFmt w:val="decimal"/>
      <w:start w:val="10"/>
    </w:lvl>
  </w:abstractNum>
  <w:abstractNum w:abstractNumId="133">
    <w:nsid w:val="11B1CC33"/>
    <w:multiLevelType w:val="hybridMultilevel"/>
    <w:lvl w:ilvl="0">
      <w:lvlJc w:val="left"/>
      <w:lvlText w:val="%1."/>
      <w:numFmt w:val="decimal"/>
      <w:start w:val="11"/>
    </w:lvl>
  </w:abstractNum>
  <w:abstractNum w:abstractNumId="134">
    <w:nsid w:val="2E22FBB7"/>
    <w:multiLevelType w:val="hybridMultilevel"/>
    <w:lvl w:ilvl="0">
      <w:lvlJc w:val="left"/>
      <w:lvlText w:val="%1."/>
      <w:numFmt w:val="decimal"/>
      <w:start w:val="12"/>
    </w:lvl>
  </w:abstractNum>
  <w:abstractNum w:abstractNumId="135">
    <w:nsid w:val="29934699"/>
    <w:multiLevelType w:val="hybridMultilevel"/>
    <w:lvl w:ilvl="0">
      <w:lvlJc w:val="left"/>
      <w:lvlText w:val="%1."/>
      <w:numFmt w:val="decimal"/>
      <w:start w:val="13"/>
    </w:lvl>
  </w:abstractNum>
  <w:abstractNum w:abstractNumId="136">
    <w:nsid w:val="77485850"/>
    <w:multiLevelType w:val="hybridMultilevel"/>
    <w:lvl w:ilvl="0">
      <w:lvlJc w:val="left"/>
      <w:lvlText w:val="%1."/>
      <w:numFmt w:val="decimal"/>
      <w:start w:val="14"/>
    </w:lvl>
  </w:abstractNum>
  <w:abstractNum w:abstractNumId="137">
    <w:nsid w:val="744939A3"/>
    <w:multiLevelType w:val="hybridMultilevel"/>
    <w:lvl w:ilvl="0">
      <w:lvlJc w:val="left"/>
      <w:lvlText w:val="%1."/>
      <w:numFmt w:val="decimal"/>
      <w:start w:val="15"/>
    </w:lvl>
  </w:abstractNum>
  <w:abstractNum w:abstractNumId="138">
    <w:nsid w:val="4FA0D2E3"/>
    <w:multiLevelType w:val="hybridMultilevel"/>
    <w:lvl w:ilvl="0">
      <w:lvlJc w:val="left"/>
      <w:lvlText w:val="%1."/>
      <w:numFmt w:val="decimal"/>
      <w:start w:val="16"/>
    </w:lvl>
  </w:abstractNum>
  <w:abstractNum w:abstractNumId="139">
    <w:nsid w:val="6B1D2C14"/>
    <w:multiLevelType w:val="hybridMultilevel"/>
    <w:lvl w:ilvl="0">
      <w:lvlJc w:val="left"/>
      <w:lvlText w:val="%1."/>
      <w:numFmt w:val="decimal"/>
      <w:start w:val="17"/>
    </w:lvl>
  </w:abstractNum>
  <w:abstractNum w:abstractNumId="140">
    <w:nsid w:val="68B867D3"/>
    <w:multiLevelType w:val="hybridMultilevel"/>
    <w:lvl w:ilvl="0">
      <w:lvlJc w:val="left"/>
      <w:lvlText w:val="%1."/>
      <w:numFmt w:val="decimal"/>
      <w:start w:val="18"/>
    </w:lvl>
  </w:abstractNum>
  <w:abstractNum w:abstractNumId="141">
    <w:nsid w:val="3F7F5DD9"/>
    <w:multiLevelType w:val="hybridMultilevel"/>
    <w:lvl w:ilvl="0">
      <w:lvlJc w:val="left"/>
      <w:lvlText w:val="(%1)"/>
      <w:numFmt w:val="lowerLetter"/>
      <w:start w:val="1"/>
    </w:lvl>
  </w:abstractNum>
  <w:abstractNum w:abstractNumId="142">
    <w:nsid w:val="2AE05A34"/>
    <w:multiLevelType w:val="hybridMultilevel"/>
    <w:lvl w:ilvl="0">
      <w:lvlJc w:val="left"/>
      <w:lvlText w:val="(%1)"/>
      <w:numFmt w:val="lowerRoman"/>
      <w:start w:val="1"/>
    </w:lvl>
  </w:abstractNum>
  <w:abstractNum w:abstractNumId="143">
    <w:nsid w:val="32794FF7"/>
    <w:multiLevelType w:val="hybridMultilevel"/>
    <w:lvl w:ilvl="0">
      <w:lvlJc w:val="left"/>
      <w:lvlText w:val="(%1)"/>
      <w:numFmt w:val="lowerRoman"/>
      <w:start w:val="3"/>
    </w:lvl>
  </w:abstractNum>
  <w:abstractNum w:abstractNumId="144">
    <w:nsid w:val="5454945E"/>
    <w:multiLevelType w:val="hybridMultilevel"/>
    <w:lvl w:ilvl="0">
      <w:lvlJc w:val="left"/>
      <w:lvlText w:val="(%1)"/>
      <w:numFmt w:val="lowerLetter"/>
      <w:start w:val="1"/>
    </w:lvl>
  </w:abstractNum>
  <w:abstractNum w:abstractNumId="145">
    <w:nsid w:val="4DEFDFA0"/>
    <w:multiLevelType w:val="hybridMultilevel"/>
    <w:lvl w:ilvl="0">
      <w:lvlJc w:val="left"/>
      <w:lvlText w:val="*"/>
      <w:numFmt w:val="bullet"/>
      <w:start w:val="1"/>
    </w:lvl>
  </w:abstractNum>
  <w:abstractNum w:abstractNumId="146">
    <w:nsid w:val="2123D5F2"/>
    <w:multiLevelType w:val="hybridMultilevel"/>
    <w:lvl w:ilvl="0">
      <w:lvlJc w:val="left"/>
      <w:lvlText w:val="**"/>
      <w:numFmt w:val="bullet"/>
      <w:start w:val="1"/>
    </w:lvl>
  </w:abstractNum>
  <w:abstractNum w:abstractNumId="147">
    <w:nsid w:val="135B8110"/>
    <w:multiLevelType w:val="hybridMultilevel"/>
    <w:lvl w:ilvl="0">
      <w:lvlJc w:val="left"/>
      <w:lvlText w:val="%1."/>
      <w:numFmt w:val="decimal"/>
      <w:start w:val="1"/>
    </w:lvl>
    <w:lvl w:ilvl="1">
      <w:lvlJc w:val="left"/>
      <w:lvlText w:val="(%2)"/>
      <w:numFmt w:val="lowerLetter"/>
      <w:start w:val="1"/>
    </w:lvl>
  </w:abstractNum>
  <w:abstractNum w:abstractNumId="148">
    <w:nsid w:val="94927A8"/>
    <w:multiLevelType w:val="hybridMultilevel"/>
    <w:lvl w:ilvl="0">
      <w:lvlJc w:val="left"/>
      <w:lvlText w:val="(%1)"/>
      <w:numFmt w:val="lowerLetter"/>
      <w:start w:val="2"/>
    </w:lvl>
  </w:abstractNum>
  <w:abstractNum w:abstractNumId="149">
    <w:nsid w:val="DCDF8F6"/>
    <w:multiLevelType w:val="hybridMultilevel"/>
    <w:lvl w:ilvl="0">
      <w:lvlJc w:val="left"/>
      <w:lvlText w:val="%1."/>
      <w:numFmt w:val="decimal"/>
      <w:start w:val="4"/>
    </w:lvl>
    <w:lvl w:ilvl="1">
      <w:lvlJc w:val="left"/>
      <w:lvlText w:val="(%2)"/>
      <w:numFmt w:val="lowerLetter"/>
      <w:start w:val="1"/>
    </w:lvl>
  </w:abstractNum>
  <w:abstractNum w:abstractNumId="150">
    <w:nsid w:val="52D7B105"/>
    <w:multiLevelType w:val="hybridMultilevel"/>
    <w:lvl w:ilvl="0">
      <w:lvlJc w:val="left"/>
      <w:lvlText w:val="(%1)"/>
      <w:numFmt w:val="lowerLetter"/>
      <w:start w:val="4"/>
    </w:lvl>
  </w:abstractNum>
  <w:abstractNum w:abstractNumId="151">
    <w:nsid w:val="2E8A639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2">
    <w:nsid w:val="24E604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3">
    <w:nsid w:val="2A6AD9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154">
    <w:nsid w:val="BAAC1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55">
    <w:nsid w:val="36B2ACBC"/>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156">
    <w:nsid w:val="779D8544"/>
    <w:multiLevelType w:val="hybridMultilevel"/>
    <w:lvl w:ilvl="0">
      <w:lvlJc w:val="left"/>
      <w:lvlText w:val="%1."/>
      <w:numFmt w:val="decimal"/>
      <w:start w:val="8"/>
    </w:lvl>
    <w:lvl w:ilvl="1">
      <w:lvlJc w:val="left"/>
      <w:lvlText w:val="(%2)"/>
      <w:numFmt w:val="lowerLetter"/>
      <w:start w:val="1"/>
    </w:lvl>
  </w:abstractNum>
  <w:abstractNum w:abstractNumId="157">
    <w:nsid w:val="4AB26E78"/>
    <w:multiLevelType w:val="hybridMultilevel"/>
    <w:lvl w:ilvl="0">
      <w:lvlJc w:val="left"/>
      <w:lvlText w:val="(%1)"/>
      <w:numFmt w:val="lowerLetter"/>
      <w:start w:val="2"/>
    </w:lvl>
  </w:abstractNum>
  <w:abstractNum w:abstractNumId="158">
    <w:nsid w:val="21FAA2FA"/>
    <w:multiLevelType w:val="hybridMultilevel"/>
    <w:lvl w:ilvl="0">
      <w:lvlJc w:val="left"/>
      <w:lvlText w:val="(%1)"/>
      <w:numFmt w:val="lowerLetter"/>
      <w:start w:val="3"/>
    </w:lvl>
  </w:abstractNum>
  <w:abstractNum w:abstractNumId="159">
    <w:nsid w:val="5451CF49"/>
    <w:multiLevelType w:val="hybridMultilevel"/>
    <w:lvl w:ilvl="0">
      <w:lvlJc w:val="left"/>
      <w:lvlText w:val="(%1)"/>
      <w:numFmt w:val="lowerRoman"/>
      <w:start w:val="1"/>
    </w:lvl>
  </w:abstractNum>
  <w:abstractNum w:abstractNumId="160">
    <w:nsid w:val="6181EF69"/>
    <w:multiLevelType w:val="hybridMultilevel"/>
    <w:lvl w:ilvl="0">
      <w:lvlJc w:val="left"/>
      <w:lvlText w:val="(%1)"/>
      <w:numFmt w:val="lowerLetter"/>
      <w:start w:val="4"/>
    </w:lvl>
  </w:abstractNum>
  <w:abstractNum w:abstractNumId="161">
    <w:nsid w:val="3E6400E6"/>
    <w:multiLevelType w:val="hybridMultilevel"/>
    <w:lvl w:ilvl="0">
      <w:lvlJc w:val="left"/>
      <w:lvlText w:val="%1."/>
      <w:numFmt w:val="decimal"/>
      <w:start w:val="10"/>
    </w:lvl>
    <w:lvl w:ilvl="1">
      <w:lvlJc w:val="left"/>
      <w:lvlText w:val="(%2)"/>
      <w:numFmt w:val="lowerLetter"/>
      <w:start w:val="1"/>
    </w:lvl>
  </w:abstractNum>
  <w:abstractNum w:abstractNumId="162">
    <w:nsid w:val="14217E23"/>
    <w:multiLevelType w:val="hybridMultilevel"/>
    <w:lvl w:ilvl="0">
      <w:lvlJc w:val="left"/>
      <w:lvlText w:val="(%1)"/>
      <w:numFmt w:val="lowerLetter"/>
      <w:start w:val="2"/>
    </w:lvl>
  </w:abstractNum>
  <w:abstractNum w:abstractNumId="163">
    <w:nsid w:val="710757D0"/>
    <w:multiLevelType w:val="hybridMultilevel"/>
    <w:lvl w:ilvl="0">
      <w:lvlJc w:val="left"/>
      <w:lvlText w:val="%1"/>
      <w:numFmt w:val="decimal"/>
      <w:start w:val="1"/>
    </w:lvl>
    <w:lvl w:ilvl="1">
      <w:lvlJc w:val="left"/>
      <w:lvlText w:val="(%2)"/>
      <w:numFmt w:val="lowerLetter"/>
      <w:start w:val="4"/>
    </w:lvl>
  </w:abstractNum>
  <w:abstractNum w:abstractNumId="164">
    <w:nsid w:val="5015CD1A"/>
    <w:multiLevelType w:val="hybridMultilevel"/>
    <w:lvl w:ilvl="0">
      <w:lvlJc w:val="left"/>
      <w:lvlText w:val="%1."/>
      <w:numFmt w:val="decimal"/>
      <w:start w:val="11"/>
    </w:lvl>
    <w:lvl w:ilvl="1">
      <w:lvlJc w:val="left"/>
      <w:lvlText w:val="(%2)"/>
      <w:numFmt w:val="lowerLetter"/>
      <w:start w:val="1"/>
    </w:lvl>
  </w:abstractNum>
  <w:abstractNum w:abstractNumId="165">
    <w:nsid w:val="424479DA"/>
    <w:multiLevelType w:val="hybridMultilevel"/>
    <w:lvl w:ilvl="0">
      <w:lvlJc w:val="left"/>
      <w:lvlText w:val="%1."/>
      <w:numFmt w:val="decimal"/>
      <w:start w:val="13"/>
    </w:lvl>
  </w:abstractNum>
  <w:abstractNum w:abstractNumId="166">
    <w:nsid w:val="1A9A9E69"/>
    <w:multiLevelType w:val="hybridMultilevel"/>
    <w:lvl w:ilvl="0">
      <w:lvlJc w:val="left"/>
      <w:lvlText w:val="%1."/>
      <w:numFmt w:val="decimal"/>
      <w:start w:val="18"/>
    </w:lvl>
  </w:abstractNum>
  <w:abstractNum w:abstractNumId="167">
    <w:nsid w:val="475E256A"/>
    <w:multiLevelType w:val="hybridMultilevel"/>
    <w:lvl w:ilvl="0">
      <w:lvlJc w:val="left"/>
      <w:lvlText w:val="%1."/>
      <w:numFmt w:val="decimal"/>
      <w:start w:val="19"/>
    </w:lvl>
    <w:lvl w:ilvl="1">
      <w:lvlJc w:val="left"/>
      <w:lvlText w:val="(%2)"/>
      <w:numFmt w:val="lowerLetter"/>
      <w:start w:val="1"/>
    </w:lvl>
  </w:abstractNum>
  <w:abstractNum w:abstractNumId="168">
    <w:nsid w:val="368DB37E"/>
    <w:multiLevelType w:val="hybridMultilevel"/>
    <w:lvl w:ilvl="0">
      <w:lvlJc w:val="left"/>
      <w:lvlText w:val="(%1)"/>
      <w:numFmt w:val="lowerLetter"/>
      <w:start w:val="2"/>
    </w:lvl>
  </w:abstractNum>
  <w:abstractNum w:abstractNumId="169">
    <w:nsid w:val="6A3B714C"/>
    <w:multiLevelType w:val="hybridMultilevel"/>
    <w:lvl w:ilvl="0">
      <w:lvlJc w:val="left"/>
      <w:lvlText w:val="%1."/>
      <w:numFmt w:val="decimal"/>
      <w:start w:val="1"/>
    </w:lvl>
  </w:abstractNum>
  <w:abstractNum w:abstractNumId="170">
    <w:nsid w:val="327B517E"/>
    <w:multiLevelType w:val="hybridMultilevel"/>
    <w:lvl w:ilvl="0">
      <w:lvlJc w:val="left"/>
      <w:lvlText w:val="%1."/>
      <w:numFmt w:val="decimal"/>
      <w:start w:val="2"/>
    </w:lvl>
  </w:abstractNum>
  <w:abstractNum w:abstractNumId="171">
    <w:nsid w:val="1F461B5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72">
    <w:nsid w:val="29BACF2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73">
    <w:nsid w:val="5D5BABB3"/>
    <w:multiLevelType w:val="hybridMultilevel"/>
    <w:lvl w:ilvl="0">
      <w:lvlJc w:val="left"/>
      <w:lvlText w:val="%1."/>
      <w:numFmt w:val="decimal"/>
      <w:start w:val="1"/>
    </w:lvl>
  </w:abstractNum>
  <w:abstractNum w:abstractNumId="174">
    <w:nsid w:val="51BF6B48"/>
    <w:multiLevelType w:val="hybridMultilevel"/>
    <w:lvl w:ilvl="0">
      <w:lvlJc w:val="left"/>
      <w:lvlText w:val="%1"/>
      <w:numFmt w:val="decimal"/>
      <w:start w:val="1"/>
    </w:lvl>
    <w:lvl w:ilvl="1">
      <w:lvlJc w:val="left"/>
      <w:lvlText w:val="(%2)"/>
      <w:numFmt w:val="upperLetter"/>
      <w:start w:val="1"/>
    </w:lvl>
  </w:abstractNum>
  <w:abstractNum w:abstractNumId="175">
    <w:nsid w:val="7E0F6384"/>
    <w:multiLevelType w:val="hybridMultilevel"/>
    <w:lvl w:ilvl="0">
      <w:lvlJc w:val="left"/>
      <w:lvlText w:val="(%1)"/>
      <w:numFmt w:val="decimal"/>
      <w:start w:val="1"/>
    </w:lvl>
    <w:lvl w:ilvl="1">
      <w:lvlJc w:val="left"/>
      <w:lvlText w:val="%2"/>
      <w:numFmt w:val="upperLetter"/>
      <w:start w:val="1"/>
    </w:lvl>
  </w:abstractNum>
  <w:abstractNum w:abstractNumId="176">
    <w:nsid w:val="2B4B8B53"/>
    <w:multiLevelType w:val="hybridMultilevel"/>
    <w:lvl w:ilvl="0">
      <w:lvlJc w:val="left"/>
      <w:lvlText w:val="%1"/>
      <w:numFmt w:val="decimal"/>
      <w:start w:val="1"/>
    </w:lvl>
    <w:lvl w:ilvl="1">
      <w:lvlJc w:val="left"/>
      <w:lvlText w:val="%2."/>
      <w:numFmt w:val="lowerRoman"/>
      <w:start w:val="2"/>
    </w:lvl>
  </w:abstractNum>
  <w:abstractNum w:abstractNumId="177">
    <w:nsid w:val="72E3413A"/>
    <w:multiLevelType w:val="hybridMultilevel"/>
    <w:lvl w:ilvl="0">
      <w:lvlJc w:val="left"/>
      <w:lvlText w:val="%1."/>
      <w:numFmt w:val="decimal"/>
      <w:start w:val="6"/>
    </w:lvl>
    <w:lvl w:ilvl="1">
      <w:lvlJc w:val="left"/>
      <w:lvlText w:val="%2"/>
      <w:numFmt w:val="lowerRoman"/>
      <w:start w:val="1"/>
    </w:lvl>
  </w:abstractNum>
  <w:abstractNum w:abstractNumId="178">
    <w:nsid w:val="116AE494"/>
    <w:multiLevelType w:val="hybridMultilevel"/>
    <w:lvl w:ilvl="0">
      <w:lvlJc w:val="left"/>
      <w:lvlText w:val="%1."/>
      <w:numFmt w:val="decimal"/>
      <w:start w:val="1"/>
    </w:lvl>
    <w:lvl w:ilvl="1">
      <w:lvlJc w:val="left"/>
      <w:lvlText w:val="%2."/>
      <w:numFmt w:val="lowerLetter"/>
      <w:start w:val="1"/>
    </w:lvl>
  </w:abstractNum>
  <w:abstractNum w:abstractNumId="179">
    <w:nsid w:val="3494B2FB"/>
    <w:multiLevelType w:val="hybridMultilevel"/>
    <w:lvl w:ilvl="0">
      <w:lvlJc w:val="left"/>
      <w:lvlText w:val="%1."/>
      <w:numFmt w:val="decimal"/>
      <w:start w:val="2"/>
    </w:lvl>
  </w:abstractNum>
  <w:abstractNum w:abstractNumId="180">
    <w:nsid w:val="B13A31"/>
    <w:multiLevelType w:val="hybridMultilevel"/>
    <w:lvl w:ilvl="0">
      <w:lvlJc w:val="left"/>
      <w:lvlText w:val="%1"/>
      <w:numFmt w:val="decimal"/>
      <w:start w:val="1"/>
    </w:lvl>
    <w:lvl w:ilvl="1">
      <w:lvlJc w:val="left"/>
      <w:lvlText w:val="(%2)"/>
      <w:numFmt w:val="lowerLetter"/>
      <w:start w:val="4"/>
    </w:lvl>
  </w:abstractNum>
  <w:abstractNum w:abstractNumId="181">
    <w:nsid w:val="64429599"/>
    <w:multiLevelType w:val="hybridMultilevel"/>
    <w:lvl w:ilvl="0">
      <w:lvlJc w:val="left"/>
      <w:lvlText w:val="%1."/>
      <w:numFmt w:val="decimal"/>
      <w:start w:val="5"/>
    </w:lvl>
    <w:lvl w:ilvl="1">
      <w:lvlJc w:val="left"/>
      <w:lvlText w:val="%2"/>
      <w:numFmt w:val="lowerLetter"/>
      <w:start w:val="1"/>
    </w:lvl>
  </w:abstractNum>
  <w:abstractNum w:abstractNumId="182">
    <w:nsid w:val="631F1690"/>
    <w:multiLevelType w:val="hybridMultilevel"/>
    <w:lvl w:ilvl="0">
      <w:lvlJc w:val="left"/>
      <w:lvlText w:val="%1."/>
      <w:numFmt w:val="lowerLetter"/>
      <w:start w:val="1"/>
    </w:lvl>
  </w:abstractNum>
  <w:abstractNum w:abstractNumId="183">
    <w:nsid w:val="25973E32"/>
    <w:multiLevelType w:val="hybridMultilevel"/>
    <w:lvl w:ilvl="0">
      <w:lvlJc w:val="left"/>
      <w:lvlText w:val="%1"/>
      <w:numFmt w:val="decimal"/>
      <w:start w:val="1"/>
    </w:lvl>
    <w:lvl w:ilvl="1">
      <w:lvlJc w:val="left"/>
      <w:lvlText w:val="%2."/>
      <w:numFmt w:val="lowerLetter"/>
      <w:start w:val="2"/>
    </w:lvl>
  </w:abstractNum>
  <w:abstractNum w:abstractNumId="184">
    <w:nsid w:val="EAD6F57"/>
    <w:multiLevelType w:val="hybridMultilevel"/>
    <w:lvl w:ilvl="0">
      <w:lvlJc w:val="left"/>
      <w:lvlText w:val="%1."/>
      <w:numFmt w:val="decimal"/>
      <w:start w:val="8"/>
    </w:lvl>
    <w:lvl w:ilvl="1">
      <w:lvlJc w:val="left"/>
      <w:lvlText w:val="%2."/>
      <w:numFmt w:val="lowerLetter"/>
      <w:start w:val="1"/>
    </w:lvl>
  </w:abstractNum>
  <w:abstractNum w:abstractNumId="185">
    <w:nsid w:val="6EC9D844"/>
    <w:multiLevelType w:val="hybridMultilevel"/>
    <w:lvl w:ilvl="0">
      <w:lvlJc w:val="left"/>
      <w:lvlText w:val="%1."/>
      <w:numFmt w:val="decimal"/>
      <w:start w:val="14"/>
    </w:lvl>
  </w:abstractNum>
  <w:abstractNum w:abstractNumId="186">
    <w:nsid w:val="5C49EAEE"/>
    <w:multiLevelType w:val="hybridMultilevel"/>
    <w:lvl w:ilvl="0">
      <w:lvlJc w:val="left"/>
      <w:lvlText w:val="%1."/>
      <w:numFmt w:val="decimal"/>
      <w:start w:val="19"/>
    </w:lvl>
  </w:abstractNum>
  <w:abstractNum w:abstractNumId="187">
    <w:nsid w:val="64AF49B"/>
    <w:multiLevelType w:val="hybridMultilevel"/>
    <w:lvl w:ilvl="0">
      <w:lvlJc w:val="left"/>
      <w:lvlText w:val="(%1)"/>
      <w:numFmt w:val="lowerLetter"/>
      <w:start w:val="1"/>
    </w:lvl>
  </w:abstractNum>
  <w:abstractNum w:abstractNumId="188">
    <w:nsid w:val="397C46BC"/>
    <w:multiLevelType w:val="hybridMultilevel"/>
    <w:lvl w:ilvl="0">
      <w:lvlJc w:val="left"/>
      <w:lvlText w:val="(%1)"/>
      <w:numFmt w:val="decimal"/>
      <w:start w:val="1"/>
    </w:lvl>
  </w:abstractNum>
  <w:abstractNum w:abstractNumId="189">
    <w:nsid w:val="7E448DE9"/>
    <w:multiLevelType w:val="hybridMultilevel"/>
    <w:lvl w:ilvl="0">
      <w:lvlJc w:val="left"/>
      <w:lvlText w:val="%1."/>
      <w:numFmt w:val="lowerRoman"/>
      <w:start w:val="1"/>
    </w:lvl>
    <w:lvl w:ilvl="1">
      <w:lvlJc w:val="left"/>
      <w:lvlText w:val="%2."/>
      <w:numFmt w:val="upperLetter"/>
      <w:start w:val="1"/>
    </w:lvl>
  </w:abstractNum>
  <w:abstractNum w:abstractNumId="190">
    <w:nsid w:val="5A9CC3E5"/>
    <w:multiLevelType w:val="hybridMultilevel"/>
    <w:lvl w:ilvl="0">
      <w:lvlJc w:val="left"/>
      <w:lvlText w:val="%1."/>
      <w:numFmt w:val="lowerRoman"/>
      <w:start w:val="1"/>
    </w:lvl>
    <w:lvl w:ilvl="1">
      <w:lvlJc w:val="left"/>
      <w:lvlText w:val="%2."/>
      <w:numFmt w:val="upperLetter"/>
      <w:start w:val="1"/>
    </w:lvl>
  </w:abstractNum>
  <w:abstractNum w:abstractNumId="191">
    <w:nsid w:val="1AFE3625"/>
    <w:multiLevelType w:val="hybridMultilevel"/>
    <w:lvl w:ilvl="0">
      <w:lvlJc w:val="left"/>
      <w:lvlText w:val="(%1)"/>
      <w:numFmt w:val="decimal"/>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127" Type="http://schemas.openxmlformats.org/officeDocument/2006/relationships/hyperlink" Target="http://www.sec.gov/Archives/edgar/data/823768/000095012310070947/h74168exv3w1.htm" TargetMode="External"/><Relationship Id="rId128" Type="http://schemas.openxmlformats.org/officeDocument/2006/relationships/hyperlink" Target="http://www.sec.gov/Archives/edgar/data/823768/000110465917067720/a17-26373_1ex3d2.htm" TargetMode="External"/><Relationship Id="rId129" Type="http://schemas.openxmlformats.org/officeDocument/2006/relationships/hyperlink" Target="http://www.sec.gov/Archives/edgar/data/823768/0000950129-99-001268.txt" TargetMode="External"/><Relationship Id="rId130" Type="http://schemas.openxmlformats.org/officeDocument/2006/relationships/hyperlink" Target="http://www.sec.gov/Archives/edgar/data/823768/000095012315002550/d793975dex42.htm" TargetMode="External"/><Relationship Id="rId131" Type="http://schemas.openxmlformats.org/officeDocument/2006/relationships/hyperlink" Target="http://www.sec.gov/Archives/edgar/data/823768/000119312514283972/d740524dex43.htm" TargetMode="External"/><Relationship Id="rId132" Type="http://schemas.openxmlformats.org/officeDocument/2006/relationships/hyperlink" Target="http://www.sec.gov/Archives/edgar/data/823768/0000950129-97-000380.txt" TargetMode="External"/><Relationship Id="rId133" Type="http://schemas.openxmlformats.org/officeDocument/2006/relationships/hyperlink" Target="http://www.sec.gov/Archives/edgar/data/823768/0000950129-97-003909.txt" TargetMode="External"/><Relationship Id="rId134" Type="http://schemas.openxmlformats.org/officeDocument/2006/relationships/hyperlink" Target="http://www.sec.gov/Archives/edgar/data/823768/000119312514200494/d726417dex101.htm" TargetMode="External"/><Relationship Id="rId135" Type="http://schemas.openxmlformats.org/officeDocument/2006/relationships/hyperlink" Target="http://www.sec.gov/Archives/edgar/data/823768/000119312509062520/ddef14a.htm" TargetMode="External"/><Relationship Id="rId136" Type="http://schemas.openxmlformats.org/officeDocument/2006/relationships/hyperlink" Target="http://www.sec.gov/Archives/edgar/data/823768/000119312504059008/ddef14a.htm" TargetMode="External"/><Relationship Id="rId137" Type="http://schemas.openxmlformats.org/officeDocument/2006/relationships/hyperlink" Target="http://www.sec.gov/Archives/edgar/data/823768/000119312515189377/d926999dex101.htm" TargetMode="External"/><Relationship Id="rId138" Type="http://schemas.openxmlformats.org/officeDocument/2006/relationships/hyperlink" Target="http://www.sec.gov/Archives/edgar/data/823768/000119312516467957/d83265dex105.htm" TargetMode="External"/><Relationship Id="rId139" Type="http://schemas.openxmlformats.org/officeDocument/2006/relationships/hyperlink" Target="http://www.sec.gov/Archives/edgar/data/823768/000119312514156430/d690567dex102.htm" TargetMode="External"/><Relationship Id="rId140" Type="http://schemas.openxmlformats.org/officeDocument/2006/relationships/hyperlink" Target="http://www.sec.gov/Archives/edgar/data/823768/000119312515252401/d99371dex101.htm" TargetMode="External"/><Relationship Id="rId141" Type="http://schemas.openxmlformats.org/officeDocument/2006/relationships/hyperlink" Target="http://www.sec.gov/Archives/edgar/data/823768/000119312516521391/d135663dex101.htm" TargetMode="External"/><Relationship Id="rId142" Type="http://schemas.openxmlformats.org/officeDocument/2006/relationships/hyperlink" Target="http://www.sec.gov/Archives/edgar/data/823768/000119312517046480/d252547dex1011.htm" TargetMode="External"/><Relationship Id="rId143" Type="http://schemas.openxmlformats.org/officeDocument/2006/relationships/hyperlink" Target="http://www.sec.gov/Archives/edgar/data/823768/000119312517046480/d252547dex1012.htm" TargetMode="External"/><Relationship Id="rId144" Type="http://schemas.openxmlformats.org/officeDocument/2006/relationships/hyperlink" Target="http://www.sec.gov/Archives/edgar/data/823768/000095012311092385/h84353exv10w2.htm" TargetMode="External"/><Relationship Id="rId145" Type="http://schemas.openxmlformats.org/officeDocument/2006/relationships/hyperlink" Target="http://www.sec.gov/Archives/edgar/data/823768/000119312512316664/d352342dex103.htm" TargetMode="External"/><Relationship Id="rId146" Type="http://schemas.openxmlformats.org/officeDocument/2006/relationships/hyperlink" Target="http://www.sec.gov/Archives/edgar/data/823768/000110465917075030/a17-28786_1ex10d2.htm" TargetMode="External"/><Relationship Id="rId147" Type="http://schemas.openxmlformats.org/officeDocument/2006/relationships/hyperlink" Target="http://www.sec.gov/Archives/edgar/data/823768/000110465917075030/a17-28786_1ex10d3.htm" TargetMode="External"/><Relationship Id="rId148" Type="http://schemas.openxmlformats.org/officeDocument/2006/relationships/hyperlink" Target="http://www.sec.gov/Archives/edgar/data/823768/000095012901001398/h84376ex10-20.txt" TargetMode="External"/><Relationship Id="rId149" Type="http://schemas.openxmlformats.org/officeDocument/2006/relationships/hyperlink" Target="http://www.sec.gov/Archives/edgar/data/823768/000095012311024530/h80480exv10w3.htm" TargetMode="External"/><Relationship Id="rId150" Type="http://schemas.openxmlformats.org/officeDocument/2006/relationships/hyperlink" Target="http://www.sec.gov/Archives/edgar/data/823768/000095012906009990/h41867exv10w1.htm" TargetMode="External"/><Relationship Id="rId151" Type="http://schemas.openxmlformats.org/officeDocument/2006/relationships/hyperlink" Target="http://www.sec.gov/Archives/edgar/data/823768/000095012311040715/h80290exv10w6.htm" TargetMode="External"/><Relationship Id="rId152" Type="http://schemas.openxmlformats.org/officeDocument/2006/relationships/hyperlink" Target="http://www.sec.gov/Archives/edgar/data/823768/000119312512316664/d352342dex104.htm" TargetMode="External"/><Relationship Id="rId153" Type="http://schemas.openxmlformats.org/officeDocument/2006/relationships/hyperlink" Target="http://www.sec.gov/Archives/edgar/data/823768/000110465917075030/a17-28786_1ex10d4.htm" TargetMode="External"/><Relationship Id="rId154" Type="http://schemas.openxmlformats.org/officeDocument/2006/relationships/hyperlink" Target="http://www.sec.gov/Archives/edgar/data/823768/000095012903000958/h02934exv10w24.txt" TargetMode="External"/><Relationship Id="rId155" Type="http://schemas.openxmlformats.org/officeDocument/2006/relationships/hyperlink" Target="http://www.sec.gov/Archives/edgar/data/823768/000119312517046480/d252547dex1023.htm" TargetMode="External"/><Relationship Id="rId156" Type="http://schemas.openxmlformats.org/officeDocument/2006/relationships/hyperlink" Target="http://www.sec.gov/Archives/edgar/data/823768/000095012902002335/h96558ex10-1.txt" TargetMode="External"/><Relationship Id="rId157" Type="http://schemas.openxmlformats.org/officeDocument/2006/relationships/hyperlink" Target="http://www.sec.gov/Archives/edgar/data/823768/000119312517004508/d314907dex101.htm" TargetMode="External"/><Relationship Id="rId158" Type="http://schemas.openxmlformats.org/officeDocument/2006/relationships/hyperlink" Target="http://www.sec.gov/Archives/edgar/data/823768/000095012310013022/h69024exv10w12.htm" TargetMode="External"/><Relationship Id="rId159" Type="http://schemas.openxmlformats.org/officeDocument/2006/relationships/hyperlink" Target="http://www.sec.gov/Archives/edgar/data/823768/000119312517138491/d355982dex103.htm" TargetMode="External"/><Relationship Id="rId160" Type="http://schemas.openxmlformats.org/officeDocument/2006/relationships/hyperlink" Target="http://www.sec.gov/Archives/edgar/data/823768/000119312512316664/d352342dex105.htm" TargetMode="External"/><Relationship Id="rId161" Type="http://schemas.openxmlformats.org/officeDocument/2006/relationships/hyperlink" Target="http://www.sec.gov/Archives/edgar/data/823768/000119312517046480/d252547dex1026.htm" TargetMode="External"/><Relationship Id="rId162" Type="http://schemas.openxmlformats.org/officeDocument/2006/relationships/hyperlink" Target="http://www.sec.gov/Archives/edgar/data/823768/000119312513058892/d413187dex1043.htm" TargetMode="External"/><Relationship Id="rId163" Type="http://schemas.openxmlformats.org/officeDocument/2006/relationships/hyperlink" Target="http://www.sec.gov/Archives/edgar/data/823768/000110465917075030/a17-28786_1ex10d1.htm" TargetMode="External"/><Relationship Id="rId164" Type="http://schemas.openxmlformats.org/officeDocument/2006/relationships/hyperlink" Target="http://www.sec.gov/Archives/edgar/data/823768/000119312515075056/d883941dex101.htm" TargetMode="External"/><Relationship Id="rId165" Type="http://schemas.openxmlformats.org/officeDocument/2006/relationships/hyperlink" Target="http://www.sec.gov/Archives/edgar/data/823768/000119312516489993/d142630dex101.htm" TargetMode="External"/><Relationship Id="rId166" Type="http://schemas.openxmlformats.org/officeDocument/2006/relationships/hyperlink" Target="http://www.sec.gov/Archives/edgar/data/823768/000119312517046480/d252547dex1032.htm" TargetMode="External"/><Relationship Id="rId167" Type="http://schemas.openxmlformats.org/officeDocument/2006/relationships/hyperlink" Target="http://www.sec.gov/Archives/edgar/data/823768/000119312517069837/d350228dex101.htm" TargetMode="External"/><Relationship Id="rId168" Type="http://schemas.openxmlformats.org/officeDocument/2006/relationships/hyperlink" Target="http://www.sec.gov/Archives/edgar/data/823768/000119312517069837/d35022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2019-12-29T01:29:31Z</dcterms:created>
  <dcterms:modified xsi:type="dcterms:W3CDTF">2019-12-29T01:29:31Z</dcterms:modified>
</cp:coreProperties>
</file>