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February 10, 2000</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Waste Management, Inc.</w:t>
      </w:r>
    </w:p>
    <w:p>
      <w:pPr>
        <w:jc w:val="center"/>
        <w:ind w:right="169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139"/>
          </w:cols>
          <w:pgMar w:left="32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1-12154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73-1309529</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520"/>
            <w:col w:w="2240" w:space="720"/>
            <w:col w:w="3699"/>
          </w:cols>
          <w:pgMar w:left="320" w:top="244" w:right="1440"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ind w:left="740" w:right="1060"/>
        <w:spacing w:after="0" w:line="290" w:lineRule="auto"/>
        <w:rPr>
          <w:sz w:val="20"/>
          <w:szCs w:val="20"/>
          <w:color w:val="auto"/>
        </w:rPr>
      </w:pPr>
      <w:r>
        <w:rPr>
          <w:rFonts w:ascii="Courier New" w:cs="Courier New" w:eastAsia="Courier New" w:hAnsi="Courier New"/>
          <w:sz w:val="16"/>
          <w:szCs w:val="16"/>
          <w:color w:val="auto"/>
        </w:rPr>
        <w:t>1001 Fannin, Suite 4000 Houston, Texas (Address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6020" w:space="720"/>
            <w:col w:w="3399"/>
          </w:cols>
          <w:pgMar w:left="32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(713) 512-6200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139"/>
          </w:cols>
          <w:pgMar w:left="32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0" w:lineRule="exact"/>
        <w:rPr>
          <w:sz w:val="20"/>
          <w:szCs w:val="20"/>
          <w:color w:val="auto"/>
        </w:rPr>
      </w:pPr>
    </w:p>
    <w:p>
      <w:pPr>
        <w:spacing w:after="0" w:line="209" w:lineRule="exact"/>
        <w:rPr>
          <w:sz w:val="20"/>
          <w:szCs w:val="20"/>
          <w:color w:val="auto"/>
        </w:rPr>
      </w:pPr>
    </w:p>
    <w:p>
      <w:pPr>
        <w:ind w:right="1819" w:firstLine="948"/>
        <w:spacing w:after="0" w:line="273" w:lineRule="auto"/>
        <w:rPr>
          <w:sz w:val="20"/>
          <w:szCs w:val="20"/>
          <w:color w:val="auto"/>
        </w:rPr>
      </w:pPr>
      <w:r>
        <w:rPr>
          <w:rFonts w:ascii="Courier New" w:cs="Courier New" w:eastAsia="Courier New" w:hAnsi="Courier New"/>
          <w:sz w:val="16"/>
          <w:szCs w:val="16"/>
          <w:color w:val="auto"/>
        </w:rPr>
        <w:t>On February 10, 2000, Waste Management, Inc. (the "Company") announced its intention to sell the 60.5% of the shares it owns in Waste Management New Zealand, Inc. The sale, which is to be by way of a public and institutional offering in New Zealand and an institutional offering in selected overseas markets, is expected to commence before the end of the first quarter of 2000.</w:t>
      </w:r>
    </w:p>
    <w:p>
      <w:pPr>
        <w:spacing w:after="0" w:line="184" w:lineRule="exact"/>
        <w:rPr>
          <w:sz w:val="20"/>
          <w:szCs w:val="20"/>
          <w:color w:val="auto"/>
        </w:rPr>
      </w:pPr>
    </w:p>
    <w:p>
      <w:pPr>
        <w:ind w:right="1699" w:firstLine="948"/>
        <w:spacing w:after="0" w:line="279" w:lineRule="auto"/>
        <w:rPr>
          <w:sz w:val="20"/>
          <w:szCs w:val="20"/>
          <w:color w:val="auto"/>
        </w:rPr>
      </w:pPr>
      <w:r>
        <w:rPr>
          <w:rFonts w:ascii="Courier New" w:cs="Courier New" w:eastAsia="Courier New" w:hAnsi="Courier New"/>
          <w:sz w:val="16"/>
          <w:szCs w:val="16"/>
          <w:color w:val="auto"/>
        </w:rPr>
        <w:t>The shares offered will not be or have not been registered under the Securities Act of 1933, as amended, and may not be offered or sold in the United States absent registration or an applicable exemption from registration.</w:t>
      </w:r>
    </w:p>
    <w:p>
      <w:pPr>
        <w:spacing w:after="0" w:line="178" w:lineRule="exact"/>
        <w:rPr>
          <w:sz w:val="20"/>
          <w:szCs w:val="20"/>
          <w:color w:val="auto"/>
        </w:rPr>
      </w:pPr>
    </w:p>
    <w:p>
      <w:pPr>
        <w:ind w:right="1919" w:firstLine="948"/>
        <w:spacing w:after="0" w:line="235" w:lineRule="auto"/>
        <w:rPr>
          <w:sz w:val="20"/>
          <w:szCs w:val="20"/>
          <w:color w:val="auto"/>
        </w:rPr>
      </w:pPr>
      <w:r>
        <w:rPr>
          <w:rFonts w:ascii="Courier New" w:cs="Courier New" w:eastAsia="Courier New" w:hAnsi="Courier New"/>
          <w:sz w:val="18"/>
          <w:szCs w:val="18"/>
          <w:color w:val="auto"/>
        </w:rPr>
        <w:t>A copy of the Company's press release announcing the intended sale is attached as an exhibit hereto.</w:t>
      </w:r>
    </w:p>
    <w:p>
      <w:pPr>
        <w:spacing w:after="0" w:line="200" w:lineRule="exact"/>
        <w:rPr>
          <w:sz w:val="20"/>
          <w:szCs w:val="20"/>
          <w:color w:val="auto"/>
        </w:r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0"/>
          <w:szCs w:val="20"/>
          <w:color w:val="auto"/>
        </w:rPr>
      </w:pPr>
    </w:p>
    <w:p>
      <w:pPr>
        <w:ind w:left="960"/>
        <w:spacing w:after="0"/>
        <w:tabs>
          <w:tab w:leader="none" w:pos="3260" w:val="left"/>
        </w:tabs>
        <w:rPr>
          <w:sz w:val="20"/>
          <w:szCs w:val="20"/>
          <w:color w:val="auto"/>
        </w:rPr>
      </w:pPr>
      <w:r>
        <w:rPr>
          <w:rFonts w:ascii="Courier New" w:cs="Courier New" w:eastAsia="Courier New" w:hAnsi="Courier New"/>
          <w:sz w:val="18"/>
          <w:szCs w:val="18"/>
          <w:color w:val="auto"/>
        </w:rPr>
        <w:t>Exhibit 99.1</w:t>
      </w:r>
      <w:r>
        <w:rPr>
          <w:sz w:val="20"/>
          <w:szCs w:val="20"/>
          <w:color w:val="auto"/>
        </w:rPr>
        <w:tab/>
      </w:r>
      <w:r>
        <w:rPr>
          <w:rFonts w:ascii="Courier New" w:cs="Courier New" w:eastAsia="Courier New" w:hAnsi="Courier New"/>
          <w:sz w:val="16"/>
          <w:szCs w:val="16"/>
          <w:color w:val="auto"/>
        </w:rPr>
        <w:t>Press Release dated February 10, 2000.</w:t>
      </w:r>
    </w:p>
    <w:p>
      <w:pPr>
        <w:sectPr>
          <w:pgSz w:w="11900" w:h="16838" w:orient="portrait"/>
          <w:cols w:equalWidth="0" w:num="1">
            <w:col w:w="10139"/>
          </w:cols>
          <w:pgMar w:left="32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01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WASTE MANAGEMENT, INC.</w:t>
      </w:r>
    </w:p>
    <w:p>
      <w:pPr>
        <w:sectPr>
          <w:pgSz w:w="11900" w:h="16838" w:orient="portrait"/>
          <w:cols w:equalWidth="0" w:num="1">
            <w:col w:w="10139"/>
          </w:cols>
          <w:pgMar w:left="32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Bryan J. Blankfield</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Bryan J. Blankfield</w:t>
      </w:r>
    </w:p>
    <w:p>
      <w:pPr>
        <w:ind w:left="420"/>
        <w:spacing w:after="0" w:line="238" w:lineRule="auto"/>
        <w:rPr>
          <w:sz w:val="20"/>
          <w:szCs w:val="20"/>
          <w:color w:val="auto"/>
        </w:rPr>
      </w:pPr>
      <w:r>
        <w:rPr>
          <w:rFonts w:ascii="Courier New" w:cs="Courier New" w:eastAsia="Courier New" w:hAnsi="Courier New"/>
          <w:sz w:val="18"/>
          <w:szCs w:val="18"/>
          <w:color w:val="auto"/>
        </w:rPr>
        <w:t>Vice President and</w:t>
      </w:r>
    </w:p>
    <w:p>
      <w:pPr>
        <w:ind w:left="420"/>
        <w:spacing w:after="0" w:line="238" w:lineRule="auto"/>
        <w:rPr>
          <w:sz w:val="20"/>
          <w:szCs w:val="20"/>
          <w:color w:val="auto"/>
        </w:rPr>
      </w:pPr>
      <w:r>
        <w:rPr>
          <w:rFonts w:ascii="Courier New" w:cs="Courier New" w:eastAsia="Courier New" w:hAnsi="Courier New"/>
          <w:sz w:val="18"/>
          <w:szCs w:val="18"/>
          <w:color w:val="auto"/>
        </w:rPr>
        <w:t>Assistant Secretary</w:t>
      </w:r>
    </w:p>
    <w:p>
      <w:pPr>
        <w:sectPr>
          <w:pgSz w:w="11900" w:h="16838" w:orient="portrait"/>
          <w:cols w:equalWidth="0" w:num="3">
            <w:col w:w="540" w:space="420"/>
            <w:col w:w="2540" w:space="720"/>
            <w:col w:w="5919"/>
          </w:cols>
          <w:pgMar w:left="320" w:top="312"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819"/>
          </w:cols>
          <w:pgMar w:left="640" w:top="31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DESCRIPTION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February 10, 2000.</w:t>
      </w:r>
    </w:p>
    <w:p>
      <w:pPr>
        <w:sectPr>
          <w:pgSz w:w="11900" w:h="16838" w:orient="portrait"/>
          <w:cols w:equalWidth="0" w:num="2">
            <w:col w:w="1380" w:space="720"/>
            <w:col w:w="7719"/>
          </w:cols>
          <w:pgMar w:left="6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8"/>
          <w:szCs w:val="18"/>
          <w:color w:val="auto"/>
        </w:rPr>
        <w:t>EXIBIT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[WM LOGO]</w:t>
      </w:r>
    </w:p>
    <w:p>
      <w:pPr>
        <w:ind w:left="306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8"/>
          <w:szCs w:val="18"/>
          <w:color w:val="auto"/>
        </w:rPr>
        <w:t>FOR FURTHER INFORMATION:</w:t>
      </w:r>
    </w:p>
    <w:p>
      <w:pPr>
        <w:spacing w:after="0" w:line="201"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8"/>
          <w:szCs w:val="18"/>
          <w:color w:val="auto"/>
        </w:rPr>
        <w:t>WASTE MANAGEMENT, INC.:</w:t>
      </w:r>
    </w:p>
    <w:p>
      <w:pPr>
        <w:jc w:val="right"/>
        <w:ind w:right="1699"/>
        <w:spacing w:after="0" w:line="238" w:lineRule="auto"/>
        <w:rPr>
          <w:sz w:val="20"/>
          <w:szCs w:val="20"/>
          <w:color w:val="auto"/>
        </w:rPr>
      </w:pPr>
      <w:r>
        <w:rPr>
          <w:rFonts w:ascii="Courier New" w:cs="Courier New" w:eastAsia="Courier New" w:hAnsi="Courier New"/>
          <w:sz w:val="18"/>
          <w:szCs w:val="18"/>
          <w:color w:val="auto"/>
        </w:rPr>
        <w:t>CHERIE RICE</w:t>
      </w:r>
    </w:p>
    <w:p>
      <w:pPr>
        <w:jc w:val="right"/>
        <w:ind w:right="1699"/>
        <w:spacing w:after="0" w:line="238" w:lineRule="auto"/>
        <w:rPr>
          <w:sz w:val="20"/>
          <w:szCs w:val="20"/>
          <w:color w:val="auto"/>
        </w:rPr>
      </w:pPr>
      <w:r>
        <w:rPr>
          <w:rFonts w:ascii="Courier New" w:cs="Courier New" w:eastAsia="Courier New" w:hAnsi="Courier New"/>
          <w:sz w:val="18"/>
          <w:szCs w:val="18"/>
          <w:color w:val="auto"/>
        </w:rPr>
        <w:t>1.713.512.6548</w:t>
      </w:r>
    </w:p>
    <w:p>
      <w:pPr>
        <w:spacing w:after="0" w:line="207"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WASTE MGMT. NEW ZEALAND, LTD.:</w:t>
      </w:r>
    </w:p>
    <w:p>
      <w:pPr>
        <w:spacing w:after="0" w:line="21"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GRANT TEITJENS</w:t>
      </w:r>
    </w:p>
    <w:p>
      <w:pPr>
        <w:spacing w:after="0" w:line="21"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64.9.574.0886</w:t>
      </w:r>
    </w:p>
    <w:p>
      <w:pPr>
        <w:spacing w:after="0" w:line="200" w:lineRule="exact"/>
        <w:rPr>
          <w:sz w:val="20"/>
          <w:szCs w:val="20"/>
          <w:color w:val="auto"/>
        </w:rPr>
      </w:pPr>
    </w:p>
    <w:p>
      <w:pPr>
        <w:spacing w:after="0" w:line="221"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8"/>
          <w:szCs w:val="18"/>
          <w:color w:val="auto"/>
        </w:rPr>
        <w:t>WMI#00-03</w:t>
      </w:r>
    </w:p>
    <w:p>
      <w:pPr>
        <w:spacing w:after="0" w:line="200" w:lineRule="exact"/>
        <w:rPr>
          <w:sz w:val="20"/>
          <w:szCs w:val="20"/>
          <w:color w:val="auto"/>
        </w:rPr>
      </w:pPr>
    </w:p>
    <w:p>
      <w:pPr>
        <w:spacing w:after="0" w:line="204"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WASTE MANAGEMENT, INC. TO SELL SHARES IN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WASTE MANAGEMENT NEW ZEALAND LIMITED</w:t>
      </w:r>
    </w:p>
    <w:p>
      <w:pPr>
        <w:spacing w:after="0" w:line="200" w:lineRule="exact"/>
        <w:rPr>
          <w:sz w:val="20"/>
          <w:szCs w:val="20"/>
          <w:color w:val="auto"/>
        </w:rPr>
      </w:pPr>
    </w:p>
    <w:p>
      <w:pPr>
        <w:spacing w:after="0" w:line="210" w:lineRule="exact"/>
        <w:rPr>
          <w:sz w:val="20"/>
          <w:szCs w:val="20"/>
          <w:color w:val="auto"/>
        </w:rPr>
      </w:pPr>
    </w:p>
    <w:p>
      <w:pPr>
        <w:ind w:right="1819" w:firstLine="948"/>
        <w:spacing w:after="0" w:line="236" w:lineRule="auto"/>
        <w:rPr>
          <w:sz w:val="20"/>
          <w:szCs w:val="20"/>
          <w:color w:val="auto"/>
        </w:rPr>
      </w:pPr>
      <w:r>
        <w:rPr>
          <w:rFonts w:ascii="Courier New" w:cs="Courier New" w:eastAsia="Courier New" w:hAnsi="Courier New"/>
          <w:sz w:val="18"/>
          <w:szCs w:val="18"/>
          <w:color w:val="auto"/>
        </w:rPr>
        <w:t>HOUSTON, TEXAS, FEBRUARY 10, 2000 --Waste Management, Inc. (NYSE: WMI) today announced that it intends to sell the 60.5% of the shares in Waste Management New Zealand Limited, which it owns.</w:t>
      </w:r>
    </w:p>
    <w:p>
      <w:pPr>
        <w:spacing w:after="0" w:line="208" w:lineRule="exact"/>
        <w:rPr>
          <w:sz w:val="20"/>
          <w:szCs w:val="20"/>
          <w:color w:val="auto"/>
        </w:rPr>
      </w:pPr>
    </w:p>
    <w:p>
      <w:pPr>
        <w:ind w:right="1919" w:firstLine="948"/>
        <w:spacing w:after="0" w:line="235" w:lineRule="auto"/>
        <w:rPr>
          <w:sz w:val="20"/>
          <w:szCs w:val="20"/>
          <w:color w:val="auto"/>
        </w:rPr>
      </w:pPr>
      <w:r>
        <w:rPr>
          <w:rFonts w:ascii="Courier New" w:cs="Courier New" w:eastAsia="Courier New" w:hAnsi="Courier New"/>
          <w:sz w:val="18"/>
          <w:szCs w:val="18"/>
          <w:color w:val="auto"/>
        </w:rPr>
        <w:t>The sale will be by way of a public and institutional offering in New Zealand and an institutional offering in selected overseas markets.</w:t>
      </w:r>
    </w:p>
    <w:p>
      <w:pPr>
        <w:spacing w:after="0" w:line="208" w:lineRule="exact"/>
        <w:rPr>
          <w:sz w:val="20"/>
          <w:szCs w:val="20"/>
          <w:color w:val="auto"/>
        </w:rPr>
      </w:pPr>
    </w:p>
    <w:p>
      <w:pPr>
        <w:ind w:right="2119" w:firstLine="948"/>
        <w:spacing w:after="0" w:line="235" w:lineRule="auto"/>
        <w:rPr>
          <w:sz w:val="20"/>
          <w:szCs w:val="20"/>
          <w:color w:val="auto"/>
        </w:rPr>
      </w:pPr>
      <w:r>
        <w:rPr>
          <w:rFonts w:ascii="Courier New" w:cs="Courier New" w:eastAsia="Courier New" w:hAnsi="Courier New"/>
          <w:sz w:val="18"/>
          <w:szCs w:val="18"/>
          <w:color w:val="auto"/>
        </w:rPr>
        <w:t>It is expected that the offering will be launched before the end of March 2000.</w:t>
      </w:r>
    </w:p>
    <w:p>
      <w:pPr>
        <w:spacing w:after="0" w:line="208" w:lineRule="exact"/>
        <w:rPr>
          <w:sz w:val="20"/>
          <w:szCs w:val="20"/>
          <w:color w:val="auto"/>
        </w:rPr>
      </w:pPr>
    </w:p>
    <w:p>
      <w:pPr>
        <w:jc w:val="both"/>
        <w:ind w:right="1699" w:firstLine="948"/>
        <w:spacing w:after="0" w:line="236" w:lineRule="auto"/>
        <w:rPr>
          <w:sz w:val="20"/>
          <w:szCs w:val="20"/>
          <w:color w:val="auto"/>
        </w:rPr>
      </w:pPr>
      <w:r>
        <w:rPr>
          <w:rFonts w:ascii="Courier New" w:cs="Courier New" w:eastAsia="Courier New" w:hAnsi="Courier New"/>
          <w:sz w:val="18"/>
          <w:szCs w:val="18"/>
          <w:color w:val="auto"/>
        </w:rPr>
        <w:t>This transaction is part of a global divestiture program whereby WMI is rationalizing its international waste assets with a view to focusing on its core business in the U.S. market.</w:t>
      </w:r>
    </w:p>
    <w:p>
      <w:pPr>
        <w:spacing w:after="0" w:line="208" w:lineRule="exact"/>
        <w:rPr>
          <w:sz w:val="20"/>
          <w:szCs w:val="20"/>
          <w:color w:val="auto"/>
        </w:rPr>
      </w:pPr>
    </w:p>
    <w:p>
      <w:pPr>
        <w:ind w:right="1919" w:firstLine="948"/>
        <w:spacing w:after="0" w:line="279" w:lineRule="auto"/>
        <w:rPr>
          <w:sz w:val="20"/>
          <w:szCs w:val="20"/>
          <w:color w:val="auto"/>
        </w:rPr>
      </w:pPr>
      <w:r>
        <w:rPr>
          <w:rFonts w:ascii="Courier New" w:cs="Courier New" w:eastAsia="Courier New" w:hAnsi="Courier New"/>
          <w:sz w:val="16"/>
          <w:szCs w:val="16"/>
          <w:color w:val="auto"/>
        </w:rPr>
        <w:t>The shares will not be or have not been registered under the U.S. Securities Act of 1933 and may not be offered or sold in the United States absent registration or an applicable exemption from registration requirements.</w:t>
      </w:r>
    </w:p>
    <w:p>
      <w:pPr>
        <w:spacing w:after="0" w:line="178" w:lineRule="exact"/>
        <w:rPr>
          <w:sz w:val="20"/>
          <w:szCs w:val="20"/>
          <w:color w:val="auto"/>
        </w:rPr>
      </w:pPr>
    </w:p>
    <w:p>
      <w:pPr>
        <w:ind w:right="1699"/>
        <w:spacing w:after="0" w:line="271" w:lineRule="auto"/>
        <w:rPr>
          <w:sz w:val="20"/>
          <w:szCs w:val="20"/>
          <w:color w:val="auto"/>
        </w:rPr>
      </w:pPr>
      <w:r>
        <w:rPr>
          <w:rFonts w:ascii="Courier New" w:cs="Courier New" w:eastAsia="Courier New" w:hAnsi="Courier New"/>
          <w:sz w:val="16"/>
          <w:szCs w:val="16"/>
          <w:color w:val="auto"/>
        </w:rPr>
        <w:t>Certain statements provided in this release include statements that are "forward-looking statements" within the meaning of Section 27A of the Securities Act of 1933 and Section 21E of the Securities Exchange Act of 1934. These statements, and all phases of Waste Management, Inc.'s operations, are subject to risks and uncertainties, any one of which could cause actual results to differ materially from those described in the forward-looking statements. Such risks and uncertainties include or relate to, among other things:</w:t>
      </w:r>
    </w:p>
    <w:p>
      <w:pPr>
        <w:sectPr>
          <w:pgSz w:w="11900" w:h="16838" w:orient="portrait"/>
          <w:cols w:equalWidth="0" w:num="1">
            <w:col w:w="10139"/>
          </w:cols>
          <w:pgMar w:left="320" w:top="136"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left="540" w:right="201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ability to stabilize its accounting systems and procedures and to successfully close its accounting records and report 1999 annual results in accordance with year end audit procedures;</w:t>
      </w:r>
    </w:p>
    <w:p>
      <w:pPr>
        <w:spacing w:after="0" w:line="208" w:lineRule="exact"/>
        <w:rPr>
          <w:rFonts w:ascii="Courier New" w:cs="Courier New" w:eastAsia="Courier New" w:hAnsi="Courier New"/>
          <w:sz w:val="18"/>
          <w:szCs w:val="18"/>
          <w:color w:val="auto"/>
        </w:rPr>
      </w:pPr>
    </w:p>
    <w:p>
      <w:pPr>
        <w:ind w:left="540" w:right="181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ability to successfully integrate the operations of acquired companies with its existing operations, including risks and uncertainties relating to its ability to achieve projected earnings estimates, achieve administrative and operating cost savings and anticipated synergies, rationalize collection routes, and generally capitalize on its asset base and strategic position through its strategy of decentralized decision making; and the risks and uncertainties regarding government-forced divestitures;</w:t>
      </w:r>
    </w:p>
    <w:p>
      <w:pPr>
        <w:spacing w:after="0" w:line="211" w:lineRule="exact"/>
        <w:rPr>
          <w:rFonts w:ascii="Courier New" w:cs="Courier New" w:eastAsia="Courier New" w:hAnsi="Courier New"/>
          <w:sz w:val="18"/>
          <w:szCs w:val="18"/>
          <w:color w:val="auto"/>
        </w:rPr>
      </w:pPr>
    </w:p>
    <w:p>
      <w:pPr>
        <w:ind w:left="540" w:right="181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ability to continue its expansion through the acquisition of other companies, including without limitation, risks and uncertainties concerning the availability of desirable acquisition candidates, the availability of debt and equity capital to the Company to finance acquisitions, the ability of the Company to accurately assess the prior existing liabilities and assets of acquisition candidates and the restraints imposed by federal and state statutes and agencies respecting market concentration and competitive behavior;</w:t>
      </w:r>
    </w:p>
    <w:p>
      <w:pPr>
        <w:spacing w:after="0" w:line="211" w:lineRule="exact"/>
        <w:rPr>
          <w:rFonts w:ascii="Courier New" w:cs="Courier New" w:eastAsia="Courier New" w:hAnsi="Courier New"/>
          <w:sz w:val="18"/>
          <w:szCs w:val="18"/>
          <w:color w:val="auto"/>
        </w:rPr>
      </w:pPr>
    </w:p>
    <w:p>
      <w:pPr>
        <w:ind w:left="540" w:right="191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competition on the Company's ability to maintain margins on existing or acquired operations, including uncertainties relating to competition with government owned and operated landfills which enjoy certain competitive advantages from tax-exempt financing and tax revenue subsidies;</w:t>
      </w:r>
    </w:p>
    <w:p>
      <w:pPr>
        <w:spacing w:after="0" w:line="208" w:lineRule="exact"/>
        <w:rPr>
          <w:rFonts w:ascii="Courier New" w:cs="Courier New" w:eastAsia="Courier New" w:hAnsi="Courier New"/>
          <w:sz w:val="18"/>
          <w:szCs w:val="18"/>
          <w:color w:val="auto"/>
        </w:rPr>
      </w:pPr>
    </w:p>
    <w:p>
      <w:pPr>
        <w:ind w:left="540" w:right="169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potential impact of environmental and other regulation on the Company's business, including risks and uncertainties concerning the ultimate cost to the Company of complying with closure requirements and post-closure liabilities associated with its landfills and other environmental liabilities associated with disposal at third party landfills and the ability to obtain and maintain permits necessary to operate its facilities, which may impact the life, operating capacity and profitability of its landfills and other facilities;</w:t>
      </w:r>
    </w:p>
    <w:p>
      <w:pPr>
        <w:spacing w:after="0" w:line="211" w:lineRule="exact"/>
        <w:rPr>
          <w:rFonts w:ascii="Courier New" w:cs="Courier New" w:eastAsia="Courier New" w:hAnsi="Courier New"/>
          <w:sz w:val="18"/>
          <w:szCs w:val="18"/>
          <w:color w:val="auto"/>
        </w:rPr>
      </w:pPr>
    </w:p>
    <w:p>
      <w:pPr>
        <w:ind w:left="540" w:right="265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pending or threatened litigation and/or governmental inquiries involving the Company;</w:t>
      </w:r>
    </w:p>
    <w:p>
      <w:pPr>
        <w:spacing w:after="0" w:line="208" w:lineRule="exact"/>
        <w:rPr>
          <w:rFonts w:ascii="Courier New" w:cs="Courier New" w:eastAsia="Courier New" w:hAnsi="Courier New"/>
          <w:sz w:val="18"/>
          <w:szCs w:val="18"/>
          <w:color w:val="auto"/>
        </w:rPr>
      </w:pPr>
    </w:p>
    <w:p>
      <w:pPr>
        <w:ind w:left="540" w:right="243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quantification and accounting treatment of costs relating to the Company's determination to terminate as of December 31, 1998 the WM Holdings defined benefit pension plan;</w:t>
      </w:r>
    </w:p>
    <w:p>
      <w:pPr>
        <w:spacing w:after="0" w:line="208" w:lineRule="exact"/>
        <w:rPr>
          <w:rFonts w:ascii="Courier New" w:cs="Courier New" w:eastAsia="Courier New" w:hAnsi="Courier New"/>
          <w:sz w:val="18"/>
          <w:szCs w:val="18"/>
          <w:color w:val="auto"/>
        </w:rPr>
      </w:pPr>
    </w:p>
    <w:p>
      <w:pPr>
        <w:ind w:left="540" w:right="191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potential changes in estimates from ongoing analysis of site remediation requirements, closure and post-closure issues, compliance and other audits and regulatory developments;</w:t>
      </w:r>
    </w:p>
    <w:p>
      <w:pPr>
        <w:spacing w:after="0" w:line="208" w:lineRule="exact"/>
        <w:rPr>
          <w:rFonts w:ascii="Courier New" w:cs="Courier New" w:eastAsia="Courier New" w:hAnsi="Courier New"/>
          <w:sz w:val="18"/>
          <w:szCs w:val="18"/>
          <w:color w:val="auto"/>
        </w:rPr>
      </w:pPr>
    </w:p>
    <w:p>
      <w:pPr>
        <w:ind w:left="540" w:right="191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effectiveness of changes in management and the ability of the Company to retain qualified individuals to serve in senior management positions; and</w:t>
      </w:r>
    </w:p>
    <w:p>
      <w:pPr>
        <w:spacing w:after="0" w:line="208" w:lineRule="exact"/>
        <w:rPr>
          <w:rFonts w:ascii="Courier New" w:cs="Courier New" w:eastAsia="Courier New" w:hAnsi="Courier New"/>
          <w:sz w:val="18"/>
          <w:szCs w:val="18"/>
          <w:color w:val="auto"/>
        </w:rPr>
      </w:pPr>
    </w:p>
    <w:p>
      <w:pPr>
        <w:ind w:left="540" w:right="169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uncertainties relating to the Company's proposed strategic initiative, including the Company's ability to obtain permanent amendments to its bank credit facilities to allow for the divestiture of assets, and the willingness of prospective purchasers to purchase the assets the Company identifies as divestiture candidates on terms the Company finds acceptable, the timing and terms on which such assets may be sold, uncertainties relating to regulatory approvals and other factors affecting the ability of prospective purchasers to consummate such transactions, including the availability of financing and uncertainties relating to the impact of the proposed strategic initiative on the Company's credit ratings and consequently the availability and cost of debt and equity financing to the Company.</w:t>
      </w:r>
    </w:p>
    <w:p>
      <w:pPr>
        <w:spacing w:after="0" w:line="216"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Additional information regarding these and/or other factors that could materially affect future results and the accuracy of the forward-looking statements contained herein may be found in Part I, Item 1 of the Company's Annual Report on Form 10-K for the year ended December 31, 1998 and in Part I, Item 2 of the Company's Quarterly Report on Form 10-Q/A for the three months ended September 30, 1999.</w:t>
      </w: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139"/>
      </w:cols>
      <w:pgMar w:left="320" w:top="312" w:right="1440" w:bottom="36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2020-10-06T22:36:46Z</dcterms:created>
  <dcterms:modified xsi:type="dcterms:W3CDTF">2020-10-06T22:36:46Z</dcterms:modified>
</cp:coreProperties>
</file>