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Carroll John A.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Chief Accounting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9,104.3039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granted pursuant to the 2023 Stock Incentive Plan. Restricted stock units vest 34% on the first anniversary of the date of grant with 33% vesting on the 2nd and 3rd anniversary of the date of grant.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7811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2026-03-05T14:32:30Z</dcterms:created>
  <dcterms:modified xsi:type="dcterms:W3CDTF">2026-03-05T14:32:30Z</dcterms:modified>
</cp:coreProperties>
</file>