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1695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169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Schwartz Mark E.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7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7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06/05/2012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1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Sr. VP, People</w:t>
      </w:r>
    </w:p>
    <w:p>
      <w:pPr>
        <w:spacing w:after="0" w:line="4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jc w:val="center"/>
              <w:ind w:right="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6"/>
                <w:vertAlign w:val="superscript"/>
              </w:rPr>
              <w:t>(1)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06/05/2012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06/05/2012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3,677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0.0000</w:t>
            </w: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27,881.785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20" w:type="dxa"/>
            <w:vAlign w:val="bottom"/>
            <w:gridSpan w:val="10"/>
          </w:tcPr>
          <w:p>
            <w:pPr>
              <w:jc w:val="center"/>
              <w:ind w:left="6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32.185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06/05/2012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06/05/2012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27,056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06/05/2013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06/05/2022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27,056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4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94"/>
              </w:rPr>
              <w:t>0.0000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27,056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(2)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restricted stock units granted pursuant to the 2009 Stock Incentive Plan. Restricted stock units vest 100% on the 3rd anniversary of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2009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Linda J. Smith, Attorney-in-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06/06/2012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9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3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9831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2019-12-18T08:24:27Z</dcterms:created>
  <dcterms:modified xsi:type="dcterms:W3CDTF">2019-12-18T08:24:27Z</dcterms:modified>
</cp:coreProperties>
</file>