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1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4960" w:firstLine="8"/>
        <w:spacing w:after="0" w:line="216" w:lineRule="exact"/>
        <w:tabs>
          <w:tab w:leader="none" w:pos="44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7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38" w:lineRule="exact"/>
        <w:rPr>
          <w:rFonts w:ascii="MS PGothic" w:cs="MS PGothic" w:eastAsia="MS PGothic" w:hAnsi="MS PGothic"/>
          <w:sz w:val="18"/>
          <w:szCs w:val="18"/>
          <w:color w:val="auto"/>
        </w:rPr>
      </w:pPr>
    </w:p>
    <w:p>
      <w:pPr>
        <w:ind w:left="1000" w:hanging="632"/>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32"/>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60" w:lineRule="exact"/>
        <w:rPr>
          <w:rFonts w:ascii="Times New Roman" w:cs="Times New Roman" w:eastAsia="Times New Roman" w:hAnsi="Times New Roman"/>
          <w:sz w:val="18"/>
          <w:szCs w:val="18"/>
          <w:color w:val="auto"/>
        </w:rPr>
      </w:pPr>
    </w:p>
    <w:p>
      <w:pPr>
        <w:ind w:left="1000" w:hanging="632"/>
        <w:spacing w:after="0" w:line="282"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1000" w:hanging="632"/>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32"/>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60" w:right="300" w:hanging="452"/>
        <w:spacing w:after="0" w:line="282" w:lineRule="auto"/>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96" w:lineRule="exact"/>
        <w:rPr>
          <w:rFonts w:ascii="MS PGothic" w:cs="MS PGothic" w:eastAsia="MS PGothic" w:hAnsi="MS PGothic"/>
          <w:sz w:val="18"/>
          <w:szCs w:val="18"/>
          <w:color w:val="auto"/>
        </w:rPr>
      </w:pPr>
    </w:p>
    <w:p>
      <w:pPr>
        <w:ind w:left="1000" w:hanging="632"/>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32"/>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32"/>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00" w:hanging="632"/>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-4278630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-3841115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-3343910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-2906395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-2468880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-1156970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-719455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-281940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154940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499745</wp:posOffset>
            </wp:positionV>
            <wp:extent cx="2478405"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840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1001 Fannin Street, Suite 4000</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5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OF WASTE MANAGEMENT,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and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2014 at 11:00 a.m., Central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Maury Myers Conference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35" w:lineRule="exact"/>
        <w:rPr>
          <w:sz w:val="20"/>
          <w:szCs w:val="20"/>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w:t>
      </w:r>
    </w:p>
    <w:p>
      <w:pPr>
        <w:spacing w:after="0" w:line="130"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ratify the appointment of Ernst &amp; Young LLP as our independent registered public accounting firm for the fiscal year ending December 31, 2014;</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approve our executive compensation;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approve our 2014 Stock Incentive Plan (the “2014 Plan”);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regarding disclosure of political contributions, if properly presented at the meeting;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other business that is properly raised at the meeting.</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stockholders of record on March 17, 2014 may vote at the meeting.</w:t>
      </w:r>
    </w:p>
    <w:p>
      <w:pPr>
        <w:spacing w:after="0" w:line="117"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328930</wp:posOffset>
            </wp:positionV>
            <wp:extent cx="164655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LINDA J. SMITH</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76465" cy="561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61340"/>
                    </a:xfrm>
                    <a:prstGeom prst="rect">
                      <a:avLst/>
                    </a:prstGeom>
                    <a:noFill/>
                  </pic:spPr>
                </pic:pic>
              </a:graphicData>
            </a:graphic>
          </wp:anchor>
        </w:drawing>
      </w:r>
    </w:p>
    <w:p>
      <w:pPr>
        <w:spacing w:after="0" w:line="336" w:lineRule="exact"/>
        <w:rPr>
          <w:sz w:val="20"/>
          <w:szCs w:val="20"/>
          <w:color w:val="auto"/>
        </w:rPr>
      </w:pPr>
    </w:p>
    <w:p>
      <w:pPr>
        <w:ind w:left="260" w:right="26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MAY 13, 2014: This Notice of Annual Meeting and Proxy Statement and the Company’s Annual Report on Form 10-K for the year ended December 31, 2013 are available at http://www.wm.com.</w:t>
      </w:r>
    </w:p>
    <w:p>
      <w:pPr>
        <w:sectPr>
          <w:pgSz w:w="11900" w:h="16838" w:orient="portrait"/>
          <w:cols w:equalWidth="0" w:num="1">
            <w:col w:w="10900"/>
          </w:cols>
          <w:pgMar w:left="240" w:top="455" w:right="7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80" w:type="dxa"/>
            <w:vAlign w:val="bottom"/>
            <w:gridSpan w:val="15"/>
            <w:vMerge w:val="restart"/>
          </w:tcPr>
          <w:p>
            <w:pPr>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GENERAL INFORMATION</w:t>
              </w:r>
            </w:hyperlink>
          </w:p>
        </w:tc>
        <w:tc>
          <w:tcPr>
            <w:tcW w:w="8700" w:type="dxa"/>
            <w:vAlign w:val="bottom"/>
            <w:gridSpan w:val="29"/>
            <w:vMerge w:val="restart"/>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80" w:type="dxa"/>
            <w:vAlign w:val="bottom"/>
            <w:tcBorders>
              <w:bottom w:val="single" w:sz="8" w:color="0000EE"/>
            </w:tcBorders>
            <w:gridSpan w:val="15"/>
            <w:vMerge w:val="continue"/>
          </w:tcPr>
          <w:p>
            <w:pPr>
              <w:spacing w:after="0"/>
              <w:rPr>
                <w:sz w:val="14"/>
                <w:szCs w:val="14"/>
                <w:color w:val="auto"/>
              </w:rPr>
            </w:pPr>
          </w:p>
        </w:tc>
        <w:tc>
          <w:tcPr>
            <w:tcW w:w="8700" w:type="dxa"/>
            <w:vAlign w:val="bottom"/>
            <w:gridSpan w:val="29"/>
            <w:vMerge w:val="continue"/>
          </w:tcPr>
          <w:p>
            <w:pPr>
              <w:spacing w:after="0"/>
              <w:rPr>
                <w:sz w:val="14"/>
                <w:szCs w:val="14"/>
                <w:color w:val="auto"/>
              </w:rPr>
            </w:pPr>
          </w:p>
        </w:tc>
        <w:tc>
          <w:tcPr>
            <w:tcW w:w="34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98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BOARD OF DIRECTORS</w:t>
              </w:r>
            </w:hyperlink>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Leadership Structure</w:t>
              </w:r>
            </w:hyperlink>
          </w:p>
        </w:tc>
        <w:tc>
          <w:tcPr>
            <w:tcW w:w="360" w:type="dxa"/>
            <w:vAlign w:val="bottom"/>
            <w:tcBorders>
              <w:top w:val="single" w:sz="8" w:color="0000EE"/>
            </w:tcBorders>
            <w:gridSpan w:val="5"/>
          </w:tcPr>
          <w:p>
            <w:pPr>
              <w:spacing w:after="0"/>
              <w:rPr>
                <w:sz w:val="17"/>
                <w:szCs w:val="17"/>
                <w:color w:val="auto"/>
              </w:rPr>
            </w:pPr>
          </w:p>
        </w:tc>
        <w:tc>
          <w:tcPr>
            <w:tcW w:w="8920" w:type="dxa"/>
            <w:vAlign w:val="bottom"/>
            <w:gridSpan w:val="3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Role in Risk Oversight</w:t>
              </w:r>
            </w:hyperlink>
          </w:p>
        </w:tc>
        <w:tc>
          <w:tcPr>
            <w:tcW w:w="9120" w:type="dxa"/>
            <w:vAlign w:val="bottom"/>
            <w:gridSpan w:val="3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Independence of Board Members</w:t>
              </w:r>
            </w:hyperlink>
          </w:p>
        </w:tc>
        <w:tc>
          <w:tcPr>
            <w:tcW w:w="8380" w:type="dxa"/>
            <w:vAlign w:val="bottom"/>
            <w:gridSpan w:val="2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3"/>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Meetings and Board Committees</w:t>
              </w:r>
            </w:hyperlink>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Audit Committee</w:t>
              </w:r>
            </w:hyperlink>
          </w:p>
        </w:tc>
        <w:tc>
          <w:tcPr>
            <w:tcW w:w="8420" w:type="dxa"/>
            <w:vAlign w:val="bottom"/>
            <w:gridSpan w:val="2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Audit Committee Report</w:t>
              </w:r>
            </w:hyperlink>
          </w:p>
        </w:tc>
        <w:tc>
          <w:tcPr>
            <w:tcW w:w="9000" w:type="dxa"/>
            <w:vAlign w:val="bottom"/>
            <w:gridSpan w:val="3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Management Development and Compensation Committee</w:t>
              </w:r>
            </w:hyperlink>
          </w:p>
        </w:tc>
        <w:tc>
          <w:tcPr>
            <w:tcW w:w="6600" w:type="dxa"/>
            <w:vAlign w:val="bottom"/>
            <w:gridSpan w:val="1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Compensation Committee Report</w:t>
              </w:r>
            </w:hyperlink>
          </w:p>
        </w:tc>
        <w:tc>
          <w:tcPr>
            <w:tcW w:w="8360" w:type="dxa"/>
            <w:vAlign w:val="bottom"/>
            <w:gridSpan w:val="2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4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Compensation Committee Interlocks and Insider Participation</w:t>
              </w:r>
            </w:hyperlink>
          </w:p>
        </w:tc>
        <w:tc>
          <w:tcPr>
            <w:tcW w:w="63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Nominating and Governance Committee</w:t>
              </w:r>
            </w:hyperlink>
          </w:p>
        </w:tc>
        <w:tc>
          <w:tcPr>
            <w:tcW w:w="786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3"/>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Related Party Transactions</w:t>
              </w:r>
            </w:hyperlink>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Special Committee</w:t>
              </w:r>
            </w:hyperlink>
          </w:p>
        </w:tc>
        <w:tc>
          <w:tcPr>
            <w:tcW w:w="8860" w:type="dxa"/>
            <w:vAlign w:val="bottom"/>
            <w:gridSpan w:val="3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0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Board of Directors Governing Documents</w:t>
              </w:r>
            </w:hyperlink>
          </w:p>
        </w:tc>
        <w:tc>
          <w:tcPr>
            <w:tcW w:w="776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Non-Employee Director Compensation</w:t>
              </w:r>
            </w:hyperlink>
          </w:p>
        </w:tc>
        <w:tc>
          <w:tcPr>
            <w:tcW w:w="7940" w:type="dxa"/>
            <w:vAlign w:val="bottom"/>
            <w:gridSpan w:val="2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17">
              <w:r>
                <w:rPr>
                  <w:rFonts w:ascii="Times New Roman" w:cs="Times New Roman" w:eastAsia="Times New Roman" w:hAnsi="Times New Roman"/>
                  <w:sz w:val="18"/>
                  <w:szCs w:val="18"/>
                  <w:b w:val="1"/>
                  <w:bCs w:val="1"/>
                  <w:color w:val="0000EE"/>
                </w:rPr>
                <w:t>ELECTION OF DIRECTORS (Item 1 On The Proxy Card)</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DIRECTOR AND OFFICER STOCK OWNERSHIP</w:t>
              </w:r>
            </w:hyperlink>
          </w:p>
        </w:tc>
        <w:tc>
          <w:tcPr>
            <w:tcW w:w="638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SECURITY OWNERSHIP OF CERTAIN BENEFICIAL OWNERS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SECTION 16(A) BENEFICIAL OWNERSHIP REPORTING COMPLIANCE</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b w:val="1"/>
                <w:bCs w:val="1"/>
                <w:color w:val="0000EE"/>
                <w:w w:val="99"/>
              </w:rPr>
            </w:pPr>
            <w:hyperlink w:anchor="page23">
              <w:r>
                <w:rPr>
                  <w:rFonts w:ascii="Times New Roman" w:cs="Times New Roman" w:eastAsia="Times New Roman" w:hAnsi="Times New Roman"/>
                  <w:sz w:val="18"/>
                  <w:szCs w:val="18"/>
                  <w:b w:val="1"/>
                  <w:bCs w:val="1"/>
                  <w:color w:val="0000EE"/>
                  <w:w w:val="99"/>
                </w:rPr>
                <w:t>EXECUTIVE OFFICERS</w:t>
              </w:r>
            </w:hyperlink>
          </w:p>
        </w:tc>
        <w:tc>
          <w:tcPr>
            <w:tcW w:w="4000" w:type="dxa"/>
            <w:vAlign w:val="bottom"/>
            <w:tcBorders>
              <w:top w:val="single" w:sz="8" w:color="0000EE"/>
            </w:tcBorders>
            <w:gridSpan w:val="29"/>
          </w:tcPr>
          <w:p>
            <w:pPr>
              <w:spacing w:after="0"/>
              <w:rPr>
                <w:sz w:val="17"/>
                <w:szCs w:val="17"/>
                <w:color w:val="auto"/>
              </w:rPr>
            </w:pPr>
          </w:p>
        </w:tc>
        <w:tc>
          <w:tcPr>
            <w:tcW w:w="49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b w:val="1"/>
                <w:bCs w:val="1"/>
                <w:color w:val="0000EE"/>
                <w:w w:val="99"/>
              </w:rPr>
            </w:pPr>
            <w:hyperlink w:anchor="page25">
              <w:r>
                <w:rPr>
                  <w:rFonts w:ascii="Times New Roman" w:cs="Times New Roman" w:eastAsia="Times New Roman" w:hAnsi="Times New Roman"/>
                  <w:sz w:val="18"/>
                  <w:szCs w:val="18"/>
                  <w:b w:val="1"/>
                  <w:bCs w:val="1"/>
                  <w:color w:val="0000EE"/>
                  <w:w w:val="99"/>
                </w:rPr>
                <w:t>EXECUTIVE COMPENSATION</w:t>
              </w:r>
            </w:hyperlink>
          </w:p>
        </w:tc>
        <w:tc>
          <w:tcPr>
            <w:tcW w:w="8360" w:type="dxa"/>
            <w:vAlign w:val="bottom"/>
            <w:gridSpan w:val="2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3"/>
          </w:tcPr>
          <w:p>
            <w:pPr>
              <w:spacing w:after="0" w:line="196" w:lineRule="exact"/>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Compensation Discussion and Analysis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Executive Summary</w:t>
              </w:r>
            </w:hyperlink>
          </w:p>
        </w:tc>
        <w:tc>
          <w:tcPr>
            <w:tcW w:w="1340" w:type="dxa"/>
            <w:vAlign w:val="bottom"/>
            <w:tcBorders>
              <w:top w:val="single" w:sz="8" w:color="0000EE"/>
            </w:tcBorders>
            <w:gridSpan w:val="18"/>
          </w:tcPr>
          <w:p>
            <w:pPr>
              <w:spacing w:after="0"/>
              <w:rPr>
                <w:sz w:val="17"/>
                <w:szCs w:val="17"/>
                <w:color w:val="auto"/>
              </w:rPr>
            </w:pPr>
          </w:p>
        </w:tc>
        <w:tc>
          <w:tcPr>
            <w:tcW w:w="780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Our Compensation Philosophy</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Overview of Elements of Our 2013 Compensation Program</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Our Named Executive Officers</w:t>
              </w:r>
            </w:hyperlink>
          </w:p>
        </w:tc>
        <w:tc>
          <w:tcPr>
            <w:tcW w:w="2040" w:type="dxa"/>
            <w:vAlign w:val="bottom"/>
            <w:tcBorders>
              <w:top w:val="single" w:sz="8" w:color="0000EE"/>
            </w:tcBorders>
            <w:gridSpan w:val="16"/>
          </w:tcPr>
          <w:p>
            <w:pPr>
              <w:spacing w:after="0"/>
              <w:rPr>
                <w:sz w:val="17"/>
                <w:szCs w:val="17"/>
                <w:color w:val="auto"/>
              </w:rPr>
            </w:pPr>
          </w:p>
        </w:tc>
        <w:tc>
          <w:tcPr>
            <w:tcW w:w="63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How Named Executive Officer Compensation Decisions are Made</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Named Executives’ 2013 Compensation Program and Results</w:t>
              </w:r>
            </w:hyperlink>
          </w:p>
        </w:tc>
        <w:tc>
          <w:tcPr>
            <w:tcW w:w="340" w:type="dxa"/>
            <w:vAlign w:val="bottom"/>
            <w:tcBorders>
              <w:top w:val="single" w:sz="8" w:color="0000EE"/>
            </w:tcBorders>
          </w:tcPr>
          <w:p>
            <w:pPr>
              <w:spacing w:after="0"/>
              <w:rPr>
                <w:sz w:val="17"/>
                <w:szCs w:val="17"/>
                <w:color w:val="auto"/>
              </w:rPr>
            </w:pPr>
          </w:p>
        </w:tc>
        <w:tc>
          <w:tcPr>
            <w:tcW w:w="582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Other Compensation Policies and Practices</w:t>
              </w:r>
            </w:hyperlink>
          </w:p>
        </w:tc>
        <w:tc>
          <w:tcPr>
            <w:tcW w:w="750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b w:val="1"/>
                <w:bCs w:val="1"/>
                <w:color w:val="0000EE"/>
                <w:w w:val="99"/>
              </w:rPr>
            </w:pPr>
            <w:hyperlink w:anchor="page41">
              <w:r>
                <w:rPr>
                  <w:rFonts w:ascii="Times New Roman" w:cs="Times New Roman" w:eastAsia="Times New Roman" w:hAnsi="Times New Roman"/>
                  <w:sz w:val="18"/>
                  <w:szCs w:val="18"/>
                  <w:b w:val="1"/>
                  <w:bCs w:val="1"/>
                  <w:color w:val="0000EE"/>
                  <w:w w:val="99"/>
                </w:rPr>
                <w:t>Executive Compensation Tables</w:t>
              </w:r>
            </w:hyperlink>
          </w:p>
        </w:tc>
        <w:tc>
          <w:tcPr>
            <w:tcW w:w="8340" w:type="dxa"/>
            <w:vAlign w:val="bottom"/>
            <w:gridSpan w:val="2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Summary Compensation Table</w:t>
              </w:r>
            </w:hyperlink>
          </w:p>
        </w:tc>
        <w:tc>
          <w:tcPr>
            <w:tcW w:w="8380" w:type="dxa"/>
            <w:vAlign w:val="bottom"/>
            <w:gridSpan w:val="2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Grant of Plan-Based Awards in 2013</w:t>
              </w:r>
            </w:hyperlink>
          </w:p>
        </w:tc>
        <w:tc>
          <w:tcPr>
            <w:tcW w:w="796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Outstanding Equity Awards at December 31, 2013</w:t>
              </w:r>
            </w:hyperlink>
          </w:p>
        </w:tc>
        <w:tc>
          <w:tcPr>
            <w:tcW w:w="698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Option Exercises and Stock Vested</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Nonqualified Deferred Compensation in 2013</w:t>
              </w:r>
            </w:hyperlink>
          </w:p>
        </w:tc>
        <w:tc>
          <w:tcPr>
            <w:tcW w:w="730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Potential Payments Upon Termination or Change-in-Control</w:t>
              </w:r>
            </w:hyperlink>
          </w:p>
        </w:tc>
        <w:tc>
          <w:tcPr>
            <w:tcW w:w="626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Equity Compensation Plan Table</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Borders>
              <w:bottom w:val="single" w:sz="8" w:color="0000EE"/>
            </w:tcBorders>
            <w:gridSpan w:val="43"/>
          </w:tcPr>
          <w:p>
            <w:pPr>
              <w:spacing w:after="0" w:line="196" w:lineRule="exact"/>
              <w:rPr>
                <w:rFonts w:ascii="Times New Roman" w:cs="Times New Roman" w:eastAsia="Times New Roman" w:hAnsi="Times New Roman"/>
                <w:sz w:val="18"/>
                <w:szCs w:val="18"/>
                <w:b w:val="1"/>
                <w:bCs w:val="1"/>
                <w:color w:val="0000EE"/>
                <w:w w:val="99"/>
              </w:rPr>
            </w:pPr>
            <w:hyperlink w:anchor="page55">
              <w:r>
                <w:rPr>
                  <w:rFonts w:ascii="Times New Roman" w:cs="Times New Roman" w:eastAsia="Times New Roman" w:hAnsi="Times New Roman"/>
                  <w:sz w:val="18"/>
                  <w:szCs w:val="18"/>
                  <w:b w:val="1"/>
                  <w:bCs w:val="1"/>
                  <w:color w:val="0000EE"/>
                  <w:w w:val="99"/>
                </w:rPr>
                <w:t>RATIFICATION OF INDEPENDENT REGISTERED PUBLIC ACCOUNTING FIRM</w:t>
              </w:r>
            </w:hyperlink>
          </w:p>
        </w:tc>
        <w:tc>
          <w:tcPr>
            <w:tcW w:w="4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3"/>
          </w:tcPr>
          <w:p>
            <w:pPr>
              <w:spacing w:after="0" w:line="196" w:lineRule="exact"/>
              <w:rPr>
                <w:rFonts w:ascii="Times New Roman" w:cs="Times New Roman" w:eastAsia="Times New Roman" w:hAnsi="Times New Roman"/>
                <w:sz w:val="18"/>
                <w:szCs w:val="18"/>
                <w:b w:val="1"/>
                <w:bCs w:val="1"/>
                <w:color w:val="0000EE"/>
              </w:rPr>
            </w:pPr>
            <w:hyperlink w:anchor="page55">
              <w:r>
                <w:rPr>
                  <w:rFonts w:ascii="Times New Roman" w:cs="Times New Roman" w:eastAsia="Times New Roman" w:hAnsi="Times New Roman"/>
                  <w:sz w:val="18"/>
                  <w:szCs w:val="18"/>
                  <w:b w:val="1"/>
                  <w:bCs w:val="1"/>
                  <w:color w:val="0000EE"/>
                </w:rPr>
                <w:t>(Item 2 on the Proxy Card)</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b w:val="1"/>
                <w:bCs w:val="1"/>
                <w:color w:val="0000EE"/>
                <w:w w:val="99"/>
              </w:rPr>
            </w:pPr>
            <w:hyperlink w:anchor="page56">
              <w:r>
                <w:rPr>
                  <w:rFonts w:ascii="Times New Roman" w:cs="Times New Roman" w:eastAsia="Times New Roman" w:hAnsi="Times New Roman"/>
                  <w:sz w:val="18"/>
                  <w:szCs w:val="18"/>
                  <w:b w:val="1"/>
                  <w:bCs w:val="1"/>
                  <w:color w:val="0000EE"/>
                  <w:w w:val="99"/>
                </w:rPr>
                <w:t>ADVISORY VOTE ON EXECUTIVE COMPENSATION (Item 3 on the Proxy Card)</w:t>
              </w:r>
            </w:hyperlink>
          </w:p>
        </w:tc>
        <w:tc>
          <w:tcPr>
            <w:tcW w:w="43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b w:val="1"/>
                <w:bCs w:val="1"/>
                <w:color w:val="0000EE"/>
                <w:w w:val="99"/>
              </w:rPr>
            </w:pPr>
            <w:hyperlink w:anchor="page58">
              <w:r>
                <w:rPr>
                  <w:rFonts w:ascii="Times New Roman" w:cs="Times New Roman" w:eastAsia="Times New Roman" w:hAnsi="Times New Roman"/>
                  <w:sz w:val="18"/>
                  <w:szCs w:val="18"/>
                  <w:b w:val="1"/>
                  <w:bCs w:val="1"/>
                  <w:color w:val="0000EE"/>
                  <w:w w:val="99"/>
                </w:rPr>
                <w:t>PROPOSAL TO APPROVE THE COMPANY’S 2014 STOCK INCENTIVE PLAN</w:t>
              </w:r>
            </w:hyperlink>
          </w:p>
        </w:tc>
        <w:tc>
          <w:tcPr>
            <w:tcW w:w="45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3"/>
          </w:tcPr>
          <w:p>
            <w:pPr>
              <w:spacing w:after="0" w:line="196" w:lineRule="exact"/>
              <w:rPr>
                <w:rFonts w:ascii="Times New Roman" w:cs="Times New Roman" w:eastAsia="Times New Roman" w:hAnsi="Times New Roman"/>
                <w:sz w:val="18"/>
                <w:szCs w:val="18"/>
                <w:b w:val="1"/>
                <w:bCs w:val="1"/>
                <w:color w:val="0000EE"/>
              </w:rPr>
            </w:pPr>
            <w:hyperlink w:anchor="page58">
              <w:r>
                <w:rPr>
                  <w:rFonts w:ascii="Times New Roman" w:cs="Times New Roman" w:eastAsia="Times New Roman" w:hAnsi="Times New Roman"/>
                  <w:sz w:val="18"/>
                  <w:szCs w:val="18"/>
                  <w:b w:val="1"/>
                  <w:bCs w:val="1"/>
                  <w:color w:val="0000EE"/>
                </w:rPr>
                <w:t>(Item 4 on the Proxy Card)</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STOCKHOLDER PROPOSAL (Item 5 on the Proxy Card)</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b w:val="1"/>
                <w:bCs w:val="1"/>
                <w:color w:val="0000EE"/>
                <w:w w:val="98"/>
              </w:rPr>
            </w:pPr>
            <w:hyperlink w:anchor="page70">
              <w:r>
                <w:rPr>
                  <w:rFonts w:ascii="Times New Roman" w:cs="Times New Roman" w:eastAsia="Times New Roman" w:hAnsi="Times New Roman"/>
                  <w:sz w:val="18"/>
                  <w:szCs w:val="18"/>
                  <w:b w:val="1"/>
                  <w:bCs w:val="1"/>
                  <w:color w:val="0000EE"/>
                  <w:w w:val="98"/>
                </w:rPr>
                <w:t>OTHER MATTERS</w:t>
              </w:r>
            </w:hyperlink>
          </w:p>
        </w:tc>
        <w:tc>
          <w:tcPr>
            <w:tcW w:w="2980" w:type="dxa"/>
            <w:vAlign w:val="bottom"/>
            <w:tcBorders>
              <w:top w:val="single" w:sz="8" w:color="0000EE"/>
            </w:tcBorders>
            <w:gridSpan w:val="27"/>
          </w:tcPr>
          <w:p>
            <w:pPr>
              <w:spacing w:after="0"/>
              <w:rPr>
                <w:sz w:val="17"/>
                <w:szCs w:val="17"/>
                <w:color w:val="auto"/>
              </w:rPr>
            </w:pPr>
          </w:p>
        </w:tc>
        <w:tc>
          <w:tcPr>
            <w:tcW w:w="642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980" w:type="dxa"/>
            <w:vAlign w:val="bottom"/>
            <w:gridSpan w:val="44"/>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Annex A</w:t>
              </w:r>
            </w:hyperlink>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11"/>
          </w:tcPr>
          <w:p>
            <w:pPr>
              <w:spacing w:after="0" w:line="20" w:lineRule="exact"/>
              <w:rPr>
                <w:sz w:val="1"/>
                <w:szCs w:val="1"/>
                <w:color w:val="auto"/>
              </w:rPr>
            </w:pPr>
          </w:p>
        </w:tc>
        <w:tc>
          <w:tcPr>
            <w:tcW w:w="8720" w:type="dxa"/>
            <w:vAlign w:val="bottom"/>
            <w:gridSpan w:val="3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2014 Stock Incentive Plan</w:t>
              </w:r>
            </w:hyperlink>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WASTE MANAGEMENT,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1001 Fannin Street, Suite 4000</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207"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Board of Directors is soliciting your proxy for the 2014 Annual Meeting of Stockholders and at any postponement or adjournment of the meeting. We are furnishing proxy materials to our stockholders primarily via the Internet. On March 27, 2014, we sent an electronic notice of how to access our proxy materials, including our Annual Report, to stockholders that have previously signed up to receive their proxy materials via the Internet. On March 27, 2014,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ectPr>
          <w:pgSz w:w="11900" w:h="16838" w:orient="portrait"/>
          <w:cols w:equalWidth="0" w:num="1">
            <w:col w:w="11420"/>
          </w:cols>
          <w:pgMar w:left="240" w:top="455" w:right="2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2014.</w:t>
      </w:r>
    </w:p>
    <w:p>
      <w:pPr>
        <w:spacing w:after="0" w:line="140"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majority of shares outstanding on the record date must be present in person or by proxy.</w:t>
      </w:r>
    </w:p>
    <w:p>
      <w:pPr>
        <w:spacing w:after="0" w:line="152"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Shares Outstanding</w:t>
      </w:r>
    </w:p>
    <w:p>
      <w:pPr>
        <w:spacing w:after="0" w:line="20" w:lineRule="exact"/>
        <w:rPr>
          <w:sz w:val="20"/>
          <w:szCs w:val="20"/>
          <w:color w:val="auto"/>
        </w:rPr>
      </w:pPr>
      <w:r>
        <w:rPr>
          <w:sz w:val="20"/>
          <w:szCs w:val="20"/>
          <w:color w:val="auto"/>
        </w:rPr>
        <w:br w:type="column"/>
      </w: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were 465,192,040 shares of Common Stock outstanding and entitled to vote as of March 17, 2014.</w:t>
      </w:r>
    </w:p>
    <w:p>
      <w:pPr>
        <w:spacing w:after="0" w:line="63"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Voting by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Internet, phone, or mail.</w:t>
      </w:r>
    </w:p>
    <w:p>
      <w:pPr>
        <w:spacing w:after="0" w:line="152"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Voting at the Meeting</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Stockholders can vote in person during the meeting. Stockholders of record will be on a list held by the inspector of elections. Beneficial holders must obtain a proxy from their brokerage firm, bank, or other stockholder of record and present it to the inspector of elections with their ballot. Voting in person by a stockholder will replace any previous votes submitted by proxy.</w:t>
      </w:r>
    </w:p>
    <w:p>
      <w:pPr>
        <w:spacing w:after="0" w:line="81"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Changing Your Vote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Stockholders of record may revoke their proxy at any time before we vote it at the meeting by submitting a later-dated proxy via the Internet, by telephone, by mail, by delivering instructions to our Corporate Secretary before the annual meeting revoking the proxy or by voting in person at the annual meeting. If you hold shares through a bank or brokerage firm, you may revoke any prior voting instructions by contacting that firm.</w:t>
      </w:r>
    </w:p>
    <w:p>
      <w:pPr>
        <w:spacing w:after="0" w:line="85"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Votes Required to Adopt Proposals</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Each share of our Common Stock outstanding on the record date is entitled to one vote on each of the eight director nominees and one vote on each other matter. To be elected, a director must receive a majority of the votes cast with respect to that director at the meeting. This means that the number of shares voted “for” a director must exceed 50% of the votes cast with respect to that director. Each of the other proposals requires the favorable vote of a majority of the shares present, either by proxy or in person, and entitled to vote.</w:t>
      </w:r>
    </w:p>
    <w:p>
      <w:pPr>
        <w:spacing w:after="0" w:line="89"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Effect of Abstentions and Broker Non-Votes</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Abstentions will have no effect on the election of directors. For each of the other proposals, abstentions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xml:space="preserve"> these matters because they are considered present and entitled to vote.</w:t>
      </w:r>
    </w:p>
    <w:p>
      <w:pPr>
        <w:spacing w:after="0" w:line="109"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340" w:type="dxa"/>
            <w:vAlign w:val="bottom"/>
          </w:tcPr>
          <w:p>
            <w:pPr>
              <w:spacing w:after="0"/>
              <w:rPr>
                <w:sz w:val="17"/>
                <w:szCs w:val="17"/>
                <w:color w:val="auto"/>
              </w:rPr>
            </w:pPr>
          </w:p>
        </w:tc>
        <w:tc>
          <w:tcPr>
            <w:tcW w:w="692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If your shares are held by a broker, the broker will ask you how you want your shares to be voted.</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If you give the broker instructions, your shares must be voted as you direct. If you do not give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instructions, one of two things can happen depending on the type of proposal. For some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proposals, including the ratification of the Company’s independent registered public accounting</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firm, the broker may vote your shares at its discretion. But for other proposals, including the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election of directors, the advisory vote on executive compensation, the approval of our 2014 Plan,</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the stockholder proposal, the broker cannot vote your shares at all. When that happens, it is</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called a “broker non-vote.” Broker non-votes are counted in determining the presence of a</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quorum at the meeting, but they are not counted for purposes of calculating the shares present and</w:t>
            </w:r>
          </w:p>
        </w:tc>
      </w:tr>
      <w:tr>
        <w:trPr>
          <w:trHeight w:val="234"/>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entitled to vote on particular proposals at the meeting.</w:t>
            </w:r>
          </w:p>
        </w:tc>
      </w:tr>
      <w:tr>
        <w:trPr>
          <w:trHeight w:val="319"/>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Voting Instructions</w:t>
            </w: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You may receive more than one proxy card depending on how you hold your shares. If you hold</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through a broker, your ability to vote by phone or over the Internet depends on your</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broker’s voting process. You should complete and return each proxy or other voting instruction</w:t>
            </w:r>
          </w:p>
        </w:tc>
      </w:tr>
      <w:tr>
        <w:trPr>
          <w:trHeight w:val="234"/>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request provided to you.</w:t>
            </w:r>
          </w:p>
        </w:tc>
      </w:tr>
      <w:tr>
        <w:trPr>
          <w:trHeight w:val="319"/>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If you complete and submit your proxy voting instructions, the persons named as proxies will</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follow your instructions. If you submit your proxy but do not give voting instructions, we will</w:t>
            </w:r>
          </w:p>
        </w:tc>
      </w:tr>
      <w:tr>
        <w:trPr>
          <w:trHeight w:val="234"/>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vote your shares as follows:</w:t>
            </w:r>
          </w:p>
        </w:tc>
      </w:tr>
      <w:tr>
        <w:trPr>
          <w:trHeight w:val="338"/>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our director candidates;</w:t>
            </w:r>
          </w:p>
        </w:tc>
      </w:tr>
      <w:tr>
        <w:trPr>
          <w:trHeight w:val="338"/>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ratification of the independent registered public accounting firm;</w:t>
            </w:r>
          </w:p>
        </w:tc>
      </w:tr>
      <w:tr>
        <w:trPr>
          <w:trHeight w:val="338"/>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FOR </w:t>
            </w:r>
            <w:r>
              <w:rPr>
                <w:rFonts w:ascii="Times New Roman" w:cs="Times New Roman" w:eastAsia="Times New Roman" w:hAnsi="Times New Roman"/>
                <w:sz w:val="18"/>
                <w:szCs w:val="18"/>
                <w:color w:val="auto"/>
              </w:rPr>
              <w:t>approval of our executive compensation;</w:t>
            </w:r>
          </w:p>
        </w:tc>
      </w:tr>
      <w:tr>
        <w:trPr>
          <w:trHeight w:val="338"/>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FOR </w:t>
            </w:r>
            <w:r>
              <w:rPr>
                <w:rFonts w:ascii="Times New Roman" w:cs="Times New Roman" w:eastAsia="Times New Roman" w:hAnsi="Times New Roman"/>
                <w:sz w:val="18"/>
                <w:szCs w:val="18"/>
                <w:color w:val="auto"/>
              </w:rPr>
              <w:t>approval of our 2014 Plan; and</w:t>
            </w:r>
          </w:p>
        </w:tc>
      </w:tr>
      <w:tr>
        <w:trPr>
          <w:trHeight w:val="338"/>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AGAINST</w:t>
            </w:r>
            <w:r>
              <w:rPr>
                <w:rFonts w:ascii="Times New Roman" w:cs="Times New Roman" w:eastAsia="Times New Roman" w:hAnsi="Times New Roman"/>
                <w:sz w:val="18"/>
                <w:szCs w:val="18"/>
                <w:color w:val="auto"/>
              </w:rPr>
              <w:t xml:space="preserve"> the stockholder proposal regarding disclosure of political contributions.</w:t>
            </w:r>
          </w:p>
        </w:tc>
      </w:tr>
      <w:tr>
        <w:trPr>
          <w:trHeight w:val="319"/>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If you give us your proxy, any other matters that may properly come before the meeting will be</w:t>
            </w:r>
          </w:p>
        </w:tc>
      </w:tr>
      <w:tr>
        <w:trPr>
          <w:trHeight w:val="234"/>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voted at the discretion of the proxy holders.</w:t>
            </w:r>
          </w:p>
        </w:tc>
      </w:tr>
      <w:tr>
        <w:trPr>
          <w:trHeight w:val="319"/>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Attending in Person</w:t>
            </w: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Only stockholders, their proxy holders and our invited guests may attend the meeting. If you plan</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attend, please bring identification and, if you hold shares in street name, bring your bank or</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broker statement showing your beneficial ownership of Waste Management stock in order to be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admitted to the meeting. If you are planning to attend our annual meeting and require directions to</w:t>
            </w:r>
          </w:p>
        </w:tc>
      </w:tr>
      <w:tr>
        <w:trPr>
          <w:trHeight w:val="234"/>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meeting, please contact our Corporate Secretary at 713-512-6200.</w:t>
            </w:r>
          </w:p>
        </w:tc>
      </w:tr>
      <w:tr>
        <w:trPr>
          <w:trHeight w:val="319"/>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only items that will be discussed at this year’s annual meeting will be the items set out in the</w:t>
            </w:r>
          </w:p>
        </w:tc>
      </w:tr>
      <w:tr>
        <w:trPr>
          <w:trHeight w:val="234"/>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Notice. There will be no presentations.</w:t>
            </w:r>
          </w:p>
        </w:tc>
      </w:tr>
      <w:tr>
        <w:trPr>
          <w:trHeight w:val="319"/>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 Proposals for the 2015 Annual Meeting</w:t>
            </w: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Eligible stockholders who want to have proposals considered for inclusion in the Proxy Statement</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our 2015 Annual Meeting should notify our Corporate Secretary at Waste Management, Inc.,</w:t>
            </w:r>
          </w:p>
        </w:tc>
      </w:tr>
      <w:tr>
        <w:trPr>
          <w:trHeight w:val="234"/>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1001 Fannin Street, Suite 4000, Houston, Texas 77002. The written</w:t>
            </w:r>
          </w:p>
        </w:tc>
      </w:tr>
      <w:tr>
        <w:trPr>
          <w:trHeight w:val="365"/>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20" w:type="dxa"/>
            <w:vAlign w:val="bottom"/>
          </w:tcPr>
          <w:p>
            <w:pPr>
              <w:jc w:val="right"/>
              <w:ind w:right="5570"/>
              <w:spacing w:after="0"/>
              <w:rPr>
                <w:sz w:val="20"/>
                <w:szCs w:val="20"/>
                <w:color w:val="auto"/>
              </w:rPr>
            </w:pPr>
            <w:r>
              <w:rPr>
                <w:rFonts w:ascii="Times New Roman" w:cs="Times New Roman" w:eastAsia="Times New Roman" w:hAnsi="Times New Roman"/>
                <w:sz w:val="18"/>
                <w:szCs w:val="18"/>
                <w:color w:val="auto"/>
              </w:rPr>
              <w:t>2</w:t>
            </w:r>
          </w:p>
        </w:tc>
      </w:tr>
    </w:tbl>
    <w:p>
      <w:pPr>
        <w:jc w:val="right"/>
        <w:ind w:right="557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822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proposal must be received at our offices no later than November 27, 2014 and no earlier than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October 28, 2014. A stockholder must have been the registered or beneficial owner of (a) at least</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 of our outstanding Common Stock or (b) shares of our Common Stock with a market value of</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$2,000 for at least one year before submitting the proposal. Also, the stockholder must continue</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 own the stock through the date of the 2015 Annual Meeting.</w:t>
            </w:r>
          </w:p>
        </w:tc>
      </w:tr>
      <w:tr>
        <w:trPr>
          <w:trHeight w:val="33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We pay the cost of preparing, assembling and mailing this proxy-soliciting material. In addition to</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use of the mail, proxies may be solicited personally, by Internet or telephone, or by Waste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Management officers and employees without additional compensation. We pay all costs of</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solicitation, including certain expenses of brokers and nominees who mail proxy materials to their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customers or principals. Also, Innisfree M&amp;A Incorporated has been hired to help in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solicitation of proxies for the 2014 Annual Meeting for a fee of approximately $15,000 plus</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associated costs and expenses.</w:t>
            </w:r>
          </w:p>
        </w:tc>
      </w:tr>
      <w:tr>
        <w:trPr>
          <w:trHeight w:val="31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Report</w:t>
            </w: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 copy of our Annual Report on Form 10-K for the year ended December 31, 2013, which</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includes our financial statements for fiscal year 2013, is included with this Proxy Statement.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Annual Report on Form 10-K is not incorporated by reference into this Proxy Statement or</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deemed to be a part of the materials for the solicitation of proxies.</w:t>
            </w:r>
          </w:p>
        </w:tc>
      </w:tr>
      <w:tr>
        <w:trPr>
          <w:trHeight w:val="31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Householding Information</w:t>
            </w: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stockholders of record who have the same address and last name and do not participate in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electronic delivery of proxy materials will receive only one copy of the Annual Report and Proxy</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Statement unless we are notified that one or more of these individuals wishes to receive separate</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copies. This procedure helps reduce our printing costs and postage fees.</w:t>
            </w:r>
          </w:p>
        </w:tc>
      </w:tr>
      <w:tr>
        <w:trPr>
          <w:trHeight w:val="319"/>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If you wish to receive a separate copy of this Proxy Statement and the Annual Report, please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contact: Waste Management, Inc., Corporate Secretary, 1001 Fannin Street, Suite 4000, Houston,</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Texas 77002, telephone 713-512-6200.</w:t>
            </w:r>
          </w:p>
        </w:tc>
      </w:tr>
      <w:tr>
        <w:trPr>
          <w:trHeight w:val="319"/>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If you do not wish to participate in householding in the future, and prefer to receive separate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copies of the proxy materials, please contact: Broadridge Financial Solutions, Attention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Householding Department, 51 Mercedes Way, Edgewood, NY 11717, telephone 1-800-542-1061.</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If you are currently receiving multiple copies of proxy materials and wish to receive only one</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copy for your household, please contact Broadridge.</w:t>
            </w:r>
          </w:p>
        </w:tc>
      </w:tr>
      <w:tr>
        <w:trPr>
          <w:trHeight w:val="365"/>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3</w:t>
            </w:r>
          </w:p>
        </w:tc>
      </w:tr>
    </w:tbl>
    <w:p>
      <w:pPr>
        <w:ind w:left="246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B</w:t>
      </w:r>
      <w:r>
        <w:rPr>
          <w:rFonts w:ascii="Times New Roman" w:cs="Times New Roman" w:eastAsia="Times New Roman" w:hAnsi="Times New Roman"/>
          <w:sz w:val="23"/>
          <w:szCs w:val="23"/>
          <w:b w:val="1"/>
          <w:bCs w:val="1"/>
          <w:color w:val="auto"/>
        </w:rPr>
        <w:t>OARD OF</w:t>
      </w:r>
      <w:r>
        <w:rPr>
          <w:rFonts w:ascii="Times New Roman" w:cs="Times New Roman" w:eastAsia="Times New Roman" w:hAnsi="Times New Roman"/>
          <w:sz w:val="29"/>
          <w:szCs w:val="29"/>
          <w:b w:val="1"/>
          <w:bCs w:val="1"/>
          <w:color w:val="auto"/>
        </w:rPr>
        <w:t xml:space="preserve"> D</w:t>
      </w:r>
      <w:r>
        <w:rPr>
          <w:rFonts w:ascii="Times New Roman" w:cs="Times New Roman" w:eastAsia="Times New Roman" w:hAnsi="Times New Roman"/>
          <w:sz w:val="23"/>
          <w:szCs w:val="23"/>
          <w:b w:val="1"/>
          <w:bCs w:val="1"/>
          <w:color w:val="auto"/>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has eight members. Each member of our Board is elected annually. Mr. Reum is the Non-Executive Chairman of the Board and presides over all meetings of the Board, including executive sessions that only non-employee directors attend.</w:t>
      </w:r>
    </w:p>
    <w:p>
      <w:pPr>
        <w:spacing w:after="0" w:line="54"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Stockholders and interested parties wishing to communicate with the Board or the non-employee directors should address their communications to Mr. W. Robert Reum, Non-Executive Chairman of the Board, c/o Waste Management, Inc., P.O. Box 53569, Houston, Texas 77052-3569.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separated the roles of Chairman of the Board and Chief Executive Officer at our Company in 2004. We believe that having a Non-Executive Chairman of the Board is in the best interests of the Company and stockholders. Over the past several years, the demands made on boards of directors have been increasing. This is in large part due to increased regulation under federal securities laws, national stock exchange rules and other federal and state regulatory changes. More recently, on-going market challenges and economic conditions have increased the demands made on boards of directors. The Non-Executive Chairman’s responsibilities include leading full Board meetings and executive sessions, as well as ensuring best practices and managing the Board function. The Board named Mr. Reum Chairman of the Board effective January 1, 2012, due to his tenure with and experience and understanding of the Company, as well as his experience on public company boards of directors.</w:t>
      </w:r>
    </w:p>
    <w:p>
      <w:pPr>
        <w:spacing w:after="0" w:line="81"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The separation of the positions allows Mr. Reum to focus on management of Board matters and allows our Chief Executive Officer to focus his attention on managing our business. Additionally, we believe the separation of those roles ensures the independence of the Board in its oversight role of critiquing and assessing the Chief Executive Officer and management generally.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in Risk Oversight</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executive officers have the primary responsibility for risk management within our Company. Our Board of Directors oversees risk management to ensure that the processes designed and implemented by our executives are adapted to and integrated with the Company’s strategy and are functioning as directed. The primary means by which the Board oversees our risk management structures and policies is through its regular communications with management and our enterprise risk management process. The Company believes that its leadership structure is conducive to comprehensive risk management practices and that the Board’s involvement is appropriate to ensure effective oversight.</w:t>
      </w:r>
    </w:p>
    <w:p>
      <w:pPr>
        <w:spacing w:after="0" w:line="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initiated an enterprise risk management, or ERM, process several years ago, which is coordinated by an ERM Committee consisting of our Chief Financial Officer, Chief Operating Officer, General Counsel and Vice President – Internal Audit. This process initially involved the identification of the Company’s programs and processes related to risk management and the individuals responsible for them. Included was a risk assessment survey completed by senior personnel requesting information regarding perceived risks to the Company, with follow-up interviews with members of senior management to review any gaps between their and their direct reports’ responses. The information gathered was tailored to coordinate with the Company’s strategic planning process such that the risks could be categorized in a manner that identified the specific Company strategies that may be jeopardized and plans could be developed to address the risks to those strategies. The Company then conducted an open-ended survey aligned with the objectives of the Company’s strategic goals with several individuals with broad risk management and/or risk oversight responsibilities. Included in the survey were the identification of the top concerns, assessment of their risk impact and probability, and identification of the responsible risk owner. Finally, a condensed survey of top risks was completed by approximately 200 senior personnel to validate the risks and the risk rankings.</w:t>
      </w:r>
    </w:p>
    <w:p>
      <w:pPr>
        <w:spacing w:after="0" w:line="7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enterprise risk management program and process continue to evolve with enhancements made annually. Board members are polled to collect their thoughts on significant risks facing the Company and how the reporting format should be revised to improve management’s communication of enterprise risks to the Board.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 open-ended survey is also sent to about 100 senior personnel across the Company requesting their input relating to risks, including assessment of likelihood and severity, and known controls and metrics to monitor the risks. In addition, external stakeholders are interviewed to gather their views on risks that they perceive could have a significant impact on the Company or the industry. Finally, responsible risk owners are asked to perform in-depth analyses of their assigned significant risks every three years to update their previous assessment and to assess whether appropriate mitigating and/or monitoring activities are in place. The ERM Committee reviews the assessment of risks made by the responsible risk owners and makes changes as it deems appropriate. The ERM Committee also determines the Company’s most significant risks that should be considered further by the Board.</w:t>
      </w:r>
    </w:p>
    <w:p>
      <w:pPr>
        <w:spacing w:after="0" w:line="80"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The Board of Directors and its committees meet in person approximately six times a year, including one meeting that is dedicated specifically to strategic planning, and regular updates are given to the Board of Directors on all Company risks. At each of these meetings, our President and Chief Executive Officer; Chief Financial Officer; and General Counsel are asked to report to the Board and, when appropriate, specific committees. Additionally, other members of management and employees are requested to attend meetings and present information, including those responsible for our Internal Audit, Environmental Audit, Business Ethics and Compliance, Human Resources, Government Affairs, Information Technology, Risk Management, Safety and Accounting functions.</w:t>
      </w:r>
    </w:p>
    <w:p>
      <w:pPr>
        <w:spacing w:after="0" w:line="80"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One of the purposes of these presentations is to provide direct communication between members of the Board and members of management; the presentations provide members of the Board with the information necessary to understand the risk profile of the Company, including information regarding the specific risk environment, exposures affecting the Company’s operations and the Company’s plans to address such risks. In addition to information regarding general updates to the Company’s operational and financial condition, management reports to the Board on a number of specific issues meant to inform the Board about the Company’s outlook and forecasts, and any impediments to meeting those or its pre-defined strategies generally. These direct communications between management and the Board of Directors allow the Board to assess management’s evaluation and management of the risks of the Company.</w:t>
      </w:r>
    </w:p>
    <w:p>
      <w:pPr>
        <w:spacing w:after="0" w:line="8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Management is encouraged to communicate with the Board of Directors with respect to extraordinary risk issues or developments that may require more immediate attention between regularly scheduled Board meetings. Mr. Reum, as Non-Executive Chairman, facilitates communications with the Board of Directors as a whole and is integral in initiating the frank, candid discussions among the independent Board members necessary to ensure management is adequately evaluating and managing the Company’s risks. These intra-Board communications are essential in its oversight function. Additionally, all members of the Board are invited to attend all committee meetings, regardless of whether the individual sits on the specific committee, and committee chairs report to the full Board. These practices ensure that all issues affecting the Company are considered in relation to each other and by doing so, risks that affect one aspect of our Company can be taken into consideration when considering other risks.</w:t>
      </w:r>
    </w:p>
    <w:p>
      <w:pPr>
        <w:spacing w:after="0" w:line="8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Board Members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each of the following seven non-employee director candidates is independent in accordance with the New York Stock Exchange listing standards: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Bradbury H. Anderson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Frank M. Clark, Jr.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Patrick W. Gross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Victoria M. Holt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John C. Pope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Robert Reum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Thomas H. Weidemeyer</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Steiner is an employee of the Company and, as such, is not considered an “independent” director.</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In addition to these categorical standards, our Board makes a subjective determination of independence considering relevant facts and circumstances. The Board reviewed all commercial and non-profit affiliations of each non-employee director and the dollar amount of all transactions between the Company and each entity with which a non-employee director is affiliated to determine independence. These transactions included the Company, through its subsidiaries, providing waste management services in the ordinary course of business and the Company’s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that there are no other relationships that would affect independence.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Board Committees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Last year the Board held eight meetings and each committee of the Board met independently as set forth below. Each director attended at least 75% of the meetings of the Board and the committees on which he or she served. In addition, all directors attended the 2013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7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 In 2006, the Board appointed a Special Committee, as described below.</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Audit Committee</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Mr. Gross has been the Chairman of our Audit Committee since May 2010. The other members of our Audit Committee are Messrs. Clark, Reum and Weidemeyer. Each member of our Audit Committee satisfies the additional New York Stock Exchange independence standards for audit committees set forth in Section 10A of the Securities Exchange Act of 1934, as amended. Our Audit Committee held eight meetings in 2013.</w:t>
      </w:r>
    </w:p>
    <w:p>
      <w:pPr>
        <w:spacing w:after="0" w:line="6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SEC rules require that we have at least one financial expert on our Audit Committee. Our Board of Directors has determined that Mr. Gross is an Audit Committee financial expert for purposes of the SEC’s rules based on a thorough review of his education and financial and public company experience.</w:t>
      </w:r>
    </w:p>
    <w:p>
      <w:pPr>
        <w:spacing w:after="0" w:line="5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Mr. Gross was a founder of American Management Systems where he was principal executive officer for over 30 years. He has served as Chairman of The Lovell Group, a private investment and advisory firm, since 2001. Mr. Gross holds an MBA from the Stanford University Graduate School of Business, a master’s degree in engineering science from the University of Michigan and a bachelor’s degree in engineering science from Rensselaer Polytechnic Institute.</w:t>
      </w:r>
    </w:p>
    <w:p>
      <w:pPr>
        <w:spacing w:after="0" w:line="6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Administrative Responsibilities</w:t>
      </w:r>
    </w:p>
    <w:p>
      <w:pPr>
        <w:spacing w:after="0" w:line="133" w:lineRule="exact"/>
        <w:rPr>
          <w:sz w:val="20"/>
          <w:szCs w:val="20"/>
          <w:color w:val="auto"/>
        </w:rPr>
      </w:pPr>
    </w:p>
    <w:p>
      <w:pPr>
        <w:ind w:left="5660" w:right="1640" w:hanging="5206"/>
        <w:spacing w:after="0" w:line="454" w:lineRule="auto"/>
        <w:tabs>
          <w:tab w:leader="none" w:pos="6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to the Board, at least annually, all public company audit committee memberships by members of the Audit Committee; 6</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 annual review of its performance relative to its charter and report the results of its evaluation to the full Board;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 orientation program for new Audit Committee members.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Independent Auditor</w:t>
      </w:r>
    </w:p>
    <w:p>
      <w:pPr>
        <w:spacing w:after="0" w:line="133" w:lineRule="exact"/>
        <w:rPr>
          <w:sz w:val="20"/>
          <w:szCs w:val="20"/>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independent auditor, determine the auditor’s compensation and replace the auditor if necessary;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of the independent auditor and establish our policies for hiring current or former employees of the independent auditor;</w:t>
      </w:r>
    </w:p>
    <w:p>
      <w:pPr>
        <w:spacing w:after="0" w:line="130" w:lineRule="exact"/>
        <w:rPr>
          <w:rFonts w:ascii="Times New Roman" w:cs="Times New Roman" w:eastAsia="Times New Roman" w:hAnsi="Times New Roman"/>
          <w:sz w:val="18"/>
          <w:szCs w:val="18"/>
          <w:color w:val="auto"/>
        </w:rPr>
      </w:pPr>
    </w:p>
    <w:p>
      <w:pPr>
        <w:ind w:left="660" w:right="160" w:hanging="206"/>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lead partner of our independent audit team and review a report, at least annually, describing the independent auditor’s internal control procedures;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services, including non-audit engagements, provided by the independent auditor.</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Internal Audit</w:t>
      </w:r>
    </w:p>
    <w:p>
      <w:pPr>
        <w:spacing w:after="0" w:line="133" w:lineRule="exact"/>
        <w:rPr>
          <w:sz w:val="20"/>
          <w:szCs w:val="20"/>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plans, staffing, reports and activities of the internal auditors; and</w:t>
      </w:r>
    </w:p>
    <w:p>
      <w:pPr>
        <w:spacing w:after="0" w:line="130" w:lineRule="exact"/>
        <w:rPr>
          <w:rFonts w:ascii="Times New Roman" w:cs="Times New Roman" w:eastAsia="Times New Roman" w:hAnsi="Times New Roman"/>
          <w:sz w:val="18"/>
          <w:szCs w:val="18"/>
          <w:color w:val="auto"/>
        </w:rPr>
      </w:pPr>
    </w:p>
    <w:p>
      <w:pPr>
        <w:ind w:left="660" w:right="240" w:hanging="206"/>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establish procedures for receiving, retaining and handling complaints, including anonymous complaints by our employees, regarding accounting, internal controls and auditing matters.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133" w:lineRule="exact"/>
        <w:rPr>
          <w:sz w:val="20"/>
          <w:szCs w:val="20"/>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financial statements and Forms 10-K and 10-Q with management and the independent auditor;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all earnings press releases and discuss with management the type of earnings guidance that we provide to analysts and rating agencies;</w:t>
      </w:r>
    </w:p>
    <w:p>
      <w:pPr>
        <w:spacing w:after="0" w:line="130" w:lineRule="exact"/>
        <w:rPr>
          <w:rFonts w:ascii="Times New Roman" w:cs="Times New Roman" w:eastAsia="Times New Roman" w:hAnsi="Times New Roman"/>
          <w:sz w:val="18"/>
          <w:szCs w:val="18"/>
          <w:color w:val="auto"/>
        </w:rPr>
      </w:pPr>
    </w:p>
    <w:p>
      <w:pPr>
        <w:ind w:left="660" w:right="660" w:hanging="206"/>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Discuss with the independent auditor any material changes to our accounting principles and matters required to be communicated by Public Company Accounting Oversight Board (United States) Audit Standard AU Section 380 </w:t>
      </w:r>
      <w:r>
        <w:rPr>
          <w:rFonts w:ascii="Times New Roman" w:cs="Times New Roman" w:eastAsia="Times New Roman" w:hAnsi="Times New Roman"/>
          <w:sz w:val="18"/>
          <w:szCs w:val="18"/>
          <w:i w:val="1"/>
          <w:iCs w:val="1"/>
          <w:color w:val="auto"/>
        </w:rPr>
        <w:t>Communication with Audit Committees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reporting, accounting and auditing practices with management, the independent auditor and our internal auditors;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management’s and the independent auditor’s assessment of the adequacy and effectiveness of internal controls over financial reporting;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executive officer certifications related to our reports and filings.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8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as of and for the year ended December 31, 2013 with management and the independent registered public accounting firm,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taken the following steps in making its recommendation that the Company’s financial statements be included in its annual report:</w:t>
      </w:r>
    </w:p>
    <w:p>
      <w:pPr>
        <w:spacing w:after="0" w:line="131" w:lineRule="exact"/>
        <w:rPr>
          <w:sz w:val="20"/>
          <w:szCs w:val="20"/>
          <w:color w:val="auto"/>
        </w:rPr>
      </w:pPr>
    </w:p>
    <w:p>
      <w:pPr>
        <w:ind w:left="900" w:right="320" w:hanging="325"/>
        <w:spacing w:after="0" w:line="26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the Audit Committee discussed with Ernst &amp; Young, the Company’s independent registered public accounting firm for fiscal year 2013, those matters required to be discussed by Public Company Accounting Oversight Board (United States) Audit Standard AU Section 380 </w:t>
      </w:r>
      <w:r>
        <w:rPr>
          <w:rFonts w:ascii="Times New Roman" w:cs="Times New Roman" w:eastAsia="Times New Roman" w:hAnsi="Times New Roman"/>
          <w:sz w:val="18"/>
          <w:szCs w:val="18"/>
          <w:i w:val="1"/>
          <w:iCs w:val="1"/>
          <w:color w:val="auto"/>
        </w:rPr>
        <w:t>Communication with Audit Committees</w:t>
      </w:r>
      <w:r>
        <w:rPr>
          <w:rFonts w:ascii="Times New Roman" w:cs="Times New Roman" w:eastAsia="Times New Roman" w:hAnsi="Times New Roman"/>
          <w:sz w:val="18"/>
          <w:szCs w:val="18"/>
          <w:color w:val="auto"/>
        </w:rPr>
        <w:t>, including information regarding the scope and results of the audit. These communications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are intended to assist the Audit Committee in overseeing the financial reporting and disclosure process.</w:t>
      </w:r>
    </w:p>
    <w:p>
      <w:pPr>
        <w:spacing w:after="0" w:line="85"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85" w:lineRule="exact"/>
        <w:rPr>
          <w:rFonts w:ascii="Times New Roman" w:cs="Times New Roman" w:eastAsia="Times New Roman" w:hAnsi="Times New Roman"/>
          <w:sz w:val="18"/>
          <w:szCs w:val="18"/>
          <w:color w:val="auto"/>
        </w:rPr>
      </w:pPr>
    </w:p>
    <w:p>
      <w:pPr>
        <w:ind w:left="900" w:right="340" w:hanging="325"/>
        <w:spacing w:after="0" w:line="26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2013, as well as Ernst &amp; Young’s report regarding the effectiveness of internal control over financial reporting.</w:t>
      </w:r>
    </w:p>
    <w:p>
      <w:pPr>
        <w:spacing w:after="0" w:line="85" w:lineRule="exact"/>
        <w:rPr>
          <w:rFonts w:ascii="Times New Roman" w:cs="Times New Roman" w:eastAsia="Times New Roman" w:hAnsi="Times New Roman"/>
          <w:sz w:val="18"/>
          <w:szCs w:val="18"/>
          <w:color w:val="auto"/>
        </w:rPr>
      </w:pPr>
    </w:p>
    <w:p>
      <w:pPr>
        <w:ind w:left="900" w:right="20" w:hanging="325"/>
        <w:spacing w:after="0" w:line="26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the Audit Committee reviewed and discussed, with the Company’s management and Ernst &amp; Young, the Company’s audited consolidated balance sheet as of December 31, 2013, and consolidated statements of operations, comprehensive income, cash flows and equity for the fiscal year ended December 31, 2013, including the quality, not just the acceptability, of the accounting principles, the reasonableness of significant judgments and the clarity of the disclosure.</w:t>
      </w:r>
    </w:p>
    <w:p>
      <w:pPr>
        <w:spacing w:after="0" w:line="72"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7"/>
          <w:szCs w:val="17"/>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5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68"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2013. The Committee has also approved the selection of Ernst &amp; Young as the Company’s independent registered public accounting firm for fiscal year 2014.</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19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xml:space="preserve">Patrick W. Gross, </w:t>
      </w:r>
      <w:r>
        <w:rPr>
          <w:rFonts w:ascii="Times New Roman" w:cs="Times New Roman" w:eastAsia="Times New Roman" w:hAnsi="Times New Roman"/>
          <w:sz w:val="18"/>
          <w:szCs w:val="18"/>
          <w:i w:val="1"/>
          <w:iCs w:val="1"/>
          <w:color w:val="auto"/>
        </w:rPr>
        <w:t>Chairman</w:t>
      </w:r>
    </w:p>
    <w:p>
      <w:pPr>
        <w:spacing w:after="0" w:line="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 Robert Reum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Thomas H. Weidemeyer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Management Development and Compensation Committee</w:t>
      </w:r>
    </w:p>
    <w:p>
      <w:pPr>
        <w:spacing w:after="0" w:line="121" w:lineRule="exact"/>
        <w:rPr>
          <w:sz w:val="20"/>
          <w:szCs w:val="20"/>
          <w:color w:val="auto"/>
        </w:rPr>
      </w:pPr>
    </w:p>
    <w:p>
      <w:pPr>
        <w:jc w:val="both"/>
        <w:ind w:right="480" w:firstLine="456"/>
        <w:spacing w:after="0" w:line="266" w:lineRule="auto"/>
        <w:rPr>
          <w:sz w:val="20"/>
          <w:szCs w:val="20"/>
          <w:color w:val="auto"/>
        </w:rPr>
      </w:pPr>
      <w:r>
        <w:rPr>
          <w:rFonts w:ascii="Times New Roman" w:cs="Times New Roman" w:eastAsia="Times New Roman" w:hAnsi="Times New Roman"/>
          <w:sz w:val="18"/>
          <w:szCs w:val="18"/>
          <w:color w:val="auto"/>
        </w:rPr>
        <w:t>Mr. Clark has served as the Chairman of our MD&amp;C Committee since May 2011. The other members of the Committee are Ms. Holt and Messrs. Anderson, Pope and Reum. Each member of our MD&amp;C Committee is independent in accordance with the rules and regulations of the New York Stock Exchange. The MD&amp;C Committee met five times in 2013.</w:t>
      </w:r>
    </w:p>
    <w:p>
      <w:pPr>
        <w:spacing w:after="0" w:line="6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MD&amp;C Committee is responsible for overseeing all of our executive and senior management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82" w:lineRule="exact"/>
        <w:rPr>
          <w:sz w:val="20"/>
          <w:szCs w:val="20"/>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establish policies governing the compensation and benefits of all of our executives;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of our senior management and set the bonus plan goals for those individuals;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annual evaluation of our Chief Executive Officer by all independent directors to set his compensation;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administration of all of our equity-based incentive plans;</w:t>
      </w:r>
    </w:p>
    <w:p>
      <w:pPr>
        <w:spacing w:after="0" w:line="130" w:lineRule="exact"/>
        <w:rPr>
          <w:rFonts w:ascii="Times New Roman" w:cs="Times New Roman" w:eastAsia="Times New Roman" w:hAnsi="Times New Roman"/>
          <w:sz w:val="18"/>
          <w:szCs w:val="18"/>
          <w:color w:val="auto"/>
        </w:rPr>
      </w:pPr>
    </w:p>
    <w:p>
      <w:pPr>
        <w:ind w:left="660" w:right="780" w:hanging="206"/>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results of the stockholder advisory vote on executive compensation and consider any implications of such voting results on the Company’s compensation programs;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full Board new Company compensation and benefit plans or changes to our existing plans;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recommend to the Board the compensation paid to our non-employee directors;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independence of the MD&amp;C Committee’s compensation consultant annually;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 annual review of its performance relative to its charter and report the results of its evaluation to the full Board.</w:t>
      </w:r>
    </w:p>
    <w:p>
      <w:pPr>
        <w:spacing w:after="0" w:line="117"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under those plans for matters affecting the compensation and benefits of the executive officers. For additional information on the MD&amp;C Committee, see the Compensation Discussion and Analysis beginning on page 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MD&amp;C Committee has reviewed and discussed the Compensation Discussion and Analysis, beginning on page 22, with management. Based on the review and discussions, the MD&amp;C Committee recommended to the Board of Directors that the Compensation Discussion and Analysis be included in the Company’s Proxy Statement.</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Management Development and Compensation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Committee of the Board of Directors</w:t>
      </w:r>
    </w:p>
    <w:p>
      <w:pPr>
        <w:spacing w:after="0" w:line="1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xml:space="preserve">Frank M. Clark, Jr., </w:t>
      </w:r>
      <w:r>
        <w:rPr>
          <w:rFonts w:ascii="Times New Roman" w:cs="Times New Roman" w:eastAsia="Times New Roman" w:hAnsi="Times New Roman"/>
          <w:sz w:val="18"/>
          <w:szCs w:val="18"/>
          <w:i w:val="1"/>
          <w:iCs w:val="1"/>
          <w:color w:val="auto"/>
        </w:rPr>
        <w:t>Chairman</w:t>
      </w:r>
    </w:p>
    <w:p>
      <w:pPr>
        <w:spacing w:after="0" w:line="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Bradbury H. Anderson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 M. Holt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 Robert Reum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During 2013, Ms. Cafferty, who passed away in April 2013, Ms. Holt, and Messrs. Anderson, Clark, Pope and Reum served on the MD&amp;C Committee. No member of the MD&amp;C Committee was an officer or employee of the Company during 2013; no member of the MD&amp;C Committee is a former officer of the Company; and during 2013, none of our executive officers served as a member of a board of directors or compensation committee of any entity that has one or more executive officers who serve on our Board of Directors or MD&amp;C Committee.</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Nominating and Governance Committee</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Mr. Weidemeyer has served as the Chairman of our Nominating and Governance Committee since May 2011. The other members of the Committee include Ms. Holt and Messrs. Anderson, Gross, Pope and Reum. Each member of our Nominating and Governance Committee is independent in accordance with the rules and regulations of the New York Stock Exchange. In 2013, the Nominating and Governance Committee met five times.</w:t>
      </w:r>
    </w:p>
    <w:p>
      <w:pPr>
        <w:spacing w:after="0" w:line="6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82" w:lineRule="exact"/>
        <w:rPr>
          <w:sz w:val="20"/>
          <w:szCs w:val="20"/>
          <w:color w:val="auto"/>
        </w:rPr>
      </w:pPr>
    </w:p>
    <w:p>
      <w:pPr>
        <w:ind w:left="660" w:right="80" w:hanging="206"/>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the composition of our Board, including the nature and duties of each of our committees, in accordance with our Corporate Governance Guidelines;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charters of each of the committees and recommend directors to serve as committee chairs;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individual director’s performance in consultation with the Chairman of the Board and review the overall effectiveness of the Board;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retirement policies for the Board, the terms for directors and the proper ratio of employee directors to outside directors;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 annual review of its performance relative to its charter and report the results of its evaluation to the full Board;</w:t>
      </w:r>
    </w:p>
    <w:p>
      <w:pPr>
        <w:spacing w:after="0" w:line="130" w:lineRule="exact"/>
        <w:rPr>
          <w:rFonts w:ascii="Times New Roman" w:cs="Times New Roman" w:eastAsia="Times New Roman" w:hAnsi="Times New Roman"/>
          <w:sz w:val="18"/>
          <w:szCs w:val="18"/>
          <w:color w:val="auto"/>
        </w:rPr>
      </w:pPr>
    </w:p>
    <w:p>
      <w:pPr>
        <w:ind w:left="660" w:right="600" w:hanging="206"/>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stockholder proposals received for inclusion in the Company’s proxy statement and recommend action to be taken with regard to the proposals to the Board;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recommend to the Board candidates to fill director vacancies.</w:t>
      </w:r>
    </w:p>
    <w:p>
      <w:pPr>
        <w:spacing w:after="0" w:line="11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Potential director candidates are identified through various methods; the Nominating and Governance Committee welcomes suggestions from directors, members of management, and stockholders. From time to time, the Nominating and Governance Committee uses outside consultants to assist it with identifying potential director candidates.</w:t>
      </w:r>
    </w:p>
    <w:p>
      <w:pPr>
        <w:spacing w:after="0" w:line="6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an outside consultant.</w:t>
      </w:r>
    </w:p>
    <w:p>
      <w:pPr>
        <w:spacing w:after="0" w:line="8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will consider all potential nominees on their merits without regard to the source of recommendation. The Nominating and Governance Committee believes that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28, 2014 and November 27,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w:t>
      </w:r>
    </w:p>
    <w:p>
      <w:pPr>
        <w:spacing w:after="0" w:line="1" w:lineRule="exact"/>
        <w:rPr>
          <w:sz w:val="20"/>
          <w:szCs w:val="20"/>
          <w:color w:val="auto"/>
        </w:rPr>
      </w:pPr>
    </w:p>
    <w:p>
      <w:pPr>
        <w:ind w:right="180" w:firstLine="8"/>
        <w:spacing w:after="0" w:line="25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w:t>
      </w:r>
    </w:p>
    <w:p>
      <w:pPr>
        <w:spacing w:after="0" w:line="1" w:lineRule="exact"/>
        <w:rPr>
          <w:rFonts w:ascii="Times New Roman" w:cs="Times New Roman" w:eastAsia="Times New Roman" w:hAnsi="Times New Roman"/>
          <w:sz w:val="18"/>
          <w:szCs w:val="18"/>
          <w:color w:val="auto"/>
        </w:rPr>
      </w:pPr>
    </w:p>
    <w:p>
      <w:pPr>
        <w:ind w:right="100" w:firstLine="8"/>
        <w:spacing w:after="0" w:line="254" w:lineRule="auto"/>
        <w:tabs>
          <w:tab w:leader="none" w:pos="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7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All executive officers and directors are required to notify the General Counsel or the Corporate Secretary as soon as practicable of any proposed transaction that they or their family members are considering entering into that involves the Company. The General Counsel will determine whether potential transactions or relationships constitute related party transactions that must be referred to the Nominating and Governance Committee.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Governance Committee will review a detailed description of the transaction, including:</w:t>
      </w:r>
    </w:p>
    <w:p>
      <w:pPr>
        <w:spacing w:after="0" w:line="131" w:lineRule="exact"/>
        <w:rPr>
          <w:sz w:val="20"/>
          <w:szCs w:val="20"/>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purpose of the transaction;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the Company and to the relevant related party;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require a waiver of the Company’s Code of Conduct.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determining whether to approve a related party transaction, the Nominating and Governance Committee will consider, among other things, whether:</w:t>
      </w:r>
    </w:p>
    <w:p>
      <w:pPr>
        <w:spacing w:after="0" w:line="131"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related party transaction are fair to the Company and such terms would be reasonable in an arms-length transaction;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business reasons for the Company to enter into the related party transaction;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 transaction would impair the independence of any non-employee director;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 transaction would present an improper conflict of interest for any director or executive officer of the Company;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 transaction is material to the Company or the individual.</w:t>
      </w:r>
    </w:p>
    <w:p>
      <w:pPr>
        <w:spacing w:after="0" w:line="117"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Any member of the Nominating and Governance Committee who has an interest in a transaction presented for consideration will abstain from voting on the related party transaction.</w:t>
      </w:r>
    </w:p>
    <w:p>
      <w:pPr>
        <w:spacing w:after="0" w:line="54"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Committee’s consideration of related party transactions and its determination of whether to approve such a transaction are reflected in the minutes of the Nominating and Governance Committee’s meetings. The Company is not aware of any transactions that are required to be disclosed.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Special Committee</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no meetings in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Governing Documents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Suite 4000, Houston, Texas 77002 or by accessing the “Corporate Governance” section of the “Investor Relations” page on our website at </w:t>
      </w:r>
      <w:r>
        <w:rPr>
          <w:rFonts w:ascii="Times New Roman" w:cs="Times New Roman" w:eastAsia="Times New Roman" w:hAnsi="Times New Roman"/>
          <w:sz w:val="18"/>
          <w:szCs w:val="18"/>
          <w:i w:val="1"/>
          <w:iCs w:val="1"/>
          <w:color w:val="auto"/>
        </w:rPr>
        <w:t>http://www.wm.com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non-employee director compensation program consists of equity awards and cash consideration. Prior to January 1, 2014, compensation for directors was recommended annually by the Nominating and Governance Committee, with the assistance of an independent third-party consultant, and set by action of the Board of Directors. As of January 1, 2014, non-employee director compensation is recommended by the MD&amp;C Committee. The Board’s goal in designing directors’ compensation is to provide a competitive package that will enable the Company to attract and retain highly skilled individuals with relevant experience. The compensation also is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Non-employee directors receive an annual grant of shares of Common Stock under the Company’s 2009 Stock Incentive Plan. The shares are fully vested at the time of grant; however, non-employee directors are subject to ownership guidelines that establish a minimum ownership standard and require that all net shares received in connection with a stock award, after selling shares to pay all applicable taxes, be held during their tenure as a director and for one year following termination of Board service. The grant of shares is generally made in two equal installments, and the number of shares issued is based on the market value of our Common Stock on the dates of grant, which historically have been January 15 and July 15 of each year. Due to tax planning considerations, in December 2012, the Nominating and Governance Committee recommended, and the Board approved, accelerated issuance of the non-employee directors’ annual stock award for 2013. As a result, on December 15, 2012, each non-employee director (with the exception of Ms. Holt, who was not yet a director) received a stock award valued at $130,000 on account of 2013 Board service. At the same time, Mr. Reum received an additional stock award valued at $100,000 for his service as Non-Executive Chairman of the Board in 2013. As a result, no equity compensation was delivered to the non-employee directors in 2013, with the exception of Ms. Holt, who received a stock award in the prorated amount of $54,174 when she joined the Board on January 28, 2013 and a stock award of $65,000 on July 15, 2013.</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2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All non-employee directors receive an annual cash retainer for Board service and additional cash retainers for serving as a committee chair. Directors do not receive meeting fees in addition to the retainers. The cash retainers are generally payable in two equal installments in January and July of each year. However, due to tax planning considerations, in December 2012, the Nominating and Governance Committee recommended, and the Board approved, accelerated payment of the annual cash retainers for 2013 Board service in December 2012. As a result, no cash compensation was delivered to the non-employee directors in 2013, with the exception of Ms. Holt, who received a prorated amount of $43,750 when she joined the Board in January 2013, and $52,500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2013. The payments of the retainers are not subject to refund. The table below sets forth the cash retainers for 2013 that were paid in 2012: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Retainer</w:t>
            </w:r>
          </w:p>
        </w:tc>
        <w:tc>
          <w:tcPr>
            <w:tcW w:w="4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Chair Retainers</w:t>
            </w:r>
          </w:p>
        </w:tc>
        <w:tc>
          <w:tcPr>
            <w:tcW w:w="4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$100,000 for Non-Executive Chairman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$25,000 for Audit Committee Chair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$20,000 for MD&amp;C Committee Chair</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Annual Retainers</w:t>
            </w:r>
          </w:p>
        </w:tc>
        <w:tc>
          <w:tcPr>
            <w:tcW w:w="4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$15,000 for Nominating and Governance Committee Chair</w:t>
            </w:r>
          </w:p>
        </w:tc>
        <w:tc>
          <w:tcPr>
            <w:tcW w:w="0" w:type="dxa"/>
            <w:vAlign w:val="bottom"/>
          </w:tcPr>
          <w:p>
            <w:pPr>
              <w:spacing w:after="0"/>
              <w:rPr>
                <w:sz w:val="1"/>
                <w:szCs w:val="1"/>
                <w:color w:val="auto"/>
              </w:rPr>
            </w:pPr>
          </w:p>
        </w:tc>
      </w:tr>
      <w:tr>
        <w:trPr>
          <w:trHeight w:val="234"/>
        </w:trPr>
        <w:tc>
          <w:tcPr>
            <w:tcW w:w="2480" w:type="dxa"/>
            <w:vAlign w:val="bottom"/>
            <w:vMerge w:val="continue"/>
          </w:tcPr>
          <w:p>
            <w:pPr>
              <w:spacing w:after="0"/>
              <w:rPr>
                <w:sz w:val="20"/>
                <w:szCs w:val="20"/>
                <w:color w:val="auto"/>
              </w:rPr>
            </w:pPr>
          </w:p>
        </w:tc>
        <w:tc>
          <w:tcPr>
            <w:tcW w:w="4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$10,000 for Special Committee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cash paid, and stock awards issued, to the non-employee directors in 2013 in accordance with the descriptions set forth above:</w:t>
      </w:r>
    </w:p>
    <w:p>
      <w:pPr>
        <w:spacing w:after="0" w:line="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940" w:type="dxa"/>
            <w:vAlign w:val="bottom"/>
            <w:vMerge w:val="restart"/>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1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vMerge w:val="continue"/>
          </w:tcPr>
          <w:p>
            <w:pPr>
              <w:spacing w:after="0"/>
              <w:rPr>
                <w:sz w:val="15"/>
                <w:szCs w:val="15"/>
                <w:color w:val="auto"/>
              </w:rPr>
            </w:pPr>
          </w:p>
        </w:tc>
        <w:tc>
          <w:tcPr>
            <w:tcW w:w="694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5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5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Bradbury H. Anderson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W. Gross</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Victoria M. Holt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96,250</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119,174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215,424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Pope</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6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payment of cash retainers and issuance of stock awards on account of 2013 Board service were accelerated and paid in December 2012, with the exception of the cash retainer and stock awards issued to Ms. Holt, who joined the Board in January 2013.</w:t>
      </w:r>
    </w:p>
    <w:p>
      <w:pPr>
        <w:spacing w:after="0" w:line="67"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the grant date fair value of stock awards granted in 2013,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40"/>
          </w:cols>
          <w:pgMar w:left="240" w:top="455" w:right="3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23"/>
          <w:szCs w:val="23"/>
          <w:b w:val="1"/>
          <w:bCs w:val="1"/>
          <w:color w:val="auto"/>
        </w:rPr>
        <w:t>LECTION OF</w:t>
      </w:r>
      <w:r>
        <w:rPr>
          <w:rFonts w:ascii="Times New Roman" w:cs="Times New Roman" w:eastAsia="Times New Roman" w:hAnsi="Times New Roman"/>
          <w:sz w:val="29"/>
          <w:szCs w:val="29"/>
          <w:b w:val="1"/>
          <w:bCs w:val="1"/>
          <w:color w:val="auto"/>
        </w:rPr>
        <w:t xml:space="preserve"> D</w:t>
      </w:r>
      <w:r>
        <w:rPr>
          <w:rFonts w:ascii="Times New Roman" w:cs="Times New Roman" w:eastAsia="Times New Roman" w:hAnsi="Times New Roman"/>
          <w:sz w:val="23"/>
          <w:szCs w:val="23"/>
          <w:b w:val="1"/>
          <w:bCs w:val="1"/>
          <w:color w:val="auto"/>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TEM</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5"/>
          <w:szCs w:val="15"/>
          <w:b w:val="1"/>
          <w:bCs w:val="1"/>
          <w:color w:val="auto"/>
        </w:rPr>
        <w:t>ON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first proposal on the agenda is the election of eight directors to serve until the 2015 Annual Meeting of Stockholders or until their respective successors have been duly elected and qualified. The Board has nominated the eight director candidates named below, and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By-laws provide that if the number of shares voted “for” any director nominee does not exceed 50% of the votes cast with respect to that director, he will tender his resignation to the Board of Directors. The Nominating and Governance Committee will then make a recommendation to the Board on whether to accept or reject the resignation, or whether other action should be taken.</w:t>
      </w:r>
    </w:p>
    <w:p>
      <w:pPr>
        <w:spacing w:after="0" w:line="81" w:lineRule="exact"/>
        <w:rPr>
          <w:sz w:val="20"/>
          <w:szCs w:val="20"/>
          <w:color w:val="auto"/>
        </w:rPr>
      </w:pPr>
    </w:p>
    <w:p>
      <w:pPr>
        <w:ind w:right="560" w:firstLine="456"/>
        <w:spacing w:after="0" w:line="281" w:lineRule="auto"/>
        <w:rPr>
          <w:sz w:val="20"/>
          <w:szCs w:val="20"/>
          <w:color w:val="auto"/>
        </w:rPr>
      </w:pPr>
      <w:r>
        <w:rPr>
          <w:rFonts w:ascii="Times New Roman" w:cs="Times New Roman" w:eastAsia="Times New Roman" w:hAnsi="Times New Roman"/>
          <w:sz w:val="17"/>
          <w:szCs w:val="17"/>
          <w:color w:val="auto"/>
        </w:rPr>
        <w:t>The table below shows all of our director nominees; their ages, terms of office on our Board; experience within the past five years; and their qualifications we considered when inviting them to join our Board as well as nominating them for re-election. We believe that, as a general matter, our directors’ past five years of experience gives an indication of the wealth of knowledge and experience these individuals have and that we considered; however, we have also indicated the specific skills and areas of expertise we believe makes each of these individuals a valuable member of our Board.</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ectPr>
          <w:pgSz w:w="11900" w:h="16838" w:orient="portrait"/>
          <w:cols w:equalWidth="0" w:num="1">
            <w:col w:w="11400"/>
          </w:cols>
          <w:pgMar w:left="240" w:top="455" w:right="25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Bradbury H. Anderson, 64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2011</w:t>
      </w:r>
    </w:p>
    <w:p>
      <w:pPr>
        <w:spacing w:after="0" w:line="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Vice Chairman and Chief Executive Officer — Best Buy Co., Inc. (multinational retailer of technology and entertainment products and services) from 2002 to 2009; President and Chief Operating Officer of Best Buy from 1991 to 2002.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General Mills, Inc. since 2007.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Best Buy Co., Inc. since June 2013.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Carlson Companies, a private company, since July 2009.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LightHaus Logic, Inc., a private corporation, since April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Frank M. Clark, Jr.,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2002</w:t>
      </w:r>
    </w:p>
    <w:p>
      <w:pPr>
        <w:spacing w:after="0" w:line="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Chairman and Chief Executive Officer — ComEd (energy services company and subsidiary of Exelon Corporation) from November 2005 to February 2012; President — ComEd from 2001 to November 2005.</w:t>
      </w:r>
    </w:p>
    <w:p>
      <w:pPr>
        <w:spacing w:after="0" w:line="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Executive Vice President and Chief of Staff — Exelon Corporation (public utility holding company) from 2004 to 2005; Senior Vice President — Exelon Corporation from 2001 to 2004.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BMO Financial Corp., a private corporation, since 2005.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Aetna, Inc. since 2006.</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Qualifications</w:t>
      </w:r>
    </w:p>
    <w:p>
      <w:pPr>
        <w:spacing w:after="0" w:line="200" w:lineRule="exact"/>
        <w:rPr>
          <w:sz w:val="20"/>
          <w:szCs w:val="20"/>
          <w:color w:val="auto"/>
        </w:rPr>
      </w:pPr>
    </w:p>
    <w:p>
      <w:pPr>
        <w:spacing w:after="0" w:line="2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Anderson served in the positions of chief executive officer and chief operating officer of a large public retail company for several years, during a customer segmentation transformation, which provided him with extensive knowledge of management and operations of large public companies, including experience implementing customer focused strategies. He also has over 17 years of experience as a member of a public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Clark served in executive positions at a large public utility company for over a decade, providing him with extensive experience and knowledge of large company management, operations and business critical functions. He also brings over 10 years of experience as a member of a public company board of directors.</w:t>
      </w:r>
    </w:p>
    <w:p>
      <w:pPr>
        <w:sectPr>
          <w:pgSz w:w="11900" w:h="16838" w:orient="portrait"/>
          <w:cols w:equalWidth="0" w:num="2">
            <w:col w:w="5800" w:space="260"/>
            <w:col w:w="5340"/>
          </w:cols>
          <w:pgMar w:left="240" w:top="455" w:right="25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Patrick W. Gross, 69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2006</w:t>
      </w:r>
    </w:p>
    <w:p>
      <w:pPr>
        <w:spacing w:after="0" w:line="9"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8"/>
          <w:szCs w:val="18"/>
          <w:color w:val="auto"/>
        </w:rPr>
        <w:t>Chairman — The Lovell Group (private investment and advisory firm) since October 2001.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Capital One Financial Corporation since 1995.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Liquidity Services, Inc. since 2001.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Career Education Corporation since 2005.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Rosetta Stone, Inc. since 2009.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Taleo Corporation from 2006 to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Victoria M. Holt,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2013</w:t>
      </w:r>
    </w:p>
    <w:p>
      <w:pPr>
        <w:spacing w:after="0" w:line="9"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8"/>
          <w:szCs w:val="18"/>
          <w:color w:val="auto"/>
        </w:rPr>
        <w:t>Chief Executive Officer — Proto Labs, Inc. (online and technology-enabled quick-turn manufacturer) since February 2014.</w:t>
      </w:r>
    </w:p>
    <w:p>
      <w:pPr>
        <w:spacing w:after="0" w:line="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President and Chief Executive Officer — Spartech Corporation (a leading producer of plastic sheet, compounds and packaging products) from September 2010 to March 2013.</w:t>
      </w:r>
    </w:p>
    <w:p>
      <w:pPr>
        <w:spacing w:after="0" w:line="8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Senior Vice President, Glass and Fiber Glass, PPG Industries, Inc. (a leading coatings and specialty products company) from May 2005 to September 2010.</w:t>
      </w:r>
    </w:p>
    <w:p>
      <w:pPr>
        <w:spacing w:after="0" w:line="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Director of Watlow Electric Manufacturing Company, a private corporation, since December 2012.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Spartech Corporation from 2005 to March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C. Pope,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Chairman of the Board from 2004 through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1997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 PFI Group (private investment firm) since July 1994.</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Director of R.R. Donnelley &amp; Sons Company, or predecessor companies, since 1996.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Kraft Foods Group, Inc., or predecessor companies, since 2001.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Con-way, Inc., or predecessor companies, since 2003.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Dollar Thrifty Automotive Group, Inc. from 1997 to 2012.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Navistar International Corporation from 2012 to 2013.</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Qualifications</w:t>
      </w:r>
    </w:p>
    <w:p>
      <w:pPr>
        <w:spacing w:after="0" w:line="200" w:lineRule="exact"/>
        <w:rPr>
          <w:sz w:val="20"/>
          <w:szCs w:val="20"/>
          <w:color w:val="auto"/>
        </w:rPr>
      </w:pPr>
    </w:p>
    <w:p>
      <w:pPr>
        <w:spacing w:after="0" w:line="2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Gross was a founder of American Management Systems, Inc., a global business and information technology firm, where he was principal executive officer for over 30 years. As a result, he has extensive experience in applying information technology and advanced data analytics in global companies. His background, education and board service also provide him with expertise in finance and accounting. He also brings over 30 years of experience as a director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critical to our Company’s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his current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as a director on many public company boards of directors during the last 30 years.</w:t>
      </w:r>
    </w:p>
    <w:p>
      <w:pPr>
        <w:sectPr>
          <w:pgSz w:w="11900" w:h="16838" w:orient="portrait"/>
          <w:cols w:equalWidth="0" w:num="2">
            <w:col w:w="5800" w:space="260"/>
            <w:col w:w="536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55" w:right="259" w:bottom="1440" w:gutter="0" w:footer="0" w:header="0"/>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420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Robert Reum, 71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Chairman of the Board since January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2003</w:t>
      </w:r>
    </w:p>
    <w:p>
      <w:pPr>
        <w:spacing w:after="0" w:line="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Chairman, President and CEO — Amsted Industries Incorporated (diversified manufacturer for the railroad, vehicular and construction industries) since March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P. Steiner,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 since 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since June 2010</w:t>
      </w:r>
    </w:p>
    <w:p>
      <w:pPr>
        <w:spacing w:after="0" w:line="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Executive Vice President and Chief Financial Officer from April 2003 to March 2004.</w:t>
      </w:r>
    </w:p>
    <w:p>
      <w:pPr>
        <w:spacing w:after="0" w:line="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Director of TE Connectivity Ltd. (formerly Tyco Electronics Corporation) since 2007.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FedEx Corporation since 2009.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H. Weidemeyer,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2005</w:t>
      </w:r>
    </w:p>
    <w:p>
      <w:pPr>
        <w:spacing w:after="0" w:line="9"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8"/>
          <w:szCs w:val="18"/>
          <w:color w:val="auto"/>
        </w:rPr>
        <w:t>Chief Operating Officer — United Parcel Service, Inc. (package delivery and supply chain services company) from 2001 to 2003; Senior Vice President — United Parcel Service, Inc. from 1994 to 2003.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UPS Airlines (UPS owned airline) from 1994 to 2003.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NRG Energy, Inc. since 2003.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The Goodyear Tire &amp; Rubber Company since 2004.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Qualifications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Reum has served as the chief executive of a private diversified manufacturing company for 13 years. He also served as Chairman, President and Chief Executive Officer of The Interlake Corporation, a public diversified metal products company, from 1991 to 1999. As a result, he has extensive management experience within a wide range of business functions. Mr. Reum also brings over 20 years of experience as a director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Mr. Steiner is our President and Chief Executive Officer and, in that capacity, brings extensive knowledge of the details of our Company and its employees, as well as the front-line experiences of running our Company, to his service as a member of our Board. Mr. Steiner also brings his experience as a director of other major public companies.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Mr. Weidemeyer served in executive positions at a large public company for several years. His roles encompassed significant operational management responsibility, providing him knowledge and experience in an array of functional areas critical to large public companies, including supply chain and logistics management. Mr. Weidemeyer also has over 12 years of experience as a director on public company boards of directors.</w:t>
      </w:r>
    </w:p>
    <w:p>
      <w:pPr>
        <w:spacing w:after="0" w:line="777" w:lineRule="exact"/>
        <w:rPr>
          <w:sz w:val="20"/>
          <w:szCs w:val="20"/>
          <w:color w:val="auto"/>
        </w:rPr>
      </w:pPr>
    </w:p>
    <w:p>
      <w:pPr>
        <w:sectPr>
          <w:pgSz w:w="11900" w:h="16838" w:orient="portrait"/>
          <w:cols w:equalWidth="0" w:num="2">
            <w:col w:w="5820" w:space="240"/>
            <w:col w:w="5340"/>
          </w:cols>
          <w:pgMar w:left="240" w:top="455" w:right="259" w:bottom="1440" w:gutter="0" w:footer="0" w:header="0"/>
          <w:type w:val="continuous"/>
        </w:sectPr>
      </w:pPr>
    </w:p>
    <w:p>
      <w:pPr>
        <w:ind w:right="5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EACH OF THE EIGHT NOMINEE DIRECTORS.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w:t>
      </w:r>
      <w:r>
        <w:rPr>
          <w:rFonts w:ascii="Times New Roman" w:cs="Times New Roman" w:eastAsia="Times New Roman" w:hAnsi="Times New Roman"/>
          <w:sz w:val="23"/>
          <w:szCs w:val="23"/>
          <w:b w:val="1"/>
          <w:bCs w:val="1"/>
          <w:color w:val="auto"/>
        </w:rPr>
        <w:t>IRECTOR AND</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FFICER</w:t>
      </w:r>
      <w:r>
        <w:rPr>
          <w:rFonts w:ascii="Times New Roman" w:cs="Times New Roman" w:eastAsia="Times New Roman" w:hAnsi="Times New Roman"/>
          <w:sz w:val="29"/>
          <w:szCs w:val="29"/>
          <w:b w:val="1"/>
          <w:bCs w:val="1"/>
          <w:color w:val="auto"/>
        </w:rPr>
        <w:t xml:space="preserve"> S</w:t>
      </w:r>
      <w:r>
        <w:rPr>
          <w:rFonts w:ascii="Times New Roman" w:cs="Times New Roman" w:eastAsia="Times New Roman" w:hAnsi="Times New Roman"/>
          <w:sz w:val="23"/>
          <w:szCs w:val="23"/>
          <w:b w:val="1"/>
          <w:bCs w:val="1"/>
          <w:color w:val="auto"/>
        </w:rPr>
        <w:t>TOCK</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stock ownership guidelines for our non-employee directors that require each director to hold Common Stock or share-based instruments valued at five times his annual cash retainer. Non-employee directors other than Mr. Reum currently are required to hold 17,500 shares, and Mr. Reum, as Chairman, currently is required to hold approximately 34,200 shares. Messrs. Clark, Gross, Pope and Weidemeyer have currently reached their required levels of ownership. There is no deadline set for non-employee directors to reach their ownership requirements; however, all non-employee directors must hold all net shares received in connection with a stock award, after selling shares to pay all applicable taxes, during their tenure as a director and for one year following termination of Board service.</w:t>
      </w:r>
    </w:p>
    <w:p>
      <w:pPr>
        <w:spacing w:after="0" w:line="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executive officers, including Mr. Steiner, are also subject to stock ownership guidelines, as described in the Compensation Discussion and Analysis on page 36 of this Proxy Statement.</w:t>
      </w:r>
    </w:p>
    <w:p>
      <w:pPr>
        <w:spacing w:after="0" w:line="5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Stock Ownership Table below shows the number of shares of Common Stock each director nominee and each executive officer named in the Summary Compensation Table on page 38 beneficially owned as of March 17, 2014, our record date for the annual meeting, as well as the number owned by all directors and executive officers as a group. The table also includes information about stock options currently exercisable or that will become exercisable within 60 days of our record date and phantom stock granted under various compensation and benefit plans.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individuals, both individually and in the aggregate, own less than 1% of our outstanding shares as of the record date.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0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0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0" w:type="dxa"/>
            <w:vAlign w:val="bottom"/>
            <w:vMerge w:val="restart"/>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8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Stock Covered by</w:t>
            </w: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Stock Owned(1)</w:t>
            </w:r>
          </w:p>
        </w:tc>
        <w:tc>
          <w:tcPr>
            <w:tcW w:w="8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Options(2)</w:t>
            </w:r>
          </w:p>
        </w:tc>
        <w:tc>
          <w:tcPr>
            <w:tcW w:w="420" w:type="dxa"/>
            <w:vAlign w:val="bottom"/>
          </w:tcPr>
          <w:p>
            <w:pPr>
              <w:spacing w:after="0"/>
              <w:rPr>
                <w:sz w:val="15"/>
                <w:szCs w:val="15"/>
                <w:color w:val="auto"/>
              </w:rPr>
            </w:pPr>
          </w:p>
        </w:tc>
        <w:tc>
          <w:tcPr>
            <w:tcW w:w="10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Stock(3)</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Bradbury H. Anderson(4)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84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2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24,845</w:t>
            </w: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W. Gross</w:t>
            </w:r>
          </w:p>
        </w:tc>
        <w:tc>
          <w:tcPr>
            <w:tcW w:w="2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18,036</w:t>
            </w:r>
          </w:p>
        </w:tc>
        <w:tc>
          <w:tcPr>
            <w:tcW w:w="1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Victoria M. Holt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840" w:type="dxa"/>
            <w:vAlign w:val="bottom"/>
          </w:tcPr>
          <w:p>
            <w:pPr>
              <w:spacing w:after="0"/>
              <w:rPr>
                <w:sz w:val="18"/>
                <w:szCs w:val="18"/>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Pope(5)</w:t>
            </w:r>
          </w:p>
        </w:tc>
        <w:tc>
          <w:tcPr>
            <w:tcW w:w="2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46,503</w:t>
            </w:r>
          </w:p>
        </w:tc>
        <w:tc>
          <w:tcPr>
            <w:tcW w:w="1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2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27,917</w:t>
            </w: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2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20,173</w:t>
            </w:r>
          </w:p>
        </w:tc>
        <w:tc>
          <w:tcPr>
            <w:tcW w:w="1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Steiner(6)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648,694</w:t>
            </w:r>
          </w:p>
        </w:tc>
        <w:tc>
          <w:tcPr>
            <w:tcW w:w="840" w:type="dxa"/>
            <w:vAlign w:val="bottom"/>
          </w:tcPr>
          <w:p>
            <w:pPr>
              <w:spacing w:after="0"/>
              <w:rPr>
                <w:sz w:val="18"/>
                <w:szCs w:val="18"/>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1,094,474</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72,858</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Trevathan, Jr.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186,332</w:t>
            </w:r>
          </w:p>
        </w:tc>
        <w:tc>
          <w:tcPr>
            <w:tcW w:w="8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269,934</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Fish, Jr.</w:t>
            </w:r>
          </w:p>
        </w:tc>
        <w:tc>
          <w:tcPr>
            <w:tcW w:w="2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12,400</w:t>
            </w: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99,443</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M. Harris</w:t>
            </w:r>
          </w:p>
        </w:tc>
        <w:tc>
          <w:tcPr>
            <w:tcW w:w="2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48,758</w:t>
            </w:r>
          </w:p>
        </w:tc>
        <w:tc>
          <w:tcPr>
            <w:tcW w:w="1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188,962</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Morris, Jr.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840" w:type="dxa"/>
            <w:vAlign w:val="bottom"/>
          </w:tcPr>
          <w:p>
            <w:pPr>
              <w:spacing w:after="0"/>
              <w:rPr>
                <w:sz w:val="18"/>
                <w:szCs w:val="18"/>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51,259</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(21 persons)(7)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1,325,708</w:t>
            </w:r>
          </w:p>
        </w:tc>
        <w:tc>
          <w:tcPr>
            <w:tcW w:w="8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2,358,073</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80" w:hanging="452"/>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reports beneficial ownership in accordance with Rule 13d-3 under the Securities Exchange Act of 1934, as amended. The amounts reported above include 11,468 stock equivalents attributed to Mr. Steiner and 3,439 stock equivalents attributed to Mr. Fish based on their holdings in the Company’s Retirement Savings Plan stock fund.</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includes options currently exercisable and options that will become exercisable within 60 days of our record date.</w:t>
      </w:r>
    </w:p>
    <w:p>
      <w:pPr>
        <w:spacing w:after="0" w:line="130" w:lineRule="exact"/>
        <w:rPr>
          <w:rFonts w:ascii="Times New Roman" w:cs="Times New Roman" w:eastAsia="Times New Roman" w:hAnsi="Times New Roman"/>
          <w:sz w:val="18"/>
          <w:szCs w:val="18"/>
          <w:color w:val="auto"/>
        </w:rPr>
      </w:pPr>
    </w:p>
    <w:p>
      <w:pPr>
        <w:jc w:val="both"/>
        <w:ind w:left="460" w:right="20" w:hanging="452"/>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may choose a Waste Management stock fund as an investment option under the Company’s 409A Deferral Savings Plan described in the Nonqualified Deferred Compensation table on page 43. Interests in the fund are considered phantom stock because they are equal in value to shares of our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Common Stock. Phantom stock receives dividend equivalents, in the form of additional phantom stock, at the same time that holders of shares of Common Stock receive dividends. The value of the phantom stock is paid out, in cash, at a future date selected by the executive. Phantom stock is not considered as equity ownership for SEC disclosure purposes; we have included it in this table because it represents an investment risk in the performance of our Common Stock.</w:t>
      </w:r>
    </w:p>
    <w:p>
      <w:pPr>
        <w:spacing w:after="0" w:line="86"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by Mr. Anderson includes 100 shares held by his wife.</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by Mr. Pope includes 435 shares held in trusts for the benefit of his children.</w:t>
      </w:r>
    </w:p>
    <w:p>
      <w:pPr>
        <w:spacing w:after="0" w:line="130" w:lineRule="exact"/>
        <w:rPr>
          <w:rFonts w:ascii="Times New Roman" w:cs="Times New Roman" w:eastAsia="Times New Roman" w:hAnsi="Times New Roman"/>
          <w:sz w:val="18"/>
          <w:szCs w:val="18"/>
          <w:color w:val="auto"/>
        </w:rPr>
      </w:pPr>
    </w:p>
    <w:p>
      <w:pPr>
        <w:ind w:left="460" w:right="22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by Mr. Steiner includes 343,294 shares held by Steiner Family Holdings, LLC. Mr. Steiner is the sole manager of this company. All of the shares held by Steiner Family Holdings, LLC are pledged as security for a loan.</w:t>
      </w:r>
    </w:p>
    <w:p>
      <w:pPr>
        <w:spacing w:after="0" w:line="67"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“All directors and executive officers as a group” are 15,215 stock equivalents attributable to the executive officers’ collective holdings in the Company’s Retirement Savings Plan stock fund.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240" w:top="455" w:right="3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23"/>
          <w:szCs w:val="23"/>
          <w:b w:val="1"/>
          <w:bCs w:val="1"/>
          <w:color w:val="auto"/>
        </w:rPr>
        <w:t>ECURITY</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WNERSHIP OF</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ERTAIN</w:t>
      </w:r>
      <w:r>
        <w:rPr>
          <w:rFonts w:ascii="Times New Roman" w:cs="Times New Roman" w:eastAsia="Times New Roman" w:hAnsi="Times New Roman"/>
          <w:sz w:val="29"/>
          <w:szCs w:val="29"/>
          <w:b w:val="1"/>
          <w:bCs w:val="1"/>
          <w:color w:val="auto"/>
        </w:rPr>
        <w:t xml:space="preserve"> B</w:t>
      </w:r>
      <w:r>
        <w:rPr>
          <w:rFonts w:ascii="Times New Roman" w:cs="Times New Roman" w:eastAsia="Times New Roman" w:hAnsi="Times New Roman"/>
          <w:sz w:val="23"/>
          <w:szCs w:val="23"/>
          <w:b w:val="1"/>
          <w:bCs w:val="1"/>
          <w:color w:val="auto"/>
        </w:rPr>
        <w:t>ENEFICIAL</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information for persons known to us to beneficially own more than 5% of our Common Stock based on their filings with the SEC through March 17,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24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73"/>
        </w:trPr>
        <w:tc>
          <w:tcPr>
            <w:tcW w:w="8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8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940" w:type="dxa"/>
            <w:vAlign w:val="bottom"/>
            <w:gridSpan w:val="3"/>
            <w:vMerge w:val="continue"/>
          </w:tcPr>
          <w:p>
            <w:pPr>
              <w:spacing w:after="0"/>
              <w:rPr>
                <w:sz w:val="12"/>
                <w:szCs w:val="12"/>
                <w:color w:val="auto"/>
              </w:rPr>
            </w:pPr>
          </w:p>
        </w:tc>
        <w:tc>
          <w:tcPr>
            <w:tcW w:w="1740" w:type="dxa"/>
            <w:vAlign w:val="bottom"/>
            <w:gridSpan w:val="2"/>
          </w:tcPr>
          <w:p>
            <w:pPr>
              <w:jc w:val="right"/>
              <w:ind w:right="979"/>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Capital World</w:t>
            </w:r>
          </w:p>
        </w:tc>
        <w:tc>
          <w:tcPr>
            <w:tcW w:w="77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Investors .</w:t>
            </w:r>
          </w:p>
        </w:tc>
        <w:tc>
          <w:tcPr>
            <w:tcW w:w="8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41,007,953</w:t>
            </w:r>
          </w:p>
        </w:tc>
        <w:tc>
          <w:tcPr>
            <w:tcW w:w="880" w:type="dxa"/>
            <w:vAlign w:val="bottom"/>
            <w:tcBorders>
              <w:top w:val="single" w:sz="8" w:color="CCEEFF"/>
            </w:tcBorders>
            <w:shd w:val="clear" w:color="auto" w:fill="CCEEFF"/>
          </w:tcPr>
          <w:p>
            <w:pPr>
              <w:jc w:val="right"/>
              <w:ind w:right="599"/>
              <w:spacing w:after="0" w:line="178" w:lineRule="exact"/>
              <w:rPr>
                <w:sz w:val="20"/>
                <w:szCs w:val="20"/>
                <w:color w:val="auto"/>
              </w:rPr>
            </w:pPr>
            <w:r>
              <w:rPr>
                <w:rFonts w:ascii="Times New Roman" w:cs="Times New Roman" w:eastAsia="Times New Roman" w:hAnsi="Times New Roman"/>
                <w:sz w:val="18"/>
                <w:szCs w:val="18"/>
                <w:color w:val="auto"/>
                <w:w w:val="85"/>
              </w:rPr>
              <w:t>(2)</w:t>
            </w:r>
          </w:p>
        </w:tc>
        <w:tc>
          <w:tcPr>
            <w:tcW w:w="6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333 South Hope Street</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 Angeles, CA 90071</w:t>
            </w:r>
          </w:p>
        </w:tc>
        <w:tc>
          <w:tcPr>
            <w:tcW w:w="8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H. Gates III</w:t>
            </w:r>
          </w:p>
        </w:tc>
        <w:tc>
          <w:tcPr>
            <w:tcW w:w="174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29,894,579(3)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One Microsoft Way</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Redmond, WA 98052</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Research Global Investors</w:t>
            </w:r>
          </w:p>
        </w:tc>
        <w:tc>
          <w:tcPr>
            <w:tcW w:w="1740" w:type="dxa"/>
            <w:vAlign w:val="bottom"/>
            <w:gridSpan w:val="2"/>
            <w:shd w:val="clear" w:color="auto" w:fill="CCEEFF"/>
          </w:tcPr>
          <w:p>
            <w:pPr>
              <w:jc w:val="right"/>
              <w:ind w:right="599"/>
              <w:spacing w:after="0" w:line="198" w:lineRule="exact"/>
              <w:rPr>
                <w:sz w:val="20"/>
                <w:szCs w:val="20"/>
                <w:color w:val="auto"/>
              </w:rPr>
            </w:pPr>
            <w:r>
              <w:rPr>
                <w:rFonts w:ascii="Times New Roman" w:cs="Times New Roman" w:eastAsia="Times New Roman" w:hAnsi="Times New Roman"/>
                <w:sz w:val="18"/>
                <w:szCs w:val="18"/>
                <w:color w:val="auto"/>
              </w:rPr>
              <w:t>29,847,220(4)</w:t>
            </w:r>
          </w:p>
        </w:tc>
        <w:tc>
          <w:tcPr>
            <w:tcW w:w="6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333 South Hope Street</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 Angeles, CA 90071</w:t>
            </w:r>
          </w:p>
        </w:tc>
        <w:tc>
          <w:tcPr>
            <w:tcW w:w="8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174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24,994,272(5)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40 East 52nd Street</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 York, NY 10022</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calculated using the number of shares of Common Stock outstanding as of March 17, 2014.</w:t>
      </w:r>
    </w:p>
    <w:p>
      <w:pPr>
        <w:spacing w:after="0" w:line="130"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13G/A filed with the SEC on February 13, 2014. Capital World Investors reports that it is deemed to be the beneficial owner of 41,007,953 shares of Common Stock as a result of acting as investment adviser to various investment companies. Capital World Investors disclaims beneficial ownership of all shares.</w:t>
      </w:r>
    </w:p>
    <w:p>
      <w:pPr>
        <w:spacing w:after="0" w:line="81" w:lineRule="exact"/>
        <w:rPr>
          <w:rFonts w:ascii="Times New Roman" w:cs="Times New Roman" w:eastAsia="Times New Roman" w:hAnsi="Times New Roman"/>
          <w:sz w:val="18"/>
          <w:szCs w:val="18"/>
          <w:color w:val="auto"/>
        </w:rPr>
      </w:pPr>
    </w:p>
    <w:p>
      <w:pPr>
        <w:ind w:left="460" w:right="180" w:hanging="452"/>
        <w:spacing w:after="0" w:line="258"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13G/A filed with the SEC on February 14, 2013, which is the most recent Schedule 13G filed by the investor with respect to ownership of our Common Stock. Mr. Gates reports that he has sole voting and dispositive power over 11,260,907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89" w:lineRule="exact"/>
        <w:rPr>
          <w:rFonts w:ascii="Times New Roman" w:cs="Times New Roman" w:eastAsia="Times New Roman" w:hAnsi="Times New Roman"/>
          <w:sz w:val="18"/>
          <w:szCs w:val="18"/>
          <w:color w:val="auto"/>
        </w:rPr>
      </w:pPr>
    </w:p>
    <w:p>
      <w:pPr>
        <w:ind w:left="460" w:right="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13G/A filed with the SEC on February 13, 2014. Capital Research Global Investors reports that it is deemed to be the beneficial owner of 29,847,220 shares of Common Stock as a result of acting as investment adviser to various investment companies. Capital Research Global Investors disclaims beneficial ownership of all shares.</w:t>
      </w:r>
    </w:p>
    <w:p>
      <w:pPr>
        <w:spacing w:after="0" w:line="81" w:lineRule="exact"/>
        <w:rPr>
          <w:rFonts w:ascii="Times New Roman" w:cs="Times New Roman" w:eastAsia="Times New Roman" w:hAnsi="Times New Roman"/>
          <w:sz w:val="18"/>
          <w:szCs w:val="18"/>
          <w:color w:val="auto"/>
        </w:rPr>
      </w:pPr>
    </w:p>
    <w:p>
      <w:pPr>
        <w:ind w:left="460" w:right="42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13G/A filed with the SEC on January 31, 2014. BlackRock, Inc. reports that it has sole voting power over 20,883,250 shares of Common Stock and sole dispositive power over 24,994,272 shares of Common Stock beneficially owned.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23"/>
          <w:szCs w:val="23"/>
          <w:b w:val="1"/>
          <w:bCs w:val="1"/>
          <w:color w:val="auto"/>
        </w:rPr>
        <w:t>ECTION</w:t>
      </w:r>
      <w:r>
        <w:rPr>
          <w:rFonts w:ascii="Times New Roman" w:cs="Times New Roman" w:eastAsia="Times New Roman" w:hAnsi="Times New Roman"/>
          <w:sz w:val="29"/>
          <w:szCs w:val="29"/>
          <w:b w:val="1"/>
          <w:bCs w:val="1"/>
          <w:color w:val="auto"/>
        </w:rPr>
        <w:t xml:space="preserve"> 16(A) B</w:t>
      </w:r>
      <w:r>
        <w:rPr>
          <w:rFonts w:ascii="Times New Roman" w:cs="Times New Roman" w:eastAsia="Times New Roman" w:hAnsi="Times New Roman"/>
          <w:sz w:val="23"/>
          <w:szCs w:val="23"/>
          <w:b w:val="1"/>
          <w:bCs w:val="1"/>
          <w:color w:val="auto"/>
        </w:rPr>
        <w:t>ENEFICIAL</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WNERSHIP</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23"/>
          <w:szCs w:val="23"/>
          <w:b w:val="1"/>
          <w:bCs w:val="1"/>
          <w:color w:val="auto"/>
        </w:rPr>
        <w:t>EPORTING</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right="20" w:firstLine="456"/>
        <w:spacing w:after="0" w:line="272" w:lineRule="auto"/>
        <w:rPr>
          <w:sz w:val="20"/>
          <w:szCs w:val="20"/>
          <w:color w:val="auto"/>
        </w:rPr>
      </w:pPr>
      <w:r>
        <w:rPr>
          <w:rFonts w:ascii="Times New Roman" w:cs="Times New Roman" w:eastAsia="Times New Roman" w:hAnsi="Times New Roman"/>
          <w:sz w:val="17"/>
          <w:szCs w:val="17"/>
          <w:color w:val="auto"/>
        </w:rPr>
        <w:t>The federal securities laws require our executive officers and directors to file reports of their holdings and transactions in our Common Stock with the SEC and the New York Stock Exchange. Based on a review of the forms and written representations from our executive officers and directors, we believe that all applicable requirements were complied with in 2013, except that Mr. Morris failed to timely make one report on Form 4 relating to the transfer of funds</w:t>
      </w:r>
    </w:p>
    <w:p>
      <w:pPr>
        <w:spacing w:after="0" w:line="2" w:lineRule="exact"/>
        <w:rPr>
          <w:sz w:val="20"/>
          <w:szCs w:val="20"/>
          <w:color w:val="auto"/>
        </w:rPr>
      </w:pPr>
    </w:p>
    <w:p>
      <w:pPr>
        <w:ind w:left="5620" w:right="1220" w:hanging="5612"/>
        <w:spacing w:after="0" w:line="433"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the Company stock fund of our Retirement Savings Plan and (ii) out of the Company stock fund of our 409A Deferral Savings Plan. 19</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23"/>
          <w:szCs w:val="23"/>
          <w:b w:val="1"/>
          <w:bCs w:val="1"/>
          <w:color w:val="auto"/>
        </w:rPr>
        <w:t>XECUTIVE</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listing of our current executive officers, other than Mr. Steiner, whose personal information is included in the Director Nominees section of this Proxy Statement on page 16, their ages and business experience for the past five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86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r>
      <w:tr>
        <w:trPr>
          <w:trHeight w:val="178"/>
        </w:trPr>
        <w:tc>
          <w:tcPr>
            <w:tcW w:w="38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81"/>
              </w:rPr>
              <w:t>David</w:t>
            </w:r>
          </w:p>
        </w:tc>
        <w:tc>
          <w:tcPr>
            <w:tcW w:w="3460" w:type="dxa"/>
            <w:vAlign w:val="bottom"/>
            <w:tcBorders>
              <w:top w:val="single" w:sz="8" w:color="CCEEFF"/>
            </w:tcBorders>
            <w:shd w:val="clear" w:color="auto" w:fill="CCEEFF"/>
          </w:tcPr>
          <w:p>
            <w:pPr>
              <w:ind w:left="120"/>
              <w:spacing w:after="0" w:line="178" w:lineRule="exact"/>
              <w:rPr>
                <w:sz w:val="20"/>
                <w:szCs w:val="20"/>
                <w:color w:val="auto"/>
              </w:rPr>
            </w:pPr>
            <w:r>
              <w:rPr>
                <w:rFonts w:ascii="Times New Roman" w:cs="Times New Roman" w:eastAsia="Times New Roman" w:hAnsi="Times New Roman"/>
                <w:sz w:val="18"/>
                <w:szCs w:val="18"/>
                <w:color w:val="auto"/>
              </w:rPr>
              <w:t>A. Aardsma</w:t>
            </w:r>
          </w:p>
        </w:tc>
        <w:tc>
          <w:tcPr>
            <w:tcW w:w="2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tcBorders>
            <w:shd w:val="clear" w:color="auto" w:fill="CCEEFF"/>
          </w:tcPr>
          <w:p>
            <w:pPr>
              <w:ind w:left="160"/>
              <w:spacing w:after="0" w:line="178" w:lineRule="exact"/>
              <w:rPr>
                <w:sz w:val="20"/>
                <w:szCs w:val="20"/>
                <w:color w:val="auto"/>
              </w:rPr>
            </w:pPr>
            <w:r>
              <w:rPr>
                <w:rFonts w:ascii="Times New Roman" w:cs="Times New Roman" w:eastAsia="Times New Roman" w:hAnsi="Times New Roman"/>
                <w:sz w:val="18"/>
                <w:szCs w:val="18"/>
                <w:color w:val="auto"/>
              </w:rPr>
              <w:t>•Senior Vice President</w:t>
            </w:r>
          </w:p>
        </w:tc>
        <w:tc>
          <w:tcPr>
            <w:tcW w:w="366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and Chief Sales and Marketing Officer since June</w:t>
            </w:r>
          </w:p>
        </w:tc>
        <w:tc>
          <w:tcPr>
            <w:tcW w:w="1680" w:type="dxa"/>
            <w:vAlign w:val="bottom"/>
            <w:tcBorders>
              <w:top w:val="single" w:sz="8" w:color="CCEEFF"/>
            </w:tcBorders>
            <w:shd w:val="clear" w:color="auto" w:fill="CCEEFF"/>
          </w:tcPr>
          <w:p>
            <w:pPr>
              <w:jc w:val="right"/>
              <w:ind w:right="1250"/>
              <w:spacing w:after="0" w:line="178" w:lineRule="exact"/>
              <w:rPr>
                <w:sz w:val="20"/>
                <w:szCs w:val="20"/>
                <w:color w:val="auto"/>
              </w:rPr>
            </w:pPr>
            <w:r>
              <w:rPr>
                <w:rFonts w:ascii="Times New Roman" w:cs="Times New Roman" w:eastAsia="Times New Roman" w:hAnsi="Times New Roman"/>
                <w:sz w:val="18"/>
                <w:szCs w:val="18"/>
                <w:color w:val="auto"/>
                <w:w w:val="78"/>
              </w:rPr>
              <w:t>2011.</w:t>
            </w:r>
          </w:p>
        </w:tc>
      </w:tr>
      <w:tr>
        <w:trPr>
          <w:trHeight w:val="248"/>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Sales and Marketing from January 2005 to June 2011.</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Puneet Bhasin</w:t>
            </w:r>
          </w:p>
        </w:tc>
        <w:tc>
          <w:tcPr>
            <w:tcW w:w="3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72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•Chief Information Officer and Senior Vice President, Technology, Logistics and Customer</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Service since August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Information Officer from December 2009 to August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•Senior Vice President — Global Product &amp; Technology, Monster Worldwide (provider of global</w:t>
            </w:r>
          </w:p>
        </w:tc>
      </w:tr>
      <w:tr>
        <w:trPr>
          <w:trHeight w:val="234"/>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online employment solutions) from April 2005 to November 2009.</w:t>
            </w:r>
          </w:p>
        </w:tc>
      </w:tr>
      <w:tr>
        <w:trPr>
          <w:trHeight w:val="21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K. Caesar</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WM Recycle America, L.L.C., a wholly-owned subsidiary of the Company, since</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2012.</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Strategy Officer from July 2010 to January 2012.</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McKinsey &amp; Company (global management consulting firm) from July 2003 to June</w:t>
            </w:r>
          </w:p>
        </w:tc>
      </w:tr>
      <w:tr>
        <w:trPr>
          <w:trHeight w:val="248"/>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2010.</w:t>
            </w:r>
          </w:p>
        </w:tc>
        <w:tc>
          <w:tcPr>
            <w:tcW w:w="3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Barry H. Caldwell</w:t>
            </w:r>
          </w:p>
        </w:tc>
        <w:tc>
          <w:tcPr>
            <w:tcW w:w="3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53</w:t>
            </w:r>
          </w:p>
        </w:tc>
        <w:tc>
          <w:tcPr>
            <w:tcW w:w="72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•Senior Vice President — Government Affairs and Corporate Communications since September</w:t>
            </w:r>
          </w:p>
        </w:tc>
      </w:tr>
      <w:tr>
        <w:trPr>
          <w:trHeight w:val="234"/>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2002.</w:t>
            </w:r>
          </w:p>
        </w:tc>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Don P. Carpenter</w:t>
            </w:r>
          </w:p>
        </w:tc>
        <w:tc>
          <w:tcPr>
            <w:tcW w:w="38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53</w:t>
            </w:r>
          </w:p>
        </w:tc>
        <w:tc>
          <w:tcPr>
            <w:tcW w:w="72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•Vice President and Chief Accounting Officer since August 2012.</w:t>
            </w:r>
          </w:p>
        </w:tc>
      </w:tr>
      <w:tr>
        <w:trPr>
          <w:trHeight w:val="248"/>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 Tax from May 2002 to August 2012.</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James C. Fish, Jr.</w:t>
            </w:r>
          </w:p>
        </w:tc>
        <w:tc>
          <w:tcPr>
            <w:tcW w:w="3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72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•Executive Vice President and Chief Financial Officer since August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•Senior Vice President, Eastern Group from June 2011 to August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•Area Vice President, Pennsylvania and West Virginia Area from January 2009 to June 2011.</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•Market Area General Manager, Western Pennsylvania and West Virginia Market Area from</w:t>
            </w:r>
          </w:p>
        </w:tc>
      </w:tr>
      <w:tr>
        <w:trPr>
          <w:trHeight w:val="234"/>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February 2008 to January 2009.</w:t>
            </w:r>
          </w:p>
        </w:tc>
      </w:tr>
      <w:tr>
        <w:trPr>
          <w:trHeight w:val="21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M. Harris</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 Field Operations since July 2012.</w:t>
            </w:r>
          </w:p>
        </w:tc>
      </w:tr>
      <w:tr>
        <w:trPr>
          <w:trHeight w:val="248"/>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 Midwest Group from April 2006 to July 2012.</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John J. Morris, Jr.</w:t>
            </w:r>
          </w:p>
        </w:tc>
        <w:tc>
          <w:tcPr>
            <w:tcW w:w="3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44</w:t>
            </w:r>
          </w:p>
        </w:tc>
        <w:tc>
          <w:tcPr>
            <w:tcW w:w="72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•Senior Vice President — Field Operations since July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Strategy Officer from March 2012 to July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•Area Vice President — Greater Mid-Atlantic Area from July 2011 to March 2012.</w:t>
            </w:r>
          </w:p>
        </w:tc>
      </w:tr>
      <w:tr>
        <w:trPr>
          <w:trHeight w:val="234"/>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•Area Vice President — Waste Management of New Jersey from February 2007 to July 2011.</w:t>
            </w:r>
          </w:p>
        </w:tc>
      </w:tr>
      <w:tr>
        <w:trPr>
          <w:trHeight w:val="21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Devina A. Rankin</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and Treasurer since August 2012.</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•Assistant Treasurer from June 2010 to August 2012.</w:t>
            </w:r>
          </w:p>
        </w:tc>
      </w:tr>
      <w:tr>
        <w:trPr>
          <w:trHeight w:val="248"/>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Manager of Financial Reporting from July 2007 to June 2010.</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Mark E. Schwartz</w:t>
            </w:r>
          </w:p>
        </w:tc>
        <w:tc>
          <w:tcPr>
            <w:tcW w:w="3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56</w:t>
            </w:r>
          </w:p>
        </w:tc>
        <w:tc>
          <w:tcPr>
            <w:tcW w:w="72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•Senior Vice President — Human Resources since May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and Assistant General Counsel — Labor and Employment from December 2000</w:t>
            </w:r>
          </w:p>
        </w:tc>
      </w:tr>
      <w:tr>
        <w:trPr>
          <w:trHeight w:val="234"/>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 May 2012.</w:t>
            </w:r>
          </w:p>
        </w:tc>
      </w:tr>
      <w:tr>
        <w:trPr>
          <w:trHeight w:val="378"/>
        </w:trPr>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20</w:t>
            </w:r>
          </w:p>
        </w:tc>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4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c>
          <w:tcPr>
            <w:tcW w:w="1680" w:type="dxa"/>
            <w:vAlign w:val="bottom"/>
            <w:tcBorders>
              <w:bottom w:val="single" w:sz="8" w:color="CCEEFF"/>
            </w:tcBorders>
          </w:tcPr>
          <w:p>
            <w:pPr>
              <w:spacing w:after="0"/>
              <w:rPr>
                <w:sz w:val="16"/>
                <w:szCs w:val="16"/>
                <w:color w:val="auto"/>
              </w:rPr>
            </w:pPr>
          </w:p>
        </w:tc>
      </w:tr>
      <w:tr>
        <w:trPr>
          <w:trHeight w:val="178"/>
        </w:trPr>
        <w:tc>
          <w:tcPr>
            <w:tcW w:w="3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81"/>
              </w:rPr>
              <w:t>James</w:t>
            </w:r>
          </w:p>
        </w:tc>
        <w:tc>
          <w:tcPr>
            <w:tcW w:w="3460" w:type="dxa"/>
            <w:vAlign w:val="bottom"/>
            <w:shd w:val="clear" w:color="auto" w:fill="CCEEFF"/>
          </w:tcPr>
          <w:p>
            <w:pPr>
              <w:ind w:left="120"/>
              <w:spacing w:after="0" w:line="178" w:lineRule="exact"/>
              <w:rPr>
                <w:sz w:val="20"/>
                <w:szCs w:val="20"/>
                <w:color w:val="auto"/>
              </w:rPr>
            </w:pPr>
            <w:r>
              <w:rPr>
                <w:rFonts w:ascii="Times New Roman" w:cs="Times New Roman" w:eastAsia="Times New Roman" w:hAnsi="Times New Roman"/>
                <w:sz w:val="18"/>
                <w:szCs w:val="18"/>
                <w:color w:val="auto"/>
              </w:rPr>
              <w:t>E. Trevathan, Jr.</w:t>
            </w:r>
          </w:p>
        </w:tc>
        <w:tc>
          <w:tcPr>
            <w:tcW w:w="2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5"/>
                <w:szCs w:val="15"/>
                <w:color w:val="auto"/>
              </w:rPr>
            </w:pPr>
          </w:p>
        </w:tc>
        <w:tc>
          <w:tcPr>
            <w:tcW w:w="5520" w:type="dxa"/>
            <w:vAlign w:val="bottom"/>
            <w:gridSpan w:val="2"/>
            <w:shd w:val="clear" w:color="auto" w:fill="CCEEFF"/>
          </w:tcPr>
          <w:p>
            <w:pPr>
              <w:ind w:left="160"/>
              <w:spacing w:after="0" w:line="178" w:lineRule="exact"/>
              <w:rPr>
                <w:sz w:val="20"/>
                <w:szCs w:val="20"/>
                <w:color w:val="auto"/>
              </w:rPr>
            </w:pPr>
            <w:r>
              <w:rPr>
                <w:rFonts w:ascii="Times New Roman" w:cs="Times New Roman" w:eastAsia="Times New Roman" w:hAnsi="Times New Roman"/>
                <w:sz w:val="18"/>
                <w:szCs w:val="18"/>
                <w:color w:val="auto"/>
              </w:rPr>
              <w:t>•Executive Vice President and Chief Operating Officer since July 2012.</w:t>
            </w:r>
          </w:p>
        </w:tc>
        <w:tc>
          <w:tcPr>
            <w:tcW w:w="1680" w:type="dxa"/>
            <w:vAlign w:val="bottom"/>
            <w:shd w:val="clear" w:color="auto" w:fill="CCEEFF"/>
          </w:tcPr>
          <w:p>
            <w:pPr>
              <w:spacing w:after="0"/>
              <w:rPr>
                <w:sz w:val="15"/>
                <w:szCs w:val="15"/>
                <w:color w:val="auto"/>
              </w:rPr>
            </w:pP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Vice President — Growth, Innovation and Field Support from June 2011 to July</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2012.</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8"/>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 Southern Group from July 2007 to June 2011.</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Mark A. Weidman</w:t>
            </w:r>
          </w:p>
        </w:tc>
        <w:tc>
          <w:tcPr>
            <w:tcW w:w="3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57</w:t>
            </w:r>
          </w:p>
        </w:tc>
        <w:tc>
          <w:tcPr>
            <w:tcW w:w="72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•President of Wheelabrator Technologies Inc., a wholly-owned subsidiary of the Company, since</w:t>
            </w:r>
          </w:p>
        </w:tc>
      </w:tr>
      <w:tr>
        <w:trPr>
          <w:trHeight w:val="234"/>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March 2006.</w:t>
            </w:r>
          </w:p>
        </w:tc>
      </w:tr>
      <w:tr>
        <w:trPr>
          <w:trHeight w:val="198"/>
        </w:trPr>
        <w:tc>
          <w:tcPr>
            <w:tcW w:w="3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Rick L Wittenbraker</w:t>
            </w:r>
          </w:p>
        </w:tc>
        <w:tc>
          <w:tcPr>
            <w:tcW w:w="38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66</w:t>
            </w:r>
          </w:p>
        </w:tc>
        <w:tc>
          <w:tcPr>
            <w:tcW w:w="72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•Senior Vice President and General Counsel since November 2003.</w:t>
            </w:r>
          </w:p>
        </w:tc>
      </w:tr>
      <w:tr>
        <w:trPr>
          <w:trHeight w:val="248"/>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Compliance Officer from November 2003 to September 2013.</w:t>
            </w:r>
          </w:p>
        </w:tc>
      </w:tr>
      <w:tr>
        <w:trPr>
          <w:trHeight w:val="365"/>
        </w:trPr>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21</w:t>
            </w:r>
          </w:p>
        </w:tc>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23"/>
          <w:szCs w:val="23"/>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objective of our executive compensation program is to attract, retain, reward and incentivize exceptional, talented employees who will lead the Company in the successful execution of its strategy. The Company seeks to accomplish this goal by designing a compensation program that is supportive of and aligns with the strategy of the Company and the creation of stockholder value, while discouraging excessive risk-taking. The following key structural elements and policies further the objective of our executive compensation program:</w:t>
      </w:r>
    </w:p>
    <w:p>
      <w:pPr>
        <w:spacing w:after="0" w:line="86" w:lineRule="exact"/>
        <w:rPr>
          <w:sz w:val="20"/>
          <w:szCs w:val="20"/>
          <w:color w:val="auto"/>
        </w:rPr>
      </w:pPr>
    </w:p>
    <w:p>
      <w:pPr>
        <w:ind w:left="660" w:right="40" w:hanging="206"/>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executive compensation is linked to Company performance, through annual cash incentive performance criteria and long-term equity-based incentive awards. As a result, our executive compensation program provides for a significant difference in total compensation in periods of above-target Company performance as compared to periods of below-target Company performance. In 2013, our performance-based annual cash incentive and long-term equity-based incentive awards comprised approximately 87% of total target compensation for our President and Chief Executive Officer and approximately 74% of total target compensation for our other currently-serving named executives;</w:t>
      </w:r>
    </w:p>
    <w:p>
      <w:pPr>
        <w:spacing w:after="0" w:line="89"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include threshold, target and maximum payouts correlating to a range of performance goals and are based on a variety of indicators of performance, which limits risk-taking behavior;</w:t>
      </w:r>
    </w:p>
    <w:p>
      <w:pPr>
        <w:spacing w:after="0" w:line="67" w:lineRule="exact"/>
        <w:rPr>
          <w:rFonts w:ascii="Times New Roman" w:cs="Times New Roman" w:eastAsia="Times New Roman" w:hAnsi="Times New Roman"/>
          <w:sz w:val="18"/>
          <w:szCs w:val="18"/>
          <w:color w:val="auto"/>
        </w:rPr>
      </w:pPr>
    </w:p>
    <w:p>
      <w:pPr>
        <w:jc w:val="both"/>
        <w:ind w:left="660" w:right="620" w:hanging="206"/>
        <w:spacing w:after="0" w:line="313"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compensation mix targets approximately 50% of total compensation of our named executives (and approximately 70% in the case of our President and Chief Executive Officer) to result from long-term equity awards, which aligns executives’ interests with those of stockholders;</w:t>
      </w:r>
    </w:p>
    <w:p>
      <w:pPr>
        <w:spacing w:after="0" w:line="43" w:lineRule="exact"/>
        <w:rPr>
          <w:rFonts w:ascii="Times New Roman" w:cs="Times New Roman" w:eastAsia="Times New Roman" w:hAnsi="Times New Roman"/>
          <w:sz w:val="17"/>
          <w:szCs w:val="17"/>
          <w:color w:val="auto"/>
        </w:rPr>
      </w:pPr>
    </w:p>
    <w:p>
      <w:pPr>
        <w:ind w:left="660" w:right="30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three-year performance period, as well as stock options’ vesting over a three-year period, link executives’ interests with long-term performance and reduce incentives to maximize performance in any one year;</w:t>
      </w:r>
    </w:p>
    <w:p>
      <w:pPr>
        <w:spacing w:after="0" w:line="67"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named executive officers are subject to stock ownership requirements, which we believe demonstrates a commitment to, and confidence in, the Company’s long-term prospects;</w:t>
      </w:r>
    </w:p>
    <w:p>
      <w:pPr>
        <w:spacing w:after="0" w:line="67" w:lineRule="exact"/>
        <w:rPr>
          <w:rFonts w:ascii="Times New Roman" w:cs="Times New Roman" w:eastAsia="Times New Roman" w:hAnsi="Times New Roman"/>
          <w:sz w:val="18"/>
          <w:szCs w:val="18"/>
          <w:color w:val="auto"/>
        </w:rPr>
      </w:pPr>
    </w:p>
    <w:p>
      <w:pPr>
        <w:ind w:left="660" w:right="40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clawback provisions in its equity award agreements and recent employment agreements, as well as a general clawback policy, designed to recoup compensation in certain cases when cause and/or misconduct are found;</w:t>
      </w:r>
    </w:p>
    <w:p>
      <w:pPr>
        <w:spacing w:after="0" w:line="67" w:lineRule="exact"/>
        <w:rPr>
          <w:rFonts w:ascii="Times New Roman" w:cs="Times New Roman" w:eastAsia="Times New Roman" w:hAnsi="Times New Roman"/>
          <w:sz w:val="18"/>
          <w:szCs w:val="18"/>
          <w:color w:val="auto"/>
        </w:rPr>
      </w:pPr>
    </w:p>
    <w:p>
      <w:pPr>
        <w:ind w:left="660" w:right="12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67" w:lineRule="exact"/>
        <w:rPr>
          <w:rFonts w:ascii="Times New Roman" w:cs="Times New Roman" w:eastAsia="Times New Roman" w:hAnsi="Times New Roman"/>
          <w:sz w:val="18"/>
          <w:szCs w:val="18"/>
          <w:color w:val="auto"/>
        </w:rPr>
      </w:pPr>
    </w:p>
    <w:p>
      <w:pPr>
        <w:ind w:left="660" w:right="12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policy that prohibits it from entering into new agreements with executive officers that provide for certain death benefits or tax gross-up payments.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2013 Company Performance and Compensation Results</w:t>
      </w:r>
    </w:p>
    <w:p>
      <w:pPr>
        <w:spacing w:after="0" w:line="12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Every day, we are helping industries, communities and individuals reduce, reuse and remove waste better through sound sustainability strategies. We have a precise day-to-day focus on collecting and handling our customers’ waste efficiently and responsibly. Meanwhile, we are also developing and implementing new ways to handle and extract value from waste. Drawing on our resources and experience, we actively pursue projects and initiatives that benefit the waste industry, the customers and communities we serve and the environment. We are also committed to providing long-term value to our stockholders by successfully executing on our strategic goals of optimizing our business, knowing and servicing the customer better than anyone else, and extracting more value from the materials we handle.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furtherance of these goals, we experienced notably stronger free cash flow in 2013 when compared to 2012 due to improvements in cash flow from operations, primarily as a result of our pricing discipline. In 2013, our internal revenue growth from yield was at its highest level for the year in the fourth quarter and greater than 2.0% for the full year for the first time since 2010. Our cash flow also benefitted from our increased focus on capital spending management, and we continued to see the anticipated benefits from our cost savings programs, including lower selling, general and administrative costs when compared to 2012. Further, we increased the amount we returned to stockholders in 2013 compared to 2012 by increasing our dividend and repurchasing shares. Our fourth quarter and full year results for 2013 laid a foundation that we expect will benefit us in 2014, allowing us to focus on generating solid earnings and cash flow driven by increased yield and cost controls. The Company also expects to continue to use free cash flow to pay dividends, repurchase shares, reduce debt and make appropriate acquisitions and investments in the traditional solid waste business.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line with the Company’s financial results, the following is a summary of the 2013 compensation program results:</w:t>
      </w:r>
    </w:p>
    <w:p>
      <w:pPr>
        <w:spacing w:after="0" w:line="131" w:lineRule="exact"/>
        <w:rPr>
          <w:sz w:val="20"/>
          <w:szCs w:val="20"/>
          <w:color w:val="auto"/>
        </w:rPr>
      </w:pPr>
    </w:p>
    <w:p>
      <w:pPr>
        <w:ind w:left="660" w:right="360" w:hanging="20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holding base salaries flat in 2012, the Company granted a three percent merit increase to base salaries in 2013, with additional increases as necessary in limited cases to better reflect an executive’s recent promotion and contribution.</w:t>
      </w:r>
    </w:p>
    <w:p>
      <w:pPr>
        <w:spacing w:after="0" w:line="67"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on annual cash incentive performance measures for named executive officers exceeded the target level for each measure. As a result, each of the named executives received an annual cash incentive payment for fiscal year 2013 equal to 153.7% of target.</w:t>
      </w:r>
    </w:p>
    <w:p>
      <w:pPr>
        <w:spacing w:after="0" w:line="67" w:lineRule="exact"/>
        <w:rPr>
          <w:rFonts w:ascii="Times New Roman" w:cs="Times New Roman" w:eastAsia="Times New Roman" w:hAnsi="Times New Roman"/>
          <w:sz w:val="18"/>
          <w:szCs w:val="18"/>
          <w:color w:val="auto"/>
        </w:rPr>
      </w:pPr>
    </w:p>
    <w:p>
      <w:pPr>
        <w:ind w:left="660" w:right="180" w:hanging="206"/>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generated a return on invested capital, for purposes of performance goals associated with our performance share units (“PSUs”) granted in 2011, that was above threshold for the three-year performance period ended December 31, 2013 but below target, resulting in a 60.45% payout on the PSUs in shares of Common Stock.</w:t>
      </w:r>
    </w:p>
    <w:p>
      <w:pPr>
        <w:spacing w:after="0" w:line="6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2013 results continue to reinforce our emphasis on performance-based compensation. The MD&amp;C Committee strives to establish performance goals that are challenging, but attainable, and the MD&amp;C Committee remains dedicated to the principle that executive compensation should be substantially linked to Company performance. Accordingly, the compensation of the Company’s executive officers set forth in the Summary Compensation Table of this Proxy Statement, whom we refer to as the “named executive officers” or “named executives,” evidences our commitment to pay for performance.</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 Stockholder Advisory Vote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MD&amp;C Committee established the 2013 compensation plan in early 2013, before the stockholder advisory vote on executive compensation in May 2013. However, the MD&amp;C Committee noted the results of the advisory stockholder votes in May 2012 and May 2011, with 96% and 97%, respectively, of shares present and entitled to vote at the annual meeting voting in favor of the Company’s executive compensation, and has since noted the results of the May 2013 advisory stockholder vote, with 97% of shares present and entitled to vote at the annual meeting voting in favor of the Company’s executive compensation. Accordingly, the results of the stockholder advisory vote have not caused the MD&amp;C Committee to recommend any changes to our compensation practices.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2014 Compensation Program Preview</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Company continues to adapt its compensation program to best support our strategy and the accomplishment of our goals. As a result, the MD&amp;C Committee has approved the following elements for our executive compensation program for 2014:</w:t>
      </w:r>
    </w:p>
    <w:p>
      <w:pPr>
        <w:spacing w:after="0" w:line="65" w:lineRule="exact"/>
        <w:rPr>
          <w:sz w:val="20"/>
          <w:szCs w:val="20"/>
          <w:color w:val="auto"/>
        </w:rPr>
      </w:pPr>
    </w:p>
    <w:p>
      <w:pPr>
        <w:ind w:left="900" w:right="260" w:hanging="325"/>
        <w:spacing w:after="0" w:line="267"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Cash Incentive Performance Measures: </w:t>
      </w:r>
      <w:r>
        <w:rPr>
          <w:rFonts w:ascii="Times New Roman" w:cs="Times New Roman" w:eastAsia="Times New Roman" w:hAnsi="Times New Roman"/>
          <w:sz w:val="18"/>
          <w:szCs w:val="18"/>
          <w:color w:val="auto"/>
        </w:rPr>
        <w:t>In 2014, we will retain the Income from Operations Margin performance measure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annual cash incentive program, and we have reincorporated our prior Income from Operations excluding Depreciation and Amortization performance measure; each of these two measures will be weighted 25%. We have revised the cost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control performance measure for 2014, which will be weighted 50%, to focus on Operating Expense as a percent of Net Revenue.</w:t>
      </w:r>
    </w:p>
    <w:p>
      <w:pPr>
        <w:spacing w:after="0" w:line="129" w:lineRule="exact"/>
        <w:rPr>
          <w:sz w:val="20"/>
          <w:szCs w:val="20"/>
          <w:color w:val="auto"/>
        </w:rPr>
      </w:pPr>
    </w:p>
    <w:p>
      <w:pPr>
        <w:ind w:left="900" w:right="160" w:hanging="325"/>
        <w:spacing w:after="0" w:line="284"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Allocation of Long-Term Incentive Plan Awards: </w:t>
      </w:r>
      <w:r>
        <w:rPr>
          <w:rFonts w:ascii="Times New Roman" w:cs="Times New Roman" w:eastAsia="Times New Roman" w:hAnsi="Times New Roman"/>
          <w:sz w:val="18"/>
          <w:szCs w:val="18"/>
          <w:color w:val="auto"/>
        </w:rPr>
        <w:t>As in 2013, the total value of each named executive’s annual long-term incentive plan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2014 will continue to be allocated 80% to performance share units and 20% to stock options.</w:t>
      </w:r>
    </w:p>
    <w:p>
      <w:pPr>
        <w:spacing w:after="0" w:line="63" w:lineRule="exact"/>
        <w:rPr>
          <w:rFonts w:ascii="Times New Roman" w:cs="Times New Roman" w:eastAsia="Times New Roman" w:hAnsi="Times New Roman"/>
          <w:sz w:val="18"/>
          <w:szCs w:val="18"/>
          <w:color w:val="auto"/>
        </w:rPr>
      </w:pPr>
    </w:p>
    <w:p>
      <w:pPr>
        <w:ind w:left="900" w:right="20" w:hanging="325"/>
        <w:spacing w:after="0" w:line="26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Share Unit Performance Goals: </w:t>
      </w:r>
      <w:r>
        <w:rPr>
          <w:rFonts w:ascii="Times New Roman" w:cs="Times New Roman" w:eastAsia="Times New Roman" w:hAnsi="Times New Roman"/>
          <w:sz w:val="18"/>
          <w:szCs w:val="18"/>
          <w:color w:val="auto"/>
        </w:rPr>
        <w:t>As in 2013, half of the performance share units granted in 2014 will be subject to a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based on total shareholder return relative to the S&amp;P 500. The remaining half of all performance share units granted in 2014 will be subject to a performance measure based on free cash flow over the performance period. All performance share units will continue to have a three-year performance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 for Named Executive Officers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compensation philosophy is designed to:</w:t>
      </w:r>
    </w:p>
    <w:p>
      <w:pPr>
        <w:spacing w:after="0" w:line="131" w:lineRule="exact"/>
        <w:rPr>
          <w:sz w:val="20"/>
          <w:szCs w:val="20"/>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exceptional employees through competitive compensation opportunities;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and reward performance through substantial at-risk performance-based compensation;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decision makers’ long-term interests with those of our stockholders through emphasis on equity ownership.</w:t>
      </w:r>
    </w:p>
    <w:p>
      <w:pPr>
        <w:spacing w:after="0" w:line="11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Additionally, our compensation philosophy is intended to encourage executives to embrace the change necessary to achieve the Company’s goals and to lead the Company in setting aspirations that will drive a change in Company-wide culture.</w:t>
      </w:r>
    </w:p>
    <w:p>
      <w:pPr>
        <w:spacing w:after="0" w:line="54"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With respect to our named executive officers, the MD&amp;C Committee believes that total direct compensation at target should be in a range around the competitive median according to the following:</w:t>
      </w:r>
    </w:p>
    <w:p>
      <w:pPr>
        <w:spacing w:after="0" w:line="67" w:lineRule="exact"/>
        <w:rPr>
          <w:sz w:val="20"/>
          <w:szCs w:val="20"/>
          <w:color w:val="auto"/>
        </w:rPr>
      </w:pPr>
    </w:p>
    <w:p>
      <w:pPr>
        <w:ind w:left="660" w:right="760" w:hanging="20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should be paid within a range of plus or minus 10% around the competitive median, but attention must be given to individual circumstances, including strategic importance of the named executive’s role, the executive’s experience and individual performance;</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opportunities should be within a range of plus or minus 15% around the competitive median; and</w:t>
      </w:r>
    </w:p>
    <w:p>
      <w:pPr>
        <w:spacing w:after="0" w:line="130" w:lineRule="exact"/>
        <w:rPr>
          <w:rFonts w:ascii="Times New Roman" w:cs="Times New Roman" w:eastAsia="Times New Roman" w:hAnsi="Times New Roman"/>
          <w:sz w:val="18"/>
          <w:szCs w:val="18"/>
          <w:color w:val="auto"/>
        </w:rPr>
      </w:pPr>
    </w:p>
    <w:p>
      <w:pPr>
        <w:jc w:val="center"/>
        <w:ind w:left="5620" w:right="380" w:hanging="5166"/>
        <w:spacing w:after="0" w:line="454" w:lineRule="auto"/>
        <w:tabs>
          <w:tab w:leader="none" w:pos="6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and total direct compensation opportunities should be within a range of plus or minus 20% around the competitive median. 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Elements of Our 2013 Compensation Program</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180" w:type="dxa"/>
            <w:vAlign w:val="bottom"/>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Pr>
          <w:p>
            <w:pPr>
              <w:spacing w:after="0"/>
              <w:rPr>
                <w:sz w:val="16"/>
                <w:szCs w:val="16"/>
                <w:color w:val="auto"/>
              </w:rPr>
            </w:pPr>
          </w:p>
        </w:tc>
        <w:tc>
          <w:tcPr>
            <w:tcW w:w="27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20" w:type="dxa"/>
            <w:vAlign w:val="bottom"/>
          </w:tcPr>
          <w:p>
            <w:pPr>
              <w:spacing w:after="0"/>
              <w:rPr>
                <w:sz w:val="16"/>
                <w:szCs w:val="16"/>
                <w:color w:val="auto"/>
              </w:rPr>
            </w:pPr>
          </w:p>
        </w:tc>
        <w:tc>
          <w:tcPr>
            <w:tcW w:w="596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Key Features</w:t>
            </w: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spacing w:after="0"/>
              <w:rPr>
                <w:sz w:val="20"/>
                <w:szCs w:val="20"/>
                <w:color w:val="auto"/>
              </w:rPr>
            </w:pPr>
          </w:p>
        </w:tc>
        <w:tc>
          <w:tcPr>
            <w:tcW w:w="2940" w:type="dxa"/>
            <w:vAlign w:val="bottom"/>
            <w:tcBorders>
              <w:bottom w:val="single" w:sz="8" w:color="auto"/>
            </w:tcBorders>
            <w:gridSpan w:val="2"/>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shd w:val="clear" w:color="auto" w:fill="D8D8D8"/>
          </w:tcPr>
          <w:p>
            <w:pPr>
              <w:ind w:left="160"/>
              <w:spacing w:after="0" w:line="138" w:lineRule="exact"/>
              <w:rPr>
                <w:sz w:val="20"/>
                <w:szCs w:val="20"/>
                <w:color w:val="auto"/>
              </w:rPr>
            </w:pPr>
            <w:r>
              <w:rPr>
                <w:rFonts w:ascii="Times New Roman" w:cs="Times New Roman" w:eastAsia="Times New Roman" w:hAnsi="Times New Roman"/>
                <w:sz w:val="15"/>
                <w:szCs w:val="15"/>
                <w:color w:val="auto"/>
              </w:rPr>
              <w:t>Current</w:t>
            </w:r>
          </w:p>
        </w:tc>
        <w:tc>
          <w:tcPr>
            <w:tcW w:w="1480" w:type="dxa"/>
            <w:vAlign w:val="bottom"/>
            <w:tcBorders>
              <w:right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5"/>
                <w:szCs w:val="15"/>
                <w:color w:val="auto"/>
              </w:rPr>
              <w:t>Base Salary</w:t>
            </w:r>
          </w:p>
        </w:tc>
        <w:tc>
          <w:tcPr>
            <w:tcW w:w="29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color w:val="auto"/>
              </w:rPr>
              <w:t>To attract and retain executives with a</w:t>
            </w:r>
          </w:p>
        </w:tc>
        <w:tc>
          <w:tcPr>
            <w:tcW w:w="596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Adjustments to base salary primarily consider competitive market data and the executive’s</w:t>
            </w: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bottom w:val="single" w:sz="8" w:color="auto"/>
              <w:right w:val="single" w:sz="8" w:color="auto"/>
            </w:tcBorders>
            <w:shd w:val="clear" w:color="auto" w:fill="D8D8D8"/>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color w:val="auto"/>
              </w:rPr>
              <w:t>competitive level of regular income</w:t>
            </w:r>
          </w:p>
        </w:tc>
        <w:tc>
          <w:tcPr>
            <w:tcW w:w="5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individual performance and responsibilities.</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shd w:val="clear" w:color="auto" w:fill="D8D8D8"/>
          </w:tcPr>
          <w:p>
            <w:pPr>
              <w:ind w:left="160"/>
              <w:spacing w:after="0" w:line="138" w:lineRule="exact"/>
              <w:rPr>
                <w:sz w:val="20"/>
                <w:szCs w:val="20"/>
                <w:color w:val="auto"/>
              </w:rPr>
            </w:pPr>
            <w:r>
              <w:rPr>
                <w:rFonts w:ascii="Times New Roman" w:cs="Times New Roman" w:eastAsia="Times New Roman" w:hAnsi="Times New Roman"/>
                <w:sz w:val="15"/>
                <w:szCs w:val="15"/>
                <w:color w:val="auto"/>
              </w:rPr>
              <w:t>Short-Term</w:t>
            </w:r>
          </w:p>
        </w:tc>
        <w:tc>
          <w:tcPr>
            <w:tcW w:w="1480" w:type="dxa"/>
            <w:vAlign w:val="bottom"/>
            <w:tcBorders>
              <w:right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5"/>
                <w:szCs w:val="15"/>
                <w:color w:val="auto"/>
              </w:rPr>
              <w:t>Annual Cash</w:t>
            </w:r>
          </w:p>
        </w:tc>
        <w:tc>
          <w:tcPr>
            <w:tcW w:w="29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color w:val="auto"/>
              </w:rPr>
              <w:t>To encourage and reward contributions to</w:t>
            </w:r>
          </w:p>
        </w:tc>
        <w:tc>
          <w:tcPr>
            <w:tcW w:w="596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Cash incentives are targeted at a percentage of base salary and could range from zero to 200%</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Times New Roman" w:cs="Times New Roman" w:eastAsia="Times New Roman" w:hAnsi="Times New Roman"/>
                <w:sz w:val="15"/>
                <w:szCs w:val="15"/>
                <w:color w:val="auto"/>
              </w:rPr>
              <w:t>Performance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Incentive</w:t>
            </w: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our annual financial objectives through</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of target based on the following performance measures: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Times New Roman" w:cs="Times New Roman" w:eastAsia="Times New Roman" w:hAnsi="Times New Roman"/>
                <w:sz w:val="15"/>
                <w:szCs w:val="15"/>
                <w:color w:val="auto"/>
              </w:rPr>
              <w:t>Incentive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performance-based compensation subject to</w:t>
            </w:r>
          </w:p>
        </w:tc>
        <w:tc>
          <w:tcPr>
            <w:tcW w:w="5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  Income from Operations Margin – motivates employees to control and lower costs and</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shd w:val="clear" w:color="auto" w:fill="D8D8D8"/>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9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auto"/>
              </w:rPr>
              <w:t>challenging, objective and transparent</w:t>
            </w:r>
          </w:p>
        </w:tc>
        <w:tc>
          <w:tcPr>
            <w:tcW w:w="5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080" w:type="dxa"/>
            <w:vAlign w:val="bottom"/>
            <w:tcBorders>
              <w:left w:val="single" w:sz="8" w:color="auto"/>
              <w:right w:val="single" w:sz="8" w:color="auto"/>
            </w:tcBorders>
            <w:shd w:val="clear" w:color="auto" w:fill="D8D8D8"/>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metrics</w:t>
            </w:r>
          </w:p>
        </w:tc>
        <w:tc>
          <w:tcPr>
            <w:tcW w:w="59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operate efficiently – weighted 25%;</w:t>
            </w:r>
          </w:p>
        </w:tc>
        <w:tc>
          <w:tcPr>
            <w:tcW w:w="0" w:type="dxa"/>
            <w:vAlign w:val="bottom"/>
          </w:tcPr>
          <w:p>
            <w:pPr>
              <w:spacing w:after="0"/>
              <w:rPr>
                <w:sz w:val="1"/>
                <w:szCs w:val="1"/>
                <w:color w:val="auto"/>
              </w:rPr>
            </w:pPr>
          </w:p>
        </w:tc>
      </w:tr>
      <w:tr>
        <w:trPr>
          <w:trHeight w:val="207"/>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  Income from Operations, excluding Depreciation and Amortization, less Capital</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Expenditures – designed to encourage disciplined capital spending – weighted 25%; and</w:t>
            </w:r>
          </w:p>
        </w:tc>
        <w:tc>
          <w:tcPr>
            <w:tcW w:w="0" w:type="dxa"/>
            <w:vAlign w:val="bottom"/>
          </w:tcPr>
          <w:p>
            <w:pPr>
              <w:spacing w:after="0"/>
              <w:rPr>
                <w:sz w:val="1"/>
                <w:szCs w:val="1"/>
                <w:color w:val="auto"/>
              </w:rPr>
            </w:pPr>
          </w:p>
        </w:tc>
      </w:tr>
      <w:tr>
        <w:trPr>
          <w:trHeight w:val="247"/>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  Selling, General &amp; Administrative, or SG&amp;A, Expense – increases our focus on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60" w:type="dxa"/>
            <w:vAlign w:val="bottom"/>
            <w:tcBorders>
              <w:right w:val="single" w:sz="8" w:color="auto"/>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controlling costs – weighted 50% and subject to a “gate” that requires Operating Expense</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60" w:type="dxa"/>
            <w:vAlign w:val="bottom"/>
            <w:tcBorders>
              <w:right w:val="single" w:sz="8" w:color="auto"/>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as a percentage of Net Revenue to be equal to or better than a target based on 2012</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performance.</w:t>
            </w:r>
          </w:p>
        </w:tc>
        <w:tc>
          <w:tcPr>
            <w:tcW w:w="0" w:type="dxa"/>
            <w:vAlign w:val="bottom"/>
          </w:tcPr>
          <w:p>
            <w:pPr>
              <w:spacing w:after="0"/>
              <w:rPr>
                <w:sz w:val="1"/>
                <w:szCs w:val="1"/>
                <w:color w:val="auto"/>
              </w:rPr>
            </w:pPr>
          </w:p>
        </w:tc>
      </w:tr>
      <w:tr>
        <w:trPr>
          <w:trHeight w:val="247"/>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The MD&amp;C Committee has discretion to increase or decrease an individual’s payment by up</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 25% based on individual performance, but such modifier has never been used to increase a</w:t>
            </w:r>
          </w:p>
        </w:tc>
        <w:tc>
          <w:tcPr>
            <w:tcW w:w="0" w:type="dxa"/>
            <w:vAlign w:val="bottom"/>
          </w:tcPr>
          <w:p>
            <w:pPr>
              <w:spacing w:after="0"/>
              <w:rPr>
                <w:sz w:val="1"/>
                <w:szCs w:val="1"/>
                <w:color w:val="auto"/>
              </w:rPr>
            </w:pPr>
          </w:p>
        </w:tc>
      </w:tr>
      <w:tr>
        <w:trPr>
          <w:trHeight w:val="193"/>
        </w:trPr>
        <w:tc>
          <w:tcPr>
            <w:tcW w:w="1080" w:type="dxa"/>
            <w:vAlign w:val="bottom"/>
            <w:tcBorders>
              <w:left w:val="single" w:sz="8" w:color="auto"/>
              <w:bottom w:val="single" w:sz="8" w:color="auto"/>
              <w:right w:val="single" w:sz="8" w:color="auto"/>
            </w:tcBorders>
            <w:shd w:val="clear" w:color="auto" w:fill="D8D8D8"/>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payment to a named executive.</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shd w:val="clear" w:color="auto" w:fill="D8D8D8"/>
          </w:tcPr>
          <w:p>
            <w:pPr>
              <w:ind w:left="160"/>
              <w:spacing w:after="0" w:line="138" w:lineRule="exact"/>
              <w:rPr>
                <w:sz w:val="20"/>
                <w:szCs w:val="20"/>
                <w:color w:val="auto"/>
              </w:rPr>
            </w:pPr>
            <w:r>
              <w:rPr>
                <w:rFonts w:ascii="Times New Roman" w:cs="Times New Roman" w:eastAsia="Times New Roman" w:hAnsi="Times New Roman"/>
                <w:sz w:val="15"/>
                <w:szCs w:val="15"/>
                <w:color w:val="auto"/>
              </w:rPr>
              <w:t>Long-Term</w:t>
            </w:r>
          </w:p>
        </w:tc>
        <w:tc>
          <w:tcPr>
            <w:tcW w:w="1480" w:type="dxa"/>
            <w:vAlign w:val="bottom"/>
            <w:tcBorders>
              <w:right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5"/>
                <w:szCs w:val="15"/>
                <w:color w:val="auto"/>
              </w:rPr>
              <w:t>Performance</w:t>
            </w:r>
          </w:p>
        </w:tc>
        <w:tc>
          <w:tcPr>
            <w:tcW w:w="29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color w:val="auto"/>
              </w:rPr>
              <w:t>To encourage and reward building long-</w:t>
            </w:r>
          </w:p>
        </w:tc>
        <w:tc>
          <w:tcPr>
            <w:tcW w:w="596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Number of shares delivered can range from zero to 200% of the initial target grant based on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Times New Roman" w:cs="Times New Roman" w:eastAsia="Times New Roman" w:hAnsi="Times New Roman"/>
                <w:sz w:val="15"/>
                <w:szCs w:val="15"/>
                <w:color w:val="auto"/>
              </w:rPr>
              <w:t>Performance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 Units</w:t>
            </w: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term stockholder value through profitable</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performance over a three-year performance period.</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Incentives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allocation of capital;</w:t>
            </w:r>
          </w:p>
        </w:tc>
        <w:tc>
          <w:tcPr>
            <w:tcW w:w="5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Payout on 50% of each executives’ PSUs granted in 2013 are dependant on return on invested</w:t>
            </w:r>
          </w:p>
        </w:tc>
        <w:tc>
          <w:tcPr>
            <w:tcW w:w="0" w:type="dxa"/>
            <w:vAlign w:val="bottom"/>
          </w:tcPr>
          <w:p>
            <w:pPr>
              <w:spacing w:after="0"/>
              <w:rPr>
                <w:sz w:val="1"/>
                <w:szCs w:val="1"/>
                <w:color w:val="auto"/>
              </w:rPr>
            </w:pPr>
          </w:p>
        </w:tc>
      </w:tr>
      <w:tr>
        <w:trPr>
          <w:trHeight w:val="85"/>
        </w:trPr>
        <w:tc>
          <w:tcPr>
            <w:tcW w:w="1080" w:type="dxa"/>
            <w:vAlign w:val="bottom"/>
            <w:tcBorders>
              <w:left w:val="single" w:sz="8" w:color="auto"/>
              <w:right w:val="single" w:sz="8" w:color="auto"/>
            </w:tcBorders>
            <w:shd w:val="clear" w:color="auto" w:fill="D8D8D8"/>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To retain executives; and</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capital, or ROIC, and payout on the remaining 50% of PSUs granted in 2013 are dependant</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To increase stockholder alignment through</w:t>
            </w:r>
          </w:p>
        </w:tc>
        <w:tc>
          <w:tcPr>
            <w:tcW w:w="5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on total shareholder return relative to the S&amp;P 500, or TSR.</w:t>
            </w:r>
          </w:p>
        </w:tc>
        <w:tc>
          <w:tcPr>
            <w:tcW w:w="0" w:type="dxa"/>
            <w:vAlign w:val="bottom"/>
          </w:tcPr>
          <w:p>
            <w:pPr>
              <w:spacing w:after="0"/>
              <w:rPr>
                <w:sz w:val="1"/>
                <w:szCs w:val="1"/>
                <w:color w:val="auto"/>
              </w:rPr>
            </w:pPr>
          </w:p>
        </w:tc>
      </w:tr>
      <w:tr>
        <w:trPr>
          <w:trHeight w:val="85"/>
        </w:trPr>
        <w:tc>
          <w:tcPr>
            <w:tcW w:w="1080" w:type="dxa"/>
            <w:vAlign w:val="bottom"/>
            <w:tcBorders>
              <w:left w:val="single" w:sz="8" w:color="auto"/>
              <w:right w:val="single" w:sz="8" w:color="auto"/>
            </w:tcBorders>
            <w:shd w:val="clear" w:color="auto" w:fill="D8D8D8"/>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940" w:type="dxa"/>
            <w:vAlign w:val="bottom"/>
            <w:gridSpan w:val="2"/>
            <w:vMerge w:val="continue"/>
          </w:tcPr>
          <w:p>
            <w:pPr>
              <w:spacing w:after="0"/>
              <w:rPr>
                <w:sz w:val="7"/>
                <w:szCs w:val="7"/>
                <w:color w:val="auto"/>
              </w:rPr>
            </w:pPr>
          </w:p>
        </w:tc>
        <w:tc>
          <w:tcPr>
            <w:tcW w:w="5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executives’ stock ownership</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PSUs earn dividend equivalents that are paid at the end of the performance period based on</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the number of shares actually awarded.</w:t>
            </w:r>
          </w:p>
        </w:tc>
        <w:tc>
          <w:tcPr>
            <w:tcW w:w="0" w:type="dxa"/>
            <w:vAlign w:val="bottom"/>
          </w:tcPr>
          <w:p>
            <w:pPr>
              <w:spacing w:after="0"/>
              <w:rPr>
                <w:sz w:val="1"/>
                <w:szCs w:val="1"/>
                <w:color w:val="auto"/>
              </w:rPr>
            </w:pPr>
          </w:p>
        </w:tc>
      </w:tr>
      <w:tr>
        <w:trPr>
          <w:trHeight w:val="247"/>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Recipients can defer the receipt of shares, which are paid out in shares of Common Stock,</w:t>
            </w:r>
          </w:p>
        </w:tc>
        <w:tc>
          <w:tcPr>
            <w:tcW w:w="0" w:type="dxa"/>
            <w:vAlign w:val="bottom"/>
          </w:tcPr>
          <w:p>
            <w:pPr>
              <w:spacing w:after="0"/>
              <w:rPr>
                <w:sz w:val="1"/>
                <w:szCs w:val="1"/>
                <w:color w:val="auto"/>
              </w:rPr>
            </w:pPr>
          </w:p>
        </w:tc>
      </w:tr>
      <w:tr>
        <w:trPr>
          <w:trHeight w:val="193"/>
        </w:trPr>
        <w:tc>
          <w:tcPr>
            <w:tcW w:w="1080" w:type="dxa"/>
            <w:vAlign w:val="bottom"/>
            <w:tcBorders>
              <w:left w:val="single" w:sz="8" w:color="auto"/>
              <w:bottom w:val="single" w:sz="8" w:color="D8D8D8"/>
              <w:right w:val="single" w:sz="8" w:color="auto"/>
            </w:tcBorders>
            <w:shd w:val="clear" w:color="auto" w:fill="D8D8D8"/>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without interest, at the end of the deferral period.</w:t>
            </w: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1480" w:type="dxa"/>
            <w:vAlign w:val="bottom"/>
            <w:tcBorders>
              <w:right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5"/>
                <w:szCs w:val="15"/>
                <w:color w:val="auto"/>
              </w:rPr>
              <w:t>Stock</w:t>
            </w:r>
          </w:p>
        </w:tc>
        <w:tc>
          <w:tcPr>
            <w:tcW w:w="29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color w:val="auto"/>
              </w:rPr>
              <w:t>To support the growth element of the</w:t>
            </w:r>
          </w:p>
        </w:tc>
        <w:tc>
          <w:tcPr>
            <w:tcW w:w="596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Stock options vest in 25% increments on the first two anniversaries of the date of grant and</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480" w:type="dxa"/>
            <w:vAlign w:val="bottom"/>
            <w:tcBorders>
              <w:right w:val="single" w:sz="8" w:color="auto"/>
            </w:tcBorders>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Options</w:t>
            </w: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Company’s strategy and encourage and</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the remaining 50% vest on the third anniversary.</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reward stock price appreciation over the</w:t>
            </w:r>
          </w:p>
        </w:tc>
        <w:tc>
          <w:tcPr>
            <w:tcW w:w="5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Exercise price is the average of the high and low market price of our Common Stock on the</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shd w:val="clear" w:color="auto" w:fill="D8D8D8"/>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9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auto"/>
              </w:rPr>
              <w:t>long-term;</w:t>
            </w:r>
          </w:p>
        </w:tc>
        <w:tc>
          <w:tcPr>
            <w:tcW w:w="5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To retain executives; and</w:t>
            </w:r>
          </w:p>
        </w:tc>
        <w:tc>
          <w:tcPr>
            <w:tcW w:w="5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date of grant.</w:t>
            </w:r>
          </w:p>
        </w:tc>
        <w:tc>
          <w:tcPr>
            <w:tcW w:w="0" w:type="dxa"/>
            <w:vAlign w:val="bottom"/>
          </w:tcPr>
          <w:p>
            <w:pPr>
              <w:spacing w:after="0"/>
              <w:rPr>
                <w:sz w:val="1"/>
                <w:szCs w:val="1"/>
                <w:color w:val="auto"/>
              </w:rPr>
            </w:pPr>
          </w:p>
        </w:tc>
      </w:tr>
      <w:tr>
        <w:trPr>
          <w:trHeight w:val="131"/>
        </w:trPr>
        <w:tc>
          <w:tcPr>
            <w:tcW w:w="1080" w:type="dxa"/>
            <w:vAlign w:val="bottom"/>
            <w:tcBorders>
              <w:left w:val="single" w:sz="8" w:color="auto"/>
              <w:right w:val="single" w:sz="8" w:color="auto"/>
            </w:tcBorders>
            <w:shd w:val="clear" w:color="auto" w:fill="D8D8D8"/>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940" w:type="dxa"/>
            <w:vAlign w:val="bottom"/>
            <w:gridSpan w:val="2"/>
            <w:vMerge w:val="continue"/>
          </w:tcPr>
          <w:p>
            <w:pPr>
              <w:spacing w:after="0"/>
              <w:rPr>
                <w:sz w:val="11"/>
                <w:szCs w:val="11"/>
                <w:color w:val="auto"/>
              </w:rPr>
            </w:pPr>
          </w:p>
        </w:tc>
        <w:tc>
          <w:tcPr>
            <w:tcW w:w="5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Stock options have a term of ten years.</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shd w:val="clear" w:color="auto" w:fill="D8D8D8"/>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To increase stockholder alignment through</w:t>
            </w:r>
          </w:p>
        </w:tc>
        <w:tc>
          <w:tcPr>
            <w:tcW w:w="5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Borders>
              <w:left w:val="single" w:sz="8" w:color="auto"/>
              <w:right w:val="single" w:sz="8" w:color="auto"/>
            </w:tcBorders>
            <w:shd w:val="clear" w:color="auto" w:fill="D8D8D8"/>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5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080" w:type="dxa"/>
            <w:vAlign w:val="bottom"/>
            <w:tcBorders>
              <w:left w:val="single" w:sz="8" w:color="auto"/>
              <w:bottom w:val="single" w:sz="8" w:color="auto"/>
              <w:right w:val="single" w:sz="8" w:color="auto"/>
            </w:tcBorders>
            <w:shd w:val="clear" w:color="auto" w:fill="D8D8D8"/>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2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color w:val="auto"/>
              </w:rPr>
              <w:t>executives’ stock ownership</w:t>
            </w:r>
          </w:p>
        </w:tc>
        <w:tc>
          <w:tcPr>
            <w:tcW w:w="5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Post-Employment and Change-in-Control Compensation</w:t>
      </w:r>
      <w:r>
        <w:rPr>
          <w:rFonts w:ascii="Times New Roman" w:cs="Times New Roman" w:eastAsia="Times New Roman" w:hAnsi="Times New Roman"/>
          <w:sz w:val="18"/>
          <w:szCs w:val="18"/>
          <w:color w:val="auto"/>
        </w:rPr>
        <w:t>. The compensation our named executives receive post-employment is based on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individual equity award agreements, retirement plan documents and employment agreements. Our equity award agreements generally provide that an executive forfeits unvested awards if he or she voluntarily terminates employment. We enter into employment agreements with our named executive officers because they encourage continuity of our leadership team, which is particularly valuable as leadership manages the Company through the change needed to successfully implement our business strategy. Employment agreements also provide a form of protection for the Company through restrictive covenant provisions, and they provide the individual with comfort that he will be treated fairly in the event of a termination not for cause or under a change-in-control situation. The change-in-control provision</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40"/>
          </w:cols>
          <w:pgMar w:left="240" w:top="455" w:right="2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included in each named executive officer’s agreement requires a double trigger in order to receive any payment in the event of a change-in-control situation. First, a change-in-control must occur, and second, the individual must terminate employment for good reason or the Company must terminate employment without cause within six months prior to or two years following the change-in-control event. Our stock option awards are also subject to double trigger vesting in the event of a change-in-control situation. Performance share units will be paid out in cash on a prorated basis based on actual results achieved through the end of the fiscal quarter prior to a change-in-control. Thereafter, the executive would typically receive a replacement award of restricted stock units in the successor entity. Restricted Stock Units (“RSUs”), which are not routinely a component of our executive compensation program, vest upon a change-in-control, unless the successor entity converts the awards to equivalent grants in the successor. Provided, however, such converted RSU awards will vest in full if the executive is terminated without cause following the change-in-control. We believe providing change-in-control protection encourages our named executives to pursue and facilitate change-in-control transactions that are in the best interests of stockholders while not granting executives an undeserved windfall.</w:t>
      </w:r>
    </w:p>
    <w:p>
      <w:pPr>
        <w:spacing w:after="0" w:line="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Deferral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our named executive officers is eligible to participate in our 409A Deferral Savings Plan. The plan was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January 1, 2014 to restrict deferral of base salary and cash incentives to annual compensation in excess of $255,000 (as such amount may be revised under Section 402(a)(17) of the Internal Revenue Code of 1985, as amended, the “Limit”). Accordingly, the plan currently provides that eligible employees may defer for payment at a future date (i) up to 25% of base salary and up to 100% of annual cash incentives payable after such employee’s compensation for the year reaches the Limit; (ii) receipt of any RSUs; and (iii) receipt of any PSUs. The Company match provided under the Deferral Plan is dollar for dollar on the employee’s salary and bonus deferrals, up to 3% of the employee’s compensation in excess of the Limit, and fifty cents on the dollar on the employee’s salary and bonus deferrals, up to 6% of the employee’s compensation in excess of the Limit. Additional deferral contributions will not be matched but will be tax-deferred. Amounts deferred under this plan are allocated into accounts that mirror selected investment funds in our 401(k) plan, although the amounts deferred are not actually invested in the funds. In prior years, participants could elect to receive distribution of deferred compensation (i) in a lump sum on a future date on or after termination of employment or retirement or (ii) in annual installments over up to ten years, to begin after any future date or age specified by the employee. Under the amended and restated plan, participating employees can generally elect to receive distributions commencing six months after the employee leaves the Company in the form of annual installments or a lump sum payment. We believe that providing a program that allows and encourages planning for retirement is a key factor in our ability to attract and retain talent. Additional details on the plan can be found in the Nonqualified Deferred Compensation table and the footnotes to the table on page 43.</w:t>
      </w:r>
    </w:p>
    <w:p>
      <w:pPr>
        <w:spacing w:after="0" w:line="78"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Perquisites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 security assessment by an outside consultant, for security purposes, the Company requires the President and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to use the Company’s aircraft for business and personal use whenever reasonably possible. Use of the Company’s aircraft is permitted for other employees’ personal use only with Chief Executive Officer approval in special circumstances, which seldom occurs. The value of our named executives’ personal use of the Company’s airplanes is treated as taxable income to the respective executive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7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Following the promotion of Mr. James Fish as Executive Vice President and Chief Financial Officer in August of 2012, Mr. Fish was permitted limited personal use of the Company’s aircraft to facilitate travel to and from the Company’s headquarters in Houston and his home in Pittsburgh, where he led the Company’s Eastern Group prior to his promotion. Mr. Fish and Mr. Morris recently relocated to Houston, and the Company provided each of them with relocation assistance in 2013. The Company believes these are appropriate business expenditures that benefited the Company, while recognizing these benefits are likely considered perquisites by the SEC.</w:t>
      </w:r>
    </w:p>
    <w:p>
      <w:pPr>
        <w:spacing w:after="0" w:line="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We also reimburse the cost of physical examinations for our senior executives, as we believe it is beneficial to the Company to facilitate its executives receiving preventive healthcare. Other than as described in this section, we have eliminated all perquisites for our named executive officers.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Named Executive Officers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for 2013 are:</w:t>
      </w:r>
    </w:p>
    <w:p>
      <w:pPr>
        <w:spacing w:after="0" w:line="131" w:lineRule="exact"/>
        <w:rPr>
          <w:sz w:val="20"/>
          <w:szCs w:val="20"/>
          <w:color w:val="auto"/>
        </w:rPr>
      </w:pPr>
    </w:p>
    <w:p>
      <w:pPr>
        <w:ind w:left="660" w:hanging="20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David Steiner – has served Waste Management as Chief Executive Officer since 2004 and President since June 2010.</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Trevathan – was promoted to the position of Executive Vice President and Chief Operating Officer in July 2012.</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Fish – was promoted to the position of Executive Vice President and Chief Financial Officer in August 2012.</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Jeff Harris – was promoted to the position of Senior Vice President – Field Operations in July 2012.</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 Morris – was promoted to the position of Senior Vice President – Field Operations in July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Named Executive Officer Compensation Decisions are Made</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6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79" w:lineRule="exact"/>
        <w:rPr>
          <w:sz w:val="20"/>
          <w:szCs w:val="20"/>
          <w:color w:val="auto"/>
        </w:rPr>
      </w:pPr>
    </w:p>
    <w:p>
      <w:pPr>
        <w:jc w:val="both"/>
        <w:ind w:right="220" w:firstLine="456"/>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Compensation 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MD&amp;C Committee uses several resources in its analysis of the appropriate compensation for the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w:t>
      </w:r>
    </w:p>
    <w:p>
      <w:pPr>
        <w:spacing w:after="0" w:line="1"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Cook &amp; Co., Inc. as its independent consultant since 2002. The Company makes regular payments to Frederic 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78"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In addition to services related to executive compensation, Frederic W. Cook also provides the MD&amp;C Committee information and advice considered when recommending compensation of the independent directors. Frederic W. Cook has no other business relationships with the Company and receives no other payments from the Company. The MD&amp;C Committee adopted a written policy to ensure the independence of any compensation consultants it uses for executive compensation matters. The MD&amp;C Committee has considered the independence of Frederic W. Cook in light of SEC rules and New York Stock Exchange listing standards. In connection with this process, the MD&amp;C Committee has reviewed, among other items, a letter from Frederic W. Cook addressing the independence of Frederic W. Cook and the members of the consulting team serving the MD&amp;C Committee, including the following factors:</w:t>
      </w:r>
    </w:p>
    <w:p>
      <w:pPr>
        <w:ind w:right="180" w:firstLine="8"/>
        <w:spacing w:after="0" w:line="271" w:lineRule="auto"/>
        <w:tabs>
          <w:tab w:leader="none" w:pos="2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services provided to us by Frederic W. Cook, (ii) fees paid by us as a percentage of Frederic W. Cook’s total revenue, (iii) policies or procedures of Frederic W. Cook that are designed to prevent conflicts of interest, (iv) any business or personal relationships between the senior advisor of the consulting team with a member of the MD&amp;C Committee, (v) any Company stock owned by the senior advisor or any member of his immediate family, and (vi) any business or personal relationships between our executive officers and the senior advisor. The MD&amp;C Committee discussed these considerations and concluded that the work performed by Frederic W. Cook and its senior advisor involved in the engagement did not raise any conflict of interest.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Role of CEO and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Steiner contributes to compensation determinations by assessing the performance of the other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and providing these assessments with recommendations to the MD&amp;C Committee. Personnel within the Company’s Human Resources Department assist the MD&amp;C Committee by working with the independent consultant to provide information requested by the MD&amp;C Committee and assisting it in designing and administering the Company’s incentive programs.</w:t>
      </w:r>
    </w:p>
    <w:p>
      <w:pPr>
        <w:spacing w:after="0" w:line="7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Peer Company Comparisons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MD&amp;C Committee uses compensation information of comparison groups of companies to gauge the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which is relevant for attracting and retaining key talent and for ensuring that the Company’s compensation practices are aligned with prevalent practices. For purposes of establishing the 2013 executive compensation program, the MD&amp;C Committee considered a competitive analysis of total direct compensation levels and compensation mixes for our executive officers during the second half of 2012, using information from:</w:t>
      </w:r>
    </w:p>
    <w:p>
      <w:pPr>
        <w:spacing w:after="0" w:line="88" w:lineRule="exact"/>
        <w:rPr>
          <w:sz w:val="20"/>
          <w:szCs w:val="20"/>
          <w:color w:val="auto"/>
        </w:rPr>
      </w:pPr>
    </w:p>
    <w:p>
      <w:pPr>
        <w:ind w:left="660" w:right="80" w:hanging="206"/>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Size-adjusted median compensation data from two general industry surveys in which management annually participates; the Aon Hewitt 2012 Total Compensation Measurement (TCM) survey and the Towers Watson 2012 Compensation Data Bank (CDB) survey. The AonHewitt TCM survey includes over 350 companies ranging in size from $500 million to over $100 billion in annual revenue. The Towers Watson CDB survey includes over 435 organizations ranging in size from $250 million to over $100 billion in annual revenue. Data selected from these surveys is scoped based on Company revenue; and</w:t>
      </w:r>
    </w:p>
    <w:p>
      <w:pPr>
        <w:spacing w:after="0" w:line="89"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compensation data from a comparison group of 19 publicly traded U.S. companies, described below.</w:t>
      </w:r>
    </w:p>
    <w:p>
      <w:pPr>
        <w:spacing w:after="0" w:line="117"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comparison group of companies is initially recommended by the independent consultant prior to the actual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16 different Global Industry Classifications. These industry classifications are meant to provide a collection of companies in industries that share similar characteristics with Waste Management.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 Prior to establishing compensation for 2013, the MD&amp;C Committee received a statistical analysis of the growth profile, profitability profile, size and shareholder return of all companies in the comparison group to verify that the Company is appropriately positioned versus the comparison group. The comparison group used for consideration of 2013 compensation is set forth below, including the Company’s composite percentile ranking among the companies in the comparison group based on statistical measures. For purposes of this table, “size” is based on numerous factors as of December 31, 2011; “profitability” and “growth” are based on numerous factors measured over a one-year period and three-year period ended December 31, 2011; and “TSR” is based on the companies’ average TSR percentile ranking for a one-year period and three year-period as of December 31, 2011. This table is provided to reflect how the MD&amp;C Committee confirmed that the Company was appropriately positioned within its peer group for purposes of establishing 2013 compensation during 2012; as a result, the information below does not reflect the Company’s performance for 2013.</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Composite Percentile Rank</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104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Size</w:t>
            </w:r>
          </w:p>
        </w:tc>
        <w:tc>
          <w:tcPr>
            <w:tcW w:w="154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Profitability</w:t>
            </w:r>
          </w:p>
        </w:tc>
        <w:tc>
          <w:tcPr>
            <w:tcW w:w="1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Growth</w:t>
            </w:r>
          </w:p>
        </w:tc>
        <w:tc>
          <w:tcPr>
            <w:tcW w:w="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TSR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Electric Power</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56%</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59%</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Avis Budget Group</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Baker Hughes</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68%</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 Robinson WW</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69%</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CSX</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57%</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Entergy</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43%</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Fedex</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56%</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77%</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Grainger (WW)</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72%</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Halliburton</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66%</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Hertz</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Nextera Energy</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65%</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52%</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Norfolk Southern</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55%</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66%</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35%</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Ryder System</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Southern</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81%</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46%</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Southwest Airlines</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Sysco</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63%</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Union Pacific</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85%</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79%</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62%</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UPS</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85%</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55%</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8"/>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Waste Management</w:t>
            </w: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47%</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48%</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general industry data and the comparison group data are blended when composing the competitive analysis, when possible, such that the combined general industry data and the comparison group are each weighted 50%. The competitive analysis showed that the Company’s named executives’ 2013 total direct compensation opportunities were positioned at median for our President and Chief Executive Officer and did not exceed the median range for our other named executive officers.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7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Allocation of Compensation Elements and Tally Sheets</w:t>
      </w:r>
      <w:r>
        <w:rPr>
          <w:rFonts w:ascii="Times New Roman" w:cs="Times New Roman" w:eastAsia="Times New Roman" w:hAnsi="Times New Roman"/>
          <w:sz w:val="18"/>
          <w:szCs w:val="18"/>
          <w:color w:val="auto"/>
        </w:rPr>
        <w:t>. The MD&amp;C Committee considers the forms in which total compensation will be paid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7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long-term and short-term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The following charts display the allocation of total 2013 compensation among base salary, annual cash incentive at target and long-term incentives at target for (a) our President and Chief Executive Officer and (b) our other named executives, on average. These charts reflect the MD&amp;C Committee’s 2013 desired total mix of compensation for named executives, which includes 48% of total compensation relating to long-term equity, while long-term equity comprises approximately 69% of Mr. Steiner’s total compensation. These charts also reflect that approximately 87% of Mr. Steiner’s target total compensation in 2013 was performance-based, while approximately 74% of the target total compensation for 2013 for the other named executives was performance-based. We consider stock options granted under our long-term incentive plan to be performance-based because their value will increase as the market value of our Common Stock increases.</w:t>
      </w:r>
    </w:p>
    <w:p>
      <w:pPr>
        <w:spacing w:after="0" w:line="210" w:lineRule="exact"/>
        <w:rPr>
          <w:sz w:val="20"/>
          <w:szCs w:val="20"/>
          <w:color w:val="auto"/>
        </w:rPr>
      </w:pPr>
    </w:p>
    <w:p>
      <w:pPr>
        <w:ind w:left="1660"/>
        <w:spacing w:after="0"/>
        <w:tabs>
          <w:tab w:leader="none" w:pos="7460" w:val="left"/>
        </w:tabs>
        <w:rPr>
          <w:sz w:val="20"/>
          <w:szCs w:val="20"/>
          <w:color w:val="auto"/>
        </w:rPr>
      </w:pPr>
      <w:r>
        <w:rPr>
          <w:rFonts w:ascii="Times New Roman" w:cs="Times New Roman" w:eastAsia="Times New Roman" w:hAnsi="Times New Roman"/>
          <w:sz w:val="14"/>
          <w:szCs w:val="14"/>
          <w:b w:val="1"/>
          <w:bCs w:val="1"/>
          <w:color w:val="auto"/>
        </w:rPr>
        <w:t>President and Chief Executive Officer</w:t>
      </w:r>
      <w:r>
        <w:rPr>
          <w:sz w:val="20"/>
          <w:szCs w:val="20"/>
          <w:color w:val="auto"/>
        </w:rPr>
        <w:tab/>
      </w:r>
      <w:r>
        <w:rPr>
          <w:rFonts w:ascii="Times New Roman" w:cs="Times New Roman" w:eastAsia="Times New Roman" w:hAnsi="Times New Roman"/>
          <w:sz w:val="14"/>
          <w:szCs w:val="14"/>
          <w:b w:val="1"/>
          <w:bCs w:val="1"/>
          <w:color w:val="auto"/>
        </w:rPr>
        <w:t>Other Named Executives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063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Internal Pay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MD&amp;C Committee considers the differentials between compensation of the individual named executive officers,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additional responsibilities of the President and Chief Executive Officer compared to the other executive officers. Internal comparisons are also made between executive officers and their direct reports. The MD&amp;C Committee confirms that the compensation paid to executive officers is reasonable compared to that of their direct reports, while recognizing that an executive’s actual total compensation, as a multiple of the total compensation of his or her subordinates, will increase in periods of above-target performance and decrease in times of below-target performance.</w:t>
      </w:r>
    </w:p>
    <w:p>
      <w:pPr>
        <w:spacing w:after="0" w:line="72"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 and Accounting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162(m) of the Internal Revenue Code of 1985, as amended (“Code Section 162(m)”), denies a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for federal income tax purposes for certain compensation in excess of $1 million per person paid in any year to our President and Chief Executive Officer and our other three highest paid executives. “Performance-based” compensation meeting specified standards is deductible without regard to the $1 million cap. We design our compensation plans to be tax efficient for the Company where possible. However, our MD&amp;C Committee reserves the right to structure the compensation of our executive officers without regard for whether the compensation is fully deductible if, in the MD&amp;C Committee’s judgment, it is in the best interests of the Company and stockholders to do so.</w:t>
      </w:r>
    </w:p>
    <w:p>
      <w:pPr>
        <w:spacing w:after="0" w:line="77"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annual cash incentive plan is designed to comply with the performance-based compensation exemption under Code Section 162(m) by allowing the MD&amp;C Committee to set performance criteria for payments, which may not exceed the predetermined amount of 0.5% of the Company’s pre-tax income from operations per participant. Our performance share unit awards are also intended to meet the qualified performance-based compensation exception under Code Section 162(m).</w:t>
      </w:r>
    </w:p>
    <w:p>
      <w:pPr>
        <w:spacing w:after="0" w:line="7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Section 409A of the Internal Revenue Code of 1986, as amended (“Code Section 409A”), generally provides that any deferred compensation arrangement which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change-in-control or an unforeseen emergency. Furthermore, the election to defer generally must be made in the calendar year prior to performance of services. We intend to structure all of our compensation arrangements, including our Deferral Plan, in a manner that complies with or is exempt from Code Section 409A.</w:t>
      </w:r>
    </w:p>
    <w:p>
      <w:pPr>
        <w:spacing w:after="0" w:line="8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We account for stock-based payments, including stock options and PSUs, in accordance with Financial Accounting Standards Board Accounting Standards Codification Topic 718, Stock Compensation. The MD&amp;C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2013 Compensation Program and Results — Long-Term Equity Incentives”), this “value” will differ from the grant date fair value of awards calculated pursuant to ASC Topic 718.</w:t>
      </w:r>
    </w:p>
    <w:p>
      <w:pPr>
        <w:spacing w:after="0" w:line="7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Risk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MD&amp;C Committee uses the structural elements set forth in the Executive Summary earlier to establish compensation that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sufficient incentives for named executive officers to drive results while avoiding unnecessary or excessive risk taking that could harm the long-term value of the Company. During 2013,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7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Consideration of Stockholder Advisory Vote on Executive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MD&amp;C Committee reviews the results of the stockholder advisory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executive compensation and considers any implications of such voting results on the Company’s compensation programs. In light of the very high percentage of shares present and entitled to vote at the annual meeting voting in favor of the Company’s executive compensation the past three years, the results of the stockholder advisory votes have not caused the MD&amp;C Committee to recommend any changes to our compensation practices.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Executives’ 2013 Compensation Program and Results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Base Salary</w:t>
      </w:r>
    </w:p>
    <w:p>
      <w:pPr>
        <w:spacing w:after="0" w:line="121" w:lineRule="exact"/>
        <w:rPr>
          <w:sz w:val="20"/>
          <w:szCs w:val="20"/>
          <w:color w:val="auto"/>
        </w:rPr>
      </w:pPr>
    </w:p>
    <w:p>
      <w:pPr>
        <w:jc w:val="both"/>
        <w:ind w:right="240" w:firstLine="456"/>
        <w:spacing w:after="0" w:line="261" w:lineRule="auto"/>
        <w:rPr>
          <w:sz w:val="20"/>
          <w:szCs w:val="20"/>
          <w:color w:val="auto"/>
        </w:rPr>
      </w:pPr>
      <w:r>
        <w:rPr>
          <w:rFonts w:ascii="Times New Roman" w:cs="Times New Roman" w:eastAsia="Times New Roman" w:hAnsi="Times New Roman"/>
          <w:sz w:val="18"/>
          <w:szCs w:val="18"/>
          <w:color w:val="auto"/>
        </w:rPr>
        <w:t>After foregoing base salary increases in 2012 to support the Company’s cost saving initiatives, the Company granted a three percent increase to base salary in the Spring of 2013, in line with the Company-wide budget. Certain additional base salary increases were granted to Messrs. Trevathan and Morris upon consideration of competitive market data and as necessary to better reflect the executive’s recent promotion and contribution. The table below shows 2012 base salary, percent increase and 2013 base salary for each of our named executive officers.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tcPr>
          <w:p>
            <w:pPr>
              <w:spacing w:after="0"/>
              <w:rPr>
                <w:sz w:val="13"/>
                <w:szCs w:val="13"/>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60" w:type="dxa"/>
            <w:vAlign w:val="bottom"/>
            <w:tcBorders>
              <w:bottom w:val="single" w:sz="8" w:color="auto"/>
            </w:tcBorders>
            <w:vMerge w:val="continue"/>
          </w:tcPr>
          <w:p>
            <w:pPr>
              <w:spacing w:after="0"/>
              <w:rPr>
                <w:sz w:val="15"/>
                <w:szCs w:val="15"/>
                <w:color w:val="auto"/>
              </w:rPr>
            </w:pPr>
          </w:p>
        </w:tc>
        <w:tc>
          <w:tcPr>
            <w:tcW w:w="5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6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4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1,127,500</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1,161,325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566,298</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5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500,000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515,000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Harris</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536,278</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552,366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Morris</w:t>
            </w:r>
          </w:p>
        </w:tc>
        <w:tc>
          <w:tcPr>
            <w:tcW w:w="5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400,000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Annual Cash Incentive</w:t>
      </w:r>
    </w:p>
    <w:p>
      <w:pPr>
        <w:spacing w:after="0" w:line="133" w:lineRule="exact"/>
        <w:rPr>
          <w:sz w:val="20"/>
          <w:szCs w:val="20"/>
          <w:color w:val="auto"/>
        </w:rPr>
      </w:pPr>
    </w:p>
    <w:p>
      <w:pPr>
        <w:ind w:left="660" w:right="300" w:hanging="206"/>
        <w:spacing w:after="0" w:line="267" w:lineRule="auto"/>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Annual cash incentives were dependant on the following performance measures: Income from Operations as a percentage of Revenue, or Income from Operations Margin (25%); Income from Operations, excluding Depreciation and Amortization, less Capital Expenditures, or Cash Flow Measure (25%); and SG&amp;A Expense, or Cost Measure (50%).</w:t>
      </w:r>
    </w:p>
    <w:p>
      <w:pPr>
        <w:spacing w:after="0" w:line="78" w:lineRule="exact"/>
        <w:rPr>
          <w:rFonts w:ascii="Times New Roman" w:cs="Times New Roman" w:eastAsia="Times New Roman" w:hAnsi="Times New Roman"/>
          <w:sz w:val="18"/>
          <w:szCs w:val="18"/>
          <w:i w:val="1"/>
          <w:iCs w:val="1"/>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of the named executives received an annual cash incentive payment in March 2014 for fiscal year 2013 equal to 153.7% of target.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2013 annual cash incentives for named executives, performance is measured using the Company’s consolidated results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Company-wide performance measures set by the MD&amp;C Committee for the named executive officers in 2013.</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49"/>
        </w:trPr>
        <w:tc>
          <w:tcPr>
            <w:tcW w:w="5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r>
      <w:tr>
        <w:trPr>
          <w:trHeight w:val="173"/>
        </w:trPr>
        <w:tc>
          <w:tcPr>
            <w:tcW w:w="5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(60% Payment)</w:t>
            </w:r>
          </w:p>
        </w:tc>
        <w:tc>
          <w:tcPr>
            <w:tcW w:w="30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(100% Payment)</w:t>
            </w:r>
          </w:p>
        </w:tc>
        <w:tc>
          <w:tcPr>
            <w:tcW w:w="3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(200% Payment)</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Margin</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CCEEFF"/>
            </w:tcBorders>
            <w:shd w:val="clear" w:color="auto" w:fill="CCEEFF"/>
          </w:tcPr>
          <w:p>
            <w:pPr>
              <w:spacing w:after="0"/>
              <w:rPr>
                <w:sz w:val="18"/>
                <w:szCs w:val="18"/>
                <w:color w:val="auto"/>
              </w:rPr>
            </w:pPr>
          </w:p>
        </w:tc>
      </w:tr>
      <w:tr>
        <w:trPr>
          <w:trHeight w:val="194"/>
        </w:trPr>
        <w:tc>
          <w:tcPr>
            <w:tcW w:w="5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from Operations excluding Depreciation and Amortization, less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Capital Expenditures (Cash Flow Measure)</w:t>
            </w: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$ 1.80 billion</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1.95 billion</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2.12 billion</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 (Cost Measure)*</w:t>
            </w:r>
          </w:p>
        </w:tc>
        <w:tc>
          <w:tcPr>
            <w:tcW w:w="1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$ 1.55 billion</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1.498 billion</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1.40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40" w:hanging="452"/>
        <w:spacing w:after="0" w:line="266"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Cost Measure was subject to a gate; Operating Expense as a percentage of Net Revenue was required to be equal to or less than 53% before any payout could be earned on this measure. The Company successfully cleared this gate, with 2013 Operating Expense constituting 53% of Net Revenue, after adjustment for certain items discussed below.</w:t>
      </w:r>
    </w:p>
    <w:p>
      <w:pPr>
        <w:spacing w:after="0" w:line="6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performance achieved on each of the annual cash incentive performance measures and the payout earned on account of such performance.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4"/>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900" w:type="dxa"/>
            <w:vAlign w:val="bottom"/>
            <w:gridSpan w:val="2"/>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Cash Flow Measure</w:t>
            </w: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00" w:type="dxa"/>
            <w:vAlign w:val="bottom"/>
            <w:gridSpan w:val="2"/>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Cost Measure</w:t>
            </w: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80" w:type="dxa"/>
            <w:vAlign w:val="bottom"/>
            <w:gridSpan w:val="4"/>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Margin (weighted 25%)</w:t>
            </w:r>
          </w:p>
        </w:tc>
        <w:tc>
          <w:tcPr>
            <w:tcW w:w="1900" w:type="dxa"/>
            <w:vAlign w:val="bottom"/>
            <w:gridSpan w:val="2"/>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(weighted 25%)</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(weighted 50%)</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Payout Earned</w:t>
            </w:r>
          </w:p>
        </w:tc>
        <w:tc>
          <w:tcPr>
            <w:tcW w:w="0" w:type="dxa"/>
            <w:vAlign w:val="bottom"/>
          </w:tcPr>
          <w:p>
            <w:pPr>
              <w:spacing w:after="0"/>
              <w:rPr>
                <w:sz w:val="1"/>
                <w:szCs w:val="1"/>
                <w:color w:val="auto"/>
              </w:rPr>
            </w:pPr>
          </w:p>
        </w:tc>
      </w:tr>
      <w:tr>
        <w:trPr>
          <w:trHeight w:val="117"/>
        </w:trPr>
        <w:tc>
          <w:tcPr>
            <w:tcW w:w="760" w:type="dxa"/>
            <w:vAlign w:val="bottom"/>
            <w:tcBorders>
              <w:top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Borders>
              <w:top w:val="single" w:sz="8" w:color="auto"/>
            </w:tcBorders>
            <w:vMerge w:val="restart"/>
          </w:tcPr>
          <w:p>
            <w:pPr>
              <w:spacing w:after="0"/>
              <w:rPr>
                <w:sz w:val="10"/>
                <w:szCs w:val="10"/>
                <w:color w:val="auto"/>
              </w:rPr>
            </w:pPr>
          </w:p>
        </w:tc>
        <w:tc>
          <w:tcPr>
            <w:tcW w:w="60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Payout</w:t>
            </w:r>
          </w:p>
        </w:tc>
        <w:tc>
          <w:tcPr>
            <w:tcW w:w="1060" w:type="dxa"/>
            <w:vAlign w:val="bottom"/>
          </w:tcPr>
          <w:p>
            <w:pPr>
              <w:spacing w:after="0"/>
              <w:rPr>
                <w:sz w:val="10"/>
                <w:szCs w:val="10"/>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Borders>
              <w:top w:val="single" w:sz="8" w:color="auto"/>
            </w:tcBorders>
            <w:vMerge w:val="restart"/>
          </w:tcPr>
          <w:p>
            <w:pPr>
              <w:spacing w:after="0"/>
              <w:rPr>
                <w:sz w:val="10"/>
                <w:szCs w:val="10"/>
                <w:color w:val="auto"/>
              </w:rPr>
            </w:pPr>
          </w:p>
        </w:tc>
        <w:tc>
          <w:tcPr>
            <w:tcW w:w="46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Payout</w:t>
            </w:r>
          </w:p>
        </w:tc>
        <w:tc>
          <w:tcPr>
            <w:tcW w:w="1060" w:type="dxa"/>
            <w:vAlign w:val="bottom"/>
          </w:tcPr>
          <w:p>
            <w:pPr>
              <w:spacing w:after="0"/>
              <w:rPr>
                <w:sz w:val="10"/>
                <w:szCs w:val="10"/>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Borders>
              <w:top w:val="single" w:sz="8" w:color="auto"/>
            </w:tcBorders>
            <w:vMerge w:val="restart"/>
          </w:tcPr>
          <w:p>
            <w:pPr>
              <w:spacing w:after="0"/>
              <w:rPr>
                <w:sz w:val="10"/>
                <w:szCs w:val="10"/>
                <w:color w:val="auto"/>
              </w:rPr>
            </w:pPr>
          </w:p>
        </w:tc>
        <w:tc>
          <w:tcPr>
            <w:tcW w:w="46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Payout</w:t>
            </w:r>
          </w:p>
        </w:tc>
        <w:tc>
          <w:tcPr>
            <w:tcW w:w="1060" w:type="dxa"/>
            <w:vAlign w:val="bottom"/>
          </w:tcPr>
          <w:p>
            <w:pPr>
              <w:spacing w:after="0"/>
              <w:rPr>
                <w:sz w:val="10"/>
                <w:szCs w:val="10"/>
                <w:color w:val="auto"/>
              </w:rPr>
            </w:pPr>
          </w:p>
        </w:tc>
        <w:tc>
          <w:tcPr>
            <w:tcW w:w="12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(as a percentage</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0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0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0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Target)</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106.6%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 billion</w:t>
            </w:r>
          </w:p>
        </w:tc>
        <w:tc>
          <w:tcPr>
            <w:tcW w:w="9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 billion</w:t>
            </w:r>
          </w:p>
        </w:tc>
        <w:tc>
          <w:tcPr>
            <w:tcW w:w="9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154%</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determining actual performance achieved for the annual incentive plan’s financial performance goals, the MD&amp;C Committee has discretion to make adjustments to the calculations for unusual or otherwise non-operational matters that it believes do not accurately reflect results of operations expected from management for annual cash incentive purposes. In 2013, the calculation of performance on the Income from Operations Margin Measure and the Cash Flow Measure was adjusted to exclude the effects of (i) certain asset impairments and restructuring charges; (ii) costs related to integration of the acquired Greenstar business; (iii) changes in ten-year Treasury rates, which are used to discount remediation reserves; (iv) labor disruption costs and litigation settlements; and (v) the accounting reclassification of labor costs associated with the Oakleaf business. The calculation of performance on the Cost Measure was adjusted to exclude the effects of (i) certain costs related to the acquisition of RCI and (ii) litigation settlements. Operating Expense as a percentage of Net Revenue, which served as a “gate” for the Cost Measure, was adjusted to exclude the effects of (i) the acquisition and operations of the Greenstar business; (ii) changes in ten-year Treasury rates, which are used to discount remediation reserves; (iii) withdrawal from underfunded multiemployer pension plans; and (iv) the accounting reclassification of labor costs associated with the Oakleaf business. Adjustments are not made to forgive poor performance, and the MD&amp;C Committee considers both positive and negative adjustments to results. Adjustments are made to ensure that rewards are aligned with the right business decisions and are not influenced by potential short-term gain or impact on cash incentives.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Target annual cash incentives are a specified percentage of the executives’ base salary. The following table shows each named executive’s target percentage of base salary for 2013 and annual cash incentive for 2013 paid in March 2014.</w:t>
      </w:r>
    </w:p>
    <w:p>
      <w:pPr>
        <w:spacing w:after="0" w:line="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6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Target Percentage</w:t>
            </w:r>
          </w:p>
        </w:tc>
        <w:tc>
          <w:tcPr>
            <w:tcW w:w="52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8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586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For 2013*</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p>
        </w:tc>
        <w:tc>
          <w:tcPr>
            <w:tcW w:w="58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2,387,194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7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85</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769,756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7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85</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666,540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Harris</w:t>
            </w:r>
          </w:p>
        </w:tc>
        <w:tc>
          <w:tcPr>
            <w:tcW w:w="7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630,795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Morris</w:t>
            </w:r>
          </w:p>
        </w:tc>
        <w:tc>
          <w:tcPr>
            <w:tcW w:w="7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760" w:hanging="452"/>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increases for 2013 were not implemented until Spring of 2013; accordingly, the calculation of annual cash incentive payouts, as a percentage of base salary, was prorated to take account of the named executive’s actual base salary received during 2013.</w:t>
      </w:r>
    </w:p>
    <w:p>
      <w:pPr>
        <w:spacing w:after="0" w:line="67" w:lineRule="exact"/>
        <w:rPr>
          <w:sz w:val="20"/>
          <w:szCs w:val="20"/>
          <w:color w:val="auto"/>
        </w:rPr>
      </w:pPr>
    </w:p>
    <w:p>
      <w:pPr>
        <w:ind w:left="460" w:hanging="452"/>
        <w:spacing w:after="0" w:line="261"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2013, the target percentage of base salary was increased from 115% to 135% and from 75% to 85% for Messrs. Steiner and Trevathan, respectively. These changes were made to better position the executives around the competitive median, to reflect their contributions and, in the case of</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Trevathan, to account for internal pay equity.</w:t>
      </w:r>
    </w:p>
    <w:p>
      <w:pPr>
        <w:spacing w:after="0" w:line="99" w:lineRule="exact"/>
        <w:rPr>
          <w:sz w:val="20"/>
          <w:szCs w:val="20"/>
          <w:color w:val="auto"/>
        </w:rPr>
      </w:pPr>
    </w:p>
    <w:p>
      <w:pPr>
        <w:jc w:val="both"/>
        <w:ind w:right="40" w:firstLine="456"/>
        <w:spacing w:after="0" w:line="255" w:lineRule="auto"/>
        <w:rPr>
          <w:sz w:val="20"/>
          <w:szCs w:val="20"/>
          <w:color w:val="auto"/>
        </w:rPr>
      </w:pPr>
      <w:r>
        <w:rPr>
          <w:rFonts w:ascii="Times New Roman" w:cs="Times New Roman" w:eastAsia="Times New Roman" w:hAnsi="Times New Roman"/>
          <w:sz w:val="18"/>
          <w:szCs w:val="18"/>
          <w:color w:val="auto"/>
        </w:rPr>
        <w:t>The MD&amp;C Committee develops financial performance measures intended to drive behaviors to create performance and results, in particular focusing on generating strong cash flow and profitable revenue, cost cutting and cost control, and making the best use of our assets. The MD&amp;C Committee found that the Income from Operations Margin and Cash Flow Measure used previously successfully supported these goals and resulted in disciplined capital spending. The MD&amp;C Committee refined the Cost Measure for 2013 to increase our focus on controlling costs, specifically SG&amp;A spending and operating expense.</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When setting threshold, target and maximum performance measure levels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expected wage, maintenance, fuel and other operational costs; and expected SG&amp;A costs. The MD&amp;C Committee believes these financial performance measures support and align with the strategy of the Company and are appropriate indicators of our progress toward the Company’s goals.</w:t>
      </w:r>
    </w:p>
    <w:p>
      <w:pPr>
        <w:spacing w:after="0" w:line="75"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Equity Incentives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Our equity awards are designed to hold individuals accountable for long-term decisions by rewarding the success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2013 annual long-term incentive grant, the MD&amp;C Committee decided to grant both PSUs comprising 80% of each named executive’s award and stock options comprising 20% of each named executive’s award. Payout on 50% of each named executives’ PSUs granted in 2013 are dependant on ROIC, to increase focus on improved asset utilization, and payout on the remaining 50% of PSUs granted in 2013 are dependant on total shareholder return relative to the S&amp;P 500. Meanwhile, stock options encourage focus on increasing the market value of our stock. Before determining the actual number of PSUs and stock options that were granted to each of the named executives in 2013, the MD&amp;C Committee established a target dollar amount for each named executive’s annual total long-term equity incentive award. The values chosen were based primarily on the comparison information for the competitive market and an analysis of the named executives’ responsibility for meeting the Company’s strategic objectives. Target dollar amounts for equity incentive awards may vary from grant date fair values calculated for accounting purposes.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 Values of Annual</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Equity Incentives</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7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Set by the Committee</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Target)</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p>
        </w:tc>
        <w:tc>
          <w:tcPr>
            <w:tcW w:w="7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7160" w:type="dxa"/>
            <w:vAlign w:val="bottom"/>
            <w:gridSpan w:val="2"/>
          </w:tcPr>
          <w:p>
            <w:pPr>
              <w:ind w:left="70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7160" w:type="dxa"/>
            <w:vAlign w:val="bottom"/>
            <w:gridSpan w:val="2"/>
            <w:shd w:val="clear" w:color="auto" w:fill="CCEEFF"/>
          </w:tcPr>
          <w:p>
            <w:pPr>
              <w:ind w:left="70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Harris</w:t>
            </w:r>
          </w:p>
        </w:tc>
        <w:tc>
          <w:tcPr>
            <w:tcW w:w="7160" w:type="dxa"/>
            <w:vAlign w:val="bottom"/>
            <w:gridSpan w:val="2"/>
          </w:tcPr>
          <w:p>
            <w:pPr>
              <w:ind w:left="70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Morris</w:t>
            </w:r>
          </w:p>
        </w:tc>
        <w:tc>
          <w:tcPr>
            <w:tcW w:w="7160" w:type="dxa"/>
            <w:vAlign w:val="bottom"/>
            <w:gridSpan w:val="2"/>
            <w:shd w:val="clear" w:color="auto" w:fill="CCEEFF"/>
          </w:tcPr>
          <w:p>
            <w:pPr>
              <w:ind w:left="70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Share Units</w:t>
      </w:r>
    </w:p>
    <w:p>
      <w:pPr>
        <w:spacing w:after="0" w:line="133" w:lineRule="exact"/>
        <w:rPr>
          <w:sz w:val="20"/>
          <w:szCs w:val="20"/>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executives were granted new PSUs with a three-year performance period ending December 31, 2015.</w:t>
      </w:r>
    </w:p>
    <w:p>
      <w:pPr>
        <w:spacing w:after="0" w:line="130" w:lineRule="exact"/>
        <w:rPr>
          <w:rFonts w:ascii="Times New Roman" w:cs="Times New Roman" w:eastAsia="Times New Roman" w:hAnsi="Times New Roman"/>
          <w:sz w:val="18"/>
          <w:szCs w:val="18"/>
          <w:color w:val="auto"/>
        </w:rPr>
      </w:pPr>
    </w:p>
    <w:p>
      <w:pPr>
        <w:ind w:left="660" w:right="340" w:hanging="206"/>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on 50% of each named executives’ PSUs granted in 2013 are dependant on ROIC, and payout on the remaining 50% of PSUs granted in 2013 are dependant on total shareholder return relative to the S&amp;P 500.</w:t>
      </w:r>
    </w:p>
    <w:p>
      <w:pPr>
        <w:spacing w:after="0" w:line="67"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executive officers earned 60.45% payout on the PSUs that were granted in 2011 with the three-year performance period ended December 31, 2013; based on performance against an ROIC target described further below.</w:t>
      </w:r>
    </w:p>
    <w:p>
      <w:pPr>
        <w:spacing w:after="0" w:line="5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Performance share units are granted to our named executive officers annually to align compensation with the achievement of our long-term financial goals and to build stock ownership. Performance share units provide an immediate retention value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units granted, depending on the Company’s three-year performance against pre-established targets.</w:t>
      </w:r>
    </w:p>
    <w:p>
      <w:pPr>
        <w:spacing w:after="0" w:line="76" w:lineRule="exact"/>
        <w:rPr>
          <w:sz w:val="20"/>
          <w:szCs w:val="20"/>
          <w:color w:val="auto"/>
        </w:rPr>
      </w:pPr>
    </w:p>
    <w:p>
      <w:pPr>
        <w:ind w:right="540" w:firstLine="456"/>
        <w:spacing w:after="0" w:line="261" w:lineRule="auto"/>
        <w:rPr>
          <w:sz w:val="20"/>
          <w:szCs w:val="20"/>
          <w:color w:val="auto"/>
        </w:rPr>
      </w:pPr>
      <w:r>
        <w:rPr>
          <w:rFonts w:ascii="Times New Roman" w:cs="Times New Roman" w:eastAsia="Times New Roman" w:hAnsi="Times New Roman"/>
          <w:sz w:val="18"/>
          <w:szCs w:val="18"/>
          <w:color w:val="auto"/>
        </w:rPr>
        <w:t>The MD&amp;C Committee determined the number of PSUs that were granted to each of the named executives in 2013 by taking the targeted dollar amounts established for total long-term equity incentives (set forth in the table above) and multiplying by 80%. Those values were then divided by the average of the high and low price of our Common Stock over the 30 trading days preceding the MD&amp;C Committee meeting at which the grants were approved to determine the target number of PSUs granted. The number of PSUs granted are shown in the table below.</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80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804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p>
        </w:tc>
        <w:tc>
          <w:tcPr>
            <w:tcW w:w="80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8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27,361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8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25,544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Harris</w:t>
            </w:r>
          </w:p>
        </w:tc>
        <w:tc>
          <w:tcPr>
            <w:tcW w:w="8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23,355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Morris</w:t>
            </w:r>
          </w:p>
        </w:tc>
        <w:tc>
          <w:tcPr>
            <w:tcW w:w="8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18,978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Half of each named executive’s PSUs included in the table set forth above are subject to an ROIC performance measure. ROIC is an indicator of our ability to generate returns for our stockholders. We have used a three-year average of ROIC to incentivize our named executive officers to ensure the strategic direction of the Company is being followed and motivate them to balance the short-term incentives awarded for growth with the long-term incentives awarded for value generated. ROIC in our plan is defined generally as net operating profit after taxes divided by capital. Capital is comprised of long-term debt, noncontrolling interests and stockholders’ equity, less cash. The table below shows the required achievement of the ROIC performance measure and the corresponding potential payouts under our PSUs granted in 2013. If actual performance falls between target and either threshold or maximum levels, then the number of PSUs earned will be interpolated between the target performance amount and either the threshold or maximum performance amount, as applicable.</w:t>
      </w:r>
    </w:p>
    <w:p>
      <w:pPr>
        <w:spacing w:after="0" w:line="7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2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7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7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Payout</w:t>
            </w:r>
          </w:p>
        </w:tc>
        <w:tc>
          <w:tcPr>
            <w:tcW w:w="7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7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200" w:type="dxa"/>
            <w:vAlign w:val="bottom"/>
            <w:tcBorders>
              <w:bottom w:val="single" w:sz="8" w:color="CCEEFF"/>
            </w:tcBorders>
          </w:tcPr>
          <w:p>
            <w:pPr>
              <w:spacing w:after="0"/>
              <w:rPr>
                <w:sz w:val="12"/>
                <w:szCs w:val="12"/>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ROIC</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16.0%</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100%</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365"/>
        </w:trPr>
        <w:tc>
          <w:tcPr>
            <w:tcW w:w="3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34</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The remaining half of each named executive’s PSUs are subject to total shareholder return relative to the S&amp;P 500. The measure directly correlates executive compensation with creation of shareholder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PSUs granted in 2013.</w:t>
      </w:r>
    </w:p>
    <w:p>
      <w:pPr>
        <w:spacing w:after="0" w:line="83"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60" w:type="dxa"/>
            <w:vAlign w:val="bottom"/>
            <w:gridSpan w:val="3"/>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Total Shareholder Return Relative to the S&amp;P 500</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32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100" w:type="dxa"/>
            <w:vAlign w:val="bottom"/>
            <w:tcBorders>
              <w:bottom w:val="single" w:sz="8" w:color="auto"/>
            </w:tcBorders>
          </w:tcPr>
          <w:p>
            <w:pPr>
              <w:spacing w:after="0"/>
              <w:rPr>
                <w:sz w:val="2"/>
                <w:szCs w:val="2"/>
                <w:color w:val="auto"/>
              </w:rPr>
            </w:pPr>
          </w:p>
        </w:tc>
        <w:tc>
          <w:tcPr>
            <w:tcW w:w="2340" w:type="dxa"/>
            <w:vAlign w:val="bottom"/>
            <w:gridSpan w:val="4"/>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2"/>
        </w:trPr>
        <w:tc>
          <w:tcPr>
            <w:tcW w:w="2320" w:type="dxa"/>
            <w:vAlign w:val="bottom"/>
            <w:gridSpan w:val="3"/>
            <w:vMerge w:val="continue"/>
          </w:tcPr>
          <w:p>
            <w:pPr>
              <w:spacing w:after="0"/>
              <w:rPr>
                <w:sz w:val="12"/>
                <w:szCs w:val="12"/>
                <w:color w:val="auto"/>
              </w:rPr>
            </w:pPr>
          </w:p>
        </w:tc>
        <w:tc>
          <w:tcPr>
            <w:tcW w:w="310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4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4"/>
              </w:rPr>
              <w:t>Top Quartile</w:t>
            </w:r>
          </w:p>
        </w:tc>
        <w:tc>
          <w:tcPr>
            <w:tcW w:w="1080" w:type="dxa"/>
            <w:vAlign w:val="bottom"/>
            <w:vMerge w:val="continue"/>
            <w:shd w:val="clear" w:color="auto" w:fill="CCEEFF"/>
          </w:tcPr>
          <w:p>
            <w:pPr>
              <w:spacing w:after="0"/>
              <w:rPr>
                <w:sz w:val="17"/>
                <w:szCs w:val="17"/>
                <w:color w:val="auto"/>
              </w:rPr>
            </w:pPr>
          </w:p>
        </w:tc>
        <w:tc>
          <w:tcPr>
            <w:tcW w:w="45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200%</w:t>
            </w:r>
          </w:p>
        </w:tc>
        <w:tc>
          <w:tcPr>
            <w:tcW w:w="0" w:type="dxa"/>
            <w:vAlign w:val="bottom"/>
          </w:tcPr>
          <w:p>
            <w:pPr>
              <w:spacing w:after="0"/>
              <w:rPr>
                <w:sz w:val="1"/>
                <w:szCs w:val="1"/>
                <w:color w:val="auto"/>
              </w:rPr>
            </w:pPr>
          </w:p>
        </w:tc>
      </w:tr>
      <w:tr>
        <w:trPr>
          <w:trHeight w:val="216"/>
        </w:trPr>
        <w:tc>
          <w:tcPr>
            <w:tcW w:w="23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Second Quartile</w:t>
            </w:r>
          </w:p>
        </w:tc>
        <w:tc>
          <w:tcPr>
            <w:tcW w:w="4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150%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80"/>
              <w:spacing w:after="0"/>
              <w:rPr>
                <w:sz w:val="20"/>
                <w:szCs w:val="20"/>
                <w:color w:val="auto"/>
              </w:rPr>
            </w:pPr>
            <w:r>
              <w:rPr>
                <w:rFonts w:ascii="Times New Roman" w:cs="Times New Roman" w:eastAsia="Times New Roman" w:hAnsi="Times New Roman"/>
                <w:sz w:val="18"/>
                <w:szCs w:val="18"/>
                <w:color w:val="auto"/>
                <w:w w:val="98"/>
              </w:rPr>
              <w:t>Median</w:t>
            </w:r>
          </w:p>
        </w:tc>
        <w:tc>
          <w:tcPr>
            <w:tcW w:w="5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Third Quartile</w:t>
            </w:r>
          </w:p>
        </w:tc>
        <w:tc>
          <w:tcPr>
            <w:tcW w:w="4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100%</w:t>
            </w:r>
          </w:p>
        </w:tc>
        <w:tc>
          <w:tcPr>
            <w:tcW w:w="0" w:type="dxa"/>
            <w:vAlign w:val="bottom"/>
          </w:tcPr>
          <w:p>
            <w:pPr>
              <w:spacing w:after="0"/>
              <w:rPr>
                <w:sz w:val="1"/>
                <w:szCs w:val="1"/>
                <w:color w:val="auto"/>
              </w:rPr>
            </w:pPr>
          </w:p>
        </w:tc>
      </w:tr>
      <w:tr>
        <w:trPr>
          <w:trHeight w:val="216"/>
        </w:trPr>
        <w:tc>
          <w:tcPr>
            <w:tcW w:w="2320" w:type="dxa"/>
            <w:vAlign w:val="bottom"/>
            <w:gridSpan w:val="3"/>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rPr>
              <w:t>Bottom Quartile</w:t>
            </w:r>
          </w:p>
        </w:tc>
        <w:tc>
          <w:tcPr>
            <w:tcW w:w="3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different performance measure levels are determined based on an analysis of historical performance and current projections and trends. The MD&amp;C Committee uses this analysis and modeling of different scenarios related to items that affect the Company’s performance such as yield, volumes and capital to set the performance measures. As with the consideration of targets for the annual cash incentives, when the MD&amp;C Committee established the ROIC targets, the MD&amp;C Committee carefully considered several material factors affecting the Company for 2013 and beyond, including general economic and market conditions and economic indicators for future periods, to ensure that the ROIC targets align with the Company’s long-range strategic plan. The table below shows progress toward the ROIC performance measure and the corresponding payouts for the additional PSUs that have been granted since 2010.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ROIC</w:t>
            </w: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r>
      <w:tr>
        <w:trPr>
          <w:trHeight w:val="142"/>
        </w:trPr>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gridSpan w:val="2"/>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920" w:type="dxa"/>
            <w:vAlign w:val="bottom"/>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0" w:type="dxa"/>
            <w:vAlign w:val="bottom"/>
          </w:tcPr>
          <w:p>
            <w:pPr>
              <w:ind w:left="1540"/>
              <w:spacing w:after="0" w:line="142" w:lineRule="exact"/>
              <w:rPr>
                <w:sz w:val="20"/>
                <w:szCs w:val="20"/>
                <w:color w:val="auto"/>
              </w:rPr>
            </w:pPr>
            <w:r>
              <w:rPr>
                <w:rFonts w:ascii="Times New Roman" w:cs="Times New Roman" w:eastAsia="Times New Roman" w:hAnsi="Times New Roman"/>
                <w:sz w:val="14"/>
                <w:szCs w:val="14"/>
                <w:b w:val="1"/>
                <w:bCs w:val="1"/>
                <w:color w:val="auto"/>
              </w:rPr>
              <w:t>Award Earned</w:t>
            </w:r>
          </w:p>
        </w:tc>
      </w:tr>
      <w:tr>
        <w:trPr>
          <w:trHeight w:val="191"/>
        </w:trPr>
        <w:tc>
          <w:tcPr>
            <w:tcW w:w="4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2010</w:t>
            </w:r>
          </w:p>
        </w:tc>
        <w:tc>
          <w:tcPr>
            <w:tcW w:w="3840" w:type="dxa"/>
            <w:vAlign w:val="bottom"/>
            <w:tcBorders>
              <w:top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PSUs for period ended 12/31/12</w:t>
            </w:r>
          </w:p>
        </w:tc>
        <w:tc>
          <w:tcPr>
            <w:tcW w:w="6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15.8</w:t>
            </w:r>
          </w:p>
        </w:tc>
        <w:tc>
          <w:tcPr>
            <w:tcW w:w="480" w:type="dxa"/>
            <w:vAlign w:val="bottom"/>
            <w:tcBorders>
              <w:top w:val="single" w:sz="8" w:color="CCEEFF"/>
            </w:tcBorders>
            <w:shd w:val="clear" w:color="auto" w:fill="CCEEFF"/>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17.6</w:t>
            </w:r>
          </w:p>
        </w:tc>
        <w:tc>
          <w:tcPr>
            <w:tcW w:w="500" w:type="dxa"/>
            <w:vAlign w:val="bottom"/>
            <w:tcBorders>
              <w:top w:val="single" w:sz="8" w:color="CCEEFF"/>
            </w:tcBorders>
            <w:shd w:val="clear" w:color="auto" w:fill="CCEEFF"/>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21.1</w:t>
            </w:r>
          </w:p>
        </w:tc>
        <w:tc>
          <w:tcPr>
            <w:tcW w:w="320" w:type="dxa"/>
            <w:vAlign w:val="bottom"/>
            <w:tcBorders>
              <w:top w:val="single" w:sz="8" w:color="CCEEFF"/>
            </w:tcBorders>
            <w:shd w:val="clear" w:color="auto" w:fill="CCEEFF"/>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tcBorders>
            <w:shd w:val="clear" w:color="auto" w:fill="CCEEFF"/>
          </w:tcPr>
          <w:p>
            <w:pPr>
              <w:spacing w:after="0"/>
              <w:rPr>
                <w:sz w:val="16"/>
                <w:szCs w:val="16"/>
                <w:color w:val="auto"/>
              </w:rPr>
            </w:pPr>
          </w:p>
        </w:tc>
        <w:tc>
          <w:tcPr>
            <w:tcW w:w="40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62.94% payout in shares of Common Stock issued in</w:t>
            </w:r>
          </w:p>
        </w:tc>
      </w:tr>
      <w:tr>
        <w:trPr>
          <w:trHeight w:val="234"/>
        </w:trPr>
        <w:tc>
          <w:tcPr>
            <w:tcW w:w="4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2013</w:t>
            </w: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2011 PSUs for period ended 12/31/13</w:t>
            </w:r>
          </w:p>
        </w:tc>
        <w:tc>
          <w:tcPr>
            <w:tcW w:w="1120" w:type="dxa"/>
            <w:vAlign w:val="bottom"/>
            <w:gridSpan w:val="2"/>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15.1%</w:t>
            </w:r>
          </w:p>
        </w:tc>
        <w:tc>
          <w:tcPr>
            <w:tcW w:w="920" w:type="dxa"/>
            <w:vAlign w:val="bottom"/>
            <w:gridSpan w:val="2"/>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rPr>
              <w:t>17.8%</w:t>
            </w:r>
          </w:p>
        </w:tc>
        <w:tc>
          <w:tcPr>
            <w:tcW w:w="96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21.4%</w:t>
            </w:r>
          </w:p>
        </w:tc>
        <w:tc>
          <w:tcPr>
            <w:tcW w:w="41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Performance on this measure of 15.16%, or 85.17% of</w:t>
            </w:r>
          </w:p>
        </w:tc>
      </w:tr>
      <w:tr>
        <w:trPr>
          <w:trHeight w:val="216"/>
        </w:trPr>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target, earned a 60.45% payout in shares of Common</w:t>
            </w:r>
          </w:p>
        </w:tc>
      </w:tr>
      <w:tr>
        <w:trPr>
          <w:trHeight w:val="234"/>
        </w:trPr>
        <w:tc>
          <w:tcPr>
            <w:tcW w:w="4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issued in February 2014</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for period ended 12/31/14*</w:t>
            </w:r>
          </w:p>
        </w:tc>
        <w:tc>
          <w:tcPr>
            <w:tcW w:w="11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15.0%</w:t>
            </w:r>
          </w:p>
        </w:tc>
        <w:tc>
          <w:tcPr>
            <w:tcW w:w="9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16.3%</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18.2%</w:t>
            </w:r>
          </w:p>
        </w:tc>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Pending completion of performance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PSUs comprised 50% of all the PSUs granted to named executives in 2012; the remaining 50% are discussed immediately below.</w:t>
      </w:r>
    </w:p>
    <w:p>
      <w:pPr>
        <w:spacing w:after="0" w:line="117"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in 2013, 50% of the PSUs granted in 2012 with a performance period ended December 31, 2014 are subject to total shareholder return relative to the S&amp;P 500. As of December 31, 2013, the performance of the Company’s Common Stock on this measure translated into a percentile rank relative to the S&amp;P 500 of 47.16%, resulting in a projected 94.32% payout.</w:t>
      </w:r>
    </w:p>
    <w:p>
      <w:pPr>
        <w:spacing w:after="0" w:line="6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MD&amp;C Committee has discretion to make adjustments to the ROIC calculation for unusual or otherwise non-operational matters that it believes do not accurately reflect results of operations expected from management for cash incentive purposes. In February 2014, the MD&amp;C Committee approved adjustments to the calculation of results under the 2011 awards that had a performance period ended December 31, 2013. Net operating profit after taxes used in the calculation of results was adjusted to exclude the effects of: (i) revisions of estimates associated with remedial liabilities and adjustment of legal reserves; (ii) changes in ten-year Treasury rates, which are used to discount remediation reserves; (iii) withdrawal from underfunded multiemployer pension plans and labor disruption costs; (iv) charges related to acquisition and integration, and earnings on account of, the acquired Oakleaf, Greenstar and RCI businesses; and (v) benefits from investments in low-income housing and a refined coal facility on tax rates. Capital used in the calculation of results was adjusted to exclude the impact of: (i) investments in a refined coal facility with associated tax credits and (ii) the purchase price for each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Oakleaf, Greenstar and RCI, less associated goodwill. Additionally, stockholders’ equity used in the calculation of capital excludes the impact of prior year tax audit settlements.</w:t>
      </w:r>
    </w:p>
    <w:p>
      <w:pPr>
        <w:spacing w:after="0" w:line="5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Adjustments are made to ensure that rewards are aligned with the right business decisions and are not influenced by potential short-term gain or impact on cash incentives. Adjustments are also necessary to take account of major transactions, such as acquisitions, which were not known or included in the calculation of the performance measures at the beginning of the performance period. The MD&amp;C Committee considers both positive and negative adjustments, and the MD&amp;C Committee strives to ensure that it takes a consistent approach to adjustments so that the nature of acceptable adjustments is very similar from year-to-year. Adjusting for certain items, like those discussed above, avoids creating disincentives for individuals to take actions that are for the longer-term good of the Company in order to meet short-term goals.</w:t>
      </w:r>
    </w:p>
    <w:p>
      <w:pPr>
        <w:spacing w:after="0" w:line="7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MD&amp;C Committee believes use of stock options is appropriate to support the growth element of the Company’s strategy.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options made to the named executive officers in the first quarter of 2013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81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81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p>
        </w:tc>
        <w:tc>
          <w:tcPr>
            <w:tcW w:w="8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8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8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Harris</w:t>
            </w:r>
          </w:p>
        </w:tc>
        <w:tc>
          <w:tcPr>
            <w:tcW w:w="8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50,287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Morris</w:t>
            </w:r>
          </w:p>
        </w:tc>
        <w:tc>
          <w:tcPr>
            <w:tcW w:w="8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40,861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stock options will vest in 25% increments on the first two anniversaries of the date of grant and the remaining 50% will vest on the third anniversary. The exercise price of the options is the average of the high and low market price of our Common Stock on the date of grant, and the options have a term of 10 years. See the Grant of Plan-Based Awards in 2013 table below for specific exercise prices. We account for our employee stock options under the fair value method of accounting using a Black-Scholes methodology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 eligible.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11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Stock Ownership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All of our named executive officers are subject to stock ownership guidelines. We instituted stock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 requirements, the guidelines contain a holding requirement. Until the individual’s ownership requirement is achieved, Senior Vice Presidents and above are required to retain 100% of all net shares acquired through the Company’s long-term incentive plans and Vice Presidents are required to retain at least 50% of such net shares. The requisite stock ownership level must thereafter be retained throughout the officer’s employment with the Company. Additionally, the stock ownership guidelines generally require Senior Vice Presidents and above to hold all of their net shares and Vice Presidents to hold 50% of their net shares for at least one year after such shares are acquired, even if required ownership levels have already been achieved. Our MD&amp;C Committee believes these holding periods discourage these individuals from taking actions in an effort to gain from short-term or otherwise fleeting increases in the market value of our stock.</w:t>
      </w:r>
    </w:p>
    <w:p>
      <w:pPr>
        <w:spacing w:after="0" w:line="87"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 MD&amp;C Committee regularly reviews its ownership guidelines to ensure that the appropriate share ownership requirements are in place. Guidelines were last revised in November 2012, when the ownership requirement for our Chief Executive Officer was increased from 165,000 shares to 225,500 shares, which is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approximately six times base salary. The stock ownership guidelines vary depending on the individual’s title and are expressed as a fixed number of shares. Shares owned outright, deferred stock units, stock equivalents based on holdings in the Company’s 401(k) Plan and phantom stock held in the Deferral Plan count toward meeting the targeted ownership requirements. Restricted stock shares, RSUs and PSUs, if any, do not count toward meeting the requirement until they are vested or earned. The following table outlines the ownership requirements and attainment of those requirements for the named executive officers.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380" w:type="dxa"/>
            <w:vAlign w:val="bottom"/>
            <w:gridSpan w:val="2"/>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Attainment as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340" w:type="dxa"/>
            <w:vAlign w:val="bottom"/>
          </w:tcPr>
          <w:p>
            <w:pPr>
              <w:spacing w:after="0"/>
              <w:rPr>
                <w:sz w:val="12"/>
                <w:szCs w:val="12"/>
                <w:color w:val="auto"/>
              </w:rPr>
            </w:pPr>
          </w:p>
        </w:tc>
        <w:tc>
          <w:tcPr>
            <w:tcW w:w="2380" w:type="dxa"/>
            <w:vAlign w:val="bottom"/>
            <w:gridSpan w:val="2"/>
          </w:tcPr>
          <w:p>
            <w:pPr>
              <w:jc w:val="right"/>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Requirement</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5340" w:type="dxa"/>
            <w:vAlign w:val="bottom"/>
          </w:tcPr>
          <w:p>
            <w:pPr>
              <w:spacing w:after="0"/>
              <w:rPr>
                <w:sz w:val="15"/>
                <w:szCs w:val="15"/>
                <w:color w:val="auto"/>
              </w:rPr>
            </w:pPr>
          </w:p>
        </w:tc>
        <w:tc>
          <w:tcPr>
            <w:tcW w:w="238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17, 2014</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3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p>
        </w:tc>
        <w:tc>
          <w:tcPr>
            <w:tcW w:w="5340" w:type="dxa"/>
            <w:vAlign w:val="bottom"/>
            <w:vMerge w:val="continue"/>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225,500</w:t>
            </w:r>
          </w:p>
        </w:tc>
        <w:tc>
          <w:tcPr>
            <w:tcW w:w="1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772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87,350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7720" w:type="dxa"/>
            <w:vAlign w:val="bottom"/>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48,000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Harris</w:t>
            </w:r>
          </w:p>
        </w:tc>
        <w:tc>
          <w:tcPr>
            <w:tcW w:w="772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48,000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Morris</w:t>
            </w:r>
          </w:p>
        </w:tc>
        <w:tc>
          <w:tcPr>
            <w:tcW w:w="7720" w:type="dxa"/>
            <w:vAlign w:val="bottom"/>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48,000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60" w:hanging="452"/>
        <w:spacing w:after="0" w:line="289" w:lineRule="auto"/>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table above does not include 343,294 shares held in the name of Steiner Family Holdings, LLC that are pledged as security for a loan. Since such pledge was made, the Company has adopted a policy prohibiting future pledges of Company securities by executive officers without board-level approval and requiring that such pledged shares are not required to meet the executive’s ownership requirement under the ownership guidelines.</w:t>
      </w:r>
    </w:p>
    <w:p>
      <w:pPr>
        <w:spacing w:after="0" w:line="5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MD&amp;C Committee also establishes ownership guidelines for the independent directors and performs regular reviews to ensure all independent directors are in compliance. As discussed in more detail under “Director and Officer Stock Ownership,” all independent directors are in compliance with the ownership guidelines.</w:t>
      </w:r>
    </w:p>
    <w:p>
      <w:pPr>
        <w:spacing w:after="0" w:line="6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Policy Limiting Severance Benefits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MD&amp;C Committee has approved an Executive Officer Severance Policy that generally provides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not enter into new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policy applies to all of our named executive officers.</w:t>
      </w:r>
    </w:p>
    <w:p>
      <w:pPr>
        <w:spacing w:after="0" w:line="72"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Policy Limiting Death Benefits and Gross-up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adopted a “Policy Limiting Certain Compensation Practices,”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provides that the Company will not enter into new compensation arrangements that would obligate the Company to pay a death benefit or gross-up payment to an executive officer unless such arrangement receives stockholder approval. The policy is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7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Insider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maintains an insider trading policy that prohibits executive officers from engaging in most transactions involving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during periods, determined by the Company, that those executives are most likely to be aware of material, non-public information. Executive officers must clear all of their transactions in our Common Stock with the Company’s General Counsel’s office to protect against transactions in our securities during a time when executives have material, non-public information. Additionally, it is our policy that executive officers are not permitted to hedge their ownership of Company securities, including trading in options, warrants, puts and calls or similar derivative instruments on any security of the Company or selling any security of the Company “short.” Further, as noted above, the Company has adopted a policy prohibiting future pledges of Company securities by executive officers without board-level approval and requiring that such pledged shares are not required to meet the executive’s ownership requirement under the ownership guidelines.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23"/>
          <w:szCs w:val="23"/>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ABLES</w:t>
      </w:r>
    </w:p>
    <w:p>
      <w:pPr>
        <w:spacing w:after="0" w:line="22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are required to present compensation information in the tabular format prescribed by the SEC. This format, including the tables’ column headings, may be different from the way we describe or consider elements and components of compensation internally. The Compensation Discussion and Analysis contains a discussion that should be read in conjunction with these tables to gain a complete understanding of our executive compensation philosophy, programs and decisions.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3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8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100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0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180" w:type="dxa"/>
            <w:vAlign w:val="bottom"/>
            <w:vMerge w:val="continue"/>
          </w:tcPr>
          <w:p>
            <w:pPr>
              <w:spacing w:after="0"/>
              <w:rPr>
                <w:sz w:val="15"/>
                <w:szCs w:val="15"/>
                <w:color w:val="auto"/>
              </w:rPr>
            </w:pP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w:t>
            </w:r>
          </w:p>
        </w:tc>
        <w:tc>
          <w:tcPr>
            <w:tcW w:w="1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4"/>
        </w:trPr>
        <w:tc>
          <w:tcPr>
            <w:tcW w:w="41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David P. Steiner</w:t>
            </w:r>
          </w:p>
        </w:tc>
        <w:tc>
          <w:tcPr>
            <w:tcW w:w="16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180" w:type="dxa"/>
            <w:vAlign w:val="bottom"/>
            <w:tcBorders>
              <w:bottom w:val="single" w:sz="8" w:color="7F7F7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1680" w:type="dxa"/>
            <w:vAlign w:val="bottom"/>
            <w:tcBorders>
              <w:bottom w:val="single" w:sz="8" w:color="7F7F7F"/>
            </w:tcBorders>
            <w:shd w:val="clear" w:color="auto" w:fill="CCEEFF"/>
          </w:tcPr>
          <w:p>
            <w:pPr>
              <w:spacing w:after="0"/>
              <w:rPr>
                <w:sz w:val="16"/>
                <w:szCs w:val="16"/>
                <w:color w:val="auto"/>
              </w:rPr>
            </w:pPr>
          </w:p>
        </w:tc>
        <w:tc>
          <w:tcPr>
            <w:tcW w:w="1000" w:type="dxa"/>
            <w:vAlign w:val="bottom"/>
            <w:tcBorders>
              <w:bottom w:val="single" w:sz="8" w:color="7F7F7F"/>
            </w:tcBorders>
            <w:shd w:val="clear" w:color="auto" w:fill="CCEEFF"/>
          </w:tcPr>
          <w:p>
            <w:pPr>
              <w:spacing w:after="0"/>
              <w:rPr>
                <w:sz w:val="16"/>
                <w:szCs w:val="16"/>
                <w:color w:val="auto"/>
              </w:rPr>
            </w:pPr>
          </w:p>
        </w:tc>
        <w:tc>
          <w:tcPr>
            <w:tcW w:w="980" w:type="dxa"/>
            <w:vAlign w:val="bottom"/>
            <w:tcBorders>
              <w:bottom w:val="single" w:sz="8" w:color="7F7F7F"/>
            </w:tcBorders>
            <w:shd w:val="clear" w:color="auto" w:fill="CCEEFF"/>
          </w:tcPr>
          <w:p>
            <w:pPr>
              <w:spacing w:after="0"/>
              <w:rPr>
                <w:sz w:val="16"/>
                <w:szCs w:val="16"/>
                <w:color w:val="auto"/>
              </w:rPr>
            </w:pPr>
          </w:p>
        </w:tc>
        <w:tc>
          <w:tcPr>
            <w:tcW w:w="1300" w:type="dxa"/>
            <w:vAlign w:val="bottom"/>
            <w:tcBorders>
              <w:bottom w:val="single" w:sz="8" w:color="7F7F7F"/>
            </w:tcBorders>
            <w:shd w:val="clear" w:color="auto" w:fill="CCEEFF"/>
          </w:tcPr>
          <w:p>
            <w:pPr>
              <w:spacing w:after="0"/>
              <w:rPr>
                <w:sz w:val="16"/>
                <w:szCs w:val="16"/>
                <w:color w:val="auto"/>
              </w:rPr>
            </w:pPr>
          </w:p>
        </w:tc>
        <w:tc>
          <w:tcPr>
            <w:tcW w:w="1320" w:type="dxa"/>
            <w:vAlign w:val="bottom"/>
            <w:tcBorders>
              <w:bottom w:val="single" w:sz="8" w:color="7F7F7F"/>
            </w:tcBorders>
            <w:shd w:val="clear" w:color="auto" w:fill="CCEEFF"/>
          </w:tcPr>
          <w:p>
            <w:pPr>
              <w:spacing w:after="0"/>
              <w:rPr>
                <w:sz w:val="16"/>
                <w:szCs w:val="16"/>
                <w:color w:val="auto"/>
              </w:rPr>
            </w:pPr>
          </w:p>
        </w:tc>
        <w:tc>
          <w:tcPr>
            <w:tcW w:w="96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16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1,149,616</w:t>
            </w:r>
          </w:p>
        </w:tc>
        <w:tc>
          <w:tcPr>
            <w:tcW w:w="100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5,692,630</w:t>
            </w:r>
          </w:p>
        </w:tc>
        <w:tc>
          <w:tcPr>
            <w:tcW w:w="98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1,201,794</w:t>
            </w:r>
          </w:p>
        </w:tc>
        <w:tc>
          <w:tcPr>
            <w:tcW w:w="13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2,387,194</w:t>
            </w:r>
          </w:p>
        </w:tc>
        <w:tc>
          <w:tcPr>
            <w:tcW w:w="132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295,348</w:t>
            </w:r>
          </w:p>
        </w:tc>
        <w:tc>
          <w:tcPr>
            <w:tcW w:w="96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10,726,582</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6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1,127,500</w:t>
            </w:r>
          </w:p>
        </w:tc>
        <w:tc>
          <w:tcPr>
            <w:tcW w:w="100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5,266,497</w:t>
            </w:r>
          </w:p>
        </w:tc>
        <w:tc>
          <w:tcPr>
            <w:tcW w:w="98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1,039,685</w:t>
            </w:r>
          </w:p>
        </w:tc>
        <w:tc>
          <w:tcPr>
            <w:tcW w:w="13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228,456</w:t>
            </w:r>
          </w:p>
        </w:tc>
        <w:tc>
          <w:tcPr>
            <w:tcW w:w="96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7,662,138</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16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1,120,625</w:t>
            </w:r>
          </w:p>
        </w:tc>
        <w:tc>
          <w:tcPr>
            <w:tcW w:w="10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1,497,180</w:t>
            </w:r>
          </w:p>
        </w:tc>
        <w:tc>
          <w:tcPr>
            <w:tcW w:w="9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3,453,331</w:t>
            </w:r>
          </w:p>
        </w:tc>
        <w:tc>
          <w:tcPr>
            <w:tcW w:w="13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1,095,356</w:t>
            </w:r>
          </w:p>
        </w:tc>
        <w:tc>
          <w:tcPr>
            <w:tcW w:w="13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269,921</w:t>
            </w: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7,436,413</w:t>
            </w:r>
          </w:p>
        </w:tc>
        <w:tc>
          <w:tcPr>
            <w:tcW w:w="0" w:type="dxa"/>
            <w:vAlign w:val="bottom"/>
          </w:tcPr>
          <w:p>
            <w:pPr>
              <w:spacing w:after="0"/>
              <w:rPr>
                <w:sz w:val="1"/>
                <w:szCs w:val="1"/>
                <w:color w:val="auto"/>
              </w:rPr>
            </w:pPr>
          </w:p>
        </w:tc>
      </w:tr>
      <w:tr>
        <w:trPr>
          <w:trHeight w:val="117"/>
        </w:trPr>
        <w:tc>
          <w:tcPr>
            <w:tcW w:w="4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James E. Trevathan, Jr.</w:t>
            </w:r>
          </w:p>
        </w:tc>
        <w:tc>
          <w:tcPr>
            <w:tcW w:w="16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180" w:type="dxa"/>
            <w:vAlign w:val="bottom"/>
            <w:tcBorders>
              <w:bottom w:val="single" w:sz="8" w:color="7F7F7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Executive Vice President and Chief Operating Officer</w:t>
            </w:r>
          </w:p>
        </w:tc>
        <w:tc>
          <w:tcPr>
            <w:tcW w:w="1680" w:type="dxa"/>
            <w:vAlign w:val="bottom"/>
            <w:tcBorders>
              <w:bottom w:val="single" w:sz="8" w:color="7F7F7F"/>
            </w:tcBorders>
            <w:shd w:val="clear" w:color="auto" w:fill="CCEEFF"/>
          </w:tcPr>
          <w:p>
            <w:pPr>
              <w:spacing w:after="0"/>
              <w:rPr>
                <w:sz w:val="16"/>
                <w:szCs w:val="16"/>
                <w:color w:val="auto"/>
              </w:rPr>
            </w:pPr>
          </w:p>
        </w:tc>
        <w:tc>
          <w:tcPr>
            <w:tcW w:w="1000" w:type="dxa"/>
            <w:vAlign w:val="bottom"/>
            <w:tcBorders>
              <w:bottom w:val="single" w:sz="8" w:color="7F7F7F"/>
            </w:tcBorders>
            <w:shd w:val="clear" w:color="auto" w:fill="CCEEFF"/>
          </w:tcPr>
          <w:p>
            <w:pPr>
              <w:spacing w:after="0"/>
              <w:rPr>
                <w:sz w:val="16"/>
                <w:szCs w:val="16"/>
                <w:color w:val="auto"/>
              </w:rPr>
            </w:pPr>
          </w:p>
        </w:tc>
        <w:tc>
          <w:tcPr>
            <w:tcW w:w="980" w:type="dxa"/>
            <w:vAlign w:val="bottom"/>
            <w:tcBorders>
              <w:bottom w:val="single" w:sz="8" w:color="7F7F7F"/>
            </w:tcBorders>
            <w:shd w:val="clear" w:color="auto" w:fill="CCEEFF"/>
          </w:tcPr>
          <w:p>
            <w:pPr>
              <w:spacing w:after="0"/>
              <w:rPr>
                <w:sz w:val="16"/>
                <w:szCs w:val="16"/>
                <w:color w:val="auto"/>
              </w:rPr>
            </w:pPr>
          </w:p>
        </w:tc>
        <w:tc>
          <w:tcPr>
            <w:tcW w:w="1300" w:type="dxa"/>
            <w:vAlign w:val="bottom"/>
            <w:tcBorders>
              <w:bottom w:val="single" w:sz="8" w:color="7F7F7F"/>
            </w:tcBorders>
            <w:shd w:val="clear" w:color="auto" w:fill="CCEEFF"/>
          </w:tcPr>
          <w:p>
            <w:pPr>
              <w:spacing w:after="0"/>
              <w:rPr>
                <w:sz w:val="16"/>
                <w:szCs w:val="16"/>
                <w:color w:val="auto"/>
              </w:rPr>
            </w:pPr>
          </w:p>
        </w:tc>
        <w:tc>
          <w:tcPr>
            <w:tcW w:w="1320" w:type="dxa"/>
            <w:vAlign w:val="bottom"/>
            <w:tcBorders>
              <w:bottom w:val="single" w:sz="8" w:color="7F7F7F"/>
            </w:tcBorders>
            <w:shd w:val="clear" w:color="auto" w:fill="CCEEFF"/>
          </w:tcPr>
          <w:p>
            <w:pPr>
              <w:spacing w:after="0"/>
              <w:rPr>
                <w:sz w:val="16"/>
                <w:szCs w:val="16"/>
                <w:color w:val="auto"/>
              </w:rPr>
            </w:pPr>
          </w:p>
        </w:tc>
        <w:tc>
          <w:tcPr>
            <w:tcW w:w="96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16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588,334</w:t>
            </w:r>
          </w:p>
        </w:tc>
        <w:tc>
          <w:tcPr>
            <w:tcW w:w="100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1,185,964</w:t>
            </w:r>
          </w:p>
        </w:tc>
        <w:tc>
          <w:tcPr>
            <w:tcW w:w="98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250,372</w:t>
            </w:r>
          </w:p>
        </w:tc>
        <w:tc>
          <w:tcPr>
            <w:tcW w:w="13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769,756</w:t>
            </w:r>
          </w:p>
        </w:tc>
        <w:tc>
          <w:tcPr>
            <w:tcW w:w="132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12,632</w:t>
            </w:r>
          </w:p>
        </w:tc>
        <w:tc>
          <w:tcPr>
            <w:tcW w:w="96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2,807,058</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6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566,298</w:t>
            </w:r>
          </w:p>
        </w:tc>
        <w:tc>
          <w:tcPr>
            <w:tcW w:w="100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936,797</w:t>
            </w:r>
          </w:p>
        </w:tc>
        <w:tc>
          <w:tcPr>
            <w:tcW w:w="98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184,941</w:t>
            </w:r>
          </w:p>
        </w:tc>
        <w:tc>
          <w:tcPr>
            <w:tcW w:w="13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12,550</w:t>
            </w:r>
          </w:p>
        </w:tc>
        <w:tc>
          <w:tcPr>
            <w:tcW w:w="96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1,700,586</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16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566,298</w:t>
            </w:r>
          </w:p>
        </w:tc>
        <w:tc>
          <w:tcPr>
            <w:tcW w:w="10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279,966</w:t>
            </w:r>
          </w:p>
        </w:tc>
        <w:tc>
          <w:tcPr>
            <w:tcW w:w="9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1,518,777</w:t>
            </w:r>
          </w:p>
        </w:tc>
        <w:tc>
          <w:tcPr>
            <w:tcW w:w="13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360,845</w:t>
            </w:r>
          </w:p>
        </w:tc>
        <w:tc>
          <w:tcPr>
            <w:tcW w:w="13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12,325</w:t>
            </w: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2,738,211</w:t>
            </w:r>
          </w:p>
        </w:tc>
        <w:tc>
          <w:tcPr>
            <w:tcW w:w="0" w:type="dxa"/>
            <w:vAlign w:val="bottom"/>
          </w:tcPr>
          <w:p>
            <w:pPr>
              <w:spacing w:after="0"/>
              <w:rPr>
                <w:sz w:val="1"/>
                <w:szCs w:val="1"/>
                <w:color w:val="auto"/>
              </w:rPr>
            </w:pPr>
          </w:p>
        </w:tc>
      </w:tr>
      <w:tr>
        <w:trPr>
          <w:trHeight w:val="117"/>
        </w:trPr>
        <w:tc>
          <w:tcPr>
            <w:tcW w:w="4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James C. Fish, Jr.</w:t>
            </w:r>
          </w:p>
        </w:tc>
        <w:tc>
          <w:tcPr>
            <w:tcW w:w="16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180" w:type="dxa"/>
            <w:vAlign w:val="bottom"/>
            <w:tcBorders>
              <w:bottom w:val="single" w:sz="8" w:color="7F7F7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c>
          <w:tcPr>
            <w:tcW w:w="1680" w:type="dxa"/>
            <w:vAlign w:val="bottom"/>
            <w:tcBorders>
              <w:bottom w:val="single" w:sz="8" w:color="7F7F7F"/>
            </w:tcBorders>
            <w:shd w:val="clear" w:color="auto" w:fill="CCEEFF"/>
          </w:tcPr>
          <w:p>
            <w:pPr>
              <w:spacing w:after="0"/>
              <w:rPr>
                <w:sz w:val="16"/>
                <w:szCs w:val="16"/>
                <w:color w:val="auto"/>
              </w:rPr>
            </w:pPr>
          </w:p>
        </w:tc>
        <w:tc>
          <w:tcPr>
            <w:tcW w:w="1000" w:type="dxa"/>
            <w:vAlign w:val="bottom"/>
            <w:tcBorders>
              <w:bottom w:val="single" w:sz="8" w:color="7F7F7F"/>
            </w:tcBorders>
            <w:shd w:val="clear" w:color="auto" w:fill="CCEEFF"/>
          </w:tcPr>
          <w:p>
            <w:pPr>
              <w:spacing w:after="0"/>
              <w:rPr>
                <w:sz w:val="16"/>
                <w:szCs w:val="16"/>
                <w:color w:val="auto"/>
              </w:rPr>
            </w:pPr>
          </w:p>
        </w:tc>
        <w:tc>
          <w:tcPr>
            <w:tcW w:w="980" w:type="dxa"/>
            <w:vAlign w:val="bottom"/>
            <w:tcBorders>
              <w:bottom w:val="single" w:sz="8" w:color="7F7F7F"/>
            </w:tcBorders>
            <w:shd w:val="clear" w:color="auto" w:fill="CCEEFF"/>
          </w:tcPr>
          <w:p>
            <w:pPr>
              <w:spacing w:after="0"/>
              <w:rPr>
                <w:sz w:val="16"/>
                <w:szCs w:val="16"/>
                <w:color w:val="auto"/>
              </w:rPr>
            </w:pPr>
          </w:p>
        </w:tc>
        <w:tc>
          <w:tcPr>
            <w:tcW w:w="1300" w:type="dxa"/>
            <w:vAlign w:val="bottom"/>
            <w:tcBorders>
              <w:bottom w:val="single" w:sz="8" w:color="7F7F7F"/>
            </w:tcBorders>
            <w:shd w:val="clear" w:color="auto" w:fill="CCEEFF"/>
          </w:tcPr>
          <w:p>
            <w:pPr>
              <w:spacing w:after="0"/>
              <w:rPr>
                <w:sz w:val="16"/>
                <w:szCs w:val="16"/>
                <w:color w:val="auto"/>
              </w:rPr>
            </w:pPr>
          </w:p>
        </w:tc>
        <w:tc>
          <w:tcPr>
            <w:tcW w:w="1320" w:type="dxa"/>
            <w:vAlign w:val="bottom"/>
            <w:tcBorders>
              <w:bottom w:val="single" w:sz="8" w:color="7F7F7F"/>
            </w:tcBorders>
            <w:shd w:val="clear" w:color="auto" w:fill="CCEEFF"/>
          </w:tcPr>
          <w:p>
            <w:pPr>
              <w:spacing w:after="0"/>
              <w:rPr>
                <w:sz w:val="16"/>
                <w:szCs w:val="16"/>
                <w:color w:val="auto"/>
              </w:rPr>
            </w:pPr>
          </w:p>
        </w:tc>
        <w:tc>
          <w:tcPr>
            <w:tcW w:w="96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16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509,808</w:t>
            </w:r>
          </w:p>
        </w:tc>
        <w:tc>
          <w:tcPr>
            <w:tcW w:w="100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1,107,205</w:t>
            </w:r>
          </w:p>
        </w:tc>
        <w:tc>
          <w:tcPr>
            <w:tcW w:w="98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233,750</w:t>
            </w:r>
          </w:p>
        </w:tc>
        <w:tc>
          <w:tcPr>
            <w:tcW w:w="13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666,540</w:t>
            </w:r>
          </w:p>
        </w:tc>
        <w:tc>
          <w:tcPr>
            <w:tcW w:w="132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93,318</w:t>
            </w:r>
          </w:p>
        </w:tc>
        <w:tc>
          <w:tcPr>
            <w:tcW w:w="96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2,610,621</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6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439,616</w:t>
            </w:r>
          </w:p>
        </w:tc>
        <w:tc>
          <w:tcPr>
            <w:tcW w:w="10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907,269</w:t>
            </w:r>
          </w:p>
        </w:tc>
        <w:tc>
          <w:tcPr>
            <w:tcW w:w="9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308,250</w:t>
            </w:r>
          </w:p>
        </w:tc>
        <w:tc>
          <w:tcPr>
            <w:tcW w:w="13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54,418</w:t>
            </w:r>
          </w:p>
        </w:tc>
        <w:tc>
          <w:tcPr>
            <w:tcW w:w="13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99,656</w:t>
            </w:r>
          </w:p>
        </w:tc>
        <w:tc>
          <w:tcPr>
            <w:tcW w:w="9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1,809,209</w:t>
            </w:r>
          </w:p>
        </w:tc>
        <w:tc>
          <w:tcPr>
            <w:tcW w:w="0" w:type="dxa"/>
            <w:vAlign w:val="bottom"/>
          </w:tcPr>
          <w:p>
            <w:pPr>
              <w:spacing w:after="0"/>
              <w:rPr>
                <w:sz w:val="1"/>
                <w:szCs w:val="1"/>
                <w:color w:val="auto"/>
              </w:rPr>
            </w:pPr>
          </w:p>
        </w:tc>
      </w:tr>
      <w:tr>
        <w:trPr>
          <w:trHeight w:val="117"/>
        </w:trPr>
        <w:tc>
          <w:tcPr>
            <w:tcW w:w="41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Jeff M. Harris</w:t>
            </w:r>
          </w:p>
        </w:tc>
        <w:tc>
          <w:tcPr>
            <w:tcW w:w="1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180" w:type="dxa"/>
            <w:vAlign w:val="bottom"/>
            <w:tcBorders>
              <w:bottom w:val="single" w:sz="8" w:color="7F7F7F"/>
            </w:tcBorders>
          </w:tcPr>
          <w:p>
            <w:pPr>
              <w:spacing w:after="0"/>
              <w:rPr>
                <w:sz w:val="20"/>
                <w:szCs w:val="20"/>
                <w:color w:val="auto"/>
              </w:rPr>
            </w:pPr>
            <w:r>
              <w:rPr>
                <w:rFonts w:ascii="Times New Roman" w:cs="Times New Roman" w:eastAsia="Times New Roman" w:hAnsi="Times New Roman"/>
                <w:sz w:val="14"/>
                <w:szCs w:val="14"/>
                <w:b w:val="1"/>
                <w:bCs w:val="1"/>
                <w:color w:val="auto"/>
              </w:rPr>
              <w:t>Senior Vice President — Field Operations</w:t>
            </w:r>
          </w:p>
        </w:tc>
        <w:tc>
          <w:tcPr>
            <w:tcW w:w="1680" w:type="dxa"/>
            <w:vAlign w:val="bottom"/>
            <w:tcBorders>
              <w:bottom w:val="single" w:sz="8" w:color="7F7F7F"/>
            </w:tcBorders>
          </w:tcPr>
          <w:p>
            <w:pPr>
              <w:spacing w:after="0"/>
              <w:rPr>
                <w:sz w:val="16"/>
                <w:szCs w:val="16"/>
                <w:color w:val="auto"/>
              </w:rPr>
            </w:pPr>
          </w:p>
        </w:tc>
        <w:tc>
          <w:tcPr>
            <w:tcW w:w="1000" w:type="dxa"/>
            <w:vAlign w:val="bottom"/>
            <w:tcBorders>
              <w:bottom w:val="single" w:sz="8" w:color="7F7F7F"/>
            </w:tcBorders>
          </w:tcPr>
          <w:p>
            <w:pPr>
              <w:spacing w:after="0"/>
              <w:rPr>
                <w:sz w:val="16"/>
                <w:szCs w:val="16"/>
                <w:color w:val="auto"/>
              </w:rPr>
            </w:pPr>
          </w:p>
        </w:tc>
        <w:tc>
          <w:tcPr>
            <w:tcW w:w="980" w:type="dxa"/>
            <w:vAlign w:val="bottom"/>
            <w:tcBorders>
              <w:bottom w:val="single" w:sz="8" w:color="7F7F7F"/>
            </w:tcBorders>
          </w:tcPr>
          <w:p>
            <w:pPr>
              <w:spacing w:after="0"/>
              <w:rPr>
                <w:sz w:val="16"/>
                <w:szCs w:val="16"/>
                <w:color w:val="auto"/>
              </w:rPr>
            </w:pPr>
          </w:p>
        </w:tc>
        <w:tc>
          <w:tcPr>
            <w:tcW w:w="1300" w:type="dxa"/>
            <w:vAlign w:val="bottom"/>
            <w:tcBorders>
              <w:bottom w:val="single" w:sz="8" w:color="7F7F7F"/>
            </w:tcBorders>
          </w:tcPr>
          <w:p>
            <w:pPr>
              <w:spacing w:after="0"/>
              <w:rPr>
                <w:sz w:val="16"/>
                <w:szCs w:val="16"/>
                <w:color w:val="auto"/>
              </w:rPr>
            </w:pPr>
          </w:p>
        </w:tc>
        <w:tc>
          <w:tcPr>
            <w:tcW w:w="1320" w:type="dxa"/>
            <w:vAlign w:val="bottom"/>
            <w:tcBorders>
              <w:bottom w:val="single" w:sz="8" w:color="7F7F7F"/>
            </w:tcBorders>
          </w:tcPr>
          <w:p>
            <w:pPr>
              <w:spacing w:after="0"/>
              <w:rPr>
                <w:sz w:val="16"/>
                <w:szCs w:val="16"/>
                <w:color w:val="auto"/>
              </w:rPr>
            </w:pPr>
          </w:p>
        </w:tc>
        <w:tc>
          <w:tcPr>
            <w:tcW w:w="96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16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546,798</w:t>
            </w:r>
          </w:p>
        </w:tc>
        <w:tc>
          <w:tcPr>
            <w:tcW w:w="100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1,012,324</w:t>
            </w:r>
          </w:p>
        </w:tc>
        <w:tc>
          <w:tcPr>
            <w:tcW w:w="98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213,720</w:t>
            </w:r>
          </w:p>
        </w:tc>
        <w:tc>
          <w:tcPr>
            <w:tcW w:w="13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630,795</w:t>
            </w:r>
          </w:p>
        </w:tc>
        <w:tc>
          <w:tcPr>
            <w:tcW w:w="132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36,175</w:t>
            </w:r>
          </w:p>
        </w:tc>
        <w:tc>
          <w:tcPr>
            <w:tcW w:w="96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2,439,812</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6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536,278</w:t>
            </w:r>
          </w:p>
        </w:tc>
        <w:tc>
          <w:tcPr>
            <w:tcW w:w="100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949,014</w:t>
            </w:r>
          </w:p>
        </w:tc>
        <w:tc>
          <w:tcPr>
            <w:tcW w:w="98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148,675</w:t>
            </w:r>
          </w:p>
        </w:tc>
        <w:tc>
          <w:tcPr>
            <w:tcW w:w="13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184,913</w:t>
            </w:r>
          </w:p>
        </w:tc>
        <w:tc>
          <w:tcPr>
            <w:tcW w:w="132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45,135</w:t>
            </w:r>
          </w:p>
        </w:tc>
        <w:tc>
          <w:tcPr>
            <w:tcW w:w="96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1,864,015</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16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536,278</w:t>
            </w:r>
          </w:p>
        </w:tc>
        <w:tc>
          <w:tcPr>
            <w:tcW w:w="10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279,966</w:t>
            </w:r>
          </w:p>
        </w:tc>
        <w:tc>
          <w:tcPr>
            <w:tcW w:w="9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645,777</w:t>
            </w:r>
          </w:p>
        </w:tc>
        <w:tc>
          <w:tcPr>
            <w:tcW w:w="13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439,373</w:t>
            </w:r>
          </w:p>
        </w:tc>
        <w:tc>
          <w:tcPr>
            <w:tcW w:w="13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57,371</w:t>
            </w:r>
          </w:p>
        </w:tc>
        <w:tc>
          <w:tcPr>
            <w:tcW w:w="9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1,958,765</w:t>
            </w:r>
          </w:p>
        </w:tc>
        <w:tc>
          <w:tcPr>
            <w:tcW w:w="0" w:type="dxa"/>
            <w:vAlign w:val="bottom"/>
          </w:tcPr>
          <w:p>
            <w:pPr>
              <w:spacing w:after="0"/>
              <w:rPr>
                <w:sz w:val="1"/>
                <w:szCs w:val="1"/>
                <w:color w:val="auto"/>
              </w:rPr>
            </w:pPr>
          </w:p>
        </w:tc>
      </w:tr>
      <w:tr>
        <w:trPr>
          <w:trHeight w:val="117"/>
        </w:trPr>
        <w:tc>
          <w:tcPr>
            <w:tcW w:w="41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John J. Morris, Jr.</w:t>
            </w:r>
          </w:p>
        </w:tc>
        <w:tc>
          <w:tcPr>
            <w:tcW w:w="1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180" w:type="dxa"/>
            <w:vAlign w:val="bottom"/>
            <w:tcBorders>
              <w:bottom w:val="single" w:sz="8" w:color="7F7F7F"/>
            </w:tcBorders>
          </w:tcPr>
          <w:p>
            <w:pPr>
              <w:spacing w:after="0"/>
              <w:rPr>
                <w:sz w:val="20"/>
                <w:szCs w:val="20"/>
                <w:color w:val="auto"/>
              </w:rPr>
            </w:pPr>
            <w:r>
              <w:rPr>
                <w:rFonts w:ascii="Times New Roman" w:cs="Times New Roman" w:eastAsia="Times New Roman" w:hAnsi="Times New Roman"/>
                <w:sz w:val="14"/>
                <w:szCs w:val="14"/>
                <w:b w:val="1"/>
                <w:bCs w:val="1"/>
                <w:color w:val="auto"/>
              </w:rPr>
              <w:t>Senior Vice President – Field Operations</w:t>
            </w:r>
          </w:p>
        </w:tc>
        <w:tc>
          <w:tcPr>
            <w:tcW w:w="1680" w:type="dxa"/>
            <w:vAlign w:val="bottom"/>
            <w:tcBorders>
              <w:bottom w:val="single" w:sz="8" w:color="7F7F7F"/>
            </w:tcBorders>
          </w:tcPr>
          <w:p>
            <w:pPr>
              <w:spacing w:after="0"/>
              <w:rPr>
                <w:sz w:val="16"/>
                <w:szCs w:val="16"/>
                <w:color w:val="auto"/>
              </w:rPr>
            </w:pPr>
          </w:p>
        </w:tc>
        <w:tc>
          <w:tcPr>
            <w:tcW w:w="1000" w:type="dxa"/>
            <w:vAlign w:val="bottom"/>
            <w:tcBorders>
              <w:bottom w:val="single" w:sz="8" w:color="7F7F7F"/>
            </w:tcBorders>
          </w:tcPr>
          <w:p>
            <w:pPr>
              <w:spacing w:after="0"/>
              <w:rPr>
                <w:sz w:val="16"/>
                <w:szCs w:val="16"/>
                <w:color w:val="auto"/>
              </w:rPr>
            </w:pPr>
          </w:p>
        </w:tc>
        <w:tc>
          <w:tcPr>
            <w:tcW w:w="980" w:type="dxa"/>
            <w:vAlign w:val="bottom"/>
            <w:tcBorders>
              <w:bottom w:val="single" w:sz="8" w:color="7F7F7F"/>
            </w:tcBorders>
          </w:tcPr>
          <w:p>
            <w:pPr>
              <w:spacing w:after="0"/>
              <w:rPr>
                <w:sz w:val="16"/>
                <w:szCs w:val="16"/>
                <w:color w:val="auto"/>
              </w:rPr>
            </w:pPr>
          </w:p>
        </w:tc>
        <w:tc>
          <w:tcPr>
            <w:tcW w:w="1300" w:type="dxa"/>
            <w:vAlign w:val="bottom"/>
            <w:tcBorders>
              <w:bottom w:val="single" w:sz="8" w:color="7F7F7F"/>
            </w:tcBorders>
          </w:tcPr>
          <w:p>
            <w:pPr>
              <w:spacing w:after="0"/>
              <w:rPr>
                <w:sz w:val="16"/>
                <w:szCs w:val="16"/>
                <w:color w:val="auto"/>
              </w:rPr>
            </w:pPr>
          </w:p>
        </w:tc>
        <w:tc>
          <w:tcPr>
            <w:tcW w:w="1320" w:type="dxa"/>
            <w:vAlign w:val="bottom"/>
            <w:tcBorders>
              <w:bottom w:val="single" w:sz="8" w:color="7F7F7F"/>
            </w:tcBorders>
          </w:tcPr>
          <w:p>
            <w:pPr>
              <w:spacing w:after="0"/>
              <w:rPr>
                <w:sz w:val="16"/>
                <w:szCs w:val="16"/>
                <w:color w:val="auto"/>
              </w:rPr>
            </w:pPr>
          </w:p>
        </w:tc>
        <w:tc>
          <w:tcPr>
            <w:tcW w:w="96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16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449,038</w:t>
            </w:r>
          </w:p>
        </w:tc>
        <w:tc>
          <w:tcPr>
            <w:tcW w:w="10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822,601</w:t>
            </w:r>
          </w:p>
        </w:tc>
        <w:tc>
          <w:tcPr>
            <w:tcW w:w="9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173,659</w:t>
            </w:r>
          </w:p>
        </w:tc>
        <w:tc>
          <w:tcPr>
            <w:tcW w:w="13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519,843</w:t>
            </w:r>
          </w:p>
        </w:tc>
        <w:tc>
          <w:tcPr>
            <w:tcW w:w="13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26,121</w:t>
            </w:r>
          </w:p>
        </w:tc>
        <w:tc>
          <w:tcPr>
            <w:tcW w:w="9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1,991,262</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20" w:hanging="332"/>
        <w:spacing w:after="0" w:line="236" w:lineRule="auto"/>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grant date fair value of stock awards, which includes performance share units granted to all named executives in 2011, 2012 and 2013 and restricted stock units granted to Messrs. Fish and Harris in 2012. Restricted stock units comprised the following stock award values in 2012: $154,177 to Mr. Fish and $195,922 to Mr. Harris. The grant date fair values are calculated in accordance with the Financial Accounting Standards Board Accounting Standards Codification (“ASC”) Topic 718, as further described in Note 16 in the Notes to the Consolidated Financial Statements in our 2013 Annual Report on Form 10-K.</w:t>
      </w:r>
    </w:p>
    <w:p>
      <w:pPr>
        <w:spacing w:after="0" w:line="82" w:lineRule="exact"/>
        <w:rPr>
          <w:rFonts w:ascii="Times New Roman" w:cs="Times New Roman" w:eastAsia="Times New Roman" w:hAnsi="Times New Roman"/>
          <w:sz w:val="14"/>
          <w:szCs w:val="14"/>
          <w:color w:val="auto"/>
        </w:rPr>
      </w:pPr>
    </w:p>
    <w:p>
      <w:pPr>
        <w:ind w:left="340" w:right="28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calculating the grant date fair value of performance share awards, we have assumed that the Company will achieve target performance levels. The table below shows the aggregate grant date fair value of performance share units if we had assumed that the Company will achieve the highest level of performance criteria and maximum payouts will be earned.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 Date</w:t>
            </w:r>
          </w:p>
        </w:tc>
      </w:tr>
      <w:tr>
        <w:trPr>
          <w:trHeight w:val="149"/>
        </w:trPr>
        <w:tc>
          <w:tcPr>
            <w:tcW w:w="42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Award</w:t>
            </w:r>
          </w:p>
        </w:tc>
      </w:tr>
      <w:tr>
        <w:trPr>
          <w:trHeight w:val="149"/>
        </w:trPr>
        <w:tc>
          <w:tcPr>
            <w:tcW w:w="42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Assuming Highest</w:t>
            </w:r>
          </w:p>
        </w:tc>
      </w:tr>
      <w:tr>
        <w:trPr>
          <w:trHeight w:val="149"/>
        </w:trPr>
        <w:tc>
          <w:tcPr>
            <w:tcW w:w="42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of Performance</w:t>
            </w:r>
          </w:p>
        </w:tc>
      </w:tr>
      <w:tr>
        <w:trPr>
          <w:trHeight w:val="187"/>
        </w:trPr>
        <w:tc>
          <w:tcPr>
            <w:tcW w:w="4200" w:type="dxa"/>
            <w:vAlign w:val="bottom"/>
          </w:tcPr>
          <w:p>
            <w:pPr>
              <w:spacing w:after="0"/>
              <w:rPr>
                <w:sz w:val="16"/>
                <w:szCs w:val="16"/>
                <w:color w:val="auto"/>
              </w:rPr>
            </w:pPr>
          </w:p>
        </w:tc>
        <w:tc>
          <w:tcPr>
            <w:tcW w:w="400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Achieved ($)</w:t>
            </w:r>
          </w:p>
        </w:tc>
      </w:tr>
      <w:tr>
        <w:trPr>
          <w:trHeight w:val="149"/>
        </w:trPr>
        <w:tc>
          <w:tcPr>
            <w:tcW w:w="420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Mr. Steiner</w:t>
            </w:r>
          </w:p>
        </w:tc>
        <w:tc>
          <w:tcPr>
            <w:tcW w:w="4000" w:type="dxa"/>
            <w:vAlign w:val="bottom"/>
            <w:tcBorders>
              <w:bottom w:val="single" w:sz="8" w:color="7F7F7F"/>
            </w:tcBorders>
            <w:shd w:val="clear" w:color="auto" w:fill="CCEEFF"/>
          </w:tcPr>
          <w:p>
            <w:pPr>
              <w:ind w:left="328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2300" w:type="dxa"/>
            <w:vAlign w:val="bottom"/>
            <w:tcBorders>
              <w:bottom w:val="single" w:sz="8" w:color="7F7F7F"/>
            </w:tcBorders>
            <w:shd w:val="clear" w:color="auto" w:fill="CCEEFF"/>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11,385,260</w:t>
            </w:r>
          </w:p>
        </w:tc>
      </w:tr>
      <w:tr>
        <w:trPr>
          <w:trHeight w:val="142"/>
        </w:trPr>
        <w:tc>
          <w:tcPr>
            <w:tcW w:w="4200" w:type="dxa"/>
            <w:vAlign w:val="bottom"/>
            <w:tcBorders>
              <w:bottom w:val="single" w:sz="8" w:color="7F7F7F"/>
            </w:tcBorders>
          </w:tcPr>
          <w:p>
            <w:pPr>
              <w:spacing w:after="0"/>
              <w:rPr>
                <w:sz w:val="12"/>
                <w:szCs w:val="12"/>
                <w:color w:val="auto"/>
              </w:rPr>
            </w:pPr>
          </w:p>
        </w:tc>
        <w:tc>
          <w:tcPr>
            <w:tcW w:w="4000" w:type="dxa"/>
            <w:vAlign w:val="bottom"/>
            <w:tcBorders>
              <w:bottom w:val="single" w:sz="8" w:color="7F7F7F"/>
            </w:tcBorders>
          </w:tcPr>
          <w:p>
            <w:pPr>
              <w:ind w:left="3280"/>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230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10,532,994</w:t>
            </w:r>
          </w:p>
        </w:tc>
      </w:tr>
      <w:tr>
        <w:trPr>
          <w:trHeight w:val="142"/>
        </w:trPr>
        <w:tc>
          <w:tcPr>
            <w:tcW w:w="4200" w:type="dxa"/>
            <w:vAlign w:val="bottom"/>
            <w:tcBorders>
              <w:bottom w:val="single" w:sz="8" w:color="auto"/>
            </w:tcBorders>
            <w:shd w:val="clear" w:color="auto" w:fill="CCEEFF"/>
          </w:tcPr>
          <w:p>
            <w:pPr>
              <w:spacing w:after="0"/>
              <w:rPr>
                <w:sz w:val="12"/>
                <w:szCs w:val="12"/>
                <w:color w:val="auto"/>
              </w:rPr>
            </w:pPr>
          </w:p>
        </w:tc>
        <w:tc>
          <w:tcPr>
            <w:tcW w:w="4000" w:type="dxa"/>
            <w:vAlign w:val="bottom"/>
            <w:tcBorders>
              <w:bottom w:val="single" w:sz="8" w:color="auto"/>
            </w:tcBorders>
            <w:shd w:val="clear" w:color="auto" w:fill="CCEEFF"/>
          </w:tcPr>
          <w:p>
            <w:pPr>
              <w:ind w:left="3300"/>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2300" w:type="dxa"/>
            <w:vAlign w:val="bottom"/>
            <w:tcBorders>
              <w:bottom w:val="single" w:sz="8" w:color="auto"/>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2,994,360</w:t>
            </w:r>
          </w:p>
        </w:tc>
      </w:tr>
      <w:tr>
        <w:trPr>
          <w:trHeight w:val="142"/>
        </w:trPr>
        <w:tc>
          <w:tcPr>
            <w:tcW w:w="420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Trevathan</w:t>
            </w:r>
          </w:p>
        </w:tc>
        <w:tc>
          <w:tcPr>
            <w:tcW w:w="4000" w:type="dxa"/>
            <w:vAlign w:val="bottom"/>
            <w:tcBorders>
              <w:bottom w:val="single" w:sz="8" w:color="7F7F7F"/>
            </w:tcBorders>
          </w:tcPr>
          <w:p>
            <w:pPr>
              <w:ind w:left="3280"/>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230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2,371,928</w:t>
            </w:r>
          </w:p>
        </w:tc>
      </w:tr>
      <w:tr>
        <w:trPr>
          <w:trHeight w:val="142"/>
        </w:trPr>
        <w:tc>
          <w:tcPr>
            <w:tcW w:w="4200" w:type="dxa"/>
            <w:vAlign w:val="bottom"/>
            <w:tcBorders>
              <w:bottom w:val="single" w:sz="8" w:color="7F7F7F"/>
            </w:tcBorders>
            <w:shd w:val="clear" w:color="auto" w:fill="CCEEFF"/>
          </w:tcPr>
          <w:p>
            <w:pPr>
              <w:spacing w:after="0"/>
              <w:rPr>
                <w:sz w:val="12"/>
                <w:szCs w:val="12"/>
                <w:color w:val="auto"/>
              </w:rPr>
            </w:pPr>
          </w:p>
        </w:tc>
        <w:tc>
          <w:tcPr>
            <w:tcW w:w="4000" w:type="dxa"/>
            <w:vAlign w:val="bottom"/>
            <w:tcBorders>
              <w:bottom w:val="single" w:sz="8" w:color="7F7F7F"/>
            </w:tcBorders>
            <w:shd w:val="clear" w:color="auto" w:fill="CCEEFF"/>
          </w:tcPr>
          <w:p>
            <w:pPr>
              <w:ind w:left="3280"/>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230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1,873,594</w:t>
            </w:r>
          </w:p>
        </w:tc>
      </w:tr>
      <w:tr>
        <w:trPr>
          <w:trHeight w:val="142"/>
        </w:trPr>
        <w:tc>
          <w:tcPr>
            <w:tcW w:w="420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ind w:left="3300"/>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230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559,932</w:t>
            </w:r>
          </w:p>
        </w:tc>
      </w:tr>
      <w:tr>
        <w:trPr>
          <w:trHeight w:val="142"/>
        </w:trPr>
        <w:tc>
          <w:tcPr>
            <w:tcW w:w="420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Fish</w:t>
            </w:r>
          </w:p>
        </w:tc>
        <w:tc>
          <w:tcPr>
            <w:tcW w:w="4000" w:type="dxa"/>
            <w:vAlign w:val="bottom"/>
            <w:tcBorders>
              <w:bottom w:val="single" w:sz="8" w:color="7F7F7F"/>
            </w:tcBorders>
            <w:shd w:val="clear" w:color="auto" w:fill="CCEEFF"/>
          </w:tcPr>
          <w:p>
            <w:pPr>
              <w:ind w:left="3280"/>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230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2,214,410</w:t>
            </w:r>
          </w:p>
        </w:tc>
      </w:tr>
      <w:tr>
        <w:trPr>
          <w:trHeight w:val="142"/>
        </w:trPr>
        <w:tc>
          <w:tcPr>
            <w:tcW w:w="420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ind w:left="3280"/>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230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1,506,184</w:t>
            </w:r>
          </w:p>
        </w:tc>
      </w:tr>
      <w:tr>
        <w:trPr>
          <w:trHeight w:val="142"/>
        </w:trPr>
        <w:tc>
          <w:tcPr>
            <w:tcW w:w="420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Harris</w:t>
            </w:r>
          </w:p>
        </w:tc>
        <w:tc>
          <w:tcPr>
            <w:tcW w:w="4000" w:type="dxa"/>
            <w:vAlign w:val="bottom"/>
            <w:tcBorders>
              <w:bottom w:val="single" w:sz="8" w:color="7F7F7F"/>
            </w:tcBorders>
            <w:shd w:val="clear" w:color="auto" w:fill="CCEEFF"/>
          </w:tcPr>
          <w:p>
            <w:pPr>
              <w:ind w:left="3280"/>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230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2,024,648</w:t>
            </w:r>
          </w:p>
        </w:tc>
      </w:tr>
      <w:tr>
        <w:trPr>
          <w:trHeight w:val="142"/>
        </w:trPr>
        <w:tc>
          <w:tcPr>
            <w:tcW w:w="4200" w:type="dxa"/>
            <w:vAlign w:val="bottom"/>
            <w:tcBorders>
              <w:bottom w:val="single" w:sz="8" w:color="7F7F7F"/>
            </w:tcBorders>
          </w:tcPr>
          <w:p>
            <w:pPr>
              <w:spacing w:after="0"/>
              <w:rPr>
                <w:sz w:val="12"/>
                <w:szCs w:val="12"/>
                <w:color w:val="auto"/>
              </w:rPr>
            </w:pPr>
          </w:p>
        </w:tc>
        <w:tc>
          <w:tcPr>
            <w:tcW w:w="4000" w:type="dxa"/>
            <w:vAlign w:val="bottom"/>
            <w:tcBorders>
              <w:bottom w:val="single" w:sz="8" w:color="7F7F7F"/>
            </w:tcBorders>
          </w:tcPr>
          <w:p>
            <w:pPr>
              <w:ind w:left="3280"/>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230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1,506,184</w:t>
            </w:r>
          </w:p>
        </w:tc>
      </w:tr>
      <w:tr>
        <w:trPr>
          <w:trHeight w:val="142"/>
        </w:trPr>
        <w:tc>
          <w:tcPr>
            <w:tcW w:w="4200" w:type="dxa"/>
            <w:vAlign w:val="bottom"/>
            <w:tcBorders>
              <w:bottom w:val="single" w:sz="8" w:color="auto"/>
            </w:tcBorders>
            <w:shd w:val="clear" w:color="auto" w:fill="CCEEFF"/>
          </w:tcPr>
          <w:p>
            <w:pPr>
              <w:spacing w:after="0"/>
              <w:rPr>
                <w:sz w:val="12"/>
                <w:szCs w:val="12"/>
                <w:color w:val="auto"/>
              </w:rPr>
            </w:pPr>
          </w:p>
        </w:tc>
        <w:tc>
          <w:tcPr>
            <w:tcW w:w="4000" w:type="dxa"/>
            <w:vAlign w:val="bottom"/>
            <w:tcBorders>
              <w:bottom w:val="single" w:sz="8" w:color="auto"/>
            </w:tcBorders>
            <w:shd w:val="clear" w:color="auto" w:fill="CCEEFF"/>
          </w:tcPr>
          <w:p>
            <w:pPr>
              <w:ind w:left="3300"/>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2300" w:type="dxa"/>
            <w:vAlign w:val="bottom"/>
            <w:tcBorders>
              <w:bottom w:val="single" w:sz="8" w:color="auto"/>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559,932</w:t>
            </w:r>
          </w:p>
        </w:tc>
      </w:tr>
      <w:tr>
        <w:trPr>
          <w:trHeight w:val="142"/>
        </w:trPr>
        <w:tc>
          <w:tcPr>
            <w:tcW w:w="4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Morris</w:t>
            </w:r>
          </w:p>
        </w:tc>
        <w:tc>
          <w:tcPr>
            <w:tcW w:w="4000" w:type="dxa"/>
            <w:vAlign w:val="bottom"/>
            <w:tcBorders>
              <w:bottom w:val="single" w:sz="8" w:color="auto"/>
            </w:tcBorders>
          </w:tcPr>
          <w:p>
            <w:pPr>
              <w:ind w:left="3280"/>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230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1,645,202</w:t>
            </w:r>
          </w:p>
        </w:tc>
      </w:tr>
    </w:tbl>
    <w:p>
      <w:pPr>
        <w:spacing w:after="0" w:line="99" w:lineRule="exact"/>
        <w:rPr>
          <w:sz w:val="20"/>
          <w:szCs w:val="20"/>
          <w:color w:val="auto"/>
        </w:rPr>
      </w:pPr>
    </w:p>
    <w:p>
      <w:pPr>
        <w:jc w:val="both"/>
        <w:ind w:left="340" w:right="200" w:hanging="332"/>
        <w:spacing w:after="0" w:line="241" w:lineRule="auto"/>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grant date fair value of stock options granted in 2011, 2012 and 2013, in accordance with ASC Topic 718. The grant date fair value of the options was estimated using the Black-Scholes option pricing model. The assumptions made in determining the grant date fair values of options are disclosed in Note 16 in the Notes to the Consolidated Financial Statements in our 2013 Annual Report on Form 10-K.</w:t>
      </w:r>
    </w:p>
    <w:p>
      <w:pPr>
        <w:spacing w:after="0" w:line="8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cash incentive awards earned and paid based on the achievement of performance goals pursuant to our Annual Incentive Plan.</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“All Other Compensation” for 2013 are shown below (in dollars):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2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Personal Use</w:t>
            </w:r>
          </w:p>
        </w:tc>
        <w:tc>
          <w:tcPr>
            <w:tcW w:w="1720" w:type="dxa"/>
            <w:vAlign w:val="bottom"/>
          </w:tcPr>
          <w:p>
            <w:pPr>
              <w:spacing w:after="0"/>
              <w:rPr>
                <w:sz w:val="13"/>
                <w:szCs w:val="13"/>
                <w:color w:val="auto"/>
              </w:rPr>
            </w:pP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Deferral</w:t>
            </w:r>
          </w:p>
        </w:tc>
        <w:tc>
          <w:tcPr>
            <w:tcW w:w="1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60" w:type="dxa"/>
            <w:vAlign w:val="bottom"/>
          </w:tcPr>
          <w:p>
            <w:pPr>
              <w:spacing w:after="0"/>
              <w:rPr>
                <w:sz w:val="13"/>
                <w:szCs w:val="13"/>
                <w:color w:val="auto"/>
              </w:rPr>
            </w:pPr>
          </w:p>
        </w:tc>
        <w:tc>
          <w:tcPr>
            <w:tcW w:w="2600" w:type="dxa"/>
            <w:vAlign w:val="bottom"/>
          </w:tcPr>
          <w:p>
            <w:pPr>
              <w:jc w:val="right"/>
              <w:ind w:right="268"/>
              <w:spacing w:after="0" w:line="160" w:lineRule="exact"/>
              <w:rPr>
                <w:sz w:val="20"/>
                <w:szCs w:val="20"/>
                <w:color w:val="auto"/>
              </w:rPr>
            </w:pPr>
            <w:r>
              <w:rPr>
                <w:rFonts w:ascii="Times New Roman" w:cs="Times New Roman" w:eastAsia="Times New Roman" w:hAnsi="Times New Roman"/>
                <w:sz w:val="14"/>
                <w:szCs w:val="14"/>
                <w:b w:val="1"/>
                <w:bCs w:val="1"/>
                <w:color w:val="auto"/>
              </w:rPr>
              <w:t>of Company</w:t>
            </w:r>
          </w:p>
        </w:tc>
        <w:tc>
          <w:tcPr>
            <w:tcW w:w="1720" w:type="dxa"/>
            <w:vAlign w:val="bottom"/>
          </w:tcPr>
          <w:p>
            <w:pPr>
              <w:jc w:val="right"/>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401(k) Matching</w:t>
            </w:r>
          </w:p>
        </w:tc>
        <w:tc>
          <w:tcPr>
            <w:tcW w:w="1600" w:type="dxa"/>
            <w:vAlign w:val="bottom"/>
          </w:tcPr>
          <w:p>
            <w:pPr>
              <w:jc w:val="right"/>
              <w:ind w:right="268"/>
              <w:spacing w:after="0" w:line="160" w:lineRule="exact"/>
              <w:rPr>
                <w:sz w:val="20"/>
                <w:szCs w:val="20"/>
                <w:color w:val="auto"/>
              </w:rPr>
            </w:pPr>
            <w:r>
              <w:rPr>
                <w:rFonts w:ascii="Times New Roman" w:cs="Times New Roman" w:eastAsia="Times New Roman" w:hAnsi="Times New Roman"/>
                <w:sz w:val="14"/>
                <w:szCs w:val="14"/>
                <w:b w:val="1"/>
                <w:bCs w:val="1"/>
                <w:color w:val="auto"/>
              </w:rPr>
              <w:t>Plan Matching</w:t>
            </w:r>
          </w:p>
        </w:tc>
        <w:tc>
          <w:tcPr>
            <w:tcW w:w="1600" w:type="dxa"/>
            <w:vAlign w:val="bottom"/>
          </w:tcPr>
          <w:p>
            <w:pPr>
              <w:jc w:val="right"/>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Life Insurance</w:t>
            </w:r>
          </w:p>
        </w:tc>
        <w:tc>
          <w:tcPr>
            <w:tcW w:w="15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xml:space="preserve">Relocation </w:t>
            </w:r>
            <w:r>
              <w:rPr>
                <w:rFonts w:ascii="Times New Roman" w:cs="Times New Roman" w:eastAsia="Times New Roman" w:hAnsi="Times New Roman"/>
                <w:sz w:val="12"/>
                <w:szCs w:val="12"/>
                <w:b w:val="1"/>
                <w:bCs w:val="1"/>
                <w:color w:val="auto"/>
              </w:rPr>
              <w:t>(b)</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2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xml:space="preserve">Aircraft </w:t>
            </w:r>
            <w:r>
              <w:rPr>
                <w:rFonts w:ascii="Times New Roman" w:cs="Times New Roman" w:eastAsia="Times New Roman" w:hAnsi="Times New Roman"/>
                <w:sz w:val="12"/>
                <w:szCs w:val="12"/>
                <w:b w:val="1"/>
                <w:bCs w:val="1"/>
                <w:color w:val="auto"/>
              </w:rPr>
              <w:t>(a)</w:t>
            </w:r>
          </w:p>
        </w:tc>
        <w:tc>
          <w:tcPr>
            <w:tcW w:w="17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6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6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Mr. Steiner</w:t>
            </w:r>
          </w:p>
        </w:tc>
        <w:tc>
          <w:tcPr>
            <w:tcW w:w="2600" w:type="dxa"/>
            <w:vAlign w:val="bottom"/>
            <w:tcBorders>
              <w:bottom w:val="single" w:sz="8" w:color="7F7F7F"/>
            </w:tcBorders>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241,314</w:t>
            </w:r>
          </w:p>
        </w:tc>
        <w:tc>
          <w:tcPr>
            <w:tcW w:w="1720" w:type="dxa"/>
            <w:vAlign w:val="bottom"/>
            <w:tcBorders>
              <w:bottom w:val="single" w:sz="8" w:color="7F7F7F"/>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11,475</w:t>
            </w:r>
          </w:p>
        </w:tc>
        <w:tc>
          <w:tcPr>
            <w:tcW w:w="1600" w:type="dxa"/>
            <w:vAlign w:val="bottom"/>
            <w:tcBorders>
              <w:bottom w:val="single" w:sz="8" w:color="7F7F7F"/>
            </w:tcBorders>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40,258</w:t>
            </w:r>
          </w:p>
        </w:tc>
        <w:tc>
          <w:tcPr>
            <w:tcW w:w="1600" w:type="dxa"/>
            <w:vAlign w:val="bottom"/>
            <w:tcBorders>
              <w:bottom w:val="single" w:sz="8" w:color="7F7F7F"/>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2,301</w:t>
            </w:r>
          </w:p>
        </w:tc>
        <w:tc>
          <w:tcPr>
            <w:tcW w:w="1540" w:type="dxa"/>
            <w:vAlign w:val="bottom"/>
            <w:tcBorders>
              <w:bottom w:val="single" w:sz="8" w:color="7F7F7F"/>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6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Trevathan</w:t>
            </w:r>
          </w:p>
        </w:tc>
        <w:tc>
          <w:tcPr>
            <w:tcW w:w="260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11,475</w:t>
            </w:r>
          </w:p>
        </w:tc>
        <w:tc>
          <w:tcPr>
            <w:tcW w:w="160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1,157</w:t>
            </w:r>
          </w:p>
        </w:tc>
        <w:tc>
          <w:tcPr>
            <w:tcW w:w="154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6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Fish</w:t>
            </w:r>
          </w:p>
        </w:tc>
        <w:tc>
          <w:tcPr>
            <w:tcW w:w="2600" w:type="dxa"/>
            <w:vAlign w:val="bottom"/>
            <w:tcBorders>
              <w:bottom w:val="single" w:sz="8" w:color="7F7F7F"/>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19,375</w:t>
            </w:r>
          </w:p>
        </w:tc>
        <w:tc>
          <w:tcPr>
            <w:tcW w:w="172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11,475</w:t>
            </w:r>
          </w:p>
        </w:tc>
        <w:tc>
          <w:tcPr>
            <w:tcW w:w="1600" w:type="dxa"/>
            <w:vAlign w:val="bottom"/>
            <w:tcBorders>
              <w:bottom w:val="single" w:sz="8" w:color="7F7F7F"/>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1,020</w:t>
            </w:r>
          </w:p>
        </w:tc>
        <w:tc>
          <w:tcPr>
            <w:tcW w:w="154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61,448</w:t>
            </w:r>
          </w:p>
        </w:tc>
        <w:tc>
          <w:tcPr>
            <w:tcW w:w="0" w:type="dxa"/>
            <w:vAlign w:val="bottom"/>
          </w:tcPr>
          <w:p>
            <w:pPr>
              <w:spacing w:after="0"/>
              <w:rPr>
                <w:sz w:val="1"/>
                <w:szCs w:val="1"/>
                <w:color w:val="auto"/>
              </w:rPr>
            </w:pPr>
          </w:p>
        </w:tc>
      </w:tr>
      <w:tr>
        <w:trPr>
          <w:trHeight w:val="142"/>
        </w:trPr>
        <w:tc>
          <w:tcPr>
            <w:tcW w:w="236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Harris</w:t>
            </w:r>
          </w:p>
        </w:tc>
        <w:tc>
          <w:tcPr>
            <w:tcW w:w="260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2,153</w:t>
            </w:r>
          </w:p>
        </w:tc>
        <w:tc>
          <w:tcPr>
            <w:tcW w:w="172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11,475</w:t>
            </w:r>
          </w:p>
        </w:tc>
        <w:tc>
          <w:tcPr>
            <w:tcW w:w="160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21,452</w:t>
            </w:r>
          </w:p>
        </w:tc>
        <w:tc>
          <w:tcPr>
            <w:tcW w:w="160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1,095</w:t>
            </w:r>
          </w:p>
        </w:tc>
        <w:tc>
          <w:tcPr>
            <w:tcW w:w="154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Morris</w:t>
            </w:r>
          </w:p>
        </w:tc>
        <w:tc>
          <w:tcPr>
            <w:tcW w:w="260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11,475</w:t>
            </w:r>
          </w:p>
        </w:tc>
        <w:tc>
          <w:tcPr>
            <w:tcW w:w="160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9,073</w:t>
            </w:r>
          </w:p>
        </w:tc>
        <w:tc>
          <w:tcPr>
            <w:tcW w:w="160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653</w:t>
            </w:r>
          </w:p>
        </w:tc>
        <w:tc>
          <w:tcPr>
            <w:tcW w:w="154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4,920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00" w:right="20" w:hanging="454"/>
        <w:spacing w:after="0" w:line="236" w:lineRule="auto"/>
        <w:tabs>
          <w:tab w:leader="none" w:pos="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Steiner is required by us to use the Company aircraft for all travel, whether for personal or business purposes whenever reasonably possible. Messrs. Fish and Harris were permitted limited personal use of the Company’s aircraft in 2013. We calculated these amounts based on the incremental cost to us, which includes fuel, crew travel expenses, on-board catering, landing fees, trip related hangar/parking costs and other variable costs. We own or operate our aircraft primarily for business use; therefore, we do not include the fixed costs associated with the ownership or operation such as pilots’ salaries, purchase costs and non-trip related maintenance.</w:t>
      </w:r>
    </w:p>
    <w:p>
      <w:pPr>
        <w:spacing w:after="0" w:line="82" w:lineRule="exact"/>
        <w:rPr>
          <w:rFonts w:ascii="Times New Roman" w:cs="Times New Roman" w:eastAsia="Times New Roman" w:hAnsi="Times New Roman"/>
          <w:sz w:val="14"/>
          <w:szCs w:val="14"/>
          <w:color w:val="auto"/>
        </w:rPr>
      </w:pPr>
    </w:p>
    <w:p>
      <w:pPr>
        <w:ind w:left="800" w:right="720" w:hanging="454"/>
        <w:spacing w:after="0" w:line="262" w:lineRule="auto"/>
        <w:tabs>
          <w:tab w:leader="none" w:pos="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provided relocation assistance in accordance with Company policy to Mr. Fish and Mr. Morris in 2013. The Company believes these are appropriate business expenditures that benefited the Company, while recognizing these benefits are likely considered perquisites by the SEC.</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Plan-Based Awards in 2013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346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3"/>
                <w:szCs w:val="13"/>
                <w:b w:val="1"/>
                <w:bCs w:val="1"/>
                <w:color w:val="auto"/>
                <w:w w:val="96"/>
              </w:rPr>
              <w:t>Estimated Possible Payouts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jc w:val="right"/>
              <w:ind w:right="54"/>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720" w:type="dxa"/>
            <w:vAlign w:val="bottom"/>
          </w:tcPr>
          <w:p>
            <w:pPr>
              <w:spacing w:after="0"/>
              <w:rPr>
                <w:sz w:val="11"/>
                <w:szCs w:val="11"/>
                <w:color w:val="auto"/>
              </w:rPr>
            </w:pPr>
          </w:p>
        </w:tc>
        <w:tc>
          <w:tcPr>
            <w:tcW w:w="7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Closing</w:t>
            </w:r>
          </w:p>
        </w:tc>
        <w:tc>
          <w:tcPr>
            <w:tcW w:w="840" w:type="dxa"/>
            <w:vAlign w:val="bottom"/>
          </w:tcPr>
          <w:p>
            <w:pPr>
              <w:jc w:val="right"/>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34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vMerge w:val="restart"/>
          </w:tcPr>
          <w:p>
            <w:pPr>
              <w:jc w:val="right"/>
              <w:ind w:right="54"/>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720" w:type="dxa"/>
            <w:vAlign w:val="bottom"/>
            <w:vMerge w:val="restart"/>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720" w:type="dxa"/>
            <w:vAlign w:val="bottom"/>
            <w:vMerge w:val="restart"/>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840" w:type="dxa"/>
            <w:vAlign w:val="bottom"/>
            <w:vMerge w:val="restart"/>
          </w:tcPr>
          <w:p>
            <w:pPr>
              <w:jc w:val="right"/>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Date Fair</w:t>
            </w:r>
          </w:p>
        </w:tc>
        <w:tc>
          <w:tcPr>
            <w:tcW w:w="0" w:type="dxa"/>
            <w:vAlign w:val="bottom"/>
          </w:tcPr>
          <w:p>
            <w:pPr>
              <w:spacing w:after="0"/>
              <w:rPr>
                <w:sz w:val="1"/>
                <w:szCs w:val="1"/>
                <w:color w:val="auto"/>
              </w:rPr>
            </w:pPr>
          </w:p>
        </w:tc>
      </w:tr>
      <w:tr>
        <w:trPr>
          <w:trHeight w:val="54"/>
        </w:trPr>
        <w:tc>
          <w:tcPr>
            <w:tcW w:w="2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 Non-Equity</w:t>
            </w:r>
          </w:p>
        </w:tc>
        <w:tc>
          <w:tcPr>
            <w:tcW w:w="780" w:type="dxa"/>
            <w:vAlign w:val="bottom"/>
          </w:tcPr>
          <w:p>
            <w:pPr>
              <w:spacing w:after="0"/>
              <w:rPr>
                <w:sz w:val="4"/>
                <w:szCs w:val="4"/>
                <w:color w:val="auto"/>
              </w:rPr>
            </w:pPr>
          </w:p>
        </w:tc>
        <w:tc>
          <w:tcPr>
            <w:tcW w:w="240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8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880" w:type="dxa"/>
            <w:vAlign w:val="bottom"/>
          </w:tcPr>
          <w:p>
            <w:pPr>
              <w:jc w:val="right"/>
              <w:ind w:right="54"/>
              <w:spacing w:after="0" w:line="12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Pr>
          <w:p>
            <w:pPr>
              <w:jc w:val="right"/>
              <w:ind w:right="53"/>
              <w:spacing w:after="0" w:line="128" w:lineRule="exact"/>
              <w:rPr>
                <w:sz w:val="20"/>
                <w:szCs w:val="20"/>
                <w:color w:val="auto"/>
              </w:rPr>
            </w:pPr>
            <w:r>
              <w:rPr>
                <w:rFonts w:ascii="Times New Roman" w:cs="Times New Roman" w:eastAsia="Times New Roman" w:hAnsi="Times New Roman"/>
                <w:sz w:val="13"/>
                <w:szCs w:val="13"/>
                <w:b w:val="1"/>
                <w:bCs w:val="1"/>
                <w:color w:val="auto"/>
              </w:rPr>
              <w:t>or Base</w:t>
            </w:r>
          </w:p>
        </w:tc>
        <w:tc>
          <w:tcPr>
            <w:tcW w:w="720" w:type="dxa"/>
            <w:vAlign w:val="bottom"/>
          </w:tcPr>
          <w:p>
            <w:pPr>
              <w:jc w:val="right"/>
              <w:ind w:right="113"/>
              <w:spacing w:after="0" w:line="128" w:lineRule="exact"/>
              <w:rPr>
                <w:sz w:val="20"/>
                <w:szCs w:val="20"/>
                <w:color w:val="auto"/>
              </w:rPr>
            </w:pPr>
            <w:r>
              <w:rPr>
                <w:rFonts w:ascii="Times New Roman" w:cs="Times New Roman" w:eastAsia="Times New Roman" w:hAnsi="Times New Roman"/>
                <w:sz w:val="13"/>
                <w:szCs w:val="13"/>
                <w:b w:val="1"/>
                <w:bCs w:val="1"/>
                <w:color w:val="auto"/>
              </w:rPr>
              <w:t>Price</w:t>
            </w:r>
          </w:p>
        </w:tc>
        <w:tc>
          <w:tcPr>
            <w:tcW w:w="840" w:type="dxa"/>
            <w:vAlign w:val="bottom"/>
          </w:tcPr>
          <w:p>
            <w:pPr>
              <w:jc w:val="right"/>
              <w:ind w:right="32"/>
              <w:spacing w:after="0" w:line="128"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3460" w:type="dxa"/>
            <w:vAlign w:val="bottom"/>
            <w:gridSpan w:val="3"/>
          </w:tcPr>
          <w:p>
            <w:pPr>
              <w:jc w:val="center"/>
              <w:ind w:left="692"/>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Incentive Plan Awards</w:t>
            </w:r>
            <w:r>
              <w:rPr>
                <w:rFonts w:ascii="Times New Roman" w:cs="Times New Roman" w:eastAsia="Times New Roman" w:hAnsi="Times New Roman"/>
                <w:sz w:val="10"/>
                <w:szCs w:val="10"/>
                <w:b w:val="1"/>
                <w:bCs w:val="1"/>
                <w:color w:val="auto"/>
                <w:w w:val="97"/>
              </w:rPr>
              <w:t>(1)</w:t>
            </w:r>
          </w:p>
        </w:tc>
        <w:tc>
          <w:tcPr>
            <w:tcW w:w="2400" w:type="dxa"/>
            <w:vAlign w:val="bottom"/>
            <w:gridSpan w:val="3"/>
          </w:tcPr>
          <w:p>
            <w:pPr>
              <w:jc w:val="right"/>
              <w:ind w:right="291"/>
              <w:spacing w:after="0" w:line="142" w:lineRule="exact"/>
              <w:rPr>
                <w:sz w:val="20"/>
                <w:szCs w:val="20"/>
                <w:color w:val="auto"/>
              </w:rPr>
            </w:pPr>
            <w:r>
              <w:rPr>
                <w:rFonts w:ascii="Times New Roman" w:cs="Times New Roman" w:eastAsia="Times New Roman" w:hAnsi="Times New Roman"/>
                <w:sz w:val="13"/>
                <w:szCs w:val="13"/>
                <w:b w:val="1"/>
                <w:bCs w:val="1"/>
                <w:color w:val="auto"/>
              </w:rPr>
              <w:t>Equity Incentive Plan Awards</w:t>
            </w:r>
            <w:r>
              <w:rPr>
                <w:rFonts w:ascii="Times New Roman" w:cs="Times New Roman" w:eastAsia="Times New Roman" w:hAnsi="Times New Roman"/>
                <w:sz w:val="10"/>
                <w:szCs w:val="10"/>
                <w:b w:val="1"/>
                <w:bCs w:val="1"/>
                <w:color w:val="auto"/>
              </w:rPr>
              <w:t>(2)</w:t>
            </w:r>
          </w:p>
        </w:tc>
        <w:tc>
          <w:tcPr>
            <w:tcW w:w="88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Price of</w:t>
            </w:r>
          </w:p>
        </w:tc>
        <w:tc>
          <w:tcPr>
            <w:tcW w:w="72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on</w:t>
            </w:r>
          </w:p>
        </w:tc>
        <w:tc>
          <w:tcPr>
            <w:tcW w:w="84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3"/>
                <w:szCs w:val="13"/>
                <w:b w:val="1"/>
                <w:bCs w:val="1"/>
                <w:color w:val="auto"/>
              </w:rPr>
              <w:t>Stock and</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jc w:val="right"/>
              <w:ind w:right="54"/>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720" w:type="dxa"/>
            <w:vAlign w:val="bottom"/>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7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Date of</w:t>
            </w:r>
          </w:p>
        </w:tc>
        <w:tc>
          <w:tcPr>
            <w:tcW w:w="840" w:type="dxa"/>
            <w:vAlign w:val="bottom"/>
          </w:tcPr>
          <w:p>
            <w:pPr>
              <w:jc w:val="right"/>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140" w:type="dxa"/>
            <w:vAlign w:val="bottom"/>
          </w:tcPr>
          <w:p>
            <w:pPr>
              <w:jc w:val="right"/>
              <w:ind w:right="211"/>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780" w:type="dxa"/>
            <w:vAlign w:val="bottom"/>
          </w:tcPr>
          <w:p>
            <w:pPr>
              <w:jc w:val="right"/>
              <w:ind w:right="71"/>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20" w:type="dxa"/>
            <w:vAlign w:val="bottom"/>
          </w:tcPr>
          <w:p>
            <w:pPr>
              <w:jc w:val="right"/>
              <w:ind w:right="72"/>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60" w:type="dxa"/>
            <w:vAlign w:val="bottom"/>
          </w:tcPr>
          <w:p>
            <w:pPr>
              <w:jc w:val="right"/>
              <w:ind w:right="71"/>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820" w:type="dxa"/>
            <w:vAlign w:val="bottom"/>
          </w:tcPr>
          <w:p>
            <w:pPr>
              <w:jc w:val="right"/>
              <w:ind w:right="71"/>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80" w:type="dxa"/>
            <w:vAlign w:val="bottom"/>
          </w:tcPr>
          <w:p>
            <w:pPr>
              <w:jc w:val="right"/>
              <w:ind w:right="54"/>
              <w:spacing w:after="0" w:line="135" w:lineRule="exact"/>
              <w:rPr>
                <w:sz w:val="20"/>
                <w:szCs w:val="20"/>
                <w:color w:val="auto"/>
              </w:rPr>
            </w:pPr>
            <w:r>
              <w:rPr>
                <w:rFonts w:ascii="Times New Roman" w:cs="Times New Roman" w:eastAsia="Times New Roman" w:hAnsi="Times New Roman"/>
                <w:sz w:val="13"/>
                <w:szCs w:val="13"/>
                <w:b w:val="1"/>
                <w:bCs w:val="1"/>
                <w:color w:val="auto"/>
              </w:rPr>
              <w:t>Options</w:t>
            </w:r>
          </w:p>
        </w:tc>
        <w:tc>
          <w:tcPr>
            <w:tcW w:w="720" w:type="dxa"/>
            <w:vAlign w:val="bottom"/>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7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840" w:type="dxa"/>
            <w:vAlign w:val="bottom"/>
          </w:tcPr>
          <w:p>
            <w:pPr>
              <w:jc w:val="right"/>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66"/>
        </w:trPr>
        <w:tc>
          <w:tcPr>
            <w:tcW w:w="2400" w:type="dxa"/>
            <w:vAlign w:val="bottom"/>
          </w:tcPr>
          <w:p>
            <w:pPr>
              <w:jc w:val="right"/>
              <w:ind w:right="1569"/>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0"/>
                <w:szCs w:val="10"/>
                <w:b w:val="1"/>
                <w:bCs w:val="1"/>
                <w:color w:val="auto"/>
              </w:rPr>
              <w:t>(3)(4)</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w:t>
            </w:r>
            <w:r>
              <w:rPr>
                <w:rFonts w:ascii="Times New Roman" w:cs="Times New Roman" w:eastAsia="Times New Roman" w:hAnsi="Times New Roman"/>
                <w:sz w:val="10"/>
                <w:szCs w:val="10"/>
                <w:b w:val="1"/>
                <w:bCs w:val="1"/>
                <w:color w:val="auto"/>
              </w:rPr>
              <w:t>(5)</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0"/>
                <w:szCs w:val="10"/>
                <w:b w:val="1"/>
                <w:bCs w:val="1"/>
                <w:color w:val="auto"/>
              </w:rPr>
              <w:t>(6)</w:t>
            </w:r>
          </w:p>
        </w:tc>
        <w:tc>
          <w:tcPr>
            <w:tcW w:w="0" w:type="dxa"/>
            <w:vAlign w:val="bottom"/>
          </w:tcPr>
          <w:p>
            <w:pPr>
              <w:spacing w:after="0"/>
              <w:rPr>
                <w:sz w:val="1"/>
                <w:szCs w:val="1"/>
                <w:color w:val="auto"/>
              </w:rPr>
            </w:pPr>
          </w:p>
        </w:tc>
      </w:tr>
      <w:tr>
        <w:trPr>
          <w:trHeight w:val="151"/>
        </w:trPr>
        <w:tc>
          <w:tcPr>
            <w:tcW w:w="2400" w:type="dxa"/>
            <w:vAlign w:val="bottom"/>
            <w:tcBorders>
              <w:bottom w:val="single" w:sz="8" w:color="7F7F7F"/>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David P. Steiner</w:t>
            </w:r>
          </w:p>
        </w:tc>
        <w:tc>
          <w:tcPr>
            <w:tcW w:w="1540" w:type="dxa"/>
            <w:vAlign w:val="bottom"/>
            <w:tcBorders>
              <w:bottom w:val="single" w:sz="8" w:color="7F7F7F"/>
            </w:tcBorders>
            <w:shd w:val="clear" w:color="auto" w:fill="CCEEFF"/>
          </w:tcPr>
          <w:p>
            <w:pPr>
              <w:spacing w:after="0"/>
              <w:rPr>
                <w:sz w:val="13"/>
                <w:szCs w:val="13"/>
                <w:color w:val="auto"/>
              </w:rPr>
            </w:pPr>
          </w:p>
        </w:tc>
        <w:tc>
          <w:tcPr>
            <w:tcW w:w="1140" w:type="dxa"/>
            <w:vAlign w:val="bottom"/>
            <w:tcBorders>
              <w:bottom w:val="single" w:sz="8" w:color="7F7F7F"/>
            </w:tcBorders>
            <w:shd w:val="clear" w:color="auto" w:fill="CCEEFF"/>
          </w:tcPr>
          <w:p>
            <w:pPr>
              <w:spacing w:after="0"/>
              <w:rPr>
                <w:sz w:val="13"/>
                <w:szCs w:val="13"/>
                <w:color w:val="auto"/>
              </w:rPr>
            </w:pPr>
          </w:p>
        </w:tc>
        <w:tc>
          <w:tcPr>
            <w:tcW w:w="780" w:type="dxa"/>
            <w:vAlign w:val="bottom"/>
            <w:tcBorders>
              <w:bottom w:val="single" w:sz="8" w:color="7F7F7F"/>
            </w:tcBorders>
            <w:shd w:val="clear" w:color="auto" w:fill="CCEEFF"/>
          </w:tcPr>
          <w:p>
            <w:pPr>
              <w:spacing w:after="0"/>
              <w:rPr>
                <w:sz w:val="13"/>
                <w:szCs w:val="13"/>
                <w:color w:val="auto"/>
              </w:rPr>
            </w:pPr>
          </w:p>
        </w:tc>
        <w:tc>
          <w:tcPr>
            <w:tcW w:w="820" w:type="dxa"/>
            <w:vAlign w:val="bottom"/>
            <w:tcBorders>
              <w:bottom w:val="single" w:sz="8" w:color="7F7F7F"/>
            </w:tcBorders>
            <w:shd w:val="clear" w:color="auto" w:fill="CCEEFF"/>
          </w:tcPr>
          <w:p>
            <w:pPr>
              <w:spacing w:after="0"/>
              <w:rPr>
                <w:sz w:val="13"/>
                <w:szCs w:val="13"/>
                <w:color w:val="auto"/>
              </w:rPr>
            </w:pPr>
          </w:p>
        </w:tc>
        <w:tc>
          <w:tcPr>
            <w:tcW w:w="760" w:type="dxa"/>
            <w:vAlign w:val="bottom"/>
            <w:tcBorders>
              <w:bottom w:val="single" w:sz="8" w:color="7F7F7F"/>
            </w:tcBorders>
            <w:shd w:val="clear" w:color="auto" w:fill="CCEEFF"/>
          </w:tcPr>
          <w:p>
            <w:pPr>
              <w:spacing w:after="0"/>
              <w:rPr>
                <w:sz w:val="13"/>
                <w:szCs w:val="13"/>
                <w:color w:val="auto"/>
              </w:rPr>
            </w:pPr>
          </w:p>
        </w:tc>
        <w:tc>
          <w:tcPr>
            <w:tcW w:w="820" w:type="dxa"/>
            <w:vAlign w:val="bottom"/>
            <w:tcBorders>
              <w:bottom w:val="single" w:sz="8" w:color="7F7F7F"/>
            </w:tcBorders>
            <w:shd w:val="clear" w:color="auto" w:fill="CCEEFF"/>
          </w:tcPr>
          <w:p>
            <w:pPr>
              <w:spacing w:after="0"/>
              <w:rPr>
                <w:sz w:val="13"/>
                <w:szCs w:val="13"/>
                <w:color w:val="auto"/>
              </w:rPr>
            </w:pPr>
          </w:p>
        </w:tc>
        <w:tc>
          <w:tcPr>
            <w:tcW w:w="880" w:type="dxa"/>
            <w:vAlign w:val="bottom"/>
            <w:tcBorders>
              <w:bottom w:val="single" w:sz="8" w:color="7F7F7F"/>
            </w:tcBorders>
            <w:shd w:val="clear" w:color="auto" w:fill="CCEEFF"/>
          </w:tcPr>
          <w:p>
            <w:pPr>
              <w:spacing w:after="0"/>
              <w:rPr>
                <w:sz w:val="13"/>
                <w:szCs w:val="13"/>
                <w:color w:val="auto"/>
              </w:rPr>
            </w:pPr>
          </w:p>
        </w:tc>
        <w:tc>
          <w:tcPr>
            <w:tcW w:w="720" w:type="dxa"/>
            <w:vAlign w:val="bottom"/>
            <w:tcBorders>
              <w:bottom w:val="single" w:sz="8" w:color="7F7F7F"/>
            </w:tcBorders>
            <w:shd w:val="clear" w:color="auto" w:fill="CCEEFF"/>
          </w:tcPr>
          <w:p>
            <w:pPr>
              <w:spacing w:after="0"/>
              <w:rPr>
                <w:sz w:val="13"/>
                <w:szCs w:val="13"/>
                <w:color w:val="auto"/>
              </w:rPr>
            </w:pPr>
          </w:p>
        </w:tc>
        <w:tc>
          <w:tcPr>
            <w:tcW w:w="720" w:type="dxa"/>
            <w:vAlign w:val="bottom"/>
            <w:tcBorders>
              <w:bottom w:val="single" w:sz="8" w:color="7F7F7F"/>
            </w:tcBorders>
            <w:shd w:val="clear" w:color="auto" w:fill="CCEEFF"/>
          </w:tcPr>
          <w:p>
            <w:pPr>
              <w:spacing w:after="0"/>
              <w:rPr>
                <w:sz w:val="13"/>
                <w:szCs w:val="13"/>
                <w:color w:val="auto"/>
              </w:rPr>
            </w:pPr>
          </w:p>
        </w:tc>
        <w:tc>
          <w:tcPr>
            <w:tcW w:w="840" w:type="dxa"/>
            <w:vAlign w:val="bottom"/>
            <w:tcBorders>
              <w:bottom w:val="single" w:sz="8" w:color="7F7F7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931,891</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1,553,151</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3,106,302</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78,800</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131,333</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262,666</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5,692,630</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282,775</w:t>
            </w:r>
          </w:p>
        </w:tc>
        <w:tc>
          <w:tcPr>
            <w:tcW w:w="7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36.92</w:t>
            </w:r>
          </w:p>
        </w:tc>
        <w:tc>
          <w:tcPr>
            <w:tcW w:w="8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1,201,794</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James E. Trevathan, Jr.</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300,490</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500,817</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1,001,634</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16,417</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27,361</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54,722</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1,185,964</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58,911</w:t>
            </w:r>
          </w:p>
        </w:tc>
        <w:tc>
          <w:tcPr>
            <w:tcW w:w="7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36.92</w:t>
            </w:r>
          </w:p>
        </w:tc>
        <w:tc>
          <w:tcPr>
            <w:tcW w:w="8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250,372</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James C. Fish, Jr.</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260,198</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433,663</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867,326</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15,326</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25,544</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51,088</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1,107,205</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55,000</w:t>
            </w:r>
          </w:p>
        </w:tc>
        <w:tc>
          <w:tcPr>
            <w:tcW w:w="7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36.92</w:t>
            </w:r>
          </w:p>
        </w:tc>
        <w:tc>
          <w:tcPr>
            <w:tcW w:w="8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233,750</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Jeff M. Harris</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246,244</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410,407</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820,814</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14,013</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23,355</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46,710</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1,012,324</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50,287</w:t>
            </w:r>
          </w:p>
        </w:tc>
        <w:tc>
          <w:tcPr>
            <w:tcW w:w="7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36.92</w:t>
            </w:r>
          </w:p>
        </w:tc>
        <w:tc>
          <w:tcPr>
            <w:tcW w:w="8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213,720</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John J. Morris, Jr.</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202,931</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338,219</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676,438</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11,387</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18,978</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37,956</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822,601</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Times New Roman" w:cs="Times New Roman" w:eastAsia="Times New Roman" w:hAnsi="Times New Roman"/>
                <w:sz w:val="14"/>
                <w:szCs w:val="14"/>
                <w:color w:val="auto"/>
              </w:rPr>
              <w:t>03/08/13</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40,861</w:t>
            </w:r>
          </w:p>
        </w:tc>
        <w:tc>
          <w:tcPr>
            <w:tcW w:w="7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36.92</w:t>
            </w:r>
          </w:p>
        </w:tc>
        <w:tc>
          <w:tcPr>
            <w:tcW w:w="8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173,659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200" w:hanging="332"/>
        <w:spacing w:after="0" w:line="236"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payouts of our 2013 cash incentive awards pursuant to our Annual Incentive Plan are shown in the Summary Compensation Table under “Non-Equity Incentive Plan Compensation.” The named executives’ target and maximum bonuses are a percentage of base salary approved by the MD&amp;C Committee. The threshold levels represent the bonus amounts that would have been payable if the minimum performance requirements were met for each performance measure. Please see “Compensation Discussion and Analysis — Named Executive’s 2013 Compensation Program and Results — Annual Cash Incentive” for additional information about these awards, including performance criteria.</w:t>
      </w:r>
    </w:p>
    <w:p>
      <w:pPr>
        <w:spacing w:after="0" w:line="82" w:lineRule="exact"/>
        <w:rPr>
          <w:rFonts w:ascii="Times New Roman" w:cs="Times New Roman" w:eastAsia="Times New Roman" w:hAnsi="Times New Roman"/>
          <w:sz w:val="14"/>
          <w:szCs w:val="14"/>
          <w:color w:val="auto"/>
        </w:rPr>
      </w:pPr>
    </w:p>
    <w:p>
      <w:pPr>
        <w:ind w:left="340" w:right="20" w:hanging="332"/>
        <w:spacing w:after="0" w:line="236"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of Common Stock potentially issuable based on the achievement of performance criteria under performance share unit awards granted under our 2009 Stock Incentive Plan. Please see “Compensation Discussion and Analysis — Named Executive’s 2013 Compensation Program and Results — Long-Term Equity Incentives — Performance Share Units” for additional information about these awards, including performance criteria. The performance period for these awards ends December 31, 2015. Performance share units earn dividend equivalents, which are paid out based on the number of shares actually earned, if any, at the end of the performance period.</w:t>
      </w:r>
    </w:p>
    <w:p>
      <w:pPr>
        <w:spacing w:after="0" w:line="82" w:lineRule="exact"/>
        <w:rPr>
          <w:rFonts w:ascii="Times New Roman" w:cs="Times New Roman" w:eastAsia="Times New Roman" w:hAnsi="Times New Roman"/>
          <w:sz w:val="14"/>
          <w:szCs w:val="14"/>
          <w:color w:val="auto"/>
        </w:rPr>
      </w:pPr>
    </w:p>
    <w:p>
      <w:pPr>
        <w:ind w:left="340" w:right="100" w:hanging="332"/>
        <w:spacing w:after="0" w:line="241"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option awards are not included as “Equity Incentive Plan Awards” in the table above or the Outstanding Equity Awards at December 31, 2013 table.</w:t>
      </w:r>
    </w:p>
    <w:p>
      <w:pPr>
        <w:spacing w:after="0" w:line="82" w:lineRule="exact"/>
        <w:rPr>
          <w:rFonts w:ascii="Times New Roman" w:cs="Times New Roman" w:eastAsia="Times New Roman" w:hAnsi="Times New Roman"/>
          <w:sz w:val="14"/>
          <w:szCs w:val="14"/>
          <w:color w:val="auto"/>
        </w:rPr>
      </w:pPr>
    </w:p>
    <w:p>
      <w:pPr>
        <w:ind w:left="340" w:right="40" w:hanging="332"/>
        <w:spacing w:after="0" w:line="241"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of Common Stock potentially issuable upon the exercise of options granted under our 2009 Stock Incentive Plan. Please see “Compensation Discussion and Analysis — Named Executive’s 2013 Compensation Program and Results — Long-Term Equity Incentives — Stock Options” for additional information about these awards. The stock options will vest in 25% increments on the first two anniversaries of the date of grant and the remaining 50% will vest on the third anniversary.</w:t>
      </w:r>
    </w:p>
    <w:p>
      <w:pPr>
        <w:spacing w:after="0" w:line="8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represents the average of the high and low market price on the date of the grant, in accordance with our 2009 Stock Incentive Plan.</w:t>
      </w:r>
    </w:p>
    <w:p>
      <w:pPr>
        <w:spacing w:after="0" w:line="109" w:lineRule="exact"/>
        <w:rPr>
          <w:rFonts w:ascii="Times New Roman" w:cs="Times New Roman" w:eastAsia="Times New Roman" w:hAnsi="Times New Roman"/>
          <w:sz w:val="14"/>
          <w:szCs w:val="14"/>
          <w:color w:val="auto"/>
        </w:rPr>
      </w:pPr>
    </w:p>
    <w:p>
      <w:pPr>
        <w:ind w:left="340" w:right="220" w:hanging="332"/>
        <w:spacing w:after="0" w:line="262"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grant date fair value of the awards as calculated under ASC Topic 718, as further described in Note 16 in the Notes to the Consolidated Financial Statements in our 2013 Annual Report on Form 10-K.</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2013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2"/>
                <w:szCs w:val="12"/>
                <w:b w:val="1"/>
                <w:bCs w:val="1"/>
                <w:color w:val="auto"/>
              </w:rPr>
              <w:t>(1)</w:t>
            </w: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i w:val="1"/>
                <w:iCs w:val="1"/>
                <w:color w:val="auto"/>
              </w:rPr>
              <w:t>Equity</w:t>
            </w:r>
          </w:p>
        </w:tc>
        <w:tc>
          <w:tcPr>
            <w:tcW w:w="0" w:type="dxa"/>
            <w:vAlign w:val="bottom"/>
          </w:tcPr>
          <w:p>
            <w:pPr>
              <w:spacing w:after="0"/>
              <w:rPr>
                <w:sz w:val="1"/>
                <w:szCs w:val="1"/>
                <w:color w:val="auto"/>
              </w:rPr>
            </w:pPr>
          </w:p>
        </w:tc>
      </w:tr>
      <w:tr>
        <w:trPr>
          <w:trHeight w:val="134"/>
        </w:trPr>
        <w:tc>
          <w:tcPr>
            <w:tcW w:w="2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i w:val="1"/>
                <w:iCs w:val="1"/>
                <w:color w:val="auto"/>
              </w:rPr>
              <w:t>Equity</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i w:val="1"/>
                <w:iCs w:val="1"/>
                <w:color w:val="auto"/>
              </w:rPr>
              <w:t>Incentive</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i w:val="1"/>
                <w:iCs w:val="1"/>
                <w:color w:val="auto"/>
              </w:rPr>
              <w:t>Incentive</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i w:val="1"/>
                <w:iCs w:val="1"/>
                <w:color w:val="auto"/>
              </w:rPr>
              <w:t>Plan</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i w:val="1"/>
                <w:iCs w:val="1"/>
                <w:color w:val="auto"/>
              </w:rPr>
              <w:t>Plan</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i w:val="1"/>
                <w:iCs w:val="1"/>
                <w:color w:val="auto"/>
              </w:rPr>
              <w:t>Awards:</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i w:val="1"/>
                <w:iCs w:val="1"/>
                <w:color w:val="auto"/>
              </w:rPr>
              <w:t>Awards:</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vMerge w:val="continue"/>
          </w:tcPr>
          <w:p>
            <w:pPr>
              <w:spacing w:after="0"/>
              <w:rPr>
                <w:sz w:val="12"/>
                <w:szCs w:val="12"/>
                <w:color w:val="auto"/>
              </w:rPr>
            </w:pP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9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9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vMerge w:val="continue"/>
          </w:tcPr>
          <w:p>
            <w:pPr>
              <w:spacing w:after="0"/>
              <w:rPr>
                <w:sz w:val="12"/>
                <w:szCs w:val="12"/>
                <w:color w:val="auto"/>
              </w:rPr>
            </w:pPr>
          </w:p>
        </w:tc>
        <w:tc>
          <w:tcPr>
            <w:tcW w:w="10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vMerge w:val="continue"/>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9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9"/>
        </w:trPr>
        <w:tc>
          <w:tcPr>
            <w:tcW w:w="2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3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9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2340" w:type="dxa"/>
            <w:vAlign w:val="bottom"/>
            <w:vMerge w:val="continue"/>
          </w:tcPr>
          <w:p>
            <w:pPr>
              <w:spacing w:after="0"/>
              <w:rPr>
                <w:sz w:val="15"/>
                <w:szCs w:val="15"/>
                <w:color w:val="auto"/>
              </w:rPr>
            </w:pPr>
          </w:p>
        </w:tc>
        <w:tc>
          <w:tcPr>
            <w:tcW w:w="18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8"/>
                <w:szCs w:val="8"/>
                <w:b w:val="1"/>
                <w:bCs w:val="1"/>
                <w:color w:val="auto"/>
              </w:rPr>
              <w:t>2)</w:t>
            </w:r>
          </w:p>
        </w:tc>
        <w:tc>
          <w:tcPr>
            <w:tcW w:w="13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(8)</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(9)</w:t>
            </w: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0" w:type="dxa"/>
            <w:vAlign w:val="bottom"/>
          </w:tcPr>
          <w:p>
            <w:pPr>
              <w:spacing w:after="0"/>
              <w:rPr>
                <w:sz w:val="1"/>
                <w:szCs w:val="1"/>
                <w:color w:val="auto"/>
              </w:rPr>
            </w:pPr>
          </w:p>
        </w:tc>
      </w:tr>
      <w:tr>
        <w:trPr>
          <w:trHeight w:val="149"/>
        </w:trPr>
        <w:tc>
          <w:tcPr>
            <w:tcW w:w="234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David. P. Steiner</w:t>
            </w:r>
          </w:p>
        </w:tc>
        <w:tc>
          <w:tcPr>
            <w:tcW w:w="1820" w:type="dxa"/>
            <w:vAlign w:val="bottom"/>
            <w:tcBorders>
              <w:bottom w:val="single" w:sz="8" w:color="7F7F7F"/>
            </w:tcBorders>
            <w:shd w:val="clear" w:color="auto" w:fill="CCEEFF"/>
          </w:tcPr>
          <w:p>
            <w:pPr>
              <w:spacing w:after="0"/>
              <w:rPr>
                <w:sz w:val="12"/>
                <w:szCs w:val="12"/>
                <w:color w:val="auto"/>
              </w:rPr>
            </w:pPr>
          </w:p>
        </w:tc>
        <w:tc>
          <w:tcPr>
            <w:tcW w:w="1300" w:type="dxa"/>
            <w:vAlign w:val="bottom"/>
            <w:tcBorders>
              <w:bottom w:val="single" w:sz="8" w:color="7F7F7F"/>
            </w:tcBorders>
            <w:shd w:val="clear" w:color="auto" w:fill="CCEEFF"/>
          </w:tcPr>
          <w:p>
            <w:pPr>
              <w:spacing w:after="0"/>
              <w:rPr>
                <w:sz w:val="12"/>
                <w:szCs w:val="12"/>
                <w:color w:val="auto"/>
              </w:rPr>
            </w:pPr>
          </w:p>
        </w:tc>
        <w:tc>
          <w:tcPr>
            <w:tcW w:w="800" w:type="dxa"/>
            <w:vAlign w:val="bottom"/>
            <w:tcBorders>
              <w:bottom w:val="single" w:sz="8" w:color="7F7F7F"/>
            </w:tcBorders>
            <w:shd w:val="clear" w:color="auto" w:fill="CCEEFF"/>
          </w:tcPr>
          <w:p>
            <w:pPr>
              <w:spacing w:after="0"/>
              <w:rPr>
                <w:sz w:val="12"/>
                <w:szCs w:val="12"/>
                <w:color w:val="auto"/>
              </w:rPr>
            </w:pPr>
          </w:p>
        </w:tc>
        <w:tc>
          <w:tcPr>
            <w:tcW w:w="1040" w:type="dxa"/>
            <w:vAlign w:val="bottom"/>
            <w:tcBorders>
              <w:bottom w:val="single" w:sz="8" w:color="7F7F7F"/>
            </w:tcBorders>
            <w:shd w:val="clear" w:color="auto" w:fill="CCEEFF"/>
          </w:tcPr>
          <w:p>
            <w:pPr>
              <w:spacing w:after="0"/>
              <w:rPr>
                <w:sz w:val="12"/>
                <w:szCs w:val="12"/>
                <w:color w:val="auto"/>
              </w:rPr>
            </w:pPr>
          </w:p>
        </w:tc>
        <w:tc>
          <w:tcPr>
            <w:tcW w:w="1020" w:type="dxa"/>
            <w:vAlign w:val="bottom"/>
            <w:tcBorders>
              <w:bottom w:val="single" w:sz="8" w:color="7F7F7F"/>
            </w:tcBorders>
            <w:shd w:val="clear" w:color="auto" w:fill="CCEEFF"/>
          </w:tcPr>
          <w:p>
            <w:pPr>
              <w:spacing w:after="0"/>
              <w:rPr>
                <w:sz w:val="12"/>
                <w:szCs w:val="12"/>
                <w:color w:val="auto"/>
              </w:rPr>
            </w:pPr>
          </w:p>
        </w:tc>
        <w:tc>
          <w:tcPr>
            <w:tcW w:w="960" w:type="dxa"/>
            <w:vAlign w:val="bottom"/>
            <w:tcBorders>
              <w:bottom w:val="single" w:sz="8" w:color="7F7F7F"/>
            </w:tcBorders>
            <w:shd w:val="clear" w:color="auto" w:fill="CCEEFF"/>
          </w:tcPr>
          <w:p>
            <w:pPr>
              <w:spacing w:after="0"/>
              <w:rPr>
                <w:sz w:val="12"/>
                <w:szCs w:val="12"/>
                <w:color w:val="auto"/>
              </w:rPr>
            </w:pPr>
          </w:p>
        </w:tc>
        <w:tc>
          <w:tcPr>
            <w:tcW w:w="1060" w:type="dxa"/>
            <w:vAlign w:val="bottom"/>
            <w:tcBorders>
              <w:bottom w:val="single" w:sz="8" w:color="7F7F7F"/>
            </w:tcBorders>
            <w:shd w:val="clear" w:color="auto" w:fill="CCEEFF"/>
          </w:tcPr>
          <w:p>
            <w:pPr>
              <w:spacing w:after="0"/>
              <w:rPr>
                <w:sz w:val="12"/>
                <w:szCs w:val="12"/>
                <w:color w:val="auto"/>
              </w:rPr>
            </w:pPr>
          </w:p>
        </w:tc>
        <w:tc>
          <w:tcPr>
            <w:tcW w:w="108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282,775(3)</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03/08/2023</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269,916</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12,111,131</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54,720</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164,161(4)</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34.935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03/09/2022</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291,666</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291,667(5)</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37.185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03/09/2021</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331,008</w:t>
            </w:r>
          </w:p>
        </w:tc>
        <w:tc>
          <w:tcPr>
            <w:tcW w:w="130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33.49</w:t>
            </w:r>
          </w:p>
        </w:tc>
        <w:tc>
          <w:tcPr>
            <w:tcW w:w="10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03/09/2020</w:t>
            </w:r>
          </w:p>
        </w:tc>
        <w:tc>
          <w:tcPr>
            <w:tcW w:w="10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James E. Trevathan, Jr.</w:t>
            </w:r>
          </w:p>
        </w:tc>
        <w:tc>
          <w:tcPr>
            <w:tcW w:w="1820" w:type="dxa"/>
            <w:vAlign w:val="bottom"/>
            <w:tcBorders>
              <w:bottom w:val="single" w:sz="8" w:color="7F7F7F"/>
            </w:tcBorders>
          </w:tcPr>
          <w:p>
            <w:pPr>
              <w:spacing w:after="0"/>
              <w:rPr>
                <w:sz w:val="12"/>
                <w:szCs w:val="12"/>
                <w:color w:val="auto"/>
              </w:rPr>
            </w:pPr>
          </w:p>
        </w:tc>
        <w:tc>
          <w:tcPr>
            <w:tcW w:w="1300" w:type="dxa"/>
            <w:vAlign w:val="bottom"/>
            <w:tcBorders>
              <w:bottom w:val="single" w:sz="8" w:color="7F7F7F"/>
            </w:tcBorders>
          </w:tcPr>
          <w:p>
            <w:pPr>
              <w:spacing w:after="0"/>
              <w:rPr>
                <w:sz w:val="12"/>
                <w:szCs w:val="12"/>
                <w:color w:val="auto"/>
              </w:rPr>
            </w:pPr>
          </w:p>
        </w:tc>
        <w:tc>
          <w:tcPr>
            <w:tcW w:w="80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1020" w:type="dxa"/>
            <w:vAlign w:val="bottom"/>
            <w:tcBorders>
              <w:bottom w:val="single" w:sz="8" w:color="7F7F7F"/>
            </w:tcBorders>
          </w:tcPr>
          <w:p>
            <w:pPr>
              <w:spacing w:after="0"/>
              <w:rPr>
                <w:sz w:val="12"/>
                <w:szCs w:val="12"/>
                <w:color w:val="auto"/>
              </w:rPr>
            </w:pPr>
          </w:p>
        </w:tc>
        <w:tc>
          <w:tcPr>
            <w:tcW w:w="960" w:type="dxa"/>
            <w:vAlign w:val="bottom"/>
            <w:tcBorders>
              <w:bottom w:val="single" w:sz="8" w:color="7F7F7F"/>
            </w:tcBorders>
          </w:tcPr>
          <w:p>
            <w:pPr>
              <w:spacing w:after="0"/>
              <w:rPr>
                <w:sz w:val="12"/>
                <w:szCs w:val="12"/>
                <w:color w:val="auto"/>
              </w:rPr>
            </w:pPr>
          </w:p>
        </w:tc>
        <w:tc>
          <w:tcPr>
            <w:tcW w:w="1060" w:type="dxa"/>
            <w:vAlign w:val="bottom"/>
            <w:tcBorders>
              <w:bottom w:val="single" w:sz="8" w:color="7F7F7F"/>
            </w:tcBorders>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58,911(3)</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03/08/2023</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52,012</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2,333,778</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9,733</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29,202(4)</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34.935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03/09/2022</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75,000</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75,000(6)</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37.585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07/05/2021</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54,540</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54,544(5)</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37.185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03/09/2021</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51,657</w:t>
            </w:r>
          </w:p>
        </w:tc>
        <w:tc>
          <w:tcPr>
            <w:tcW w:w="130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33.49</w:t>
            </w:r>
          </w:p>
        </w:tc>
        <w:tc>
          <w:tcPr>
            <w:tcW w:w="10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03/09/2020</w:t>
            </w:r>
          </w:p>
        </w:tc>
        <w:tc>
          <w:tcPr>
            <w:tcW w:w="10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James C. Fish, Jr.</w:t>
            </w:r>
          </w:p>
        </w:tc>
        <w:tc>
          <w:tcPr>
            <w:tcW w:w="1820" w:type="dxa"/>
            <w:vAlign w:val="bottom"/>
            <w:tcBorders>
              <w:bottom w:val="single" w:sz="8" w:color="7F7F7F"/>
            </w:tcBorders>
          </w:tcPr>
          <w:p>
            <w:pPr>
              <w:spacing w:after="0"/>
              <w:rPr>
                <w:sz w:val="12"/>
                <w:szCs w:val="12"/>
                <w:color w:val="auto"/>
              </w:rPr>
            </w:pPr>
          </w:p>
        </w:tc>
        <w:tc>
          <w:tcPr>
            <w:tcW w:w="1300" w:type="dxa"/>
            <w:vAlign w:val="bottom"/>
            <w:tcBorders>
              <w:bottom w:val="single" w:sz="8" w:color="7F7F7F"/>
            </w:tcBorders>
          </w:tcPr>
          <w:p>
            <w:pPr>
              <w:spacing w:after="0"/>
              <w:rPr>
                <w:sz w:val="12"/>
                <w:szCs w:val="12"/>
                <w:color w:val="auto"/>
              </w:rPr>
            </w:pPr>
          </w:p>
        </w:tc>
        <w:tc>
          <w:tcPr>
            <w:tcW w:w="80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1020" w:type="dxa"/>
            <w:vAlign w:val="bottom"/>
            <w:tcBorders>
              <w:bottom w:val="single" w:sz="8" w:color="7F7F7F"/>
            </w:tcBorders>
          </w:tcPr>
          <w:p>
            <w:pPr>
              <w:spacing w:after="0"/>
              <w:rPr>
                <w:sz w:val="12"/>
                <w:szCs w:val="12"/>
                <w:color w:val="auto"/>
              </w:rPr>
            </w:pPr>
          </w:p>
        </w:tc>
        <w:tc>
          <w:tcPr>
            <w:tcW w:w="960" w:type="dxa"/>
            <w:vAlign w:val="bottom"/>
            <w:tcBorders>
              <w:bottom w:val="single" w:sz="8" w:color="7F7F7F"/>
            </w:tcBorders>
          </w:tcPr>
          <w:p>
            <w:pPr>
              <w:spacing w:after="0"/>
              <w:rPr>
                <w:sz w:val="12"/>
                <w:szCs w:val="12"/>
                <w:color w:val="auto"/>
              </w:rPr>
            </w:pPr>
          </w:p>
        </w:tc>
        <w:tc>
          <w:tcPr>
            <w:tcW w:w="1060" w:type="dxa"/>
            <w:vAlign w:val="bottom"/>
            <w:tcBorders>
              <w:bottom w:val="single" w:sz="8" w:color="7F7F7F"/>
            </w:tcBorders>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55,000(3)</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03/08/2023</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4,412</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197,966</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45,361</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2,035,348</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8,865</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26,596(7)</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34.945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08/07/2022</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7,825</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23,475(4)</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34.935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03/09/2022</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23,316</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23,316(6)</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37.585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07/05/2021</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11,614</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11,616(5)</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37.185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03/09/2021</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14,632</w:t>
            </w:r>
          </w:p>
        </w:tc>
        <w:tc>
          <w:tcPr>
            <w:tcW w:w="13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33.49</w:t>
            </w:r>
          </w:p>
        </w:tc>
        <w:tc>
          <w:tcPr>
            <w:tcW w:w="10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03/09/2020</w:t>
            </w:r>
          </w:p>
        </w:tc>
        <w:tc>
          <w:tcPr>
            <w:tcW w:w="10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Jeff M. Harris</w:t>
            </w:r>
          </w:p>
        </w:tc>
        <w:tc>
          <w:tcPr>
            <w:tcW w:w="1820" w:type="dxa"/>
            <w:vAlign w:val="bottom"/>
            <w:tcBorders>
              <w:bottom w:val="single" w:sz="8" w:color="7F7F7F"/>
            </w:tcBorders>
            <w:shd w:val="clear" w:color="auto" w:fill="CCEEFF"/>
          </w:tcPr>
          <w:p>
            <w:pPr>
              <w:spacing w:after="0"/>
              <w:rPr>
                <w:sz w:val="12"/>
                <w:szCs w:val="12"/>
                <w:color w:val="auto"/>
              </w:rPr>
            </w:pPr>
          </w:p>
        </w:tc>
        <w:tc>
          <w:tcPr>
            <w:tcW w:w="1300" w:type="dxa"/>
            <w:vAlign w:val="bottom"/>
            <w:tcBorders>
              <w:bottom w:val="single" w:sz="8" w:color="7F7F7F"/>
            </w:tcBorders>
            <w:shd w:val="clear" w:color="auto" w:fill="CCEEFF"/>
          </w:tcPr>
          <w:p>
            <w:pPr>
              <w:spacing w:after="0"/>
              <w:rPr>
                <w:sz w:val="12"/>
                <w:szCs w:val="12"/>
                <w:color w:val="auto"/>
              </w:rPr>
            </w:pPr>
          </w:p>
        </w:tc>
        <w:tc>
          <w:tcPr>
            <w:tcW w:w="800" w:type="dxa"/>
            <w:vAlign w:val="bottom"/>
            <w:tcBorders>
              <w:bottom w:val="single" w:sz="8" w:color="7F7F7F"/>
            </w:tcBorders>
            <w:shd w:val="clear" w:color="auto" w:fill="CCEEFF"/>
          </w:tcPr>
          <w:p>
            <w:pPr>
              <w:spacing w:after="0"/>
              <w:rPr>
                <w:sz w:val="12"/>
                <w:szCs w:val="12"/>
                <w:color w:val="auto"/>
              </w:rPr>
            </w:pPr>
          </w:p>
        </w:tc>
        <w:tc>
          <w:tcPr>
            <w:tcW w:w="1040" w:type="dxa"/>
            <w:vAlign w:val="bottom"/>
            <w:tcBorders>
              <w:bottom w:val="single" w:sz="8" w:color="7F7F7F"/>
            </w:tcBorders>
            <w:shd w:val="clear" w:color="auto" w:fill="CCEEFF"/>
          </w:tcPr>
          <w:p>
            <w:pPr>
              <w:spacing w:after="0"/>
              <w:rPr>
                <w:sz w:val="12"/>
                <w:szCs w:val="12"/>
                <w:color w:val="auto"/>
              </w:rPr>
            </w:pPr>
          </w:p>
        </w:tc>
        <w:tc>
          <w:tcPr>
            <w:tcW w:w="1020" w:type="dxa"/>
            <w:vAlign w:val="bottom"/>
            <w:tcBorders>
              <w:bottom w:val="single" w:sz="8" w:color="7F7F7F"/>
            </w:tcBorders>
            <w:shd w:val="clear" w:color="auto" w:fill="CCEEFF"/>
          </w:tcPr>
          <w:p>
            <w:pPr>
              <w:spacing w:after="0"/>
              <w:rPr>
                <w:sz w:val="12"/>
                <w:szCs w:val="12"/>
                <w:color w:val="auto"/>
              </w:rPr>
            </w:pPr>
          </w:p>
        </w:tc>
        <w:tc>
          <w:tcPr>
            <w:tcW w:w="960" w:type="dxa"/>
            <w:vAlign w:val="bottom"/>
            <w:tcBorders>
              <w:bottom w:val="single" w:sz="8" w:color="7F7F7F"/>
            </w:tcBorders>
            <w:shd w:val="clear" w:color="auto" w:fill="CCEEFF"/>
          </w:tcPr>
          <w:p>
            <w:pPr>
              <w:spacing w:after="0"/>
              <w:rPr>
                <w:sz w:val="12"/>
                <w:szCs w:val="12"/>
                <w:color w:val="auto"/>
              </w:rPr>
            </w:pPr>
          </w:p>
        </w:tc>
        <w:tc>
          <w:tcPr>
            <w:tcW w:w="1060" w:type="dxa"/>
            <w:vAlign w:val="bottom"/>
            <w:tcBorders>
              <w:bottom w:val="single" w:sz="8" w:color="7F7F7F"/>
            </w:tcBorders>
            <w:shd w:val="clear" w:color="auto" w:fill="CCEEFF"/>
          </w:tcPr>
          <w:p>
            <w:pPr>
              <w:spacing w:after="0"/>
              <w:rPr>
                <w:sz w:val="12"/>
                <w:szCs w:val="12"/>
                <w:color w:val="auto"/>
              </w:rPr>
            </w:pPr>
          </w:p>
        </w:tc>
        <w:tc>
          <w:tcPr>
            <w:tcW w:w="108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50,287(3)</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03/08/2023</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6,061</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271,957</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43,172</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1,937,128</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7,825</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23,475(4)</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34.935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03/09/2022</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54,540</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54,544(5)</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37.185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03/09/2021</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51,657</w:t>
            </w:r>
          </w:p>
        </w:tc>
        <w:tc>
          <w:tcPr>
            <w:tcW w:w="130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33.49</w:t>
            </w:r>
          </w:p>
        </w:tc>
        <w:tc>
          <w:tcPr>
            <w:tcW w:w="10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03/09/2020</w:t>
            </w:r>
          </w:p>
        </w:tc>
        <w:tc>
          <w:tcPr>
            <w:tcW w:w="10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John J. Morris, Jr.</w:t>
            </w:r>
          </w:p>
        </w:tc>
        <w:tc>
          <w:tcPr>
            <w:tcW w:w="1820" w:type="dxa"/>
            <w:vAlign w:val="bottom"/>
            <w:tcBorders>
              <w:bottom w:val="single" w:sz="8" w:color="7F7F7F"/>
            </w:tcBorders>
          </w:tcPr>
          <w:p>
            <w:pPr>
              <w:spacing w:after="0"/>
              <w:rPr>
                <w:sz w:val="12"/>
                <w:szCs w:val="12"/>
                <w:color w:val="auto"/>
              </w:rPr>
            </w:pPr>
          </w:p>
        </w:tc>
        <w:tc>
          <w:tcPr>
            <w:tcW w:w="1300" w:type="dxa"/>
            <w:vAlign w:val="bottom"/>
            <w:tcBorders>
              <w:bottom w:val="single" w:sz="8" w:color="7F7F7F"/>
            </w:tcBorders>
          </w:tcPr>
          <w:p>
            <w:pPr>
              <w:spacing w:after="0"/>
              <w:rPr>
                <w:sz w:val="12"/>
                <w:szCs w:val="12"/>
                <w:color w:val="auto"/>
              </w:rPr>
            </w:pPr>
          </w:p>
        </w:tc>
        <w:tc>
          <w:tcPr>
            <w:tcW w:w="80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1020" w:type="dxa"/>
            <w:vAlign w:val="bottom"/>
            <w:tcBorders>
              <w:bottom w:val="single" w:sz="8" w:color="7F7F7F"/>
            </w:tcBorders>
          </w:tcPr>
          <w:p>
            <w:pPr>
              <w:spacing w:after="0"/>
              <w:rPr>
                <w:sz w:val="12"/>
                <w:szCs w:val="12"/>
                <w:color w:val="auto"/>
              </w:rPr>
            </w:pPr>
          </w:p>
        </w:tc>
        <w:tc>
          <w:tcPr>
            <w:tcW w:w="960" w:type="dxa"/>
            <w:vAlign w:val="bottom"/>
            <w:tcBorders>
              <w:bottom w:val="single" w:sz="8" w:color="7F7F7F"/>
            </w:tcBorders>
          </w:tcPr>
          <w:p>
            <w:pPr>
              <w:spacing w:after="0"/>
              <w:rPr>
                <w:sz w:val="12"/>
                <w:szCs w:val="12"/>
                <w:color w:val="auto"/>
              </w:rPr>
            </w:pPr>
          </w:p>
        </w:tc>
        <w:tc>
          <w:tcPr>
            <w:tcW w:w="1060" w:type="dxa"/>
            <w:vAlign w:val="bottom"/>
            <w:tcBorders>
              <w:bottom w:val="single" w:sz="8" w:color="7F7F7F"/>
            </w:tcBorders>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40,861(3)</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03/08/2023</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12,121</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543,869</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24,692</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1,107,930</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2,256</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6,769(4)</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34.935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03/09/2022</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11,614</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11,616(5)</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37.185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03/09/2021</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13,302</w:t>
            </w:r>
          </w:p>
        </w:tc>
        <w:tc>
          <w:tcPr>
            <w:tcW w:w="13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33.49</w:t>
            </w:r>
          </w:p>
        </w:tc>
        <w:tc>
          <w:tcPr>
            <w:tcW w:w="10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03/09/2020</w:t>
            </w:r>
          </w:p>
        </w:tc>
        <w:tc>
          <w:tcPr>
            <w:tcW w:w="10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Values are based on the closing price of the Company’s Common Stock on December 31, 2013 of $44.87.</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vested stock options granted on March 9, 2010, March 9, 2011 and March 9, 2012 pursuant to our 2009 Stock Incentive Plan.</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options granted on March 8, 2013 that vest 25% on the first and second anniversary of the date of grant and 50% on the third anniversary of the date of grant.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right="60" w:hanging="332"/>
        <w:spacing w:after="0" w:line="262"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options granted on March 9, 2012 that vested 25% on the first anniversary of the date of grant. An additional 25% will vest on the second anniversary of the date of grant and 50% will vest on the third anniversary of the date of grant.</w:t>
      </w:r>
    </w:p>
    <w:p>
      <w:pPr>
        <w:spacing w:after="0" w:line="67" w:lineRule="exact"/>
        <w:rPr>
          <w:rFonts w:ascii="Times New Roman" w:cs="Times New Roman" w:eastAsia="Times New Roman" w:hAnsi="Times New Roman"/>
          <w:sz w:val="14"/>
          <w:szCs w:val="14"/>
          <w:color w:val="auto"/>
        </w:rPr>
      </w:pPr>
    </w:p>
    <w:p>
      <w:pPr>
        <w:ind w:left="340" w:right="40" w:hanging="332"/>
        <w:spacing w:after="0" w:line="262"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options granted on March 9, 2011 that vested 25% on the first and second anniversary of the date of grant. The remaining 50% will vest on the third anniversary of the date of grant.</w:t>
      </w:r>
    </w:p>
    <w:p>
      <w:pPr>
        <w:spacing w:after="0" w:line="67" w:lineRule="exact"/>
        <w:rPr>
          <w:rFonts w:ascii="Times New Roman" w:cs="Times New Roman" w:eastAsia="Times New Roman" w:hAnsi="Times New Roman"/>
          <w:sz w:val="14"/>
          <w:szCs w:val="14"/>
          <w:color w:val="auto"/>
        </w:rPr>
      </w:pPr>
    </w:p>
    <w:p>
      <w:pPr>
        <w:ind w:left="340" w:right="360" w:hanging="332"/>
        <w:spacing w:after="0" w:line="262"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options granted July 5, 2011 that vested 25% on the first and second anniversary of the date of grant. The remaining 50% will vest on the third anniversary of the date of grant.</w:t>
      </w:r>
    </w:p>
    <w:p>
      <w:pPr>
        <w:spacing w:after="0" w:line="67" w:lineRule="exact"/>
        <w:rPr>
          <w:rFonts w:ascii="Times New Roman" w:cs="Times New Roman" w:eastAsia="Times New Roman" w:hAnsi="Times New Roman"/>
          <w:sz w:val="14"/>
          <w:szCs w:val="14"/>
          <w:color w:val="auto"/>
        </w:rPr>
      </w:pPr>
    </w:p>
    <w:p>
      <w:pPr>
        <w:ind w:left="340" w:right="200" w:hanging="332"/>
        <w:spacing w:after="0" w:line="262"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options granted August 7, 2012 that vested 25% on the first anniversary of the date of grant. An additional 25% will vest on the second anniversary of the date of grant and 50% on the third anniversary of the date of grant.</w:t>
      </w:r>
    </w:p>
    <w:p>
      <w:pPr>
        <w:spacing w:after="0" w:line="67" w:lineRule="exact"/>
        <w:rPr>
          <w:rFonts w:ascii="Times New Roman" w:cs="Times New Roman" w:eastAsia="Times New Roman" w:hAnsi="Times New Roman"/>
          <w:sz w:val="14"/>
          <w:szCs w:val="14"/>
          <w:color w:val="auto"/>
        </w:rPr>
      </w:pPr>
    </w:p>
    <w:p>
      <w:pPr>
        <w:ind w:left="340" w:right="100" w:hanging="332"/>
        <w:spacing w:after="0" w:line="262"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units granted in 2012 in connection with certain promotions and increased responsibilities. The restricted stock units vest in full on the third anniversary of the date of grant.</w:t>
      </w:r>
    </w:p>
    <w:p>
      <w:pPr>
        <w:spacing w:after="0" w:line="67" w:lineRule="exact"/>
        <w:rPr>
          <w:rFonts w:ascii="Times New Roman" w:cs="Times New Roman" w:eastAsia="Times New Roman" w:hAnsi="Times New Roman"/>
          <w:sz w:val="14"/>
          <w:szCs w:val="14"/>
          <w:color w:val="auto"/>
        </w:rPr>
      </w:pPr>
    </w:p>
    <w:p>
      <w:pPr>
        <w:ind w:left="340" w:hanging="332"/>
        <w:spacing w:after="0" w:line="226"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performance share units with three-year performance periods ending December 31, 2014 and December 31, 2015. We have assumed target performance criteria and target payout will be achieved for performance share units. Payouts on performance share units are made after the Company’s financial results of operations for the entire performance period are reported and the MD&amp;C Committee determines achievement of performance results and corresponding vesting, typically in mid to late February of the succeeding year. The performance share units for the performance period ended on December 31, 2013 are not included in the table as they are considered earned as of December 31, 2013 for proxy disclosure purposes; instead, such performance share units are included in the Option Exercises and Stock Vested table below. The following number of performance share units have a performance period ending December 31, 2014:</w:t>
      </w:r>
    </w:p>
    <w:p>
      <w:pPr>
        <w:ind w:left="340" w:right="14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Steiner – 138,583; Mr. Trevathan – 24,651; Mr. Fish – 19,817; Mr. Harris – 19,817; and Mr. Morris – 5,714. The following number of performance share units have a performance period ending on December 31, 2015: Mr. Steiner – 131,333; Mr. Trevathan – 27,361; Mr. Fish – 25,544; Mr. Harris – 23,355; and Mr. Morris – 18,978.</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00" w:type="dxa"/>
            <w:vAlign w:val="bottom"/>
          </w:tcPr>
          <w:p>
            <w:pPr>
              <w:spacing w:after="0"/>
              <w:rPr>
                <w:sz w:val="15"/>
                <w:szCs w:val="15"/>
                <w:color w:val="auto"/>
              </w:rPr>
            </w:pPr>
          </w:p>
        </w:tc>
        <w:tc>
          <w:tcPr>
            <w:tcW w:w="31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80" w:type="dxa"/>
            <w:vAlign w:val="bottom"/>
          </w:tcPr>
          <w:p>
            <w:pPr>
              <w:spacing w:after="0"/>
              <w:rPr>
                <w:sz w:val="15"/>
                <w:szCs w:val="15"/>
                <w:color w:val="auto"/>
              </w:rPr>
            </w:pPr>
          </w:p>
        </w:tc>
        <w:tc>
          <w:tcPr>
            <w:tcW w:w="2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2"/>
                <w:szCs w:val="12"/>
                <w:b w:val="1"/>
                <w:bCs w:val="1"/>
                <w:color w:val="auto"/>
              </w:rPr>
              <w:t>(1)</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80" w:type="dxa"/>
            <w:vAlign w:val="bottom"/>
          </w:tcPr>
          <w:p>
            <w:pPr>
              <w:jc w:val="right"/>
              <w:ind w:right="788"/>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2800" w:type="dxa"/>
            <w:vAlign w:val="bottom"/>
          </w:tcPr>
          <w:p>
            <w:pPr>
              <w:jc w:val="right"/>
              <w:ind w:right="828"/>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6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73"/>
        </w:trPr>
        <w:tc>
          <w:tcPr>
            <w:tcW w:w="2100" w:type="dxa"/>
            <w:vAlign w:val="bottom"/>
            <w:vMerge w:val="continue"/>
          </w:tcPr>
          <w:p>
            <w:pPr>
              <w:spacing w:after="0"/>
              <w:rPr>
                <w:sz w:val="15"/>
                <w:szCs w:val="15"/>
                <w:color w:val="auto"/>
              </w:rPr>
            </w:pPr>
          </w:p>
        </w:tc>
        <w:tc>
          <w:tcPr>
            <w:tcW w:w="318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Acquired on Exercise (#)</w:t>
            </w:r>
          </w:p>
        </w:tc>
        <w:tc>
          <w:tcPr>
            <w:tcW w:w="16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800" w:type="dxa"/>
            <w:vAlign w:val="bottom"/>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Acquired on Vesting (#)</w:t>
            </w: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P. Steiner</w:t>
            </w:r>
          </w:p>
        </w:tc>
        <w:tc>
          <w:tcPr>
            <w:tcW w:w="3180" w:type="dxa"/>
            <w:vAlign w:val="bottom"/>
            <w:tcBorders>
              <w:bottom w:val="single" w:sz="8" w:color="7F7F7F"/>
            </w:tcBorders>
            <w:shd w:val="clear" w:color="auto" w:fill="CCEEFF"/>
          </w:tcPr>
          <w:p>
            <w:pPr>
              <w:jc w:val="right"/>
              <w:ind w:right="648"/>
              <w:spacing w:after="0" w:line="149" w:lineRule="exact"/>
              <w:rPr>
                <w:sz w:val="20"/>
                <w:szCs w:val="20"/>
                <w:color w:val="auto"/>
              </w:rPr>
            </w:pPr>
            <w:r>
              <w:rPr>
                <w:rFonts w:ascii="Times New Roman" w:cs="Times New Roman" w:eastAsia="Times New Roman" w:hAnsi="Times New Roman"/>
                <w:sz w:val="14"/>
                <w:szCs w:val="14"/>
                <w:color w:val="auto"/>
              </w:rPr>
              <w:t>481,593</w:t>
            </w:r>
            <w:r>
              <w:rPr>
                <w:rFonts w:ascii="Times New Roman" w:cs="Times New Roman" w:eastAsia="Times New Roman" w:hAnsi="Times New Roman"/>
                <w:sz w:val="12"/>
                <w:szCs w:val="12"/>
                <w:color w:val="auto"/>
              </w:rPr>
              <w:t>(2)</w:t>
            </w:r>
          </w:p>
        </w:tc>
        <w:tc>
          <w:tcPr>
            <w:tcW w:w="1680" w:type="dxa"/>
            <w:vAlign w:val="bottom"/>
            <w:tcBorders>
              <w:bottom w:val="single" w:sz="8" w:color="7F7F7F"/>
            </w:tcBorders>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6,787,712</w:t>
            </w:r>
          </w:p>
        </w:tc>
        <w:tc>
          <w:tcPr>
            <w:tcW w:w="2800" w:type="dxa"/>
            <w:vAlign w:val="bottom"/>
            <w:tcBorders>
              <w:bottom w:val="single" w:sz="8" w:color="7F7F7F"/>
            </w:tcBorders>
            <w:shd w:val="clear" w:color="auto" w:fill="CCEEFF"/>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24,339</w:t>
            </w:r>
            <w:r>
              <w:rPr>
                <w:rFonts w:ascii="Times New Roman" w:cs="Times New Roman" w:eastAsia="Times New Roman" w:hAnsi="Times New Roman"/>
                <w:sz w:val="12"/>
                <w:szCs w:val="12"/>
                <w:color w:val="auto"/>
              </w:rPr>
              <w:t>(3)</w:t>
            </w:r>
          </w:p>
        </w:tc>
        <w:tc>
          <w:tcPr>
            <w:tcW w:w="1660" w:type="dxa"/>
            <w:vAlign w:val="bottom"/>
            <w:tcBorders>
              <w:bottom w:val="single" w:sz="8" w:color="7F7F7F"/>
            </w:tcBorders>
            <w:shd w:val="clear" w:color="auto" w:fill="CCEEFF"/>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1,032,460</w:t>
            </w:r>
          </w:p>
        </w:tc>
        <w:tc>
          <w:tcPr>
            <w:tcW w:w="0" w:type="dxa"/>
            <w:vAlign w:val="bottom"/>
          </w:tcPr>
          <w:p>
            <w:pPr>
              <w:spacing w:after="0"/>
              <w:rPr>
                <w:sz w:val="1"/>
                <w:szCs w:val="1"/>
                <w:color w:val="auto"/>
              </w:rPr>
            </w:pPr>
          </w:p>
        </w:tc>
      </w:tr>
      <w:tr>
        <w:trPr>
          <w:trHeight w:val="142"/>
        </w:trPr>
        <w:tc>
          <w:tcPr>
            <w:tcW w:w="210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James E. Trevathan, Jr</w:t>
            </w:r>
          </w:p>
        </w:tc>
        <w:tc>
          <w:tcPr>
            <w:tcW w:w="3180" w:type="dxa"/>
            <w:vAlign w:val="bottom"/>
            <w:tcBorders>
              <w:bottom w:val="single" w:sz="8" w:color="7F7F7F"/>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rPr>
              <w:t>190,000</w:t>
            </w:r>
            <w:r>
              <w:rPr>
                <w:rFonts w:ascii="Times New Roman" w:cs="Times New Roman" w:eastAsia="Times New Roman" w:hAnsi="Times New Roman"/>
                <w:sz w:val="12"/>
                <w:szCs w:val="12"/>
                <w:color w:val="auto"/>
              </w:rPr>
              <w:t>(4)</w:t>
            </w:r>
          </w:p>
        </w:tc>
        <w:tc>
          <w:tcPr>
            <w:tcW w:w="1680" w:type="dxa"/>
            <w:vAlign w:val="bottom"/>
            <w:tcBorders>
              <w:bottom w:val="single" w:sz="8" w:color="7F7F7F"/>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3,095,850</w:t>
            </w:r>
          </w:p>
        </w:tc>
        <w:tc>
          <w:tcPr>
            <w:tcW w:w="2800" w:type="dxa"/>
            <w:vAlign w:val="bottom"/>
            <w:tcBorders>
              <w:bottom w:val="single" w:sz="8" w:color="7F7F7F"/>
            </w:tcBorders>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rPr>
              <w:t>4,551</w:t>
            </w:r>
          </w:p>
        </w:tc>
        <w:tc>
          <w:tcPr>
            <w:tcW w:w="166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193,053</w:t>
            </w:r>
          </w:p>
        </w:tc>
        <w:tc>
          <w:tcPr>
            <w:tcW w:w="0" w:type="dxa"/>
            <w:vAlign w:val="bottom"/>
          </w:tcPr>
          <w:p>
            <w:pPr>
              <w:spacing w:after="0"/>
              <w:rPr>
                <w:sz w:val="1"/>
                <w:szCs w:val="1"/>
                <w:color w:val="auto"/>
              </w:rPr>
            </w:pPr>
          </w:p>
        </w:tc>
      </w:tr>
      <w:tr>
        <w:trPr>
          <w:trHeight w:val="142"/>
        </w:trPr>
        <w:tc>
          <w:tcPr>
            <w:tcW w:w="210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James C. Fish, Jr.</w:t>
            </w:r>
          </w:p>
        </w:tc>
        <w:tc>
          <w:tcPr>
            <w:tcW w:w="3180" w:type="dxa"/>
            <w:vAlign w:val="bottom"/>
            <w:tcBorders>
              <w:bottom w:val="single" w:sz="8" w:color="7F7F7F"/>
            </w:tcBorders>
            <w:shd w:val="clear" w:color="auto" w:fill="CCEEFF"/>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7F7F7F"/>
            </w:tcBorders>
            <w:shd w:val="clear" w:color="auto" w:fill="CCEEFF"/>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7F7F7F"/>
            </w:tcBorders>
            <w:shd w:val="clear" w:color="auto" w:fill="CCEEFF"/>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rPr>
              <w:t>969</w:t>
            </w:r>
            <w:r>
              <w:rPr>
                <w:rFonts w:ascii="Times New Roman" w:cs="Times New Roman" w:eastAsia="Times New Roman" w:hAnsi="Times New Roman"/>
                <w:sz w:val="12"/>
                <w:szCs w:val="12"/>
                <w:color w:val="auto"/>
              </w:rPr>
              <w:t>(5)</w:t>
            </w:r>
          </w:p>
        </w:tc>
        <w:tc>
          <w:tcPr>
            <w:tcW w:w="166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41,105</w:t>
            </w:r>
          </w:p>
        </w:tc>
        <w:tc>
          <w:tcPr>
            <w:tcW w:w="0" w:type="dxa"/>
            <w:vAlign w:val="bottom"/>
          </w:tcPr>
          <w:p>
            <w:pPr>
              <w:spacing w:after="0"/>
              <w:rPr>
                <w:sz w:val="1"/>
                <w:szCs w:val="1"/>
                <w:color w:val="auto"/>
              </w:rPr>
            </w:pPr>
          </w:p>
        </w:tc>
      </w:tr>
      <w:tr>
        <w:trPr>
          <w:trHeight w:val="142"/>
        </w:trPr>
        <w:tc>
          <w:tcPr>
            <w:tcW w:w="210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Jeff M. Harris</w:t>
            </w:r>
          </w:p>
        </w:tc>
        <w:tc>
          <w:tcPr>
            <w:tcW w:w="3180" w:type="dxa"/>
            <w:vAlign w:val="bottom"/>
            <w:tcBorders>
              <w:bottom w:val="single" w:sz="8" w:color="7F7F7F"/>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7F7F7F"/>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7F7F7F"/>
            </w:tcBorders>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rPr>
              <w:t>4,551</w:t>
            </w:r>
          </w:p>
        </w:tc>
        <w:tc>
          <w:tcPr>
            <w:tcW w:w="166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193,053</w:t>
            </w:r>
          </w:p>
        </w:tc>
        <w:tc>
          <w:tcPr>
            <w:tcW w:w="0" w:type="dxa"/>
            <w:vAlign w:val="bottom"/>
          </w:tcPr>
          <w:p>
            <w:pPr>
              <w:spacing w:after="0"/>
              <w:rPr>
                <w:sz w:val="1"/>
                <w:szCs w:val="1"/>
                <w:color w:val="auto"/>
              </w:rPr>
            </w:pPr>
          </w:p>
        </w:tc>
      </w:tr>
      <w:tr>
        <w:trPr>
          <w:trHeight w:val="142"/>
        </w:trPr>
        <w:tc>
          <w:tcPr>
            <w:tcW w:w="2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John J. Morris, Jr.</w:t>
            </w:r>
          </w:p>
        </w:tc>
        <w:tc>
          <w:tcPr>
            <w:tcW w:w="3180" w:type="dxa"/>
            <w:vAlign w:val="bottom"/>
            <w:tcBorders>
              <w:bottom w:val="single" w:sz="8" w:color="auto"/>
            </w:tcBorders>
            <w:shd w:val="clear" w:color="auto" w:fill="CCEEFF"/>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auto"/>
            </w:tcBorders>
            <w:shd w:val="clear" w:color="auto" w:fill="CCEEFF"/>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rPr>
              <w:t>969</w:t>
            </w:r>
          </w:p>
        </w:tc>
        <w:tc>
          <w:tcPr>
            <w:tcW w:w="1660" w:type="dxa"/>
            <w:vAlign w:val="bottom"/>
            <w:tcBorders>
              <w:bottom w:val="single" w:sz="8" w:color="auto"/>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41,105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40" w:hanging="332"/>
        <w:spacing w:after="0" w:line="241"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performance share units granted in 2011 with a performance period ended December 31, 2013. The determination of achievement of performance results and corresponding vesting of such performance share units was performed by the MD&amp;C Committee in February 2014. Following such determination, shares of the Company’s Common Stock earned under this award were issued on February 18, 2014, based on the average of the high and low market price of the Company’s Common Stock on that date.</w:t>
      </w:r>
    </w:p>
    <w:p>
      <w:pPr>
        <w:spacing w:after="0" w:line="82" w:lineRule="exact"/>
        <w:rPr>
          <w:rFonts w:ascii="Times New Roman" w:cs="Times New Roman" w:eastAsia="Times New Roman" w:hAnsi="Times New Roman"/>
          <w:sz w:val="14"/>
          <w:szCs w:val="14"/>
          <w:color w:val="auto"/>
        </w:rPr>
      </w:pPr>
    </w:p>
    <w:p>
      <w:pPr>
        <w:ind w:left="340" w:right="100" w:hanging="332"/>
        <w:spacing w:after="0" w:line="262"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withheld shares in payment of the exercise price and statutory tax withholding from Mr. Steiner’s exercise of non-qualified stock options. Mr. Steiner received an aggregate of 114,039 net shares in such transactions.</w:t>
      </w:r>
    </w:p>
    <w:p>
      <w:pPr>
        <w:spacing w:after="0" w:line="6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Steiner deferred receipt of 24,339 performance share units, earned for the performance period ended December 31, 2013, valued at $1,032,460, until he leaves the company.</w:t>
      </w:r>
    </w:p>
    <w:p>
      <w:pPr>
        <w:spacing w:after="0" w:line="109" w:lineRule="exact"/>
        <w:rPr>
          <w:rFonts w:ascii="Times New Roman" w:cs="Times New Roman" w:eastAsia="Times New Roman" w:hAnsi="Times New Roman"/>
          <w:sz w:val="14"/>
          <w:szCs w:val="14"/>
          <w:color w:val="auto"/>
        </w:rPr>
      </w:pPr>
    </w:p>
    <w:p>
      <w:pPr>
        <w:ind w:left="340" w:right="40" w:hanging="332"/>
        <w:spacing w:after="0" w:line="262"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withheld shares in payment of the exercise price and statutory tax withholding from Mr. Trevathan’s exercise of non-qualified stock options. Mr. Trevathan received an aggregate of 50,386 net shares in such transactions.</w:t>
      </w:r>
    </w:p>
    <w:p>
      <w:pPr>
        <w:spacing w:after="0" w:line="6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Fish deferred receipt of 969 performance share units earned for the performance period ended December 31, 2013, valued at $41,105, until he leaves the company.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in 2013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2440" w:type="dxa"/>
            <w:vAlign w:val="bottom"/>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500" w:type="dxa"/>
            <w:vAlign w:val="bottom"/>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280" w:type="dxa"/>
            <w:vAlign w:val="bottom"/>
          </w:tcPr>
          <w:p>
            <w:pPr>
              <w:jc w:val="right"/>
              <w:ind w:right="268"/>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5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in Last</w:t>
            </w:r>
          </w:p>
        </w:tc>
        <w:tc>
          <w:tcPr>
            <w:tcW w:w="12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in Last</w:t>
            </w:r>
          </w:p>
        </w:tc>
        <w:tc>
          <w:tcPr>
            <w:tcW w:w="180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in Last Fiscal</w:t>
            </w:r>
          </w:p>
        </w:tc>
        <w:tc>
          <w:tcPr>
            <w:tcW w:w="15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12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80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18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at Last Fiscal</w:t>
            </w:r>
          </w:p>
        </w:tc>
        <w:tc>
          <w:tcPr>
            <w:tcW w:w="0" w:type="dxa"/>
            <w:vAlign w:val="bottom"/>
          </w:tcPr>
          <w:p>
            <w:pPr>
              <w:spacing w:after="0"/>
              <w:rPr>
                <w:sz w:val="1"/>
                <w:szCs w:val="1"/>
                <w:color w:val="auto"/>
              </w:rPr>
            </w:pPr>
          </w:p>
        </w:tc>
      </w:tr>
      <w:tr>
        <w:trPr>
          <w:trHeight w:val="176"/>
        </w:trPr>
        <w:tc>
          <w:tcPr>
            <w:tcW w:w="2560" w:type="dxa"/>
            <w:vAlign w:val="bottom"/>
            <w:vMerge w:val="continue"/>
          </w:tcPr>
          <w:p>
            <w:pPr>
              <w:spacing w:after="0"/>
              <w:rPr>
                <w:sz w:val="15"/>
                <w:szCs w:val="15"/>
                <w:color w:val="auto"/>
              </w:rPr>
            </w:pPr>
          </w:p>
        </w:tc>
        <w:tc>
          <w:tcPr>
            <w:tcW w:w="24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w:t>
            </w:r>
            <w:r>
              <w:rPr>
                <w:rFonts w:ascii="Times New Roman" w:cs="Times New Roman" w:eastAsia="Times New Roman" w:hAnsi="Times New Roman"/>
                <w:sz w:val="12"/>
                <w:szCs w:val="12"/>
                <w:b w:val="1"/>
                <w:bCs w:val="1"/>
                <w:color w:val="auto"/>
              </w:rPr>
              <w:t>(1)</w:t>
            </w:r>
          </w:p>
        </w:tc>
        <w:tc>
          <w:tcPr>
            <w:tcW w:w="15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 ($)</w:t>
            </w:r>
            <w:r>
              <w:rPr>
                <w:rFonts w:ascii="Times New Roman" w:cs="Times New Roman" w:eastAsia="Times New Roman" w:hAnsi="Times New Roman"/>
                <w:sz w:val="12"/>
                <w:szCs w:val="12"/>
                <w:b w:val="1"/>
                <w:bCs w:val="1"/>
                <w:color w:val="auto"/>
              </w:rPr>
              <w:t>(3)</w:t>
            </w:r>
          </w:p>
        </w:tc>
        <w:tc>
          <w:tcPr>
            <w:tcW w:w="18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Distributions ($)</w:t>
            </w:r>
            <w:r>
              <w:rPr>
                <w:rFonts w:ascii="Times New Roman" w:cs="Times New Roman" w:eastAsia="Times New Roman" w:hAnsi="Times New Roman"/>
                <w:sz w:val="12"/>
                <w:szCs w:val="12"/>
                <w:b w:val="1"/>
                <w:bCs w:val="1"/>
                <w:color w:val="auto"/>
              </w:rPr>
              <w:t>(4)</w:t>
            </w:r>
          </w:p>
        </w:tc>
        <w:tc>
          <w:tcPr>
            <w:tcW w:w="1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9"/>
        </w:trPr>
        <w:tc>
          <w:tcPr>
            <w:tcW w:w="256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P. Steiner</w:t>
            </w:r>
          </w:p>
        </w:tc>
        <w:tc>
          <w:tcPr>
            <w:tcW w:w="2440" w:type="dxa"/>
            <w:vAlign w:val="bottom"/>
            <w:tcBorders>
              <w:bottom w:val="single" w:sz="8" w:color="7F7F7F"/>
            </w:tcBorders>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229,923</w:t>
            </w:r>
          </w:p>
        </w:tc>
        <w:tc>
          <w:tcPr>
            <w:tcW w:w="1500" w:type="dxa"/>
            <w:vAlign w:val="bottom"/>
            <w:tcBorders>
              <w:bottom w:val="single" w:sz="8" w:color="7F7F7F"/>
            </w:tcBorders>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40,258</w:t>
            </w:r>
          </w:p>
        </w:tc>
        <w:tc>
          <w:tcPr>
            <w:tcW w:w="1280" w:type="dxa"/>
            <w:vAlign w:val="bottom"/>
            <w:tcBorders>
              <w:bottom w:val="single" w:sz="8" w:color="7F7F7F"/>
            </w:tcBorders>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890,623</w:t>
            </w:r>
          </w:p>
        </w:tc>
        <w:tc>
          <w:tcPr>
            <w:tcW w:w="1800" w:type="dxa"/>
            <w:vAlign w:val="bottom"/>
            <w:tcBorders>
              <w:bottom w:val="single" w:sz="8" w:color="7F7F7F"/>
            </w:tcBorders>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7F7F7F"/>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4,575,324</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James E. Trevathan, Jr</w:t>
            </w:r>
          </w:p>
        </w:tc>
        <w:tc>
          <w:tcPr>
            <w:tcW w:w="2440" w:type="dxa"/>
            <w:vAlign w:val="bottom"/>
            <w:tcBorders>
              <w:bottom w:val="single" w:sz="8" w:color="7F7F7F"/>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7F7F7F"/>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46,581</w:t>
            </w:r>
          </w:p>
        </w:tc>
        <w:tc>
          <w:tcPr>
            <w:tcW w:w="180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2,932,356</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James C. Fish, Jr.</w:t>
            </w:r>
          </w:p>
        </w:tc>
        <w:tc>
          <w:tcPr>
            <w:tcW w:w="244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7F7F7F"/>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43,882</w:t>
            </w:r>
          </w:p>
        </w:tc>
        <w:tc>
          <w:tcPr>
            <w:tcW w:w="1800" w:type="dxa"/>
            <w:vAlign w:val="bottom"/>
            <w:tcBorders>
              <w:bottom w:val="single" w:sz="8" w:color="7F7F7F"/>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266,655</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Jeff M. Harris</w:t>
            </w:r>
          </w:p>
        </w:tc>
        <w:tc>
          <w:tcPr>
            <w:tcW w:w="2440" w:type="dxa"/>
            <w:vAlign w:val="bottom"/>
            <w:tcBorders>
              <w:bottom w:val="single" w:sz="8" w:color="7F7F7F"/>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109,359</w:t>
            </w:r>
          </w:p>
        </w:tc>
        <w:tc>
          <w:tcPr>
            <w:tcW w:w="1500" w:type="dxa"/>
            <w:vAlign w:val="bottom"/>
            <w:tcBorders>
              <w:bottom w:val="single" w:sz="8" w:color="7F7F7F"/>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21,452</w:t>
            </w:r>
          </w:p>
        </w:tc>
        <w:tc>
          <w:tcPr>
            <w:tcW w:w="128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55,106</w:t>
            </w:r>
          </w:p>
        </w:tc>
        <w:tc>
          <w:tcPr>
            <w:tcW w:w="180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253,077</w:t>
            </w:r>
          </w:p>
        </w:tc>
        <w:tc>
          <w:tcPr>
            <w:tcW w:w="184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1,205,355</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John J. Morris, Jr.</w:t>
            </w:r>
          </w:p>
        </w:tc>
        <w:tc>
          <w:tcPr>
            <w:tcW w:w="244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36,681</w:t>
            </w:r>
          </w:p>
        </w:tc>
        <w:tc>
          <w:tcPr>
            <w:tcW w:w="15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9,073</w:t>
            </w:r>
          </w:p>
        </w:tc>
        <w:tc>
          <w:tcPr>
            <w:tcW w:w="128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85,413</w:t>
            </w:r>
          </w:p>
        </w:tc>
        <w:tc>
          <w:tcPr>
            <w:tcW w:w="180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374,790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60" w:hanging="332"/>
        <w:spacing w:after="0" w:line="229"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are under the Company’s Deferral Plan as described in “Compensation Discussion and Analysis — Overview of Elements of Our 2013 Compensation Program — Deferral Plan.” In this Proxy Statement as well as in previous years, we include executive contributions to the Deferral Plan in the Base Salary column of the Summary Compensation Table. Aggregate Balance at Last Fiscal Year End includes the following aggregate amounts that were included in the named executives’ compensation in the Summary Compensation Table in 2011-2013:</w:t>
      </w: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Steiner — $1,061,498; Mr. Fish — $118,281; Mr. Harris — $390,913; and Mr. Morris — $127,050.</w:t>
      </w:r>
    </w:p>
    <w:p>
      <w:pPr>
        <w:spacing w:after="0" w:line="9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contributions to the executives’ Deferral Plan accounts are included in All Other Compensation, but not Base Salary, in the Summary Compensation Table.</w:t>
      </w:r>
    </w:p>
    <w:p>
      <w:pPr>
        <w:spacing w:after="0" w:line="109" w:lineRule="exact"/>
        <w:rPr>
          <w:rFonts w:ascii="Times New Roman" w:cs="Times New Roman" w:eastAsia="Times New Roman" w:hAnsi="Times New Roman"/>
          <w:sz w:val="14"/>
          <w:szCs w:val="14"/>
          <w:color w:val="auto"/>
        </w:rPr>
      </w:pPr>
    </w:p>
    <w:p>
      <w:pPr>
        <w:ind w:left="340" w:right="60" w:hanging="332"/>
        <w:spacing w:after="0" w:line="262"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Earnings on these accounts are not included in any other amounts in the tables included in this Proxy Statement, as the amounts of the named executives’ earnings represent the general market gains (or losses) on investments, rather than amounts or rates set by the Company for the benefit of the named executives.</w:t>
      </w:r>
    </w:p>
    <w:p>
      <w:pPr>
        <w:spacing w:after="0" w:line="67" w:lineRule="exact"/>
        <w:rPr>
          <w:rFonts w:ascii="Times New Roman" w:cs="Times New Roman" w:eastAsia="Times New Roman" w:hAnsi="Times New Roman"/>
          <w:sz w:val="14"/>
          <w:szCs w:val="14"/>
          <w:color w:val="auto"/>
        </w:rPr>
      </w:pPr>
    </w:p>
    <w:p>
      <w:pPr>
        <w:ind w:left="340" w:hanging="332"/>
        <w:spacing w:after="0" w:line="229"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prior years, including 2013, participants could elect to receive distribution of deferred compensation (i) in a lump sum on a future date on or after termination of employment or retirement or (ii) in annual installments over up to ten years, to begin after any future date or age specified by the employee. The plan was amended and restated effective January 1, 2014, and participating employees can now generally elect to receive distributions 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payments our named executives receive upon termination or change-in-control are based on provisions included in employment agreements and individual equity award agreements. We enter into employment agreements with our named executive officers because they encourage continuity of our leadership team, which is particularly valuable as leadership manages the Company through the change needed to successfully implement our business strategy. Employment agreements also provide a form of protection for the Company through restrictive covenant provisions; each of the agreements contains post-termination restrictive covenants, including a covenant not to compete, non-solicitation covenants, and a non-disparagement covenant, each of which lasts for two years after termination. They also provide the individual with comfort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We believe providing change-in-control protection encourages our named executives to pursue and facilitate change-in-control transactions that are in the best interests of stockholders while not granting executives an undeserved windfall.</w:t>
      </w:r>
    </w:p>
    <w:p>
      <w:pPr>
        <w:spacing w:after="0" w:line="85"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Employment agreements entered into with named executive officers after February 2004 (which includes all named executives except Mr. Steiner) contain (a) a requirement that the individual execute a general release prior to receiving post-termination benefits and (b) a clawback feature that allows for the suspension and refund 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termination benefits for subsequently discovered cause. The clawback feature in the agreements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7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current form of award agreements for equity awards also contain provisions regarding termination and change-in-control. Our stock option awards are also subject to double trigger vesting in the event of a change-in-control situation. The award agreements for restricted stock units granted to Messrs. Fish, Harris and Morris provide that restricted stock units vest upon a change-in-control, unless the successor entity converts the awards to equivalent grants in the successor. Provided, however, such converted restricted stock unit awards will vest in full if the executive is involuntarily terminated without cause following the change-in-control. Award agreements applicable to performance share units provide that awards will be paid out in cash on a prorated basis based on actual results achieved through the end of the fiscal quarter prior to a change-in-control. Thereafter, the executive would be compensated for the lost opportunity from the date of the change-in-control to the end of the original performance period by receiving a replacement award of restricted stock units in the successor entity, provided that the successor entity is publicly traded. If the successor is not publicly traded, the executive will be entitled to a replacement award of cash. However, if the employee is thereafter involuntarily terminated other than for cause within the change-in-control window referenced, he would vest in full in the replacement award.</w:t>
      </w:r>
    </w:p>
    <w:p>
      <w:pPr>
        <w:spacing w:after="0" w:line="7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performance share unit and stock option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Incentive Plan awards that is designed to recoup annual cash incentive payments when the recipient’s personal misconduct results in a restatement or otherwise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8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terms “Cause,” “Good Reason,” and “Change-in-Control” as used in the table below are defined in the executives’ employment agreements and/or the applicable equity award agreement and have the meanings generally described below. You should refer to the individual agreements for the actual definitions.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“Cause” generally means the named executive has:</w:t>
      </w:r>
    </w:p>
    <w:p>
      <w:pPr>
        <w:spacing w:after="0" w:line="131" w:lineRule="exact"/>
        <w:rPr>
          <w:sz w:val="20"/>
          <w:szCs w:val="20"/>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deliberately refused to perform his duties;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breached his duty of loyalty to the Company;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of a felony;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and materially harmed the Company;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breached the covenants contained in his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“Good Reason” generally means that, without the named executive’s consent:</w:t>
      </w:r>
    </w:p>
    <w:p>
      <w:pPr>
        <w:spacing w:after="0" w:line="131" w:lineRule="exact"/>
        <w:rPr>
          <w:sz w:val="20"/>
          <w:szCs w:val="20"/>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duties or responsibilities have been substantially changed;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been removed from his position;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breached his employment agreement;</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to the Company has not assumed the obligations under his employment agreement;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been reassigned to a location more than 50 miles away.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“Change-in-Control” generally means that:</w:t>
      </w:r>
    </w:p>
    <w:p>
      <w:pPr>
        <w:spacing w:after="0" w:line="131" w:lineRule="exact"/>
        <w:rPr>
          <w:sz w:val="20"/>
          <w:szCs w:val="20"/>
          <w:color w:val="auto"/>
        </w:rPr>
      </w:pPr>
    </w:p>
    <w:p>
      <w:pPr>
        <w:ind w:left="660" w:hanging="206"/>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25% of the Company’s Common Stock has been acquired by one person or persons acting as a group;</w:t>
      </w:r>
    </w:p>
    <w:p>
      <w:pPr>
        <w:spacing w:after="0" w:line="130"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Board of Directors consists of individuals other than those serving as of the date of the named executive’s employment agreement or those that were not elected by at least two-thirds of those directors;</w:t>
      </w:r>
    </w:p>
    <w:p>
      <w:pPr>
        <w:spacing w:after="0" w:line="67" w:lineRule="exact"/>
        <w:rPr>
          <w:rFonts w:ascii="Times New Roman" w:cs="Times New Roman" w:eastAsia="Times New Roman" w:hAnsi="Times New Roman"/>
          <w:sz w:val="18"/>
          <w:szCs w:val="18"/>
          <w:color w:val="auto"/>
        </w:rPr>
      </w:pPr>
    </w:p>
    <w:p>
      <w:pPr>
        <w:jc w:val="both"/>
        <w:ind w:left="660" w:right="60" w:hanging="206"/>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liquidating or selling all or substantially all of its assets.</w:t>
      </w:r>
    </w:p>
    <w:p>
      <w:pPr>
        <w:spacing w:after="0" w:line="117"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tables represent potential payouts to our named executives upon termination of employment in the circumstances indicated pursuant to the terms of their employment agreements and outstanding incentive awards. In the event a named executive is terminated for cause, he is entitled to any accrued but unpaid salary only. Please see the Non-Qualified Deferred Compensation table above for aggregate balances payable to the named executives under our Deferral Plan pursuant to the executive’s distribution election.</w:t>
      </w:r>
    </w:p>
    <w:p>
      <w:pPr>
        <w:spacing w:after="0" w:line="72"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payouts set forth below assume the triggering event indicated occurred on December 31, 2013, at which time the closing price of our Common Stock was $44.87 per share. These payouts are determined for SEC disclosure purposes and are not necessarily indicative of the actual amounts the named executive would receive. Please note the following when reviewing the payouts set forth below:</w:t>
      </w:r>
    </w:p>
    <w:p>
      <w:pPr>
        <w:spacing w:after="0" w:line="82" w:lineRule="exact"/>
        <w:rPr>
          <w:sz w:val="20"/>
          <w:szCs w:val="20"/>
          <w:color w:val="auto"/>
        </w:rPr>
      </w:pPr>
    </w:p>
    <w:p>
      <w:pPr>
        <w:ind w:left="660" w:right="240" w:hanging="206"/>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component set forth below for accelerated vesting of stock options is comprised of the unvested stock options granted in 2011, 2012, and 2013, which vest 25% on the first and second anniversary of the date of grant and 50% on the third anniversary of the date of grant.</w:t>
      </w:r>
    </w:p>
    <w:p>
      <w:pPr>
        <w:spacing w:after="0" w:line="67" w:lineRule="exact"/>
        <w:rPr>
          <w:rFonts w:ascii="Times New Roman" w:cs="Times New Roman" w:eastAsia="Times New Roman" w:hAnsi="Times New Roman"/>
          <w:sz w:val="18"/>
          <w:szCs w:val="18"/>
          <w:color w:val="auto"/>
        </w:rPr>
      </w:pPr>
    </w:p>
    <w:p>
      <w:pPr>
        <w:ind w:left="660" w:right="80" w:hanging="206"/>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payout of performance share unit awards outstanding at December 31, 2013, we have assumed that target performance was achieved; any actual performance share unit payouts will be based on actual performance of the Company during the performance period.</w:t>
      </w:r>
    </w:p>
    <w:p>
      <w:pPr>
        <w:spacing w:after="0" w:line="81" w:lineRule="exact"/>
        <w:rPr>
          <w:rFonts w:ascii="Times New Roman" w:cs="Times New Roman" w:eastAsia="Times New Roman" w:hAnsi="Times New Roman"/>
          <w:sz w:val="18"/>
          <w:szCs w:val="18"/>
          <w:color w:val="auto"/>
        </w:rPr>
      </w:pPr>
    </w:p>
    <w:p>
      <w:pPr>
        <w:ind w:left="660" w:right="380" w:hanging="206"/>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payout upon the “double trigger” of change-in-control and subsequent involuntary termination not for cause, the value of the performance share unit replacement award is equal to the number of performance share units that would be forfeited based on the prorated acceleration of the performance share units, multiplied by the closing price of our Common Stock on December 31, 2013.</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payout for continuation of benefits is an estimate of the cost the Company would incur to continue those benefits.</w:t>
      </w:r>
    </w:p>
    <w:p>
      <w:pPr>
        <w:spacing w:after="0" w:line="130"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Management’s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Consideration upon Termination of Employment: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David P. Steiner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12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Death or Disability</w:t>
            </w:r>
          </w:p>
        </w:tc>
        <w:tc>
          <w:tcPr>
            <w:tcW w:w="1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31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performance at end of performance period)</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12,111,131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Two times base salary as of date of termination (payable in bi-</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weekly installments over a two-year period)</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Life insurance benefit paid by insurance company (in the case</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death)</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21,692,140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For Good Reason by the Employee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payable in lump sum; one-half payable in bi-weekly</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installments over a two-year period)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5,458,228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Continued coverage under health and welfare benefit plans for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two years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actual performance at end of performance period)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6,115,467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11,596,735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 Good Reason by the Employee Six Months Prior to or Two Years</w:t>
            </w:r>
          </w:p>
        </w:tc>
        <w:tc>
          <w:tcPr>
            <w:tcW w:w="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Three times base salary plus target annual cash bonus, paid in</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Following a Change-in-</w:t>
            </w:r>
          </w:p>
        </w:tc>
        <w:tc>
          <w:tcPr>
            <w:tcW w:w="10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lump sum</w:t>
            </w:r>
            <w:r>
              <w:rPr>
                <w:rFonts w:ascii="Times New Roman" w:cs="Times New Roman" w:eastAsia="Times New Roman" w:hAnsi="Times New Roman"/>
                <w:sz w:val="15"/>
                <w:szCs w:val="15"/>
                <w:color w:val="auto"/>
              </w:rPr>
              <w:t>(1)</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8,187,342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Control (Double Trigger)</w:t>
            </w: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Continued coverage under health and welfare benefit plans for</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three years</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Prorated accelerated payment of performance share units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Accelerated payment of performance share units replacement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5,995,664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Prorated maximum annual cash bonus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3,135,578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Gross-up payment for any excise taxes</w:t>
            </w:r>
            <w:r>
              <w:rPr>
                <w:rFonts w:ascii="Times New Roman" w:cs="Times New Roman" w:eastAsia="Times New Roman" w:hAnsi="Times New Roman"/>
                <w:sz w:val="15"/>
                <w:szCs w:val="15"/>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10,766,186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40,365,156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w:t>
            </w: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James E. Trevathan, Jr.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4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22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3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Death or Disability</w:t>
            </w:r>
          </w:p>
        </w:tc>
        <w:tc>
          <w:tcPr>
            <w:tcW w:w="16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32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performance at end of performance period)</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2,333,778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Two times base salary as of the date of termination (payable in</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bi-weekly installments over a two-year period)</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Life insurance benefit paid by insurance company (in the case of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death)</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5,826,850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For Good Reason by the Employee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payable in lump sum; one-half payable in bi-weekly installments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over a two-year period)</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Continued coverage under benefit plans for two years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4"/>
              </w:rPr>
              <w:t>•</w:t>
            </w: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Health and welfare benefit plans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4"/>
              </w:rPr>
              <w:t>•</w:t>
            </w: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401(k) contributions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actual performance at end of performance period)</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1,147,640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3,413,630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 Good Reason by the Employee Six Months Prior to or Two Years</w:t>
            </w:r>
          </w:p>
        </w:tc>
        <w:tc>
          <w:tcPr>
            <w:tcW w:w="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Two times base salary plus target annual cash bonus, paid in</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Following a Change-in-</w:t>
            </w:r>
          </w:p>
        </w:tc>
        <w:tc>
          <w:tcPr>
            <w:tcW w:w="100" w:type="dxa"/>
            <w:vAlign w:val="bottom"/>
            <w:shd w:val="clear" w:color="auto" w:fill="CCEEFF"/>
          </w:tcPr>
          <w:p>
            <w:pPr>
              <w:spacing w:after="0"/>
              <w:rPr>
                <w:sz w:val="20"/>
                <w:szCs w:val="20"/>
                <w:color w:val="auto"/>
              </w:rPr>
            </w:pPr>
          </w:p>
        </w:tc>
        <w:tc>
          <w:tcPr>
            <w:tcW w:w="4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lump sum</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Control (Double Trigger)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Continued coverage under benefit plans for two years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w:t>
            </w:r>
          </w:p>
        </w:tc>
        <w:tc>
          <w:tcPr>
            <w:tcW w:w="4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Health and welfare benefit plans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w:t>
            </w:r>
          </w:p>
        </w:tc>
        <w:tc>
          <w:tcPr>
            <w:tcW w:w="4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401(k) contributions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1,726,072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Prorated accelerated payment of performance share units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1,147,640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payment of performance share units replacement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Prorated maximum annual cash bonus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Gross-up payment for any excise taxes</w:t>
            </w:r>
            <w:r>
              <w:rPr>
                <w:rFonts w:ascii="Times New Roman" w:cs="Times New Roman" w:eastAsia="Times New Roman" w:hAnsi="Times New Roman"/>
                <w:sz w:val="15"/>
                <w:szCs w:val="15"/>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2,174,166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9,520,006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James C. Fish, Jr.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22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Death or Disability</w:t>
            </w:r>
          </w:p>
        </w:tc>
        <w:tc>
          <w:tcPr>
            <w:tcW w:w="1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32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performance at end of performance period)</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2,035,348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restricted stock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Life insurance benefit paid by insurance company (in the case of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death)</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3,928,804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For Good Reason by the Employee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payable in lump sum; one-half payable in bi-weekly installments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over a two-year period)</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Continued coverage under health and welfare benefit plans for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two years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actual performance at end of performance period)</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975,653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Prorated vesting of restricted stock units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92,567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2,996,760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 Good Reason by the Employee Six Months Prior to or Two Years</w:t>
            </w:r>
          </w:p>
        </w:tc>
        <w:tc>
          <w:tcPr>
            <w:tcW w:w="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Two times base salary plus target annual cash bonus (one-half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Following a Change-in-Control (Double Trigger)</w:t>
            </w:r>
          </w:p>
        </w:tc>
        <w:tc>
          <w:tcPr>
            <w:tcW w:w="10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payable in lump sum; one-half payable in bi-weekly installments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over a two-year period)</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1,905,500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Continued coverage under health and welfare benefit plans for</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two years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1,195,490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Prorated accelerated payment of performance share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Accelerated payment of performance share units replacement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Accelerated vesting of restricted stock units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197,966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Prorated maximum annual cash bonus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6,232,844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48</w:t>
            </w: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Jeff M. Harris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22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Death or Disability</w:t>
            </w:r>
          </w:p>
        </w:tc>
        <w:tc>
          <w:tcPr>
            <w:tcW w:w="1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32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performance at end of performance period)</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1,937,128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payment of restricted stock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Life insurance benefit paid by insurance company (in the case of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death)</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3,800,021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For Good Reason by the Employee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payable in lump sum; one-half payable in bi-weekly installments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over a two-year period)</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1,933,281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Continued coverage under health and welfare benefit plans for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two years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actual performance at end of performance period)</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942,898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Prorated vesting of restricted stock units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 Good Reason by the Employee Six Months Prior to or Two Years</w:t>
            </w:r>
          </w:p>
        </w:tc>
        <w:tc>
          <w:tcPr>
            <w:tcW w:w="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Three times base salary plus target annual cash bonus, paid in</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Following a Change-in-</w:t>
            </w: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lump sum</w:t>
            </w:r>
            <w:r>
              <w:rPr>
                <w:rFonts w:ascii="Times New Roman" w:cs="Times New Roman" w:eastAsia="Times New Roman" w:hAnsi="Times New Roman"/>
                <w:sz w:val="15"/>
                <w:szCs w:val="15"/>
                <w:color w:val="auto"/>
              </w:rPr>
              <w:t>(1)</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2,899,922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Control (Double Trigger)</w:t>
            </w: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Continued coverage under health and welfare benefit plans for</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three years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1,053,936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Prorated accelerated payment of performance share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Accelerated payment of performance share units replacement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Accelerated vesting of restricted stock units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271,957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Prorated maximum annual cash bonus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828,549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7,026,052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49</w:t>
            </w: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John J. Morris, Jr.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22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Death or Disability</w:t>
            </w:r>
          </w:p>
        </w:tc>
        <w:tc>
          <w:tcPr>
            <w:tcW w:w="1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32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performance at end of performance period)</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restricted stock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Life insurance benefit paid by insurance company (in the case of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death)</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2,454,593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For Good Reason by the Employee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payable in lump sum; one-half payable in bi-weekly installments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over a two-year period)</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Continued coverage under health and welfare benefit plans for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two years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actual performance at end of performance period)</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455,027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Prorated vesting of restricted stock units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2,349,661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Termination Without Cause by the Company or</w:t>
            </w: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 Good Reason by the Employee Six Months Prior to or Two Years</w:t>
            </w:r>
          </w:p>
        </w:tc>
        <w:tc>
          <w:tcPr>
            <w:tcW w:w="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Two times base salary plus target annual cash bonus (one half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Following a Change-in-Control (Double Trigger)</w:t>
            </w:r>
          </w:p>
        </w:tc>
        <w:tc>
          <w:tcPr>
            <w:tcW w:w="10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payable in lump sum; one half payable in bi-weekly installments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over a two year period)</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Continued coverage under health and wealth benefit plans for</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two years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Prorated accelerated payment of performance share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Accelerated payment of performance share units replacement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Accelerated vesting of restricted stock units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543,869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Prorated maximum annual cash bonus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4,532,633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40" w:right="80" w:hanging="332"/>
        <w:spacing w:after="0" w:line="233"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past, such provisions have been included in certain named executives’ employment agreements. However, the Company’s compensation policy now provides that it will not enter into any future compensation arrangements that obligate the Company to provide increased payments in the event of death or to make tax gross up payments, subject to certain exceptions. Additionally, our Executive Officer Severance Policy generally provides that the Company may not enter into new severance arrangements with its executive officers that provide for benefits, less the value of vested equity awards and benefits provided to employees generally, in an amount that exceeds 2.99 times the executive officer’s then current base salary and target bonus. For additional details, see “Compensation Discussion and Analysis — Other Compensation Policies and Practices.”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Table</w:t>
      </w:r>
    </w:p>
    <w:p>
      <w:pPr>
        <w:spacing w:after="0" w:line="22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2013 about the number of shares to be issued upon vesting or exercise of equity awards and the number of shares remaining available for issuance under our equity compensation plans.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r>
        <w:rPr>
          <w:rFonts w:ascii="Times New Roman" w:cs="Times New Roman" w:eastAsia="Times New Roman" w:hAnsi="Times New Roman"/>
          <w:sz w:val="12"/>
          <w:szCs w:val="12"/>
          <w:color w:val="auto"/>
        </w:rPr>
        <w: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7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178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60"/>
        </w:trPr>
        <w:tc>
          <w:tcPr>
            <w:tcW w:w="1780" w:type="dxa"/>
            <w:vAlign w:val="bottom"/>
          </w:tcPr>
          <w:p>
            <w:pPr>
              <w:jc w:val="right"/>
              <w:ind w:right="528"/>
              <w:spacing w:after="0" w:line="160"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220" w:type="dxa"/>
            <w:vAlign w:val="bottom"/>
            <w:gridSpan w:val="2"/>
          </w:tcPr>
          <w:p>
            <w:pPr>
              <w:jc w:val="right"/>
              <w:ind w:right="508"/>
              <w:spacing w:after="0" w:line="160"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86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178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60" w:type="dxa"/>
            <w:vAlign w:val="bottom"/>
          </w:tcPr>
          <w:p>
            <w:pPr>
              <w:spacing w:after="0"/>
              <w:rPr>
                <w:sz w:val="12"/>
                <w:szCs w:val="12"/>
                <w:color w:val="auto"/>
              </w:rPr>
            </w:pPr>
          </w:p>
        </w:tc>
        <w:tc>
          <w:tcPr>
            <w:tcW w:w="166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178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560" w:type="dxa"/>
            <w:vAlign w:val="bottom"/>
          </w:tcPr>
          <w:p>
            <w:pPr>
              <w:spacing w:after="0"/>
              <w:rPr>
                <w:sz w:val="12"/>
                <w:szCs w:val="12"/>
                <w:color w:val="auto"/>
              </w:rPr>
            </w:pPr>
          </w:p>
        </w:tc>
        <w:tc>
          <w:tcPr>
            <w:tcW w:w="166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53"/>
        </w:trPr>
        <w:tc>
          <w:tcPr>
            <w:tcW w:w="1780" w:type="dxa"/>
            <w:vAlign w:val="bottom"/>
          </w:tcPr>
          <w:p>
            <w:pPr>
              <w:jc w:val="right"/>
              <w:ind w:right="528"/>
              <w:spacing w:after="0" w:line="153" w:lineRule="exact"/>
              <w:rPr>
                <w:sz w:val="20"/>
                <w:szCs w:val="20"/>
                <w:color w:val="auto"/>
              </w:rPr>
            </w:pPr>
            <w:r>
              <w:rPr>
                <w:rFonts w:ascii="Times New Roman" w:cs="Times New Roman" w:eastAsia="Times New Roman" w:hAnsi="Times New Roman"/>
                <w:sz w:val="14"/>
                <w:szCs w:val="14"/>
                <w:b w:val="1"/>
                <w:bCs w:val="1"/>
                <w:color w:val="auto"/>
              </w:rPr>
              <w:t>Options and Rights</w:t>
            </w:r>
          </w:p>
        </w:tc>
        <w:tc>
          <w:tcPr>
            <w:tcW w:w="2220" w:type="dxa"/>
            <w:vAlign w:val="bottom"/>
            <w:gridSpan w:val="2"/>
          </w:tcPr>
          <w:p>
            <w:pPr>
              <w:jc w:val="right"/>
              <w:ind w:right="508"/>
              <w:spacing w:after="0" w:line="153" w:lineRule="exact"/>
              <w:rPr>
                <w:sz w:val="20"/>
                <w:szCs w:val="20"/>
                <w:color w:val="auto"/>
              </w:rPr>
            </w:pPr>
            <w:r>
              <w:rPr>
                <w:rFonts w:ascii="Times New Roman" w:cs="Times New Roman" w:eastAsia="Times New Roman" w:hAnsi="Times New Roman"/>
                <w:sz w:val="14"/>
                <w:szCs w:val="14"/>
                <w:b w:val="1"/>
                <w:bCs w:val="1"/>
                <w:color w:val="auto"/>
              </w:rPr>
              <w:t>Options and Rights</w:t>
            </w:r>
          </w:p>
        </w:tc>
        <w:tc>
          <w:tcPr>
            <w:tcW w:w="186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71"/>
        </w:trPr>
        <w:tc>
          <w:tcPr>
            <w:tcW w:w="1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14,141,265</w:t>
            </w:r>
            <w:r>
              <w:rPr>
                <w:rFonts w:ascii="Times New Roman" w:cs="Times New Roman" w:eastAsia="Times New Roman" w:hAnsi="Times New Roman"/>
                <w:sz w:val="12"/>
                <w:szCs w:val="12"/>
                <w:color w:val="auto"/>
              </w:rPr>
              <w:t>(b)</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35.99</w:t>
            </w:r>
            <w:r>
              <w:rPr>
                <w:rFonts w:ascii="Times New Roman" w:cs="Times New Roman" w:eastAsia="Times New Roman" w:hAnsi="Times New Roman"/>
                <w:sz w:val="12"/>
                <w:szCs w:val="12"/>
                <w:color w:val="auto"/>
              </w:rPr>
              <w:t>(c)</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5,914,001</w:t>
            </w:r>
            <w:r>
              <w:rPr>
                <w:rFonts w:ascii="Times New Roman" w:cs="Times New Roman" w:eastAsia="Times New Roman" w:hAnsi="Times New Roman"/>
                <w:sz w:val="12"/>
                <w:szCs w:val="12"/>
                <w:color w:val="auto"/>
              </w:rPr>
              <w: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-93980</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420" w:space="720"/>
            <w:col w:w="628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4660" w:type="dxa"/>
            <w:vAlign w:val="bottom"/>
            <w:tcBorders>
              <w:top w:val="single" w:sz="8" w:color="7F7F7F"/>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Equity compensation plans not approved by security holders</w:t>
            </w:r>
            <w:r>
              <w:rPr>
                <w:rFonts w:ascii="Times New Roman" w:cs="Times New Roman" w:eastAsia="Times New Roman" w:hAnsi="Times New Roman"/>
                <w:sz w:val="12"/>
                <w:szCs w:val="12"/>
                <w:color w:val="auto"/>
              </w:rPr>
              <w:t>(e)</w:t>
            </w:r>
          </w:p>
        </w:tc>
        <w:tc>
          <w:tcPr>
            <w:tcW w:w="2240" w:type="dxa"/>
            <w:vAlign w:val="bottom"/>
            <w:tcBorders>
              <w:top w:val="single" w:sz="8" w:color="7F7F7F"/>
              <w:bottom w:val="single" w:sz="8" w:color="7F7F7F"/>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16,850</w:t>
            </w:r>
            <w:r>
              <w:rPr>
                <w:rFonts w:ascii="Times New Roman" w:cs="Times New Roman" w:eastAsia="Times New Roman" w:hAnsi="Times New Roman"/>
                <w:sz w:val="12"/>
                <w:szCs w:val="12"/>
                <w:color w:val="auto"/>
              </w:rPr>
              <w:t>(f)</w:t>
            </w:r>
          </w:p>
        </w:tc>
        <w:tc>
          <w:tcPr>
            <w:tcW w:w="940" w:type="dxa"/>
            <w:vAlign w:val="bottom"/>
            <w:tcBorders>
              <w:top w:val="single" w:sz="8" w:color="7F7F7F"/>
              <w:bottom w:val="single" w:sz="8" w:color="7F7F7F"/>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7F7F7F"/>
              <w:bottom w:val="single" w:sz="8" w:color="7F7F7F"/>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rPr>
              <w:t>29.24</w:t>
            </w:r>
          </w:p>
        </w:tc>
        <w:tc>
          <w:tcPr>
            <w:tcW w:w="2000" w:type="dxa"/>
            <w:vAlign w:val="bottom"/>
            <w:tcBorders>
              <w:top w:val="single" w:sz="8" w:color="7F7F7F"/>
              <w:bottom w:val="single" w:sz="8" w:color="7F7F7F"/>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6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240" w:type="dxa"/>
            <w:vAlign w:val="bottom"/>
            <w:tcBorders>
              <w:bottom w:val="single" w:sz="8" w:color="auto"/>
            </w:tcBorders>
            <w:shd w:val="clear" w:color="auto" w:fill="CCEEFF"/>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14,158,115</w:t>
            </w:r>
          </w:p>
        </w:tc>
        <w:tc>
          <w:tcPr>
            <w:tcW w:w="940" w:type="dxa"/>
            <w:vAlign w:val="bottom"/>
            <w:tcBorders>
              <w:bottom w:val="single" w:sz="8" w:color="auto"/>
            </w:tcBorders>
            <w:shd w:val="clear" w:color="auto" w:fill="CCEEFF"/>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rPr>
              <w:t>35.98</w:t>
            </w:r>
          </w:p>
        </w:tc>
        <w:tc>
          <w:tcPr>
            <w:tcW w:w="2000" w:type="dxa"/>
            <w:vAlign w:val="bottom"/>
            <w:tcBorders>
              <w:bottom w:val="single" w:sz="8" w:color="auto"/>
            </w:tcBorders>
            <w:shd w:val="clear" w:color="auto" w:fill="CCEEFF"/>
          </w:tcPr>
          <w:p>
            <w:pPr>
              <w:jc w:val="right"/>
              <w:ind w:right="488"/>
              <w:spacing w:after="0" w:line="142" w:lineRule="exact"/>
              <w:rPr>
                <w:sz w:val="20"/>
                <w:szCs w:val="20"/>
                <w:color w:val="auto"/>
              </w:rPr>
            </w:pPr>
            <w:r>
              <w:rPr>
                <w:rFonts w:ascii="Times New Roman" w:cs="Times New Roman" w:eastAsia="Times New Roman" w:hAnsi="Times New Roman"/>
                <w:sz w:val="14"/>
                <w:szCs w:val="14"/>
                <w:color w:val="auto"/>
              </w:rPr>
              <w:t>5,914,001</w:t>
            </w:r>
          </w:p>
        </w:tc>
      </w:tr>
    </w:tbl>
    <w:p>
      <w:pPr>
        <w:spacing w:after="0" w:line="99" w:lineRule="exact"/>
        <w:rPr>
          <w:sz w:val="20"/>
          <w:szCs w:val="20"/>
          <w:color w:val="auto"/>
        </w:rPr>
      </w:pPr>
    </w:p>
    <w:p>
      <w:pPr>
        <w:ind w:left="340" w:right="240" w:hanging="332"/>
        <w:spacing w:after="0" w:line="262"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2000 Stock Incentive Plan, 2004 Stock Incentive Plan and 2009 Stock Incentive Plan. Only our 2009 Stock Incentive Plan is available for awards. Also includes our Employee Stock Purchase Plan (ESPP).</w:t>
      </w:r>
    </w:p>
    <w:p>
      <w:pPr>
        <w:spacing w:after="0" w:line="67" w:lineRule="exact"/>
        <w:rPr>
          <w:rFonts w:ascii="Times New Roman" w:cs="Times New Roman" w:eastAsia="Times New Roman" w:hAnsi="Times New Roman"/>
          <w:sz w:val="14"/>
          <w:szCs w:val="14"/>
          <w:color w:val="auto"/>
        </w:rPr>
      </w:pPr>
    </w:p>
    <w:p>
      <w:pPr>
        <w:ind w:left="340" w:right="100" w:hanging="332"/>
        <w:spacing w:after="0" w:line="228"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outstanding for 9,657,869 shares of Common Stock; 296,975 shares of Common Stock to be issued in connection with deferred compensation obligations; 534,843 shares underlying unvested restricted stock units and up to 3,651,578 shares of Common Stock that may be issued under unearned performance share units. In determining the number of shares of Common Stock that may be issued on account of performance share units, we assumed the maximum performance level was achievable, which would result in a payout in shares of Common Stock equal to two times the number of performance share units granted. This number includes 633,328 shares on account of performance share units with the performance period ended December 31, 2013. The determination of achievement of performance results and corresponding vesting of performance share units with the performance period ended December 31, 2013 was performed by the MD&amp;C Committee in February 2014; as a result, 106,140 shares of Common Stock included in this number were issued in February 2014, net of units deferred, and 496,443 shares included in this number will be available for future issuance. 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82" w:lineRule="exact"/>
        <w:rPr>
          <w:rFonts w:ascii="Times New Roman" w:cs="Times New Roman" w:eastAsia="Times New Roman" w:hAnsi="Times New Roman"/>
          <w:sz w:val="14"/>
          <w:szCs w:val="14"/>
          <w:color w:val="auto"/>
        </w:rPr>
      </w:pPr>
    </w:p>
    <w:p>
      <w:pPr>
        <w:ind w:left="340" w:right="400" w:hanging="332"/>
        <w:spacing w:after="0" w:line="262"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performance share units and restricted stock units because those awards do not have exercise prices associated with them. Also excludes purchase rights under the ESPP for the reasons described in (b) above.</w:t>
      </w:r>
    </w:p>
    <w:p>
      <w:pPr>
        <w:spacing w:after="0" w:line="67" w:lineRule="exact"/>
        <w:rPr>
          <w:rFonts w:ascii="Times New Roman" w:cs="Times New Roman" w:eastAsia="Times New Roman" w:hAnsi="Times New Roman"/>
          <w:sz w:val="14"/>
          <w:szCs w:val="14"/>
          <w:color w:val="auto"/>
        </w:rPr>
      </w:pPr>
    </w:p>
    <w:p>
      <w:pPr>
        <w:ind w:left="340" w:right="60" w:hanging="332"/>
        <w:spacing w:after="0" w:line="262"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remaining available include 4,186,419 shares under our 2009 Stock Incentive Plan and 1,727,582 shares under our ESPP. No additional shares may be issued under any of the other plans approved by stockholders, other than on account of awards already outstanding.</w:t>
      </w:r>
    </w:p>
    <w:p>
      <w:pPr>
        <w:spacing w:after="0" w:line="67" w:lineRule="exact"/>
        <w:rPr>
          <w:rFonts w:ascii="Times New Roman" w:cs="Times New Roman" w:eastAsia="Times New Roman" w:hAnsi="Times New Roman"/>
          <w:sz w:val="14"/>
          <w:szCs w:val="14"/>
          <w:color w:val="auto"/>
        </w:rPr>
      </w:pPr>
    </w:p>
    <w:p>
      <w:pPr>
        <w:ind w:left="340" w:right="120" w:hanging="332"/>
        <w:spacing w:after="0" w:line="241"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2000 Broad-Based Employee Plan. No awards under the Broad-Based Plan are held by, or may be granted to, any of our directors or executive officers. The Broad-Based Plan allows for the granting of equity awards on such terms and conditions as the MD&amp;C Committee may decide; provided that, the exercise price of options may not be less than 100% of the fair market value of the stock on the date of grant, and all options expire no later than ten years from the date of grant.</w:t>
      </w:r>
    </w:p>
    <w:p>
      <w:pPr>
        <w:spacing w:after="0" w:line="8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exercisable for shares of Common Stock.</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w:t>
      </w:r>
      <w:r>
        <w:rPr>
          <w:rFonts w:ascii="Times New Roman" w:cs="Times New Roman" w:eastAsia="Times New Roman" w:hAnsi="Times New Roman"/>
          <w:sz w:val="23"/>
          <w:szCs w:val="23"/>
          <w:b w:val="1"/>
          <w:bCs w:val="1"/>
          <w:color w:val="auto"/>
        </w:rPr>
        <w:t>ATIFICATION OF</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3"/>
          <w:szCs w:val="23"/>
          <w:b w:val="1"/>
          <w:bCs w:val="1"/>
          <w:color w:val="auto"/>
        </w:rPr>
        <w:t>NDEPENDENT</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23"/>
          <w:szCs w:val="23"/>
          <w:b w:val="1"/>
          <w:bCs w:val="1"/>
          <w:color w:val="auto"/>
        </w:rPr>
        <w:t>EGISTERED</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3"/>
          <w:szCs w:val="23"/>
          <w:b w:val="1"/>
          <w:bCs w:val="1"/>
          <w:color w:val="auto"/>
        </w:rPr>
        <w:t>UBLIC</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3"/>
          <w:szCs w:val="23"/>
          <w:b w:val="1"/>
          <w:bCs w:val="1"/>
          <w:color w:val="auto"/>
        </w:rPr>
        <w:t>CCOUNTING</w:t>
      </w:r>
      <w:r>
        <w:rPr>
          <w:rFonts w:ascii="Times New Roman" w:cs="Times New Roman" w:eastAsia="Times New Roman" w:hAnsi="Times New Roman"/>
          <w:sz w:val="29"/>
          <w:szCs w:val="29"/>
          <w:b w:val="1"/>
          <w:bCs w:val="1"/>
          <w:color w:val="auto"/>
        </w:rPr>
        <w:t xml:space="preserve"> F</w:t>
      </w:r>
      <w:r>
        <w:rPr>
          <w:rFonts w:ascii="Times New Roman" w:cs="Times New Roman" w:eastAsia="Times New Roman" w:hAnsi="Times New Roman"/>
          <w:sz w:val="23"/>
          <w:szCs w:val="23"/>
          <w:b w:val="1"/>
          <w:bCs w:val="1"/>
          <w:color w:val="auto"/>
        </w:rPr>
        <w:t>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ITEM</w:t>
      </w:r>
      <w:r>
        <w:rPr>
          <w:rFonts w:ascii="Times New Roman" w:cs="Times New Roman" w:eastAsia="Times New Roman" w:hAnsi="Times New Roman"/>
          <w:sz w:val="18"/>
          <w:szCs w:val="18"/>
          <w:b w:val="1"/>
          <w:bCs w:val="1"/>
          <w:color w:val="auto"/>
        </w:rPr>
        <w:t xml:space="preserve"> 2 O</w:t>
      </w: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upon the recommendation of the Audit Committee, has ratified the selection of Ernst &amp; Young LLP to serve as our independent registered public accounting firm for fiscal year 2014, subject to ratification by our stockholders.</w:t>
      </w:r>
    </w:p>
    <w:p>
      <w:pPr>
        <w:spacing w:after="0" w:line="54"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5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72"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ERNST &amp; YOUNG LLP AS THE COMPANY’S INDEPENDENT REGISTERED PUBLIC ACCOUNTING FIRM FOR FISCAL YEAR 2014.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 Information</w:t>
      </w:r>
    </w:p>
    <w:p>
      <w:pPr>
        <w:spacing w:after="0" w:line="121"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Fees for professional services provided by our independent registered public accounting firm in each of the last two fiscal years, in each of the following categories, were as follows:</w:t>
      </w:r>
    </w:p>
    <w:p>
      <w:pPr>
        <w:spacing w:after="0" w:line="6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00" w:type="dxa"/>
            <w:vAlign w:val="bottom"/>
            <w:tcBorders>
              <w:top w:val="single" w:sz="8" w:color="auto"/>
            </w:tcBorders>
            <w:gridSpan w:val="4"/>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Audit Fees</w:t>
            </w:r>
          </w:p>
        </w:tc>
        <w:tc>
          <w:tcPr>
            <w:tcW w:w="46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$ 5.7</w:t>
            </w:r>
          </w:p>
        </w:tc>
        <w:tc>
          <w:tcPr>
            <w:tcW w:w="6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$ 6.0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Audit-Related Fees</w:t>
            </w:r>
          </w:p>
        </w:tc>
        <w:tc>
          <w:tcPr>
            <w:tcW w:w="46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0.7</w:t>
            </w:r>
          </w:p>
        </w:tc>
        <w:tc>
          <w:tcPr>
            <w:tcW w:w="6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Tax Fees</w:t>
            </w:r>
          </w:p>
        </w:tc>
        <w:tc>
          <w:tcPr>
            <w:tcW w:w="4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 Other Fees</w:t>
            </w:r>
          </w:p>
        </w:tc>
        <w:tc>
          <w:tcPr>
            <w:tcW w:w="406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$ 6.4</w:t>
            </w:r>
          </w:p>
        </w:tc>
        <w:tc>
          <w:tcPr>
            <w:tcW w:w="6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$ 7.1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Audit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separate subsidiary audits not required by statute or regulation, employee benefit plan audits and financial due diligence services relating to certain potential acquisitions.</w:t>
      </w:r>
    </w:p>
    <w:p>
      <w:pPr>
        <w:spacing w:after="0" w:line="7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Audit Committee at the next regularly scheduled meeting. The Audit Committee is updated on the status of all services and related fees at every regular meeting. In 2013 and 2012, the Audit Committee pre-approved all audit and audit-related services performed by Ernst &amp; Young.</w:t>
      </w:r>
    </w:p>
    <w:p>
      <w:pPr>
        <w:spacing w:after="0" w:line="8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As set forth in the Audit Committee Report on page 7, the Audit Committee has considered whether the provision of these audit-related services is compatible with maintaining auditor independence and has determined that it 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for Approval</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shares present at the meeting, in person or represented by proxy, and entitled to vote.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w:t>
      </w:r>
      <w:r>
        <w:rPr>
          <w:rFonts w:ascii="Times New Roman" w:cs="Times New Roman" w:eastAsia="Times New Roman" w:hAnsi="Times New Roman"/>
          <w:sz w:val="23"/>
          <w:szCs w:val="23"/>
          <w:b w:val="1"/>
          <w:bCs w:val="1"/>
          <w:color w:val="auto"/>
        </w:rPr>
        <w:t>DVISORY</w:t>
      </w:r>
      <w:r>
        <w:rPr>
          <w:rFonts w:ascii="Times New Roman" w:cs="Times New Roman" w:eastAsia="Times New Roman" w:hAnsi="Times New Roman"/>
          <w:sz w:val="29"/>
          <w:szCs w:val="29"/>
          <w:b w:val="1"/>
          <w:bCs w:val="1"/>
          <w:color w:val="auto"/>
        </w:rPr>
        <w:t xml:space="preserve"> V</w:t>
      </w:r>
      <w:r>
        <w:rPr>
          <w:rFonts w:ascii="Times New Roman" w:cs="Times New Roman" w:eastAsia="Times New Roman" w:hAnsi="Times New Roman"/>
          <w:sz w:val="23"/>
          <w:szCs w:val="23"/>
          <w:b w:val="1"/>
          <w:bCs w:val="1"/>
          <w:color w:val="auto"/>
        </w:rPr>
        <w:t>OTE</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N</w:t>
      </w:r>
      <w:r>
        <w:rPr>
          <w:rFonts w:ascii="Times New Roman" w:cs="Times New Roman" w:eastAsia="Times New Roman" w:hAnsi="Times New Roman"/>
          <w:sz w:val="29"/>
          <w:szCs w:val="29"/>
          <w:b w:val="1"/>
          <w:bCs w:val="1"/>
          <w:color w:val="auto"/>
        </w:rPr>
        <w:t xml:space="preserve"> E</w:t>
      </w:r>
      <w:r>
        <w:rPr>
          <w:rFonts w:ascii="Times New Roman" w:cs="Times New Roman" w:eastAsia="Times New Roman" w:hAnsi="Times New Roman"/>
          <w:sz w:val="23"/>
          <w:szCs w:val="23"/>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TEM</w:t>
      </w:r>
      <w:r>
        <w:rPr>
          <w:rFonts w:ascii="Times New Roman" w:cs="Times New Roman" w:eastAsia="Times New Roman" w:hAnsi="Times New Roman"/>
          <w:sz w:val="18"/>
          <w:szCs w:val="18"/>
          <w:b w:val="1"/>
          <w:bCs w:val="1"/>
          <w:color w:val="auto"/>
        </w:rPr>
        <w:t xml:space="preserve"> 3 </w:t>
      </w:r>
      <w:r>
        <w:rPr>
          <w:rFonts w:ascii="Times New Roman" w:cs="Times New Roman" w:eastAsia="Times New Roman" w:hAnsi="Times New Roman"/>
          <w:sz w:val="15"/>
          <w:szCs w:val="15"/>
          <w:b w:val="1"/>
          <w:bCs w:val="1"/>
          <w:color w:val="auto"/>
        </w:rPr>
        <w:t>ON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Pursuant to Section 14A of the Securities Exchange Act of 1934, as amended, stockholders are entitled to an advisory (non-binding) vote on compensation programs for our named executive officers (sometimes referred to as “say on pay”). The Board of Directors has determined that it will include say on pay votes in the Company’s proxy materials annually until the next stockholder vote on the frequency of the say on pay vote.</w:t>
      </w:r>
    </w:p>
    <w:p>
      <w:pPr>
        <w:spacing w:after="0" w:line="6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encourage stockholders to review the Compensation Discussion and Analysis on pages 22 to 37 of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Compensation Discussion and Analysis, further the objective of our executive compensation program and evidence our dedication to competitive and reasonable compensation practices that are in the best interests of stockholders:</w:t>
      </w:r>
    </w:p>
    <w:p>
      <w:pPr>
        <w:spacing w:after="0" w:line="89" w:lineRule="exact"/>
        <w:rPr>
          <w:sz w:val="20"/>
          <w:szCs w:val="20"/>
          <w:color w:val="auto"/>
        </w:rPr>
      </w:pPr>
    </w:p>
    <w:p>
      <w:pPr>
        <w:ind w:left="660" w:right="40" w:hanging="206"/>
        <w:spacing w:after="0" w:line="258"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executive compensation is linked to Company performance, through annual cash incentive performance criteria and long-term equity-based incentive awards. As a result, our executive compensation program provides for a significant difference in total compensation in periods of above-target Company performance as compared to periods of below-target Company performance. In 2013, our performance-based annual cash incentive and long-term equity-based incentive awards comprised approximately 87% of total target compensation for our President and Chief Executive Officer and approximately 74% of total target compensation for our other currently-serving named executives;</w:t>
      </w:r>
    </w:p>
    <w:p>
      <w:pPr>
        <w:spacing w:after="0" w:line="89" w:lineRule="exact"/>
        <w:rPr>
          <w:rFonts w:ascii="Times New Roman" w:cs="Times New Roman" w:eastAsia="Times New Roman" w:hAnsi="Times New Roman"/>
          <w:sz w:val="18"/>
          <w:szCs w:val="18"/>
          <w:color w:val="auto"/>
        </w:rPr>
      </w:pPr>
    </w:p>
    <w:p>
      <w:pPr>
        <w:ind w:left="660" w:right="520" w:hanging="206"/>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include threshold, target and maximum payouts correlating to a range of performance goals that are designed to be challenging, yet achievable, and are based on a variety of indicators of performance goals, which limits risk-taking behavior;</w:t>
      </w:r>
    </w:p>
    <w:p>
      <w:pPr>
        <w:spacing w:after="0" w:line="67" w:lineRule="exact"/>
        <w:rPr>
          <w:rFonts w:ascii="Times New Roman" w:cs="Times New Roman" w:eastAsia="Times New Roman" w:hAnsi="Times New Roman"/>
          <w:sz w:val="18"/>
          <w:szCs w:val="18"/>
          <w:color w:val="auto"/>
        </w:rPr>
      </w:pPr>
    </w:p>
    <w:p>
      <w:pPr>
        <w:jc w:val="both"/>
        <w:ind w:left="660" w:right="620" w:hanging="206"/>
        <w:spacing w:after="0" w:line="313" w:lineRule="auto"/>
        <w:tabs>
          <w:tab w:leader="none" w:pos="6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compensation mix targets approximately 50% of total compensation of our named executives (and approximately 70% in the case of our President and Chief Executive Officer) to result from long-term equity awards, which aligns executives’ interests with those of stockholders;</w:t>
      </w:r>
    </w:p>
    <w:p>
      <w:pPr>
        <w:spacing w:after="0" w:line="43" w:lineRule="exact"/>
        <w:rPr>
          <w:rFonts w:ascii="Times New Roman" w:cs="Times New Roman" w:eastAsia="Times New Roman" w:hAnsi="Times New Roman"/>
          <w:sz w:val="17"/>
          <w:szCs w:val="17"/>
          <w:color w:val="auto"/>
        </w:rPr>
      </w:pPr>
    </w:p>
    <w:p>
      <w:pPr>
        <w:ind w:left="660" w:right="300" w:hanging="206"/>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three-year performance period, as well as stock options’ vesting over a three-year period, link executives’ interests with long-term performance and reduce incentives to maximize performance in any one year;</w:t>
      </w:r>
    </w:p>
    <w:p>
      <w:pPr>
        <w:spacing w:after="0" w:line="67"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named executive officers are subject to stock ownership requirements, which we believe demonstrates a commitment to, and confidence in, the Company’s long-term prospects;</w:t>
      </w:r>
    </w:p>
    <w:p>
      <w:pPr>
        <w:spacing w:after="0" w:line="67" w:lineRule="exact"/>
        <w:rPr>
          <w:rFonts w:ascii="Times New Roman" w:cs="Times New Roman" w:eastAsia="Times New Roman" w:hAnsi="Times New Roman"/>
          <w:sz w:val="18"/>
          <w:szCs w:val="18"/>
          <w:color w:val="auto"/>
        </w:rPr>
      </w:pPr>
    </w:p>
    <w:p>
      <w:pPr>
        <w:ind w:left="660" w:right="420" w:hanging="206"/>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clawback provisions in its equity award agreements and recent employment agreements, as well as a general clawback policy designed to recoup compensation in certain cases when cause and/or misconduct are found;</w:t>
      </w:r>
    </w:p>
    <w:p>
      <w:pPr>
        <w:spacing w:after="0" w:line="67" w:lineRule="exact"/>
        <w:rPr>
          <w:rFonts w:ascii="Times New Roman" w:cs="Times New Roman" w:eastAsia="Times New Roman" w:hAnsi="Times New Roman"/>
          <w:sz w:val="18"/>
          <w:szCs w:val="18"/>
          <w:color w:val="auto"/>
        </w:rPr>
      </w:pPr>
    </w:p>
    <w:p>
      <w:pPr>
        <w:ind w:left="660" w:right="120" w:hanging="206"/>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67" w:lineRule="exact"/>
        <w:rPr>
          <w:rFonts w:ascii="Times New Roman" w:cs="Times New Roman" w:eastAsia="Times New Roman" w:hAnsi="Times New Roman"/>
          <w:sz w:val="18"/>
          <w:szCs w:val="18"/>
          <w:color w:val="auto"/>
        </w:rPr>
      </w:pPr>
    </w:p>
    <w:p>
      <w:pPr>
        <w:ind w:left="660" w:right="120" w:hanging="206"/>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policy that prohibits it from entering into new agreements with executive officers that provide for certain death benefits or tax gross-up payments.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Board strongly endorses the Company’s executive compensation program and recommends that the stockholders vote in favor of the following resolution:</w:t>
      </w:r>
    </w:p>
    <w:p>
      <w:pPr>
        <w:spacing w:after="0" w:line="5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RESOLVED, that the stockholders approve the compensation of the Company’s named executive officers as described in this Proxy Statement under “Executive Compensation,” including the Compensation Discussion and Analysis and the tabular and narrative disclosure contained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for Approval</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shares present at the meeting, in person or represented by proxy, and entitled to vote. Because the vote is advisory, it will not be binding upon the Board or the MD&amp;C Committee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68" w:lineRule="exact"/>
        <w:rPr>
          <w:sz w:val="20"/>
          <w:szCs w:val="20"/>
          <w:color w:val="auto"/>
        </w:rPr>
      </w:pPr>
    </w:p>
    <w:p>
      <w:pPr>
        <w:jc w:val="center"/>
        <w:ind w:right="100"/>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FOR THE APPROVAL OF THE COMPANY’S EXECUTIVE COMPENSATION. </w:t>
      </w: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w:t>
      </w:r>
      <w:r>
        <w:rPr>
          <w:rFonts w:ascii="Times New Roman" w:cs="Times New Roman" w:eastAsia="Times New Roman" w:hAnsi="Times New Roman"/>
          <w:sz w:val="23"/>
          <w:szCs w:val="23"/>
          <w:b w:val="1"/>
          <w:bCs w:val="1"/>
          <w:color w:val="auto"/>
        </w:rPr>
        <w:t>ROPOSAL TO</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3"/>
          <w:szCs w:val="23"/>
          <w:b w:val="1"/>
          <w:bCs w:val="1"/>
          <w:color w:val="auto"/>
        </w:rPr>
        <w:t>PPROVE THE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OMPANY</w:t>
      </w:r>
      <w:r>
        <w:rPr>
          <w:rFonts w:ascii="Times New Roman" w:cs="Times New Roman" w:eastAsia="Times New Roman" w:hAnsi="Times New Roman"/>
          <w:sz w:val="29"/>
          <w:szCs w:val="29"/>
          <w:b w:val="1"/>
          <w:bCs w:val="1"/>
          <w:color w:val="auto"/>
        </w:rPr>
        <w:t>’</w:t>
      </w:r>
      <w:r>
        <w:rPr>
          <w:rFonts w:ascii="Times New Roman" w:cs="Times New Roman" w:eastAsia="Times New Roman" w:hAnsi="Times New Roman"/>
          <w:sz w:val="23"/>
          <w:szCs w:val="23"/>
          <w:b w:val="1"/>
          <w:bCs w:val="1"/>
          <w:color w:val="auto"/>
        </w:rPr>
        <w:t>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2014 S</w:t>
      </w:r>
      <w:r>
        <w:rPr>
          <w:rFonts w:ascii="Times New Roman" w:cs="Times New Roman" w:eastAsia="Times New Roman" w:hAnsi="Times New Roman"/>
          <w:sz w:val="23"/>
          <w:szCs w:val="23"/>
          <w:b w:val="1"/>
          <w:bCs w:val="1"/>
          <w:color w:val="auto"/>
        </w:rPr>
        <w:t>TOCK</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3"/>
          <w:szCs w:val="23"/>
          <w:b w:val="1"/>
          <w:bCs w:val="1"/>
          <w:color w:val="auto"/>
        </w:rPr>
        <w:t>NCENTIVE</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3"/>
          <w:szCs w:val="2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TEM</w:t>
      </w:r>
      <w:r>
        <w:rPr>
          <w:rFonts w:ascii="Times New Roman" w:cs="Times New Roman" w:eastAsia="Times New Roman" w:hAnsi="Times New Roman"/>
          <w:sz w:val="18"/>
          <w:szCs w:val="18"/>
          <w:b w:val="1"/>
          <w:bCs w:val="1"/>
          <w:color w:val="auto"/>
        </w:rPr>
        <w:t xml:space="preserve"> 4 </w:t>
      </w:r>
      <w:r>
        <w:rPr>
          <w:rFonts w:ascii="Times New Roman" w:cs="Times New Roman" w:eastAsia="Times New Roman" w:hAnsi="Times New Roman"/>
          <w:sz w:val="15"/>
          <w:szCs w:val="15"/>
          <w:b w:val="1"/>
          <w:bCs w:val="1"/>
          <w:color w:val="auto"/>
        </w:rPr>
        <w:t>ON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Stockholders are asked to consider and vote upon a proposal to approve the Company’s 2014 Stock Incentive Plan, which we refer to as the 2014 Plan. Upon the recommendation of the MD&amp;C Committee, the Board of Directors approved the 2014 Plan, subject to receipt of stockholder approval at our 2014 Annual Meeting. The Board believes that approval of the 2014 Plan is in the best interests of the Company and its stockholders.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2014 STOCK INCENTIVE PLAN.</w:t>
      </w:r>
    </w:p>
    <w:p>
      <w:pPr>
        <w:spacing w:after="0" w:line="22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discussed in our Compensation Discussion and Analysis beginning on page 22, performance-based pay elements, including equity-based awards, are key components of our overall compensation program. As of December 31, 2013, approximately 4.2 million shares remained available for issuance with respect to future awards under our existing equity-based compensation plans. The 2014 Plan is designed to allow the Company to continue to attract and retain highly-qualified persons to serve as officers, non-employee directors, key employees and consultants of the Company and to align their interests more closely with the interests of the Company’s stockholders, as well as provide incentives and reward opportunities designed to enhance the profitable growth of the Company by providing for additional shares of Common Stock to be available for such awards.</w:t>
      </w:r>
    </w:p>
    <w:p>
      <w:pPr>
        <w:spacing w:after="0" w:line="18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as described below, under Section 162(m) of the Internal Revenue Code of 1986, as amended (the “Code”), we generally are prohibited from deducting compensation paid to our principal executive officer and our three other most highly compensated executive officers (other than our principal financial officer) in excess of $1 million per person in any year. However, the Section 162(m) deduction limit does not apply to qualified “performance-based compensation” that is established by an independent compensation committee and adequately disclosed to, and approved by, a majority vote of our stockholders, generally at least once every five years. By approving the 2014 Plan, stockholders also will be approving the material terms of the performance goals under the 2014 Plan for purposes of ensuring the Company’s ability to grant “performance based compensation” awards under Code Section 162(m). The material terms of the performance goals for the 2014 Plan are disclosed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Features of the 2014 Plan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features of the 2014 Plan are designed to reinforce the alignment between equity compensation arrangements and stockholders’ interests:</w:t>
      </w:r>
    </w:p>
    <w:p>
      <w:pPr>
        <w:spacing w:after="0" w:line="233"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Discounting of Stock Options. </w:t>
      </w:r>
      <w:r>
        <w:rPr>
          <w:rFonts w:ascii="Times New Roman" w:cs="Times New Roman" w:eastAsia="Times New Roman" w:hAnsi="Times New Roman"/>
          <w:sz w:val="18"/>
          <w:szCs w:val="18"/>
          <w:color w:val="auto"/>
        </w:rPr>
        <w:t>The 2014 Plan prohibits the granting of stock options and stock appreciation rights with an exercise price less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fair market value of our Common Stock on the date of grant.</w:t>
      </w:r>
    </w:p>
    <w:p>
      <w:pPr>
        <w:spacing w:after="0" w:line="15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Repricing or Replacement of Underwater Stock Options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2014 Plan prohibits, without stockholder approval, actions to amend any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award to lower the exercise price, cancel and replace any outstanding option award with an option award having a lower exercise price or repurchase any option at any time when the fair market value of the Common Stock is less than the option exercise price.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Terms of Stock Options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maximum term of each stock option is ten years.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Minimum Vesting Period. </w:t>
      </w:r>
      <w:r>
        <w:rPr>
          <w:rFonts w:ascii="Times New Roman" w:cs="Times New Roman" w:eastAsia="Times New Roman" w:hAnsi="Times New Roman"/>
          <w:sz w:val="18"/>
          <w:szCs w:val="18"/>
          <w:color w:val="auto"/>
        </w:rPr>
        <w:t>The 2014 Plan provides for minimum vesting periods of at least three years (with pro rata vesting over such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for time-based grants and one year for performance-based grants, subject in each case to an exception for up to 5% of the total shares authorized for issuance under the 2014 Plan for which our Board of Directors may retain discretion.</w:t>
      </w:r>
    </w:p>
    <w:p>
      <w:pPr>
        <w:spacing w:after="0" w:line="17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 Waiver or Acceleration of Vesting Periods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Authority to accelerate the exercisability or vesting or otherwise terminate restrictions related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under the 2014 Plan may be exercised only in connection with a participant’s death, disability, or retirement; in connection with a Corporate Change (as defined below); upon certain dispositions; and subject to an exception for up to 5% of the total shares authorized for issuance under the 2014 Plan for which our Board of Directors may retain discretion.</w:t>
      </w:r>
    </w:p>
    <w:p>
      <w:pPr>
        <w:spacing w:after="0" w:line="177" w:lineRule="exact"/>
        <w:rPr>
          <w:sz w:val="20"/>
          <w:szCs w:val="20"/>
          <w:color w:val="auto"/>
        </w:rPr>
      </w:pPr>
    </w:p>
    <w:p>
      <w:pPr>
        <w:ind w:right="4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Dividends on Unearned Performance Awards. </w:t>
      </w:r>
      <w:r>
        <w:rPr>
          <w:rFonts w:ascii="Times New Roman" w:cs="Times New Roman" w:eastAsia="Times New Roman" w:hAnsi="Times New Roman"/>
          <w:sz w:val="18"/>
          <w:szCs w:val="18"/>
          <w:color w:val="auto"/>
        </w:rPr>
        <w:t>The 2014 Plan prohibits payment of dividends or dividend equivalents on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until the performance conditions have been satisfied, although dividends and dividend equivalents may accrue subject to satisfaction of such performance conditions.</w:t>
      </w:r>
    </w:p>
    <w:p>
      <w:pPr>
        <w:spacing w:after="0" w:line="171"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Liberal Definition of “Change in Control.” </w:t>
      </w:r>
      <w:r>
        <w:rPr>
          <w:rFonts w:ascii="Times New Roman" w:cs="Times New Roman" w:eastAsia="Times New Roman" w:hAnsi="Times New Roman"/>
          <w:sz w:val="18"/>
          <w:szCs w:val="18"/>
          <w:color w:val="auto"/>
        </w:rPr>
        <w:t>No corporate change or change in control would be triggered solely by stockholder approval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transaction.</w:t>
      </w:r>
    </w:p>
    <w:p>
      <w:pPr>
        <w:spacing w:after="0" w:line="15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granted under the 2014 Plan are subject to a clawback or other recovery by the Company to the extent necessary to comply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law including, without limitation, the requirements of the Dodd-Frank Wall Street Reform and Consumer Protection Act of 2010 or any Securities and Exchange Commission rule. In line with current practice, the MD&amp;C Committee, in its discretion, may also specify clawback and/or recovery provisions in award agreements under the 2014 Plan.</w:t>
      </w:r>
    </w:p>
    <w:p>
      <w:pPr>
        <w:spacing w:after="0" w:line="177" w:lineRule="exact"/>
        <w:rPr>
          <w:sz w:val="20"/>
          <w:szCs w:val="20"/>
          <w:color w:val="auto"/>
        </w:rPr>
      </w:pPr>
    </w:p>
    <w:p>
      <w:pPr>
        <w:ind w:right="7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Code Section 162(m) Eligibility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flexibility to grant awards under the 2014 Plan that are intended to qualify as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under Code Section 162(m).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 on Existing Incentive Compensation Plans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has outstanding equity-based compensation awards under its 2000 Stock Incentive Plan, 2004 Stock Incentive Plan and 2009 Stock Incentive Plan. Only our 2009 Stock Incentive Plan (the “2009 Plan”) is currently available for making additional equity-based grants. If stockholders do not approve the 2014 Plan, then the 2009 Plan will remain in effect in accordance with its terms. However, there will be insufficient shares available under the 2009 Plan to make annual awards and to provide grants to new hires in the coming years. In this event, the MD&amp;C Committee would be required to significantly revise its compensation philosophy and devise other programs to attract, retain and compensate its employees and non-employee directors.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Maximum Aggregate Authorized Shares</w:t>
      </w:r>
    </w:p>
    <w:p>
      <w:pPr>
        <w:spacing w:after="0" w:line="121" w:lineRule="exact"/>
        <w:rPr>
          <w:sz w:val="20"/>
          <w:szCs w:val="20"/>
          <w:color w:val="auto"/>
        </w:rPr>
      </w:pPr>
    </w:p>
    <w:p>
      <w:pPr>
        <w:jc w:val="both"/>
        <w:ind w:right="100" w:firstLine="456"/>
        <w:spacing w:after="0" w:line="282" w:lineRule="auto"/>
        <w:rPr>
          <w:sz w:val="20"/>
          <w:szCs w:val="20"/>
          <w:color w:val="auto"/>
        </w:rPr>
      </w:pPr>
      <w:r>
        <w:rPr>
          <w:rFonts w:ascii="Times New Roman" w:cs="Times New Roman" w:eastAsia="Times New Roman" w:hAnsi="Times New Roman"/>
          <w:sz w:val="18"/>
          <w:szCs w:val="18"/>
          <w:color w:val="auto"/>
        </w:rPr>
        <w:t>In determining the maximum aggregate number of authorized shares under the 2014 Plan for which stockholder approval is being sought, the MD&amp;C Committee considered a number of factors, including:</w:t>
      </w:r>
    </w:p>
    <w:p>
      <w:pPr>
        <w:spacing w:after="0" w:line="158"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Eligible Employees. </w:t>
      </w:r>
      <w:r>
        <w:rPr>
          <w:rFonts w:ascii="Times New Roman" w:cs="Times New Roman" w:eastAsia="Times New Roman" w:hAnsi="Times New Roman"/>
          <w:sz w:val="18"/>
          <w:szCs w:val="18"/>
          <w:color w:val="auto"/>
        </w:rPr>
        <w:t>Based on current equity award granting practices, grants would be limited to approximately 800 employees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and non-employee directors under the 2014 Plan.</w:t>
      </w:r>
    </w:p>
    <w:p>
      <w:pPr>
        <w:spacing w:after="0" w:line="155"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Historical Amounts of Equity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three-year annual number of shares granted, calculated on our understanding of the methodology utilized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Proxy Advisory Services division of Institutional Shareholder Services, Inc. (“ISS”), was approximately 4.554 million shares in 2013, 3.021 million shares in 2012, and 9.825 million shares in 2011. However, these amounts are not necessarily indicative of the shares that might be awarded in future years under the 2014 Plan.</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240" w:top="455" w:right="31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Historical Equity Award Burn Rate. </w:t>
      </w:r>
      <w:r>
        <w:rPr>
          <w:rFonts w:ascii="Times New Roman" w:cs="Times New Roman" w:eastAsia="Times New Roman" w:hAnsi="Times New Roman"/>
          <w:sz w:val="18"/>
          <w:szCs w:val="18"/>
          <w:color w:val="auto"/>
        </w:rPr>
        <w:t>Our three-year average annual equity grant rate, or “burn rate,” for the 2011-2013 period, calculated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understanding of the methodology utilized by ISS, was 1.24%, which was lower than ISS’s maximum burn rate guidance of 4.37% for our industry classification.</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and Projected Overhang Percentage. </w:t>
      </w:r>
      <w:r>
        <w:rPr>
          <w:rFonts w:ascii="Times New Roman" w:cs="Times New Roman" w:eastAsia="Times New Roman" w:hAnsi="Times New Roman"/>
          <w:sz w:val="18"/>
          <w:szCs w:val="18"/>
          <w:color w:val="auto"/>
        </w:rPr>
        <w:t>As of December 31, 2013, we had 16.532 million shares of Common Stock subject to outstanding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or available for future equity awards under our equity compensation plans, which represented approximately 3.27% of fully diluted common shares outstanding, calculated on our understanding of the methodology utilized by ISS. The 23.8 million new shares proposed to be included in the 2014 Plan share reserve would increase the overhang percentage by an additional 4.71% to approximately 7.98%.</w:t>
      </w:r>
    </w:p>
    <w:p>
      <w:pPr>
        <w:spacing w:after="0" w:line="177"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Anticipated Duration. </w:t>
      </w:r>
      <w:r>
        <w:rPr>
          <w:rFonts w:ascii="Times New Roman" w:cs="Times New Roman" w:eastAsia="Times New Roman" w:hAnsi="Times New Roman"/>
          <w:sz w:val="18"/>
          <w:szCs w:val="18"/>
          <w:color w:val="auto"/>
        </w:rPr>
        <w:t>If we continue making equity awards consistent with our practices over the past three years as set forth above, we estimate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shares available for future awards, including the 23.8 million additional shares if the 2014 Plan is approved, will be sufficient for 2014 Plan awards for at least three years. However, the three-year estimate provided in the preceding sentence is provided for illustrative purposes only and the MD&amp;C Committee retains the discretion to change its grant practices, subject to the limits set forth in the 2014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Features of the 2014 Plan</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principal features of the 2014 Plan are summarized below. The following summary of the 2014 Plan does not purport to be a complete description of all of the provisions of the 2014 Plan. It is qualified in its entirety by reference to the complete text of the 2014 Plan, which is attached to this Proxy Statement as Annex A.</w:t>
      </w:r>
    </w:p>
    <w:p>
      <w:pPr>
        <w:spacing w:after="0" w:line="172"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Awards may be granted under the 2014 Plan only to persons who, at the time of grant, are employees, consultants, or directors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 its affiliates. Incentive stock options may be granted only to employees of the Company or its subsidiaries. As of March 17, 2014, approximately 42,700 employees, including 14 executive officers and seven non-employee directors would be eligible to receive grants under the 2014 Plan. However, under the Company’s current equity award granting practices, grants would be limited to approximately 800 employees (including executive officers) and non-employee directors. Under the 2014 Plan, consultants would also be eligible to receive grants; however, it has not been our practice, and it is not our current intention to grant equity awards to non-employee consultants.</w:t>
      </w:r>
    </w:p>
    <w:p>
      <w:pPr>
        <w:spacing w:after="0" w:line="18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The 2014 Plan may be administered by the MD&amp;C Committee or by such other committee comprised of two or more non-employee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appointed by the Board to administer the 2014 Plan (the MD&amp;C Committee, or such other duly appointed committee, referred to for purposes of this proposal as the “MD&amp;C Committee”). Subject to the terms of the 2014 Plan, the MD&amp;C Committee shall have total and exclusive responsibility to control, operate, manage and administer the 2014 Plan in accordance with its terms, including, without limitation, selecting the individuals to whom awards may be granted, the time or times at which such awards are granted, and the terms of such awards. The 2014 Plan generally gives the MD&amp;C Committee broad authority, subject to the terms of the 2014 Plan, to enable it to discharge its responsibilities with respect to the 2014 Plan and, subject to certain limitations, delegate such authority to certain of our officers. However, authority to accelerate the exercisability or vesting or otherwise terminate restrictions related to an award under the 2014 Plan may be exercised only in connection with a participant’s death, disability, or retirement; in connection with a Corporate Change (as defined below); upon certain dispositions; and or to the extent such actions involve an aggregate number of shares of Common Stock not in excess of 5% of the total shares authorized for issuance under the 2014 Plan.</w:t>
      </w:r>
    </w:p>
    <w:p>
      <w:pPr>
        <w:spacing w:after="0" w:line="186" w:lineRule="exact"/>
        <w:rPr>
          <w:sz w:val="20"/>
          <w:szCs w:val="20"/>
          <w:color w:val="auto"/>
        </w:rPr>
      </w:pPr>
    </w:p>
    <w:p>
      <w:pPr>
        <w:ind w:right="3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Authorized Shares. </w:t>
      </w:r>
      <w:r>
        <w:rPr>
          <w:rFonts w:ascii="Times New Roman" w:cs="Times New Roman" w:eastAsia="Times New Roman" w:hAnsi="Times New Roman"/>
          <w:sz w:val="18"/>
          <w:szCs w:val="18"/>
          <w:color w:val="auto"/>
        </w:rPr>
        <w:t>The aggregate maximum number of shares of Common Stock that may be issued under the 2014 Plan,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maximum number of shares of Common Stock that may be issued under the 2014 Plan through Incentive Stock Options, shall not exceed 23,800,000, plus (a) any shares remaining available for issuance under the 2009 Plan as of the date the 2014 Plan becomes effective and (b) any shares 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Common Stock subject to outstanding awards under the 2009 Plan that are subsequently canceled or forfeited, or terminate, expire or lapse for any reason or any shares of Common Stock that otherwise subsequently become available under the 2009 Plan. In the discretion of the MD&amp;C Committee, the shares of Common Stock issuable under the 2014 Plan will consist of authorized and unissued shares or shares now held or subsequently acquired by the Company as treasury shares. As of March 17, 2014, a total of approximately 465,192,040 shares of Common Stock were outstanding.</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Shares shall be deemed to have been issued under the 2014 Plan only to the extent actually issued and delivered pursuant to an award. To the extent that an award lapses or the rights of its holder terminate, any shares of Common Stock subject to such award shall again be available for the grant of an award under the 2014 Plan. In addition, shares issued under the 2014 Plan and forfeited back to the 2014 Plan, shares surrendered in payment of the exercise price or purchase price of an award, and shares withheld for payment of applicable employment taxes and/or withholding obligations associated with an award shall again be available for the grant of an award under the 2014 Plan. In addition, the number of shares authorized under the plan is subject to adjustment in the case of corporate events such as recapitalizations, stock splits and stock dividends, as described below.</w:t>
      </w:r>
    </w:p>
    <w:p>
      <w:pPr>
        <w:spacing w:after="0" w:line="184"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Per Participant Limitations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adjustments for reorganization and recapitalization as set forth in the 2014 Plan, (i) the maximum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shares of Common Stock that may be subject to awards denominated in shares of Common Stock granted to any one individual during any calendar year may not exceed 1,500,000 shares and (ii) the maximum amount of compensation that may be paid under all performance awards denominated in cash (including the fair market value of any shares of Common Stock paid in satisfaction of such performance awards) granted to any one individual during any calendar year may not exceed $7,000,000.</w:t>
      </w:r>
    </w:p>
    <w:p>
      <w:pPr>
        <w:spacing w:after="0" w:line="180"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Limits on Awards to Non-Employee Directors. </w:t>
      </w:r>
      <w:r>
        <w:rPr>
          <w:rFonts w:ascii="Times New Roman" w:cs="Times New Roman" w:eastAsia="Times New Roman" w:hAnsi="Times New Roman"/>
          <w:sz w:val="18"/>
          <w:szCs w:val="18"/>
          <w:color w:val="auto"/>
        </w:rPr>
        <w:t>The aggregate grant date fair value (computed in accordance with applicable accounting rules) of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granted to any non-employee director during any calendar year shall not exceed $500,000.</w:t>
      </w:r>
    </w:p>
    <w:p>
      <w:pPr>
        <w:spacing w:after="0" w:line="15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for Capital Structure Changes. </w:t>
      </w:r>
      <w:r>
        <w:rPr>
          <w:rFonts w:ascii="Times New Roman" w:cs="Times New Roman" w:eastAsia="Times New Roman" w:hAnsi="Times New Roman"/>
          <w:sz w:val="18"/>
          <w:szCs w:val="18"/>
          <w:color w:val="auto"/>
        </w:rPr>
        <w:t>If the Company recapitalizes, reclassifies its capital stock, otherwise changes its capital structure, effects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subdivision or consolidation of shares of Common Stock or pays a stock dividend on Common Stock without receipt of consideration by the Company, the number and class of shares of Common Stock or other property covered by an award and the purchase price per share of Common Stock or other consideration subject to such award shall be equitably adjusted as set forth in the 2014 Plan. In addition, the MD&amp;C Committee may, at its discretion, make adjustments to awards upon certain other non-ordinary distributions or changes in capitalization.</w:t>
      </w:r>
    </w:p>
    <w:p>
      <w:pPr>
        <w:spacing w:after="0" w:line="180"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Minimum Vesting Period. </w:t>
      </w:r>
      <w:r>
        <w:rPr>
          <w:rFonts w:ascii="Times New Roman" w:cs="Times New Roman" w:eastAsia="Times New Roman" w:hAnsi="Times New Roman"/>
          <w:sz w:val="18"/>
          <w:szCs w:val="18"/>
          <w:color w:val="auto"/>
        </w:rPr>
        <w:t>Restricted stock awards and phantom stock awards that vest as a result of the passage of time and continued service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are subject to a minimum vesting period of three years from the date of grant (but with permissible pro rata vesting over such period). Awards whose vesting is subject to the achievement of specified performance criteria over a performance period shall be subject to a minimum performance period of one year. Notwithstanding the foregoing, such minimum vesting periods shall not apply (i) to terminations of employment due to death, disability or retirement, (ii) upon a change in control of the company, (iii) to substitute awards (not reducing the vesting periods of the Awards being replaced) and (iv) to Awards involving an aggregate number of shares of Common Stock not in excess of 5% of the total shares authorized for issuance under the 2014 Plan.</w:t>
      </w:r>
    </w:p>
    <w:p>
      <w:pPr>
        <w:spacing w:after="0" w:line="18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Repricing or Repurchase of Underwater Options. </w:t>
      </w:r>
      <w:r>
        <w:rPr>
          <w:rFonts w:ascii="Times New Roman" w:cs="Times New Roman" w:eastAsia="Times New Roman" w:hAnsi="Times New Roman"/>
          <w:sz w:val="18"/>
          <w:szCs w:val="18"/>
          <w:color w:val="auto"/>
        </w:rPr>
        <w:t>The MD&amp;C Committee may not, without approval of the stockholders of the Company, amend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outstanding option agreement to lower the exercise or grant price of a stock option, cancel and replace any outstanding option agreement with an option agreement having a lower exercise or grant price, or repurchase any option at a time when the fair market value of the Common Stock is less than the exercise or grant price, except in each case, in the event of a reorganization or recapitalization event, as set forth in the 2014 Plan.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 </w:t>
      </w:r>
      <w:r>
        <w:rPr>
          <w:rFonts w:ascii="Times New Roman" w:cs="Times New Roman" w:eastAsia="Times New Roman" w:hAnsi="Times New Roman"/>
          <w:sz w:val="18"/>
          <w:szCs w:val="18"/>
          <w:color w:val="auto"/>
        </w:rPr>
        <w:t>All cash and equity awards granted under the 2014 Plan will be subject to the requirements of Section 954 of the Dodd-Frank Wall Street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Reform and Consumer Protection Act regarding the recovery of compensation, any implementing rules and regulations under such act, any policies adopted by the Company to implement such requirements, and any other compensation recovery policies as may be adopted from time to time by the Company and contained in award agreements for grants under the 2014 Plan.</w:t>
      </w:r>
    </w:p>
    <w:p>
      <w:pPr>
        <w:spacing w:after="0" w:line="177"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(i) by will or the laws of descent and distribution, (ii) pursuant to a qualified domestic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 order as defined by the Code or Title I of the Employee Retirement Income Security Act of 1974, as amended, or the rules thereunder, or (iii) with the consent of the MD&amp;C Committee.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2014 Plan permits the granting of any or all of the following types of awards:</w:t>
      </w:r>
    </w:p>
    <w:p>
      <w:pPr>
        <w:spacing w:after="0" w:line="2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options entitle the holder to purchase a specified number of shares of Common Stock at a specified price (the exercise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terms and conditions of the stock option grant. The MD&amp;C Committee may grant either incentive stock options, which must comply with Code Section 422, or nonqualified stock options. The MD&amp;C Committee sets exercise prices and terms, except that stock options must be granted with an exercise price not less than 100% of the fair market value of the Common Stock on the date of grant. In addition, if the recipient of an incentive stock option is a 10% or greater stockholder, the exercise price for the incentive stock option may not be less than 110% of the fair market value on the date of grant. Fair market value generally means, as of a given date, the average of the highest and lowest sales price per share of such Common Stock on the New York Stock Exchange. At the time of grant, the MD&amp;C Committee determines the terms and conditions of stock options, including the quantity, exercise price, vesting and forfeiture conditions, term (which cannot exceed ten years) and other conditions on exercise.</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MD&amp;C Committee may grant stock appreciation rights, or SARs, as a right in tandem with the number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underlying stock options granted under the 2014 Plan or as a freestanding award. Upon exercise, SARs entitle the holder to receive payment per share in stock or cash, or in a combination of stock and cash, as determined by the MD&amp;C Committee, equal to the excess of the share’s fair market value on the date of exercise over the grant price of the SAR. The grant price of a tandem SAR is equal to the exercise price of the related stock option and the grant price for a freestanding SAR is determined by the MD&amp;C Committee in accordance with the procedures described above for stock options. Exercise of an SAR issued in tandem with a stock option will reduce the number of shares underlying the related stock option to the extent of the SAR exercised. At the time of grant, the MD&amp;C Committee determines the terms and conditions of SARs, including the quantity, grant price, vesting and forfeiture conditions, term and other conditions on exercise.</w:t>
      </w:r>
    </w:p>
    <w:p>
      <w:pPr>
        <w:spacing w:after="0" w:line="18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Restricted Stock, Phantom Stock Awards (including Restricted Stock Units) and Other Stock-Based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MD&amp;C Committee may grant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of restricted stock, which are shares of Common Stock subject to specified restrictions, and phantom stock awards, which represent the right to receive shares of the Common Stock in the future or an amount equal to any appreciation in the fair market value of the Common Stock over a specified period of time. These awards may be made subject to repurchase, forfeiture or vesting restrictions at the MD&amp;C Committee’s discretion. The restrictions may be based on continuous service with the Company or the attainment of specified performance goals, as determined by the MD&amp;C Committee. Aside from the risk of forfeiture and non-transferability, an award of restricted stock may entitle the participant to the rights of a stockholder, including the right to vote the shares and to receive dividends, which dividends could be either forfeitable or non-forfeitable. Phantom stock awards may be paid in stock or cash or a combination of stock and cash, as determined by the MD&amp;C Committee, and may include dividend equivalent rights; provided, however, with respect to performance-based awards and time-vested phantom stock awards, dividends and dividend equivalents may only be paid after the applicable vesting period and performance period on awards earned.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The MD&amp;C Committee may also grant other types of equity or equity-based awards subject to the terms of the 2014 Plan, and any other terms and conditions determined by the MD&amp;C Committee, including bonus stock awards that are not required to be subject to performance criteria, forfeiture or vesting restrictions.</w:t>
      </w:r>
    </w:p>
    <w:p>
      <w:pPr>
        <w:spacing w:after="0" w:line="172"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MD&amp;C Committee may grant performance awards, which entitle participants to receive a payment from the Company,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which is based on the attainment of performance goals established by the MD&amp;C Committee over a specified period of time. Performance awards may be denominated in shares of Common Stock or in cash, and may be paid in stock or cash or a combination of stock and cash, as determined by the MD&amp;C Committee. Under the 2014 Plan, the MD&amp;C Committee may grant performance awards either intended or not intended to qualify as “performance-based compensation” under Code Section 162(m).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Compensation under Section 162(m)</w:t>
      </w:r>
    </w:p>
    <w:p>
      <w:pPr>
        <w:spacing w:after="0" w:line="11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Performance Goals and Criteria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Code Section 162(m), we generally are prohibited from deducting compensation paid to our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our three other most highly compensated executive officers (other than our principal financial officer) in excess of $1 million per person in any year. The Section 162(m) deduction limit does not apply to qualified “performance-based compensation” that is established by an independent compensation committee and adequately disclosed to, and approved by, stockholders. In particular, stock options and SARs satisfy the performance-based requirement only if the maximum number of shares of Common Stock subject to such awards that can be granted to any particular participant within a specified period is limited under the 2014 Plan, and the compensation is based solely on an increase in the stock price after the grant date (i.e., the option exercise price is equal to or greater than the fair market value of the stock subject to the award on the grant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MD&amp;C Committee intends to qualify a performance award under the 2014 Plan as “performance-based” compensation under Code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162(m), the performance goals may be one or more performance measures established by the MD&amp;C Committee that are based on (i) the price of a share of Common Stock, (ii) earnings per share, (iii) market share, (iv) revenues or sales, (v) operating income or operating income margin, (vi) net income or net income margin (before or after taxes), (vii) cash flow or return on investment, (viii) earnings or earnings margin before or after interest, taxes, depreciation, and/or amortization, (ix) economic value added, (x) return on capital, assets, or stockholders’ equity, (xi) debt level or debt reduction, (xii) cost reduction targets, (xiii) total stockholders’ return, or (xiv) any combination of the foregoing. The performance measures described in the preceding sentence may be absolute, relative to one or more other companies, relative to one or more indexes, or measured by reference to the Company alone, one or more business units or affiliates of the Company alone, or the Company together with one or more of its business units or affiliates. On the other hand, if a Performance Award is not intended to be qualified performance-based compensation under Code Section 162(m), the MD&amp;C Committee has discretion to establish an appropriate performance measure. Our MD&amp;C Committee will determine in its sole discretion whether all or any portion of a performance award is intended to satisfy the requirements for “performance-based” compensation under Code Section 162(m).</w:t>
      </w:r>
    </w:p>
    <w:p>
      <w:pPr>
        <w:spacing w:after="0" w:line="194"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In addition, subject to any limitations under Code Section 162(m), such performance measures may be subject to adjustment by the MD&amp;C Committee for changes in accounting principles, to satisfy regulatory requirements and other specified significant extraordinary items or events.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 Corporate Change</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the event of a Corporate Change (as defined below), the MD&amp;C Committee shall, in connection with such Corporate Change, take one of the following actions with respect to outstanding awards under the 2014 plan (which may vary among participants and awards), which such actions may be taken without the consent of any participant or holder of an award: (i) accelerate the time at which stock options or SARs then outstanding may be exercised so that such awards may be exercised in full for a limited period of time on or before a specified 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(before or after such Corporate Change) fixed by the MD&amp;C Committee, after which specified date all such unexercised awards and all rights of participants thereunder shall terminate; (ii) require the mandatory surrender to the Company by all or selected participants of some or all of the outstanding stock options or SARs held by such participants (irrespective of whether such awards are then exercisable under the provisions of the 2014 Plan) as of a date, before or after such Corporate Change, specified by the MD&amp;C Committee, in which event the MD&amp;C Committee shall thereupon cancel such awards and the Company shall pay (or cause to be paid) to each participant an amount of cash per share equal to the excess, if any, of Change of Control Value (as defined in the 2014 Plan) of the shares subject to such awards over the exercise price(s) under such awards for such shares; or (iii) make such adjustments in the number and type of shares (or other securities or property) subject to outstanding awards as the MD&amp;C Committee deems appropriate to reflect such Corporate Change and prevent the dilution or enlargement of rights,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MD&amp;C Committee in its sole discretion.</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2014 Plan deems a “Corporate Change” to have occurred if (i) the Company shall not be the surviving entity in any consummated merger, consolidation or other business combination or reorganization (or survives only as a subsidiary of an entity), (ii) the Company sells, leases, or exchanges all or substantially all of its assets to any other person or entity, (iii) the Company is dissolved and liquidated, (iv) any person or entity, including a “group” (as contemplated by section 13(d)(3) of the Securities Exchange Act of 1934, as amended) acquires or gains ownership or control (including, without limitation, the power to vote) of more than 50% of the outstanding shares of the Company’s voting stock (based upon voting power), or (v) as a result of or in connection with a contested election of directors of the Company, the persons who were directors of the Company before such election shall cease to constitute a majority of the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Termination and Amendment of the 2014 Plan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Board of Directors in its discretion may terminate the 2014 Plan at any time with respect to any shares of Common Stock for which awards have not been granted. The Board of Directors shall have the right to alter or amend the 2014 Plan or any part thereof from time to time; provided that no change in the 2014 Plan may be made that would materially impair the rights of a participant with respect to an outstanding award without the consent of the participant, and the Board of Directors may not, without approval of the stockholders of the Company, (i) amend the 2014 Plan to increase the aggregate maximum number of shares that may be issued under the 2014 Plan, increase the aggregate maximum number of shares that may be issued under the 2014 Plan through Incentive Stock Options, or change the class of individuals eligible to receive awards under the 2014 Plan, or (ii) amend or delete the restriction on repricing of options.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 and Previous Awards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 new plan benefits table for the 2014 Plan and the benefits or amounts that would have been received by or allocated to participants for the last completed fiscal year under the 2014 Plan if the 2014 Plan was then in effect, as described in the SEC’s proxy rules, are not provided because all awards made under the 2014 Plan will be made at the MD&amp;C Committee’s discretion, subject to the terms of the 2014 Plan. Therefore, the benefits and amounts that will be received or allocated under the 2014 Plan are not determinable at this time, and a New Plan Benefits Table has not been provided.</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2013, we granted awards under the 2009 Plan to our named executive officers, outside directors and to other eligible employees. The 2013 grants to the named executive officers are reflected in the Grants of Plan-Based Awards table above. The equity grant program for our non-employee directors is described under the Non-Employee Director Compensation section in this Proxy Statement.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Information</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the U.S. federal income tax consequences of the 2014 Plan generally applicable to the Company and to participants in the 2014 Plan who are subject to U.S. federal taxes. The summary is based on the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Furthermore, the summary does not address issues relating to any U.S. gift or estate tax consequences or the consequences of any state, local or foreign tax laws. The specific tax consequences to a participant will depend upon a participant’s individual circumstances.</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Nonqualified Stock Options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participant generally will not recognize taxable income upon the grant or vesting of a nonqualified stock option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price at least equal to the fair market value of our Common Stock on the date of grant and no additional deferral feature. Upon the exercise of a nonqualified stock option, a participant generally will recognize compensation taxable as ordinary income in an amount equal to the difference between the fair market value of the shares underlying the stock option on the date of exercise and the exercise price of the stock option. When a participant sells the shares, the participant will have short-term or long-term capital gain or loss, as the case may be, equal to the difference between the amount the participant received from the sale and the tax basis of the shares sold. The participant’s tax basis for the Common Stock acquired under a nonqualified stock option will be equal to the exercise price paid for such Common Stock, plus any amounts included in the participant’s income as compensation.</w:t>
      </w:r>
    </w:p>
    <w:p>
      <w:pPr>
        <w:spacing w:after="0" w:line="183" w:lineRule="exact"/>
        <w:rPr>
          <w:sz w:val="20"/>
          <w:szCs w:val="20"/>
          <w:color w:val="auto"/>
        </w:rPr>
      </w:pPr>
    </w:p>
    <w:p>
      <w:pPr>
        <w:ind w:right="440" w:firstLine="456"/>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Incentive Stock Options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participant generally will not recognize taxable income upon the grant of an incentive stock option. If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exercises an incentive stock option during employment with us or a 50%-or-more owned subsidiary or within three months after such employment ends</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(12 months in the case of permanent and total disability), the participant will not recognize taxable income at the time of exercise for regular U.S. federal income tax purposes. However, the amount by which the fair market value of Common Stock on the exercise date of an incentive stock option exceeds the exercise price generally will constitute an item that increases the participant’s “alternative minimum taxable income.” The federal alternative minimum tax may produce significant tax repercussions depending upon the participant’s particular tax status. In addition, to the extent that the fair market value (determined as of the date of grant) of the Common Stock with respect to which the participant’s incentive stock options are exercisable for the first time during any year exceeds $100,000, the incentive stock options for the Common Stock over $100,000 will be treated as nonqualified stock options, and not incentive stock options for federal tax purposes. The tax consequences of an untimely exercise of an incentive stock option will be determined in accordance with rules applicable to nonqualified stock options, discussed below.</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a participant sells or otherwise disposes of the shares acquired upon exercise of an incentive stock option after the later of (a) one year from the date the participant exercised the option and (b) two years from the grant date of the stock option, the participant generally will recognize long-term capital gain or loss equal to the difference between the amount the participant received in the disposition and the exercise price of the stock option. If a participant sells or otherwise disposes of shares acquired upon exercise of an incentive stock option before these holding period requirements are satisfied, the disposition will constitute a “disqualifying disposition,” and the participant generally will recognize taxable ordinary income in the year of disposition equal to the excess of the fair market value of the shares on the date of exercise over the exercise price of the stock option (or, if less, the excess of the amount realized on the disposition of the shares over the exercise price of the stock option). The balance of the participant’s gain on a disqualifying disposition, if any, will be taxed as short-term or long-term capital gain, as the case may be. The participant’s basis in the Common Stock will be increased by an amount equal to the amount treated as ordinary income due to such disqualifying disposition. In this case, we may claim an income tax deduction at the time of the disqualifying disposition for the amount taxable to the participant as ordinary income.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With respect to both nonqualified stock options and incentive stock options, special rules apply if a participant uses shares of Common Stock already held by the participant to pay the exercise price or if the shares received upon exercise of the stock option are subject to a substantial risk of forfeiture by the participant.</w:t>
      </w:r>
    </w:p>
    <w:p>
      <w:pPr>
        <w:spacing w:after="0" w:line="17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participant generally will not recognize taxable income upon the grant or vesting of an SAR with a grant price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equal to the fair market value of our Common Stock on the date of grant and no additional deferral feature. Upon the exercise of an SAR, a participant generally will recognize compensation taxable as ordinary income in an amount equal to the difference between the fair market value of the shares underlying the SAR on the date of exercise and the grant price of the SAR.</w:t>
      </w:r>
    </w:p>
    <w:p>
      <w:pPr>
        <w:spacing w:after="0" w:line="177" w:lineRule="exact"/>
        <w:rPr>
          <w:sz w:val="20"/>
          <w:szCs w:val="20"/>
          <w:color w:val="auto"/>
        </w:rPr>
      </w:pPr>
    </w:p>
    <w:p>
      <w:pPr>
        <w:ind w:right="40" w:firstLine="456"/>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Restricted Stock Awards, Phantom Stock Awards (including Restricted Stock Units), and Performance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participant generally will not have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taxable income upon the grant of restricted stock, phantom stock awards, including restricted stock units or performance awards. Instead, the participant will recognize ordinary income at the time of vesting or payout equal to the fair market value (on the vesting or payout date) of the shares or cash received minus any amount paid. For restricted stock awards only, a participant may instead elect under Code Section 83(b) within 30 days of the date of transfer of the restricted shares to be taxed at ordinary income tax rates on the full fair market value of the restricted shares over the purchase price, if any, of such shares. If the election is made, the basis of the shares so acquired will be equal to the fair market value at the time of grant plus the purchase price (if any) paid by the participant. No tax will be payable upon the subsequent lapse or release of the restrictions, and any gain or loss upon disposition will be a capital gain or loss.</w:t>
      </w:r>
    </w:p>
    <w:p>
      <w:pPr>
        <w:spacing w:after="0" w:line="166"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Unrestricted Stock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receipt of an unrestricted stock award, a participant generally will recognize compensation taxable as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in an amount equal to the excess of the fair market value of the shares at such time over the amount, if any, paid by the participant with respect to the shares.</w:t>
      </w:r>
    </w:p>
    <w:p>
      <w:pPr>
        <w:spacing w:after="0" w:line="171"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Stock or Cash-Based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federal income tax consequences of other stock or cash-based awards will depend upon the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of each award.</w:t>
      </w:r>
    </w:p>
    <w:p>
      <w:pPr>
        <w:spacing w:after="0" w:line="15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Tax Consequences to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foregoing cases, we generally will be entitled to a deduction at the same time, and in the same amount,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recognizes ordinary income, provided that, among other things, the income meets the test of reasonableness, is an ordinary and necessary business expense, is not an “excess parachute payment” within the meaning of Code Section 280G and is not disallowed by the $1,000,000 limitation on certain executive compensation under Code Section 162(m) described above.</w:t>
      </w:r>
    </w:p>
    <w:p>
      <w:pPr>
        <w:spacing w:after="0" w:line="17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Code Section 409A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awards under the 2014 Plan may be considered “nonqualified deferred compensation” subject to Code Section 409A,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imposes additional requirements on the payment of deferred compensation. Generally, options and SARs with an exercise price at least equal to the fair market value of the underlying Common Stock on the date of grant and restricted stock will not be considered deferred compensation if such awards do not include any other feature providing for the deferral of compensation. Failure to follow the provisions of Code Section 409A can result in taxation to the grantee of a 20% additional tax and interest on the taxable amount and, depending on the state, additional state taxes. We intend that awards granted under the 2014 Plan comply with, or otherwise be exempt from, Code Section 409A, but make no representation or warranty to that effect.</w:t>
      </w:r>
    </w:p>
    <w:p>
      <w:pPr>
        <w:spacing w:after="0" w:line="183" w:lineRule="exact"/>
        <w:rPr>
          <w:sz w:val="20"/>
          <w:szCs w:val="20"/>
          <w:color w:val="auto"/>
        </w:rPr>
      </w:pPr>
    </w:p>
    <w:p>
      <w:pPr>
        <w:jc w:val="both"/>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Employment Tax. </w:t>
      </w:r>
      <w:r>
        <w:rPr>
          <w:rFonts w:ascii="Times New Roman" w:cs="Times New Roman" w:eastAsia="Times New Roman" w:hAnsi="Times New Roman"/>
          <w:sz w:val="18"/>
          <w:szCs w:val="18"/>
          <w:color w:val="auto"/>
        </w:rPr>
        <w:t>In general, the amount that a participant recognizes as ordinary income under an award also is treated as “wages” for purposes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Insurance Contributions Act (“FICA”). The participant and the company must pay equal amounts of federal employment tax under FICA with respect to the participant’s wages. Such amounts are subject to tax withholding by us.</w:t>
      </w:r>
    </w:p>
    <w:p>
      <w:pPr>
        <w:spacing w:after="0" w:line="17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authorized to deduct or withhold from any award granted or payment due under the 2014 Plan, or require a participant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remit to us, the amount of any withholding taxes due in respect of the award or payment and to take such other action as may be necessary to satisfy all obligations for the payment of applicable withholding taxes. We are not required to issue any shares of Common Stock or otherwise settle an award under the 2014 Plan until all tax withholding obligations are satisfied.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for Approval</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Approval of the 2014 Plan requires the affirmative vote of a majority of the shares present at the meeting, in person or represented by proxy, and entitled to vote.</w:t>
      </w:r>
    </w:p>
    <w:p>
      <w:pPr>
        <w:spacing w:after="0" w:line="158" w:lineRule="exact"/>
        <w:rPr>
          <w:sz w:val="20"/>
          <w:szCs w:val="20"/>
          <w:color w:val="auto"/>
        </w:rPr>
      </w:pPr>
    </w:p>
    <w:p>
      <w:pPr>
        <w:jc w:val="center"/>
        <w:ind w:left="700"/>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FOR THE APPROVAL OF THE 2014 STOCK INCENTIVE PLAN. </w:t>
      </w:r>
      <w:r>
        <w:rPr>
          <w:rFonts w:ascii="Times New Roman" w:cs="Times New Roman" w:eastAsia="Times New Roman" w:hAnsi="Times New Roman"/>
          <w:sz w:val="18"/>
          <w:szCs w:val="18"/>
          <w:color w:val="auto"/>
        </w:rPr>
        <w:t>64</w:t>
      </w:r>
    </w:p>
    <w:p>
      <w:pPr>
        <w:sectPr>
          <w:pgSz w:w="11900" w:h="16838" w:orient="portrait"/>
          <w:cols w:equalWidth="0" w:num="1">
            <w:col w:w="11180"/>
          </w:cols>
          <w:pgMar w:left="240" w:top="455" w:right="4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23"/>
          <w:szCs w:val="23"/>
          <w:b w:val="1"/>
          <w:bCs w:val="1"/>
          <w:color w:val="auto"/>
        </w:rPr>
        <w:t>TOCKHOLDER</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3"/>
          <w:szCs w:val="23"/>
          <w:b w:val="1"/>
          <w:bCs w:val="1"/>
          <w:color w:val="auto"/>
        </w:rPr>
        <w:t>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TEM</w:t>
      </w:r>
      <w:r>
        <w:rPr>
          <w:rFonts w:ascii="Times New Roman" w:cs="Times New Roman" w:eastAsia="Times New Roman" w:hAnsi="Times New Roman"/>
          <w:sz w:val="18"/>
          <w:szCs w:val="18"/>
          <w:b w:val="1"/>
          <w:bCs w:val="1"/>
          <w:color w:val="auto"/>
        </w:rPr>
        <w:t xml:space="preserve"> 5 </w:t>
      </w:r>
      <w:r>
        <w:rPr>
          <w:rFonts w:ascii="Times New Roman" w:cs="Times New Roman" w:eastAsia="Times New Roman" w:hAnsi="Times New Roman"/>
          <w:sz w:val="15"/>
          <w:szCs w:val="15"/>
          <w:b w:val="1"/>
          <w:bCs w:val="1"/>
          <w:color w:val="auto"/>
        </w:rPr>
        <w:t>ON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Waste Management is not responsible for the content of this stockholder proposal or supporting statement.</w:t>
      </w:r>
    </w:p>
    <w:p>
      <w:pPr>
        <w:spacing w:after="0" w:line="119"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following proposal was submitted by the New York State Common Retirement Fund, 633 Third Avenue — 31st Floor, New York, NY 10017, which owns 1,334,317 shares of Waste Management Common Stock and the International Brotherhood of Teamsters General Fund as co-proponent. The proposal has been included verbatim as we received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w:t>
      </w:r>
    </w:p>
    <w:p>
      <w:pPr>
        <w:spacing w:after="0" w:line="117"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shareholders of</w:t>
      </w:r>
      <w:r>
        <w:rPr>
          <w:rFonts w:ascii="Times New Roman" w:cs="Times New Roman" w:eastAsia="Times New Roman" w:hAnsi="Times New Roman"/>
          <w:sz w:val="18"/>
          <w:szCs w:val="18"/>
          <w:b w:val="1"/>
          <w:bCs w:val="1"/>
          <w:color w:val="auto"/>
        </w:rPr>
        <w:t xml:space="preserve"> Waste Management, Inc. </w:t>
      </w:r>
      <w:r>
        <w:rPr>
          <w:rFonts w:ascii="Times New Roman" w:cs="Times New Roman" w:eastAsia="Times New Roman" w:hAnsi="Times New Roman"/>
          <w:sz w:val="18"/>
          <w:szCs w:val="18"/>
          <w:color w:val="auto"/>
        </w:rPr>
        <w:t>(“Company”) hereby request that the Company provide a report, updated semiannually,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disclosing the Company’s:</w:t>
      </w:r>
    </w:p>
    <w:p>
      <w:pPr>
        <w:spacing w:after="0" w:line="64" w:lineRule="exact"/>
        <w:rPr>
          <w:sz w:val="20"/>
          <w:szCs w:val="20"/>
          <w:color w:val="auto"/>
        </w:rPr>
      </w:pPr>
    </w:p>
    <w:p>
      <w:pPr>
        <w:ind w:left="900" w:right="180" w:hanging="446"/>
        <w:spacing w:after="0" w:line="257"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and non-monetary contributions and expenditures (direct and indirect) used in the manner described in section 1 above, including:</w:t>
      </w:r>
    </w:p>
    <w:p>
      <w:pPr>
        <w:spacing w:after="0" w:line="112"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recipient as well as the amount paid to each; and</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of the person(s) in the Company responsible for decision-making.</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report shall be presented to the board of directors or relevant board committee and posted on the Company’s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Supporting Statement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long-term shareholders of Waste Management,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6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Disclosure is in the best interest of the company and its shareholders and critical for compliance with federal ethics laws. Moreover, the Supreme Court’s </w:t>
      </w:r>
      <w:r>
        <w:rPr>
          <w:rFonts w:ascii="Times New Roman" w:cs="Times New Roman" w:eastAsia="Times New Roman" w:hAnsi="Times New Roman"/>
          <w:sz w:val="18"/>
          <w:szCs w:val="18"/>
          <w:i w:val="1"/>
          <w:iCs w:val="1"/>
          <w:color w:val="auto"/>
        </w:rPr>
        <w:t>Citizens United</w:t>
      </w:r>
      <w:r>
        <w:rPr>
          <w:rFonts w:ascii="Times New Roman" w:cs="Times New Roman" w:eastAsia="Times New Roman" w:hAnsi="Times New Roman"/>
          <w:sz w:val="18"/>
          <w:szCs w:val="18"/>
          <w:color w:val="auto"/>
        </w:rPr>
        <w:t xml:space="preserve">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Waste Management contributed at least $7,622,951 in corporate funds since the 2003 election cycle. (CQ: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http://moneyline.cq.com</w:t>
      </w:r>
      <w:r>
        <w:rPr>
          <w:rFonts w:ascii="Times New Roman" w:cs="Times New Roman" w:eastAsia="Times New Roman" w:hAnsi="Times New Roman"/>
          <w:sz w:val="18"/>
          <w:szCs w:val="18"/>
          <w:color w:val="auto"/>
        </w:rPr>
        <w:t xml:space="preserve"> and National Institute on Money in State Politics: </w:t>
      </w:r>
      <w:r>
        <w:rPr>
          <w:rFonts w:ascii="Times New Roman" w:cs="Times New Roman" w:eastAsia="Times New Roman" w:hAnsi="Times New Roman"/>
          <w:sz w:val="18"/>
          <w:szCs w:val="18"/>
          <w:u w:val="single" w:color="auto"/>
          <w:color w:val="auto"/>
        </w:rPr>
        <w:t>http://www.followthemoney.org</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80"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Company’s Board and its shareholders need comprehensive disclosure to be able to fully evaluate the political use of corporate assets. We urge your support for this critical governance reform.</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60"/>
          </w:cols>
          <w:pgMar w:left="240" w:top="455" w:right="2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 Management Response to Stockholder Proposal Regarding Disclosure of Political Contributions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AGAINST this proposal.</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 Company is fully committed to complying with all applicable laws concerning political contributions, including laws requiring public disclosure of political contributions and lobbying expenses. Accordingly, the Board believes this proposal is unnecessary because a comprehensive system of reporting and accountability for political contributions already exists, and the Company publicly discloses its participation in the political process in support of its business interests.</w:t>
      </w:r>
    </w:p>
    <w:p>
      <w:pPr>
        <w:spacing w:after="0" w:line="7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Current law limits the amounts of political contributions that are permissible, restricts the organizations or entities that can receive corporate funding, and establishes a clear accountability system enforced by regulatory agencies in the United States. Political contributions or donations made by the Company are required to be disclosed under federal, state and local campaign finance law. The Company fully complies with these disclosure and reporting requirements. As a result, information on the Company’s political contributions is available to stockholders and interested parties through public sources.</w:t>
      </w:r>
    </w:p>
    <w:p>
      <w:pPr>
        <w:spacing w:after="0" w:line="7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Company already discloses its policies and procedures for participation in public policy processes (including political contributions process criteria and disclosure and stances on key policy issues). This information, which has historically been included in the Company’s sustainability reports, has been updated and aggregated into the Company’s new policy entitled “Participation in the Political Process.” Stockholders and interested parties can easily access this policy under the Investor Relations – Corporate Governance tab at www.wm.com. The Company also makes all its employees aware annually of its policies and procedures pertaining to political contributions in the Company’s </w:t>
      </w:r>
      <w:r>
        <w:rPr>
          <w:rFonts w:ascii="Times New Roman" w:cs="Times New Roman" w:eastAsia="Times New Roman" w:hAnsi="Times New Roman"/>
          <w:sz w:val="18"/>
          <w:szCs w:val="18"/>
          <w:i w:val="1"/>
          <w:iCs w:val="1"/>
          <w:color w:val="auto"/>
        </w:rPr>
        <w:t>Code of Conduct,</w:t>
      </w:r>
      <w:r>
        <w:rPr>
          <w:rFonts w:ascii="Times New Roman" w:cs="Times New Roman" w:eastAsia="Times New Roman" w:hAnsi="Times New Roman"/>
          <w:sz w:val="18"/>
          <w:szCs w:val="18"/>
          <w:color w:val="auto"/>
        </w:rPr>
        <w:t xml:space="preserve"> disseminated to all employees. It too is available to the public under the Investor Relations – Corporate Governance tab at www.wm.com.</w:t>
      </w:r>
    </w:p>
    <w:p>
      <w:pPr>
        <w:spacing w:after="0" w:line="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Waste Management believes it is important to participate in the political process because it is of intrinsic benefit to our business and employees. We do not expect the candidates to whom we contribute funds to agree with our positions on all issues at all times. We do however seek to support candidates who recognize the importance of the environmental services we provide, while also recognizing that a fair, free market system provides the best environment for continued improvement of cost-effective services.</w:t>
      </w:r>
    </w:p>
    <w:p>
      <w:pPr>
        <w:spacing w:after="0" w:line="72" w:lineRule="exact"/>
        <w:rPr>
          <w:sz w:val="20"/>
          <w:szCs w:val="20"/>
          <w:color w:val="auto"/>
        </w:rPr>
      </w:pPr>
    </w:p>
    <w:p>
      <w:pPr>
        <w:ind w:right="160" w:firstLine="456"/>
        <w:spacing w:after="0" w:line="273" w:lineRule="auto"/>
        <w:rPr>
          <w:sz w:val="20"/>
          <w:szCs w:val="20"/>
          <w:color w:val="auto"/>
        </w:rPr>
      </w:pPr>
      <w:r>
        <w:rPr>
          <w:rFonts w:ascii="Times New Roman" w:cs="Times New Roman" w:eastAsia="Times New Roman" w:hAnsi="Times New Roman"/>
          <w:sz w:val="17"/>
          <w:szCs w:val="17"/>
          <w:color w:val="auto"/>
        </w:rPr>
        <w:t>Contributions of funds from the Company’s Political Action Committee (“PAC”) to federal, state and local candidates and all other Company contributions are approved, in advance, by the Government Affairs Department. The PAC files monthly reports of receipts and disbursements to the Federal Election Commission (“FEC”), as well as pre-election and post-election FEC reports. Those publicly available reports identify the names of candidates supported and amounts contributed by the PAC. In addition, all political contributions to federal candidates over $200 are publicly disclosed by the FEC. Under the Lobbying Disclosure Act of 1995, the Company submits to Congress semi-annual reports of amounts spent on lobbying and the subjects lobbied, which are also publicly available. Those reports have been submitted quarterly since April 2008 under the Honest Leadership and Open Government Act of 2007, and semi-annual reports include a list of all federal election candidates to whom the PAC contributed during the previous six months.</w:t>
      </w:r>
    </w:p>
    <w:p>
      <w:pPr>
        <w:spacing w:after="0" w:line="64" w:lineRule="exact"/>
        <w:rPr>
          <w:sz w:val="20"/>
          <w:szCs w:val="20"/>
          <w:color w:val="auto"/>
        </w:rPr>
      </w:pPr>
    </w:p>
    <w:p>
      <w:pPr>
        <w:ind w:right="60" w:firstLine="456"/>
        <w:spacing w:after="0" w:line="281" w:lineRule="auto"/>
        <w:rPr>
          <w:sz w:val="20"/>
          <w:szCs w:val="20"/>
          <w:color w:val="auto"/>
        </w:rPr>
      </w:pPr>
      <w:r>
        <w:rPr>
          <w:rFonts w:ascii="Times New Roman" w:cs="Times New Roman" w:eastAsia="Times New Roman" w:hAnsi="Times New Roman"/>
          <w:sz w:val="17"/>
          <w:szCs w:val="17"/>
          <w:color w:val="auto"/>
        </w:rPr>
        <w:t>As further addressed in the Company’s Participation in the Political Process Policy, the Company is a member of various trade or business associations to advance and protect its business interests. Illustratively, these interests have included, and the associations have aided the Company’s advocacy for, renewable energy treatment for landfill gas-to-energy and waste-to-energy, incentives for natural gas vehicles and infrastructure, environmental justice, and the continued interstate transport of waste. The political activity of such associations is not necessarily representative of a position of the Company.</w:t>
      </w:r>
    </w:p>
    <w:p>
      <w:pPr>
        <w:spacing w:after="0" w:line="57"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Board believes disclosure of the Company’s current policies and practices with regard to political contributions, together with applicable federal, state and local reporting requirements, provide appropriate transparency of our political participation. Undertaking the obligations as set forth in the proposal would result in additional time and expense to the Company with little, if any, corresponding benefit for stockholders. Accordingly, the Board recommends that you vote against this proposal.</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for Approval</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AGAINST THE ADOPTION OF THIS PROPOSAL.</w:t>
      </w:r>
    </w:p>
    <w:p>
      <w:pPr>
        <w:spacing w:after="0" w:line="3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O</w:t>
      </w:r>
      <w:r>
        <w:rPr>
          <w:rFonts w:ascii="Times New Roman" w:cs="Times New Roman" w:eastAsia="Times New Roman" w:hAnsi="Times New Roman"/>
          <w:sz w:val="23"/>
          <w:szCs w:val="23"/>
          <w:b w:val="1"/>
          <w:bCs w:val="1"/>
          <w:color w:val="auto"/>
        </w:rPr>
        <w:t>THER</w:t>
      </w:r>
      <w:r>
        <w:rPr>
          <w:rFonts w:ascii="Times New Roman" w:cs="Times New Roman" w:eastAsia="Times New Roman" w:hAnsi="Times New Roman"/>
          <w:sz w:val="29"/>
          <w:szCs w:val="29"/>
          <w:b w:val="1"/>
          <w:bCs w:val="1"/>
          <w:color w:val="auto"/>
        </w:rPr>
        <w:t xml:space="preserve"> M</w:t>
      </w:r>
      <w:r>
        <w:rPr>
          <w:rFonts w:ascii="Times New Roman" w:cs="Times New Roman" w:eastAsia="Times New Roman" w:hAnsi="Times New Roman"/>
          <w:sz w:val="23"/>
          <w:szCs w:val="23"/>
          <w:b w:val="1"/>
          <w:bCs w:val="1"/>
          <w:color w:val="auto"/>
        </w:rPr>
        <w:t>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proxy holders to vote using their judgment.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00"/>
          </w:cols>
          <w:pgMar w:left="240" w:top="455"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 PURPOSE OF THE PLAN</w:t>
      </w:r>
    </w:p>
    <w:p>
      <w:pPr>
        <w:spacing w:after="0" w:line="22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purpose of the </w:t>
      </w:r>
      <w:r>
        <w:rPr>
          <w:rFonts w:ascii="Times New Roman" w:cs="Times New Roman" w:eastAsia="Times New Roman" w:hAnsi="Times New Roman"/>
          <w:sz w:val="18"/>
          <w:szCs w:val="18"/>
          <w:b w:val="1"/>
          <w:bCs w:val="1"/>
          <w:color w:val="auto"/>
        </w:rPr>
        <w:t>WASTE MANAGEMENT, INC. 2014 STOCK INCENTIVE PLAN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is to provide a means through which </w:t>
      </w:r>
      <w:r>
        <w:rPr>
          <w:rFonts w:ascii="Times New Roman" w:cs="Times New Roman" w:eastAsia="Times New Roman" w:hAnsi="Times New Roman"/>
          <w:sz w:val="18"/>
          <w:szCs w:val="18"/>
          <w:b w:val="1"/>
          <w:bCs w:val="1"/>
          <w:color w:val="auto"/>
        </w:rPr>
        <w:t>WASTE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MANAGEMENT, INC., </w:t>
      </w:r>
      <w:r>
        <w:rPr>
          <w:rFonts w:ascii="Times New Roman" w:cs="Times New Roman" w:eastAsia="Times New Roman" w:hAnsi="Times New Roman"/>
          <w:sz w:val="18"/>
          <w:szCs w:val="18"/>
          <w:color w:val="auto"/>
        </w:rPr>
        <w:t>a Delaware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its Affiliates may attract and retain able persons to serve as Directors or Consultants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enter the employ of the Company and its Affiliates and to provide a means whereby those individuals upon whom the responsibilities of the successful administration and management of the Company and its Affiliates rest, and whose present and potential contributions to the Company and its Affiliates are of importance, can acquire and maintain stock ownership or other awards, thereby strengthening their concern for the welfare of the Company and its Affiliates and their desire to remain employed by, or continue providing services to, the Company and its Affiliates. A further purpose of the Plan is to provide such individuals with additional incentive and reward opportunities designed to enhance the profitable growth of the Company and its Affiliates. Accordingly, the Plan provides for granting Incentive Stock Options, Options that do not constitute Incentive Stock Options, Restricted Stock Awards, Performance Awards, Phantom Stock Awards, Bonus Stock Awards, or any combination of the foregoing, as is best suited to the circumstances of the particular Employee, Consultant, or Director as provided herein.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 DEFINITIONS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definitions shall be applicable throughout the Plan unless specifically modified by any paragraph:</w:t>
      </w:r>
    </w:p>
    <w:p>
      <w:pPr>
        <w:spacing w:after="0" w:line="113" w:lineRule="exact"/>
        <w:rPr>
          <w:sz w:val="20"/>
          <w:szCs w:val="20"/>
          <w:color w:val="auto"/>
        </w:rPr>
      </w:pPr>
    </w:p>
    <w:p>
      <w:pPr>
        <w:ind w:left="460" w:right="100" w:firstLine="443"/>
        <w:spacing w:after="0" w:line="257" w:lineRule="auto"/>
        <w:tabs>
          <w:tab w:leader="none" w:pos="11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means any corporation, partnership, limited liability company or partnership, association, trust, or other organization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74" w:lineRule="exact"/>
        <w:rPr>
          <w:rFonts w:ascii="Times New Roman" w:cs="Times New Roman" w:eastAsia="Times New Roman" w:hAnsi="Times New Roman"/>
          <w:sz w:val="18"/>
          <w:szCs w:val="18"/>
          <w:color w:val="auto"/>
        </w:rPr>
      </w:pPr>
    </w:p>
    <w:p>
      <w:pPr>
        <w:ind w:left="460" w:right="400" w:firstLine="443"/>
        <w:spacing w:after="0" w:line="286" w:lineRule="auto"/>
        <w:tabs>
          <w:tab w:leader="none" w:pos="11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“Award” </w:t>
      </w:r>
      <w:r>
        <w:rPr>
          <w:rFonts w:ascii="Times New Roman" w:cs="Times New Roman" w:eastAsia="Times New Roman" w:hAnsi="Times New Roman"/>
          <w:sz w:val="18"/>
          <w:szCs w:val="18"/>
          <w:color w:val="auto"/>
        </w:rPr>
        <w:t>means, individually or collectively, any Option, Restricted Stock Award, Performance Award, Phantom Stock Award, or Bonus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Award.</w:t>
      </w:r>
    </w:p>
    <w:p>
      <w:pPr>
        <w:spacing w:after="0" w:line="46"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“Bonus Stock Award” </w:t>
      </w:r>
      <w:r>
        <w:rPr>
          <w:rFonts w:ascii="Times New Roman" w:cs="Times New Roman" w:eastAsia="Times New Roman" w:hAnsi="Times New Roman"/>
          <w:sz w:val="18"/>
          <w:szCs w:val="18"/>
          <w:color w:val="auto"/>
        </w:rPr>
        <w:t>means an Award granted under Paragraph XI of the Plan.</w:t>
      </w:r>
    </w:p>
    <w:p>
      <w:pPr>
        <w:spacing w:after="0" w:line="117"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“Bonus Stock Award Agreement” </w:t>
      </w:r>
      <w:r>
        <w:rPr>
          <w:rFonts w:ascii="Times New Roman" w:cs="Times New Roman" w:eastAsia="Times New Roman" w:hAnsi="Times New Roman"/>
          <w:sz w:val="18"/>
          <w:szCs w:val="18"/>
          <w:color w:val="auto"/>
        </w:rPr>
        <w:t>means a written agreement between the Company and a Participant with respect to a Bonus Stock Award.</w:t>
      </w:r>
    </w:p>
    <w:p>
      <w:pPr>
        <w:spacing w:after="0" w:line="117" w:lineRule="exact"/>
        <w:rPr>
          <w:rFonts w:ascii="Times New Roman" w:cs="Times New Roman" w:eastAsia="Times New Roman" w:hAnsi="Times New Roman"/>
          <w:sz w:val="18"/>
          <w:szCs w:val="18"/>
          <w:color w:val="auto"/>
        </w:rPr>
      </w:pPr>
    </w:p>
    <w:p>
      <w:pPr>
        <w:ind w:left="460" w:right="200" w:firstLine="443"/>
        <w:spacing w:after="0" w:line="286" w:lineRule="auto"/>
        <w:tabs>
          <w:tab w:leader="none" w:pos="11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“Code” </w:t>
      </w:r>
      <w:r>
        <w:rPr>
          <w:rFonts w:ascii="Times New Roman" w:cs="Times New Roman" w:eastAsia="Times New Roman" w:hAnsi="Times New Roman"/>
          <w:sz w:val="18"/>
          <w:szCs w:val="18"/>
          <w:color w:val="auto"/>
        </w:rPr>
        <w:t>means the Internal Revenue Code of 1986, as amended. Reference in the Plan to any section of the Code shall be deemed to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amendments or successor provisions to such section and any regulations under such section.</w:t>
      </w:r>
    </w:p>
    <w:p>
      <w:pPr>
        <w:spacing w:after="0" w:line="46" w:lineRule="exact"/>
        <w:rPr>
          <w:rFonts w:ascii="Times New Roman" w:cs="Times New Roman" w:eastAsia="Times New Roman" w:hAnsi="Times New Roman"/>
          <w:sz w:val="18"/>
          <w:szCs w:val="18"/>
          <w:color w:val="auto"/>
        </w:rPr>
      </w:pPr>
    </w:p>
    <w:p>
      <w:pPr>
        <w:ind w:left="460" w:right="220" w:firstLine="443"/>
        <w:spacing w:after="0" w:line="286" w:lineRule="auto"/>
        <w:tabs>
          <w:tab w:leader="none" w:pos="11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“Committee” </w:t>
      </w:r>
      <w:r>
        <w:rPr>
          <w:rFonts w:ascii="Times New Roman" w:cs="Times New Roman" w:eastAsia="Times New Roman" w:hAnsi="Times New Roman"/>
          <w:sz w:val="18"/>
          <w:szCs w:val="18"/>
          <w:color w:val="auto"/>
        </w:rPr>
        <w:t>means the Management Development and Compensation Committee of the Board or such other committee that is selected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in conformance with Paragraph IV(a).</w:t>
      </w:r>
    </w:p>
    <w:p>
      <w:pPr>
        <w:spacing w:after="0" w:line="46" w:lineRule="exact"/>
        <w:rPr>
          <w:rFonts w:ascii="Times New Roman" w:cs="Times New Roman" w:eastAsia="Times New Roman" w:hAnsi="Times New Roman"/>
          <w:sz w:val="18"/>
          <w:szCs w:val="18"/>
          <w:color w:val="auto"/>
        </w:rPr>
      </w:pPr>
    </w:p>
    <w:p>
      <w:pPr>
        <w:ind w:left="460" w:right="140" w:firstLine="443"/>
        <w:spacing w:after="0" w:line="286" w:lineRule="auto"/>
        <w:tabs>
          <w:tab w:leader="none" w:pos="11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means the common stock, par value $0.01 per share, of the Company, or any security into which such common stock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changed by reason of any transaction or event of the type described in Paragraph XII.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120" w:hanging="217"/>
        <w:spacing w:after="0"/>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means Waste Management, Inc., a Delaware corporation.</w:t>
      </w:r>
    </w:p>
    <w:p>
      <w:pPr>
        <w:spacing w:after="0" w:line="117" w:lineRule="exact"/>
        <w:rPr>
          <w:rFonts w:ascii="Times New Roman" w:cs="Times New Roman" w:eastAsia="Times New Roman" w:hAnsi="Times New Roman"/>
          <w:sz w:val="18"/>
          <w:szCs w:val="18"/>
          <w:color w:val="auto"/>
        </w:rPr>
      </w:pPr>
    </w:p>
    <w:p>
      <w:pPr>
        <w:ind w:left="460" w:right="160" w:firstLine="443"/>
        <w:spacing w:after="0" w:line="286" w:lineRule="auto"/>
        <w:tabs>
          <w:tab w:leader="none" w:pos="111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“Consultant” </w:t>
      </w:r>
      <w:r>
        <w:rPr>
          <w:rFonts w:ascii="Times New Roman" w:cs="Times New Roman" w:eastAsia="Times New Roman" w:hAnsi="Times New Roman"/>
          <w:sz w:val="18"/>
          <w:szCs w:val="18"/>
          <w:color w:val="auto"/>
        </w:rPr>
        <w:t>means any person who is not an Employee or a Director and who is providing advisory or consulting services to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any Affiliate.</w:t>
      </w:r>
    </w:p>
    <w:p>
      <w:pPr>
        <w:spacing w:after="0" w:line="46"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“Corporate Change” </w:t>
      </w:r>
      <w:r>
        <w:rPr>
          <w:rFonts w:ascii="Times New Roman" w:cs="Times New Roman" w:eastAsia="Times New Roman" w:hAnsi="Times New Roman"/>
          <w:sz w:val="18"/>
          <w:szCs w:val="18"/>
          <w:color w:val="auto"/>
        </w:rPr>
        <w:t>shall have the meaning assigned to such term in Paragraph XII(c) of the Plan.</w:t>
      </w:r>
    </w:p>
    <w:p>
      <w:pPr>
        <w:spacing w:after="0" w:line="117" w:lineRule="exact"/>
        <w:rPr>
          <w:rFonts w:ascii="Times New Roman" w:cs="Times New Roman" w:eastAsia="Times New Roman" w:hAnsi="Times New Roman"/>
          <w:sz w:val="18"/>
          <w:szCs w:val="18"/>
          <w:color w:val="auto"/>
        </w:rPr>
      </w:pPr>
    </w:p>
    <w:p>
      <w:pPr>
        <w:ind w:left="460" w:right="640" w:firstLine="443"/>
        <w:spacing w:after="0" w:line="286" w:lineRule="auto"/>
        <w:tabs>
          <w:tab w:leader="none" w:pos="111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“Director” </w:t>
      </w:r>
      <w:r>
        <w:rPr>
          <w:rFonts w:ascii="Times New Roman" w:cs="Times New Roman" w:eastAsia="Times New Roman" w:hAnsi="Times New Roman"/>
          <w:sz w:val="18"/>
          <w:szCs w:val="18"/>
          <w:color w:val="auto"/>
        </w:rPr>
        <w:t>means an individual who is a member of the Board, or, where the context of the Plan so permits, a member of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(or any analogous governing body) of an Affiliate of the Company.</w:t>
      </w:r>
    </w:p>
    <w:p>
      <w:pPr>
        <w:spacing w:after="0" w:line="46" w:lineRule="exact"/>
        <w:rPr>
          <w:rFonts w:ascii="Times New Roman" w:cs="Times New Roman" w:eastAsia="Times New Roman" w:hAnsi="Times New Roman"/>
          <w:sz w:val="18"/>
          <w:szCs w:val="18"/>
          <w:color w:val="auto"/>
        </w:rPr>
      </w:pPr>
    </w:p>
    <w:p>
      <w:pPr>
        <w:ind w:left="460" w:firstLine="443"/>
        <w:spacing w:after="0" w:line="268" w:lineRule="auto"/>
        <w:tabs>
          <w:tab w:leader="none" w:pos="120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Equivalents” </w:t>
      </w:r>
      <w:r>
        <w:rPr>
          <w:rFonts w:ascii="Times New Roman" w:cs="Times New Roman" w:eastAsia="Times New Roman" w:hAnsi="Times New Roman"/>
          <w:sz w:val="18"/>
          <w:szCs w:val="18"/>
          <w:color w:val="auto"/>
        </w:rPr>
        <w:t>means an amount equal to all dividends and other distributions (or the economic equivalent thereof) that are payable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Company on one share of Common Stock to stockholders of record, which, in the discretion of the Committee, may be awarded in connection with any Award under the Plan on a like number of shares of Common Stock under such Award.</w:t>
      </w:r>
    </w:p>
    <w:p>
      <w:pPr>
        <w:spacing w:after="0" w:line="62"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“Effective Date” </w:t>
      </w:r>
      <w:r>
        <w:rPr>
          <w:rFonts w:ascii="Times New Roman" w:cs="Times New Roman" w:eastAsia="Times New Roman" w:hAnsi="Times New Roman"/>
          <w:sz w:val="18"/>
          <w:szCs w:val="18"/>
          <w:color w:val="auto"/>
        </w:rPr>
        <w:t>shall have the meaning assigned to such term in Paragraph III.</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 any person (including a Director) in an employment relationship with the Company or any Affiliate.</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460" w:firstLine="443"/>
        <w:spacing w:after="0" w:line="254" w:lineRule="auto"/>
        <w:tabs>
          <w:tab w:leader="none" w:pos="115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Market Value” </w:t>
      </w:r>
      <w:r>
        <w:rPr>
          <w:rFonts w:ascii="Times New Roman" w:cs="Times New Roman" w:eastAsia="Times New Roman" w:hAnsi="Times New Roman"/>
          <w:sz w:val="18"/>
          <w:szCs w:val="18"/>
          <w:color w:val="auto"/>
        </w:rPr>
        <w:t>means, as to a share of Common Stock, as of a particular date, (i) if shares of Common Stock are listed on a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exchange, the average of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(ii) if shares of Common Stock are not so listed but are quoted by The Nasdaq Stock Market, Inc., the average of the highest and lowest sales price per share of Common Stock reported on the consolidated transaction reporting system for The Nasdaq Stock Market, Inc., or, if there shall have been no such sale so reported on that date, on the last preceding date on which such a sale was so reported, or, at the discretion of the Committee, the price prevailing as quoted by The Nasdaq Stock Market, Inc. on that date,</w:t>
      </w:r>
    </w:p>
    <w:p>
      <w:pPr>
        <w:spacing w:after="0" w:line="1" w:lineRule="exact"/>
        <w:rPr>
          <w:rFonts w:ascii="Times New Roman" w:cs="Times New Roman" w:eastAsia="Times New Roman" w:hAnsi="Times New Roman"/>
          <w:sz w:val="18"/>
          <w:szCs w:val="18"/>
          <w:color w:val="auto"/>
        </w:rPr>
      </w:pPr>
    </w:p>
    <w:p>
      <w:pPr>
        <w:ind w:left="460" w:right="100" w:firstLine="4"/>
        <w:spacing w:after="0" w:line="253" w:lineRule="auto"/>
        <w:tabs>
          <w:tab w:leader="none" w:pos="7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are not so listed or quoted, the average of the closing bid and asked price on that date, or, if there are no quotations available for such date, on the last preceding date on which such quotations are available, as reported by The Nasdaq Stock Market, Inc., or, if not reported by The Nasdaq Stock Market, Inc., by the National Quotation Bureau Incorporated or (iv) if shares of Common Stock are not publicly traded, the most recent value determined by an independent appraiser appointed by the Company for such purpose consistent with the requirements of section 409A of the Code.</w:t>
      </w:r>
    </w:p>
    <w:p>
      <w:pPr>
        <w:spacing w:after="0" w:line="75"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“Incentive Stock Option” </w:t>
      </w:r>
      <w:r>
        <w:rPr>
          <w:rFonts w:ascii="Times New Roman" w:cs="Times New Roman" w:eastAsia="Times New Roman" w:hAnsi="Times New Roman"/>
          <w:sz w:val="18"/>
          <w:szCs w:val="18"/>
          <w:color w:val="auto"/>
        </w:rPr>
        <w:t>means an incentive stock option within the meaning of section 422 of the Code.</w:t>
      </w:r>
    </w:p>
    <w:p>
      <w:pPr>
        <w:spacing w:after="0" w:line="117" w:lineRule="exact"/>
        <w:rPr>
          <w:rFonts w:ascii="Times New Roman" w:cs="Times New Roman" w:eastAsia="Times New Roman" w:hAnsi="Times New Roman"/>
          <w:sz w:val="18"/>
          <w:szCs w:val="18"/>
          <w:color w:val="auto"/>
        </w:rPr>
      </w:pPr>
    </w:p>
    <w:p>
      <w:pPr>
        <w:ind w:left="460" w:right="260" w:firstLine="443"/>
        <w:spacing w:after="0" w:line="286" w:lineRule="auto"/>
        <w:tabs>
          <w:tab w:leader="none" w:pos="113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 </w:t>
      </w:r>
      <w:r>
        <w:rPr>
          <w:rFonts w:ascii="Times New Roman" w:cs="Times New Roman" w:eastAsia="Times New Roman" w:hAnsi="Times New Roman"/>
          <w:sz w:val="18"/>
          <w:szCs w:val="18"/>
          <w:color w:val="auto"/>
        </w:rPr>
        <w:t>means an Award granted under Paragraph VII of the Plan and includes both Incentive Stock Options to purchase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Options that do not constitute Incentive Stock Options to purchase Common Stock.</w:t>
      </w:r>
    </w:p>
    <w:p>
      <w:pPr>
        <w:spacing w:after="0" w:line="46"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 Agreement” </w:t>
      </w:r>
      <w:r>
        <w:rPr>
          <w:rFonts w:ascii="Times New Roman" w:cs="Times New Roman" w:eastAsia="Times New Roman" w:hAnsi="Times New Roman"/>
          <w:sz w:val="18"/>
          <w:szCs w:val="18"/>
          <w:color w:val="auto"/>
        </w:rPr>
        <w:t>means a written agreement between the Company and a Participant with respect to an Option.</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“Participant” </w:t>
      </w:r>
      <w:r>
        <w:rPr>
          <w:rFonts w:ascii="Times New Roman" w:cs="Times New Roman" w:eastAsia="Times New Roman" w:hAnsi="Times New Roman"/>
          <w:sz w:val="18"/>
          <w:szCs w:val="18"/>
          <w:color w:val="auto"/>
        </w:rPr>
        <w:t>means an Employee, Consultant, or Director who has been granted an Award.</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Award” </w:t>
      </w:r>
      <w:r>
        <w:rPr>
          <w:rFonts w:ascii="Times New Roman" w:cs="Times New Roman" w:eastAsia="Times New Roman" w:hAnsi="Times New Roman"/>
          <w:sz w:val="18"/>
          <w:szCs w:val="18"/>
          <w:color w:val="auto"/>
        </w:rPr>
        <w:t>means an Award granted under Paragraph IX of the Plan.</w:t>
      </w:r>
    </w:p>
    <w:p>
      <w:pPr>
        <w:spacing w:after="0" w:line="117"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“Performance Award Agreement” </w:t>
      </w:r>
      <w:r>
        <w:rPr>
          <w:rFonts w:ascii="Times New Roman" w:cs="Times New Roman" w:eastAsia="Times New Roman" w:hAnsi="Times New Roman"/>
          <w:sz w:val="17"/>
          <w:szCs w:val="17"/>
          <w:color w:val="auto"/>
        </w:rPr>
        <w:t>means a written agreement between the Company and a Participant with respect to a Performance Award.</w:t>
      </w:r>
    </w:p>
    <w:p>
      <w:pPr>
        <w:spacing w:after="0" w:line="128" w:lineRule="exact"/>
        <w:rPr>
          <w:rFonts w:ascii="Times New Roman" w:cs="Times New Roman" w:eastAsia="Times New Roman" w:hAnsi="Times New Roman"/>
          <w:sz w:val="17"/>
          <w:szCs w:val="17"/>
          <w:color w:val="auto"/>
        </w:rPr>
      </w:pPr>
    </w:p>
    <w:p>
      <w:pPr>
        <w:ind w:left="460" w:right="40" w:firstLine="443"/>
        <w:spacing w:after="0" w:line="268" w:lineRule="auto"/>
        <w:tabs>
          <w:tab w:leader="none" w:pos="115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Measure” </w:t>
      </w:r>
      <w:r>
        <w:rPr>
          <w:rFonts w:ascii="Times New Roman" w:cs="Times New Roman" w:eastAsia="Times New Roman" w:hAnsi="Times New Roman"/>
          <w:sz w:val="18"/>
          <w:szCs w:val="18"/>
          <w:color w:val="auto"/>
        </w:rPr>
        <w:t>means one or more performance measures established by the Committee that are based on (i) the price of a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(ii) earnings per share, (iii) market share, (iv) revenues or sales, (v) operating income or operating income margin, (vi) net income or net income margin (before or after taxes), (vii) cash flow or return on investment, (viii) earnings or earnings margin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or after interest, taxes, depreciation, and/or amortization, (ix) economic value added, (x) return on capital, assets, or stockholders’ equity,</w:t>
      </w:r>
    </w:p>
    <w:p>
      <w:pPr>
        <w:spacing w:after="0" w:line="27" w:lineRule="exact"/>
        <w:rPr>
          <w:sz w:val="20"/>
          <w:szCs w:val="20"/>
          <w:color w:val="auto"/>
        </w:rPr>
      </w:pPr>
    </w:p>
    <w:p>
      <w:pPr>
        <w:ind w:left="460" w:right="80" w:firstLine="4"/>
        <w:spacing w:after="0" w:line="252" w:lineRule="auto"/>
        <w:tabs>
          <w:tab w:leader="none" w:pos="7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level or debt reduction, (xii) cost reduction targets, (xiii) total stockholders’ return, or (xiv) any combination of the foregoing. The performance measures described in the preceding sentence may be absolute, relative to one or more other companies, relative to one or more indexes, or measured by reference to the Company alone, one or more business units or Affiliates of the Company alone, or the Company together with one or more of its business units or Affiliates. In addition, subject to any limitations under section 162(m) of the Code, such performance measures may be subject to adjustment by the Committee for changes in accounting principles, to satisfy regulatory requirements and other specified significant extraordinary items or events. Notwithstanding the foregoing, if a Performance Award is not intended to be qualified performance-based compensation under section 162(m) of the Code, Performance Measure means such achievement of goals as may be established by the Committee.</w:t>
      </w:r>
    </w:p>
    <w:p>
      <w:pPr>
        <w:spacing w:after="0" w:line="76"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“Phantom Stock Award” </w:t>
      </w:r>
      <w:r>
        <w:rPr>
          <w:rFonts w:ascii="Times New Roman" w:cs="Times New Roman" w:eastAsia="Times New Roman" w:hAnsi="Times New Roman"/>
          <w:sz w:val="18"/>
          <w:szCs w:val="18"/>
          <w:color w:val="auto"/>
        </w:rPr>
        <w:t>means an Award granted under Paragraph X of the Plan.</w:t>
      </w:r>
    </w:p>
    <w:p>
      <w:pPr>
        <w:spacing w:after="0" w:line="117"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“Phantom Stock Award Agreement” </w:t>
      </w:r>
      <w:r>
        <w:rPr>
          <w:rFonts w:ascii="Times New Roman" w:cs="Times New Roman" w:eastAsia="Times New Roman" w:hAnsi="Times New Roman"/>
          <w:sz w:val="18"/>
          <w:szCs w:val="18"/>
          <w:color w:val="auto"/>
        </w:rPr>
        <w:t>means a written agreement between the Company and a Participant with respect to a Phantom Stock</w:t>
      </w:r>
    </w:p>
    <w:p>
      <w:pPr>
        <w:spacing w:after="0" w:line="3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w:t>
      </w:r>
    </w:p>
    <w:p>
      <w:pPr>
        <w:spacing w:after="0" w:line="95" w:lineRule="exact"/>
        <w:rPr>
          <w:sz w:val="20"/>
          <w:szCs w:val="20"/>
          <w:color w:val="auto"/>
        </w:rPr>
      </w:pPr>
    </w:p>
    <w:p>
      <w:pPr>
        <w:ind w:left="1220" w:hanging="317"/>
        <w:spacing w:after="0"/>
        <w:tabs>
          <w:tab w:leader="none" w:pos="1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“Plan” </w:t>
      </w:r>
      <w:r>
        <w:rPr>
          <w:rFonts w:ascii="Times New Roman" w:cs="Times New Roman" w:eastAsia="Times New Roman" w:hAnsi="Times New Roman"/>
          <w:sz w:val="18"/>
          <w:szCs w:val="18"/>
          <w:color w:val="auto"/>
        </w:rPr>
        <w:t>means the Waste Management, Inc. 2014 Stock Incentive Plan, as amended from time to time.</w:t>
      </w:r>
    </w:p>
    <w:p>
      <w:pPr>
        <w:spacing w:after="0" w:line="117" w:lineRule="exact"/>
        <w:rPr>
          <w:rFonts w:ascii="Times New Roman" w:cs="Times New Roman" w:eastAsia="Times New Roman" w:hAnsi="Times New Roman"/>
          <w:sz w:val="18"/>
          <w:szCs w:val="18"/>
          <w:color w:val="auto"/>
        </w:rPr>
      </w:pPr>
    </w:p>
    <w:p>
      <w:pPr>
        <w:ind w:left="1240" w:hanging="337"/>
        <w:spacing w:after="0"/>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means the Waste Management, Inc. 2009 Stock Incentive Plan.</w:t>
      </w:r>
    </w:p>
    <w:p>
      <w:pPr>
        <w:spacing w:after="0" w:line="117"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“Restricted Stock Agreement” </w:t>
      </w:r>
      <w:r>
        <w:rPr>
          <w:rFonts w:ascii="Times New Roman" w:cs="Times New Roman" w:eastAsia="Times New Roman" w:hAnsi="Times New Roman"/>
          <w:sz w:val="18"/>
          <w:szCs w:val="18"/>
          <w:color w:val="auto"/>
        </w:rPr>
        <w:t>means a written agreement between the Company and a Participant with respect to a Restricted Stock Award.</w:t>
      </w:r>
    </w:p>
    <w:p>
      <w:pPr>
        <w:spacing w:after="0" w:line="117" w:lineRule="exact"/>
        <w:rPr>
          <w:rFonts w:ascii="Times New Roman" w:cs="Times New Roman" w:eastAsia="Times New Roman" w:hAnsi="Times New Roman"/>
          <w:sz w:val="18"/>
          <w:szCs w:val="18"/>
          <w:color w:val="auto"/>
        </w:rPr>
      </w:pPr>
    </w:p>
    <w:p>
      <w:pPr>
        <w:ind w:left="1240" w:hanging="337"/>
        <w:spacing w:after="0"/>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“Restricted Stock Award” </w:t>
      </w:r>
      <w:r>
        <w:rPr>
          <w:rFonts w:ascii="Times New Roman" w:cs="Times New Roman" w:eastAsia="Times New Roman" w:hAnsi="Times New Roman"/>
          <w:sz w:val="18"/>
          <w:szCs w:val="18"/>
          <w:color w:val="auto"/>
        </w:rPr>
        <w:t>means an Award granted under Paragraph VIII of the Plan.</w:t>
      </w:r>
    </w:p>
    <w:p>
      <w:pPr>
        <w:spacing w:after="0" w:line="117" w:lineRule="exact"/>
        <w:rPr>
          <w:rFonts w:ascii="Times New Roman" w:cs="Times New Roman" w:eastAsia="Times New Roman" w:hAnsi="Times New Roman"/>
          <w:sz w:val="18"/>
          <w:szCs w:val="18"/>
          <w:color w:val="auto"/>
        </w:rPr>
      </w:pPr>
    </w:p>
    <w:p>
      <w:pPr>
        <w:ind w:left="460" w:firstLine="443"/>
        <w:spacing w:after="0" w:line="286" w:lineRule="auto"/>
        <w:tabs>
          <w:tab w:leader="none" w:pos="12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“Rule 16b-3” </w:t>
      </w:r>
      <w:r>
        <w:rPr>
          <w:rFonts w:ascii="Times New Roman" w:cs="Times New Roman" w:eastAsia="Times New Roman" w:hAnsi="Times New Roman"/>
          <w:sz w:val="18"/>
          <w:szCs w:val="18"/>
          <w:color w:val="auto"/>
        </w:rPr>
        <w:t>means Securities Exchange Commission Rule 16b-3 promulgated under the Exchange Act, as such may be amended from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time, and any successor rule, regulation, or statute fulfilling the same or a similar function.</w:t>
      </w:r>
    </w:p>
    <w:p>
      <w:pPr>
        <w:spacing w:after="0" w:line="46" w:lineRule="exact"/>
        <w:rPr>
          <w:rFonts w:ascii="Times New Roman" w:cs="Times New Roman" w:eastAsia="Times New Roman" w:hAnsi="Times New Roman"/>
          <w:sz w:val="18"/>
          <w:szCs w:val="18"/>
          <w:color w:val="auto"/>
        </w:rPr>
      </w:pPr>
    </w:p>
    <w:p>
      <w:pPr>
        <w:ind w:left="460" w:right="160" w:firstLine="443"/>
        <w:spacing w:after="0" w:line="262" w:lineRule="auto"/>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 Appreciation Right” </w:t>
      </w:r>
      <w:r>
        <w:rPr>
          <w:rFonts w:ascii="Times New Roman" w:cs="Times New Roman" w:eastAsia="Times New Roman" w:hAnsi="Times New Roman"/>
          <w:sz w:val="18"/>
          <w:szCs w:val="18"/>
          <w:color w:val="auto"/>
        </w:rPr>
        <w:t>means a right to acquire, upon exercise of the right, Common Stock and/or, in the sole discretion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cash having an aggregate value equal to the then excess of the Fair Market Value of the shares with respect to which the right is exercised over the exercise price therefor. The Committee shall retain final authority to determine whether a Participant shall be permitted, and to approve an election by a Participant, to receive cash in full or partial settlement of a Stock Appreciation Right.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III. EFFECTIVE DATE AND DURATION OF THE PLAN</w:t>
      </w:r>
    </w:p>
    <w:p>
      <w:pPr>
        <w:spacing w:after="0" w:line="2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Plan shall become effective following (a) its adoption by the Board and (b) its approval by the stockholders of the Company within 12 months of such adoption in a manner that satisfies the requirements of section 422 of the Code and the regulations thereunder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Notwithstanding any provision in the Plan to the contrary, no Option shall be exercisable, no Restricted Stock Award or Bonus Stock Award shall be granted, and no Performance Award or Phantom Stock Award shall vest or become satisfiable prior to the Effective Date. No further Awards may be granted under the Plan after 10 years from the Effective Date. The Plan shall remain in effect until all Options granted under the Plan have been exercised or expired, all Restricted Stock Awards granted under the Plan have vested or been forfeited, and all Performance Awards, Phantom Stock Awards, and Bonus Stock Awards have been satisfied or expired.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IV. ADMINISTRATION</w:t>
      </w:r>
    </w:p>
    <w:p>
      <w:pPr>
        <w:spacing w:after="0" w:line="225" w:lineRule="exact"/>
        <w:rPr>
          <w:sz w:val="20"/>
          <w:szCs w:val="20"/>
          <w:color w:val="auto"/>
        </w:rPr>
      </w:pPr>
    </w:p>
    <w:p>
      <w:pPr>
        <w:ind w:left="460" w:right="40" w:firstLine="443"/>
        <w:spacing w:after="0" w:line="268" w:lineRule="auto"/>
        <w:tabs>
          <w:tab w:leader="none" w:pos="11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Composition of Committee</w:t>
      </w:r>
      <w:r>
        <w:rPr>
          <w:rFonts w:ascii="Times New Roman" w:cs="Times New Roman" w:eastAsia="Times New Roman" w:hAnsi="Times New Roman"/>
          <w:sz w:val="18"/>
          <w:szCs w:val="18"/>
          <w:color w:val="auto"/>
        </w:rPr>
        <w:t>. The Plan shall be administered by a committee of, and appointed by, the Board that shall be comprised solely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or more outside Directors (within the meaning of the term “outside directors” as used in section 162(m) of the Code and applicable interpretive authority thereunder and within the meaning of the term “Non-Employee Director” as defined in Rule 16b-3).</w:t>
      </w:r>
    </w:p>
    <w:p>
      <w:pPr>
        <w:spacing w:after="0" w:line="62" w:lineRule="exact"/>
        <w:rPr>
          <w:rFonts w:ascii="Times New Roman" w:cs="Times New Roman" w:eastAsia="Times New Roman" w:hAnsi="Times New Roman"/>
          <w:sz w:val="18"/>
          <w:szCs w:val="18"/>
          <w:color w:val="auto"/>
        </w:rPr>
      </w:pPr>
    </w:p>
    <w:p>
      <w:pPr>
        <w:ind w:left="460" w:right="100" w:firstLine="443"/>
        <w:spacing w:after="0" w:line="257" w:lineRule="auto"/>
        <w:tabs>
          <w:tab w:leader="none" w:pos="115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 Subject to the express provisions of the Plan, the Committee shall have authority, in its discretion, to determine which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or Directors shall receive an Award, the time or times when such Award shall be made, the type of Award that shall be made, the number of shares of Common Stock to be subject to each Option, Restricted Stock Award, or Bonus Stock Award, and the number of shares of Common Stock to be subject to or the value of each Performance Award or Phantom Stock Award. In making such determinations the Committee shall take into account the nature of the services rendered by the respective Employees, Consultants, or Directors, their present and potential contribution to the Company’s success, and such other factors as the Committee in its sole discretion shall deem relevant.</w:t>
      </w:r>
    </w:p>
    <w:p>
      <w:pPr>
        <w:spacing w:after="0" w:line="74" w:lineRule="exact"/>
        <w:rPr>
          <w:rFonts w:ascii="Times New Roman" w:cs="Times New Roman" w:eastAsia="Times New Roman" w:hAnsi="Times New Roman"/>
          <w:sz w:val="18"/>
          <w:szCs w:val="18"/>
          <w:color w:val="auto"/>
        </w:rPr>
      </w:pPr>
    </w:p>
    <w:p>
      <w:pPr>
        <w:ind w:left="460" w:firstLine="443"/>
        <w:spacing w:after="0" w:line="253" w:lineRule="auto"/>
        <w:tabs>
          <w:tab w:leader="none" w:pos="11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Powers</w:t>
      </w:r>
      <w:r>
        <w:rPr>
          <w:rFonts w:ascii="Times New Roman" w:cs="Times New Roman" w:eastAsia="Times New Roman" w:hAnsi="Times New Roman"/>
          <w:sz w:val="18"/>
          <w:szCs w:val="18"/>
          <w:color w:val="auto"/>
        </w:rPr>
        <w:t>. The Committee shall have such additional powers as are delegated to it by the other provisions of the Plan.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 provisions of the Plan, this shall include the power to construe the Plan and the respective agreements executed hereunder, to prescribe, amend, suspend or waive rules and regulations relating to the Plan, to determine the terms, restrictions, and provisions of the agreement relating to each Award, including such terms, restrictions, and provisions as shall be requisite in the judgment of the Committee to cause designated Options to qualify as Incentive Stock Options, and to make all other determinations necessary or advisable for administering the Plan. The Committee may, in its discretion, amend the terms of any Award Agreement provided the amendment (i) is not adverse to the Participant, or (ii) is consented to by the Participant. Notwithstanding the foregoing, the authority to accelerate the exercisability or vesting or otherwise terminate restrictions related to an Award may be exercised only in connection with a Participant’s death, disability, retirement, in connection with a Corporate Change or the sale of one or more subsidiaries or divisions, or to the extent such actions involve an aggregate number of shares of Common Stock not in excess of 5% of the total shares authorized for issuance under the Plan. The Committee may correct any defect or supply any omission or reconcile any inconsistency in the Plan or in any agreement relating to an Award in the manner and to the extent the Committee shall deem expedient to carry the Plan or any such agreement into effect. All determinations and decisions made by the Committee on the matters referred to in this Paragraph IV and in construing the provisions of the Plan shall be conclusive.</w:t>
      </w:r>
    </w:p>
    <w:p>
      <w:pPr>
        <w:spacing w:after="0" w:line="80" w:lineRule="exact"/>
        <w:rPr>
          <w:rFonts w:ascii="Times New Roman" w:cs="Times New Roman" w:eastAsia="Times New Roman" w:hAnsi="Times New Roman"/>
          <w:sz w:val="18"/>
          <w:szCs w:val="18"/>
          <w:color w:val="auto"/>
        </w:rPr>
      </w:pPr>
    </w:p>
    <w:p>
      <w:pPr>
        <w:ind w:left="460" w:right="20" w:firstLine="443"/>
        <w:spacing w:after="0" w:line="255" w:lineRule="auto"/>
        <w:tabs>
          <w:tab w:leader="none" w:pos="115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Delegation of Authority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preceding provisions of this Paragraph IV or any other provision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the contrary, subject to the constraints of applicable law, the Committee may from time to time, in its sole discretion, delegate to the Chief Executive Officer of the Company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the administration (or interpretation of any provision) of the Plan, and the right to grant Awards under the Plan, insofar as such administration (and interpretation) and power to grant Awards relates to any person who is not then subject to section 16 of the Exchange Act (including any successor section to the same or similar effect). Any such delegation may be effective only so long as the CEO is a member of the Board, and the Committee may revoke such delegation at any time. The Committee may put any conditions and restrictions on the powers that may be exercised by the CEO upon such delegation as the Committee determines in its sole discretion. In the event of any conflict in a determination or interpretation under the Plan as between the Committee and the CEO, the determination or interpretation, as applicable, of the Committee shall be conclusive.</w:t>
      </w:r>
    </w:p>
    <w:p>
      <w:pPr>
        <w:spacing w:after="0" w:line="73" w:lineRule="exact"/>
        <w:rPr>
          <w:rFonts w:ascii="Times New Roman" w:cs="Times New Roman" w:eastAsia="Times New Roman" w:hAnsi="Times New Roman"/>
          <w:sz w:val="18"/>
          <w:szCs w:val="18"/>
          <w:color w:val="auto"/>
        </w:rPr>
      </w:pPr>
    </w:p>
    <w:p>
      <w:pPr>
        <w:ind w:left="460" w:right="440" w:firstLine="443"/>
        <w:spacing w:after="0" w:line="286" w:lineRule="auto"/>
        <w:tabs>
          <w:tab w:leader="none" w:pos="11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Authority as to Non-Employee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Committee’s actions respecting grants of Awards to non-employee Directors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Board approval.</w:t>
      </w:r>
    </w:p>
    <w:p>
      <w:pPr>
        <w:spacing w:after="0" w:line="46" w:lineRule="exact"/>
        <w:rPr>
          <w:rFonts w:ascii="Times New Roman" w:cs="Times New Roman" w:eastAsia="Times New Roman" w:hAnsi="Times New Roman"/>
          <w:sz w:val="18"/>
          <w:szCs w:val="18"/>
          <w:color w:val="auto"/>
        </w:rPr>
      </w:pPr>
    </w:p>
    <w:p>
      <w:pPr>
        <w:ind w:left="460" w:right="40" w:firstLine="443"/>
        <w:spacing w:after="0" w:line="286" w:lineRule="auto"/>
        <w:tabs>
          <w:tab w:leader="none" w:pos="11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member of the Committee or its delegatee shall be liable for actions or inactions under the Plan except for willful misconduct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expressly provided by law.</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 SHARES SUBJECT TO THE PLAN; AWARD LIMITS; GRANT OF AWARDS</w:t>
      </w:r>
    </w:p>
    <w:p>
      <w:pPr>
        <w:spacing w:after="0" w:line="225" w:lineRule="exact"/>
        <w:rPr>
          <w:sz w:val="20"/>
          <w:szCs w:val="20"/>
          <w:color w:val="auto"/>
        </w:rPr>
      </w:pPr>
    </w:p>
    <w:p>
      <w:pPr>
        <w:ind w:left="460" w:firstLine="443"/>
        <w:spacing w:after="0" w:line="252" w:lineRule="auto"/>
        <w:tabs>
          <w:tab w:leader="none" w:pos="11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Subject to the Plan and Award Limits</w:t>
      </w:r>
      <w:r>
        <w:rPr>
          <w:rFonts w:ascii="Times New Roman" w:cs="Times New Roman" w:eastAsia="Times New Roman" w:hAnsi="Times New Roman"/>
          <w:sz w:val="18"/>
          <w:szCs w:val="18"/>
          <w:color w:val="auto"/>
        </w:rPr>
        <w:t>. Subject to adjustment in the same manner as provided in Paragraph XII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Options then outstanding, the aggregate maximum number of shares of Common Stock that may be issued under the Plan, and the aggregate maximum number of shares of Common Stock that may be issued under the Plan through Incentive Stock Options, shall not exceed 23,800,000 shares, plus (i) any shares of Common Stock that, as of the Effective Date, are available for issuance under the Prior Plan (and that are not subject to outstanding awards under the Prior Plan) and (ii) any shares of Common Stock subject to outstanding awards under the Prior Plan as of the Effective Date that are subsequently canceled or forfeited, or terminate, expire or lapse for any reason or any shares of Common Stock that otherwise subsequently become available under the Prior Plan. Shares shall be deemed to have been issued under the Plan only to the extent actually issued and delivered pursuant to an Award. To the extent that an Award lapses or the rights of its holder terminate, any shares of Common Stock subject to such Award shall again be available for the grant of an Award under the Plan. In addition, shares issued under the Plan and forfeited back to the Plan, shares surrendered in payment of the exercise price or purchase price of an Award, and shares withheld for payment of applicable employment taxes and/or withholding obligations associated with an Award shall again be available for the grant of an Award under the Plan. Notwithstanding any provision in the Plan to the contrary, (i) the maximum number of shares of Common Stock that may be subject to Awards denominated in shares of Common Stock granted to any one individual during any calendar year may not exceed 1,500,000 shares and (ii) the maximum amount of compensation that may be paid under all Performance Awards denominated in cash (including the Fair Market Value of any shares of Common Stock paid in satisfaction of such Performance Awards) granted to any one individual during any calendar year may not exceed $7,000,000. The limitations set forth in clauses (i) and (ii) of the preceding sentence shall be applied in a manner that will permit Awards that are intended to provide “performance-based” compensation for purposes of section 162(m) of the Code to satisfy the requirements of such section, including, without limitation, counting against such maximum number of shares, to the extent required under section 162(m) of the Code and applicable interpretive authority thereunder, any shares subject to Awards granted to Employees that are canceled or re-priced. Notwithstanding any provision in the Plan to the contrary, the aggregate grant date fair value (computed in accordance with applicable accounting rules) of all Awards granted to any non-employee Director during any calendar year shall not exceed $500,000.</w:t>
      </w:r>
    </w:p>
    <w:p>
      <w:pPr>
        <w:spacing w:after="0" w:line="81" w:lineRule="exact"/>
        <w:rPr>
          <w:rFonts w:ascii="Times New Roman" w:cs="Times New Roman" w:eastAsia="Times New Roman" w:hAnsi="Times New Roman"/>
          <w:sz w:val="18"/>
          <w:szCs w:val="18"/>
          <w:color w:val="auto"/>
        </w:rPr>
      </w:pPr>
    </w:p>
    <w:p>
      <w:pPr>
        <w:ind w:left="460" w:firstLine="443"/>
        <w:spacing w:after="0" w:line="286" w:lineRule="auto"/>
        <w:tabs>
          <w:tab w:leader="none" w:pos="11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Awards</w:t>
      </w:r>
      <w:r>
        <w:rPr>
          <w:rFonts w:ascii="Times New Roman" w:cs="Times New Roman" w:eastAsia="Times New Roman" w:hAnsi="Times New Roman"/>
          <w:sz w:val="18"/>
          <w:szCs w:val="18"/>
          <w:color w:val="auto"/>
        </w:rPr>
        <w:t>. The Committee may from time to time grant Awards to one or more Employees, Consultants, or Directors determined by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eligible for participation in the Plan in accordance with the terms of the Plan.</w:t>
      </w:r>
    </w:p>
    <w:p>
      <w:pPr>
        <w:spacing w:after="0" w:line="46" w:lineRule="exact"/>
        <w:rPr>
          <w:rFonts w:ascii="Times New Roman" w:cs="Times New Roman" w:eastAsia="Times New Roman" w:hAnsi="Times New Roman"/>
          <w:sz w:val="18"/>
          <w:szCs w:val="18"/>
          <w:color w:val="auto"/>
        </w:rPr>
      </w:pPr>
    </w:p>
    <w:p>
      <w:pPr>
        <w:ind w:left="460" w:right="80" w:firstLine="443"/>
        <w:spacing w:after="0" w:line="275" w:lineRule="auto"/>
        <w:tabs>
          <w:tab w:leader="none" w:pos="114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Stock Offered</w:t>
      </w:r>
      <w:r>
        <w:rPr>
          <w:rFonts w:ascii="Times New Roman" w:cs="Times New Roman" w:eastAsia="Times New Roman" w:hAnsi="Times New Roman"/>
          <w:sz w:val="17"/>
          <w:szCs w:val="17"/>
          <w:color w:val="auto"/>
        </w:rPr>
        <w:t>. Subject to the limitations set forth in Paragraph V(a), the stock to be offered pursuant to the grant of an Award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but unissued Common Stock or Common Stock previously issued and outstanding and reacquired by the Company. Any of such shares that remain unissued and that are not subject to outstanding Awards at the termination of the Plan shall cease to be subject to the Plan but, until termination of the Plan, the Company shall at all times make available a sufficient number of shares to meet the requirements of the Plan. The shares of the Company’s stock to be issued pursuant to any Award may be represented by physical stock certificates or may be uncertificated. Notwithstanding references in the Plan to certificates, the Company may deliver uncertificated shares of Common Stock in connection with any Award.</w:t>
      </w:r>
    </w:p>
    <w:p>
      <w:pPr>
        <w:spacing w:after="0" w:line="60" w:lineRule="exact"/>
        <w:rPr>
          <w:rFonts w:ascii="Times New Roman" w:cs="Times New Roman" w:eastAsia="Times New Roman" w:hAnsi="Times New Roman"/>
          <w:sz w:val="17"/>
          <w:szCs w:val="17"/>
          <w:color w:val="auto"/>
        </w:rPr>
      </w:pPr>
    </w:p>
    <w:p>
      <w:pPr>
        <w:ind w:left="460" w:right="20" w:firstLine="443"/>
        <w:spacing w:after="0" w:line="259" w:lineRule="auto"/>
        <w:tabs>
          <w:tab w:leader="none" w:pos="11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Acquired Companies</w:t>
      </w:r>
      <w:r>
        <w:rPr>
          <w:rFonts w:ascii="Times New Roman" w:cs="Times New Roman" w:eastAsia="Times New Roman" w:hAnsi="Times New Roman"/>
          <w:sz w:val="18"/>
          <w:szCs w:val="18"/>
          <w:color w:val="auto"/>
        </w:rPr>
        <w:t>. If a company is acquired by or combined with the Company and has shares available under a pre-existing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by its stockholders and not adopted in contemplation of such acquisition or combination, the shares available under such pre-existing plan (as adjusted, to the extent appropriate) may be used for Awards under the Plan and shall not reduce the shares of Common Stock authorized for issuance under the Plan. Awards using such available shares shall be made prior to the date that awards could have been made under the pre-existing plan and shall be made to individuals who were not Employees, Consultants or Directors prior to such acquisition or combination. Moreover, shares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82" w:lineRule="auto"/>
        <w:rPr>
          <w:sz w:val="20"/>
          <w:szCs w:val="20"/>
          <w:color w:val="auto"/>
        </w:rPr>
      </w:pPr>
      <w:r>
        <w:rPr>
          <w:rFonts w:ascii="Times New Roman" w:cs="Times New Roman" w:eastAsia="Times New Roman" w:hAnsi="Times New Roman"/>
          <w:sz w:val="18"/>
          <w:szCs w:val="18"/>
          <w:color w:val="auto"/>
        </w:rPr>
        <w:t>Common Stock respecting Awards granted upon the assumption of, or in substitution or exchange for, awards outstanding under such pre-existing plan shall not reduce the shares of Common Stock authorized for issuance under the Plan.</w:t>
      </w:r>
    </w:p>
    <w:p>
      <w:pPr>
        <w:spacing w:after="0" w:line="50" w:lineRule="exact"/>
        <w:rPr>
          <w:sz w:val="20"/>
          <w:szCs w:val="20"/>
          <w:color w:val="auto"/>
        </w:rPr>
      </w:pPr>
    </w:p>
    <w:p>
      <w:pPr>
        <w:ind w:left="460" w:firstLine="443"/>
        <w:spacing w:after="0" w:line="255" w:lineRule="auto"/>
        <w:tabs>
          <w:tab w:leader="none" w:pos="114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Minimum Vesting Periods</w:t>
      </w:r>
      <w:r>
        <w:rPr>
          <w:rFonts w:ascii="Times New Roman" w:cs="Times New Roman" w:eastAsia="Times New Roman" w:hAnsi="Times New Roman"/>
          <w:sz w:val="18"/>
          <w:szCs w:val="18"/>
          <w:color w:val="auto"/>
        </w:rPr>
        <w:t>. Restricted Stock Awards and Phantom Stock Awards in the form of restricted stock units that vest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passage of time and continued service by the Participant shall be subject to a minimum vesting period of three years from the date of grant (but with permissible pro rata vesting over such period). Restricted Stock Awards, Bonus Stock Awards and Performance Awards whose vesting is subject to the achievement of specified performance criteria over a performance period shall be subject to a minimum performance period of one year. Notwithstanding the foregoing, such minimum vesting periods shall not apply (i) to terminations of employment due to death, disability or retirement,</w:t>
      </w:r>
    </w:p>
    <w:p>
      <w:pPr>
        <w:spacing w:after="0" w:line="3" w:lineRule="exact"/>
        <w:rPr>
          <w:rFonts w:ascii="Times New Roman" w:cs="Times New Roman" w:eastAsia="Times New Roman" w:hAnsi="Times New Roman"/>
          <w:sz w:val="18"/>
          <w:szCs w:val="18"/>
          <w:color w:val="auto"/>
        </w:rPr>
      </w:pPr>
    </w:p>
    <w:p>
      <w:pPr>
        <w:jc w:val="both"/>
        <w:ind w:left="460" w:right="420" w:firstLine="4"/>
        <w:spacing w:after="0" w:line="290" w:lineRule="auto"/>
        <w:tabs>
          <w:tab w:leader="none" w:pos="72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change in control of the Company, (iii) to substitute awards (not reducing the vesting periods of the Awards being replaced) and (iv) to Awards involving an aggregate number of shares of Common Stock not in excess of 5% of the total shares authorized for issuance under the Plan.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 ELIGIBILITY</w:t>
      </w:r>
    </w:p>
    <w:p>
      <w:pPr>
        <w:spacing w:after="0" w:line="229"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7"/>
          <w:szCs w:val="17"/>
          <w:color w:val="auto"/>
        </w:rPr>
        <w:t>Awards may be granted only to persons who, at the time of grant, are Employees, Consultants, or Directors. An Award may be granted on more than one occasion to the same person, and, subject to the limitations set forth in the Plan, such Award may include an Incentive Stock Option, an Option that is not an Incentive Stock Option, a Restricted Stock Award, a Performance Award, a Phantom Stock Award, a Bonus Stock Award, or any combination thereof.</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VII. STOCK OPTIONS</w:t>
      </w:r>
    </w:p>
    <w:p>
      <w:pPr>
        <w:spacing w:after="0" w:line="225" w:lineRule="exact"/>
        <w:rPr>
          <w:sz w:val="20"/>
          <w:szCs w:val="20"/>
          <w:color w:val="auto"/>
        </w:rPr>
      </w:pPr>
    </w:p>
    <w:p>
      <w:pPr>
        <w:ind w:left="460" w:right="560" w:firstLine="443"/>
        <w:spacing w:after="0" w:line="286" w:lineRule="auto"/>
        <w:tabs>
          <w:tab w:leader="none" w:pos="114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Period</w:t>
      </w:r>
      <w:r>
        <w:rPr>
          <w:rFonts w:ascii="Times New Roman" w:cs="Times New Roman" w:eastAsia="Times New Roman" w:hAnsi="Times New Roman"/>
          <w:sz w:val="18"/>
          <w:szCs w:val="18"/>
          <w:color w:val="auto"/>
        </w:rPr>
        <w:t>. The term of each Option shall be as specified by the Committee at the date of grant, but in no event shall an Option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after the expiration of 10 years from the date of grant.</w:t>
      </w:r>
    </w:p>
    <w:p>
      <w:pPr>
        <w:spacing w:after="0" w:line="46" w:lineRule="exact"/>
        <w:rPr>
          <w:rFonts w:ascii="Times New Roman" w:cs="Times New Roman" w:eastAsia="Times New Roman" w:hAnsi="Times New Roman"/>
          <w:sz w:val="18"/>
          <w:szCs w:val="18"/>
          <w:color w:val="auto"/>
        </w:rPr>
      </w:pPr>
    </w:p>
    <w:p>
      <w:pPr>
        <w:ind w:left="460" w:right="160" w:firstLine="443"/>
        <w:spacing w:after="0" w:line="286" w:lineRule="auto"/>
        <w:tabs>
          <w:tab w:leader="none" w:pos="115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on Exercise of Option</w:t>
      </w:r>
      <w:r>
        <w:rPr>
          <w:rFonts w:ascii="Times New Roman" w:cs="Times New Roman" w:eastAsia="Times New Roman" w:hAnsi="Times New Roman"/>
          <w:sz w:val="18"/>
          <w:szCs w:val="18"/>
          <w:color w:val="auto"/>
        </w:rPr>
        <w:t>. An Option shall be exercisable in whole or in such installments and at such times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w:t>
      </w:r>
    </w:p>
    <w:p>
      <w:pPr>
        <w:spacing w:after="0" w:line="46" w:lineRule="exact"/>
        <w:rPr>
          <w:rFonts w:ascii="Times New Roman" w:cs="Times New Roman" w:eastAsia="Times New Roman" w:hAnsi="Times New Roman"/>
          <w:sz w:val="18"/>
          <w:szCs w:val="18"/>
          <w:color w:val="auto"/>
        </w:rPr>
      </w:pPr>
    </w:p>
    <w:p>
      <w:pPr>
        <w:ind w:left="460" w:firstLine="443"/>
        <w:spacing w:after="0" w:line="267" w:lineRule="auto"/>
        <w:tabs>
          <w:tab w:leader="none" w:pos="1143"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Special Limitations on Incentive Stock Options</w:t>
      </w:r>
      <w:r>
        <w:rPr>
          <w:rFonts w:ascii="Times New Roman" w:cs="Times New Roman" w:eastAsia="Times New Roman" w:hAnsi="Times New Roman"/>
          <w:sz w:val="17"/>
          <w:szCs w:val="17"/>
          <w:color w:val="auto"/>
        </w:rPr>
        <w:t>. An Incentive Stock Option may be granted only to an individual who is employed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or any “parent corporation” or “subsidiary corporation” (as such terms are defined in section 424 of the Code) of the Company at the time the Option is granted. To the extent that the aggregate fair market value (determined at the time the respective Incentive Stock Option is granted) of stock with respect to which Incentive Stock Options are exercisable for the first time by an individual during any calendar year under all incentive stock option plans of the Company and its parent and subsidiary corporations, within the meaning of section 424 of the Code, exceeds $100,000 or such other amount as may be prescribed under section 422 of the Code or applicable regulations or rulings from time to time, such Incentive Stock Options shall be treated as Options that do not constitute Incentive Stock Options. The Committee shall determine, in accordance with applicable provisions of the Code, Treasury regulations, and other administrative pronouncements, which of a Participant’s Incentive Stock Options will not constitute Incentive Stock Options because of such limitation and shall notify the Participant of such determination as soon as practicable after such determination. No Incentive Stock Option shall be granted to an individual if, at the time the Option is granted, such individual owns stock possessing more than 10% of the total combined voting power of all classes of stock of the Company or of its parent or subsidiary corporation, within the meaning of section 422(b)</w:t>
      </w:r>
    </w:p>
    <w:p>
      <w:pPr>
        <w:spacing w:after="0" w:line="7" w:lineRule="exact"/>
        <w:rPr>
          <w:rFonts w:ascii="Times New Roman" w:cs="Times New Roman" w:eastAsia="Times New Roman" w:hAnsi="Times New Roman"/>
          <w:sz w:val="17"/>
          <w:szCs w:val="17"/>
          <w:color w:val="auto"/>
        </w:rPr>
      </w:pPr>
    </w:p>
    <w:p>
      <w:pPr>
        <w:ind w:left="460" w:right="40" w:firstLine="4"/>
        <w:spacing w:after="0" w:line="254" w:lineRule="auto"/>
        <w:tabs>
          <w:tab w:leader="none" w:pos="7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unless (i) at the time such Option is granted, the option price is at least 110% of the Fair Market Value of the Common Stock subject to the Option and (ii) such Option by its terms is not exercisable after the expiration of five years from the date of grant. Except as otherwise provided in sections 421 or 422 of the Code, an Incentive Stock Option shall not be transferable otherwise than by will or the laws of descent and distribution and shall be exercisable during the Participant’s lifetime only by such Participant or the Participant’s guardian or legal representative.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firstLine="443"/>
        <w:spacing w:after="0" w:line="252" w:lineRule="auto"/>
        <w:tabs>
          <w:tab w:leader="none" w:pos="11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Agreement</w:t>
      </w:r>
      <w:r>
        <w:rPr>
          <w:rFonts w:ascii="Times New Roman" w:cs="Times New Roman" w:eastAsia="Times New Roman" w:hAnsi="Times New Roman"/>
          <w:sz w:val="18"/>
          <w:szCs w:val="18"/>
          <w:color w:val="auto"/>
        </w:rPr>
        <w:t>. Each Option shall be evidenced by an Option Agreement in such form and containing such provisions not inconsistent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provisions of the Plan as the Committee from time to time shall approve, including, without limitation, provisions to qualify an Option as an Incentive Stock Option under section 422 of the Code. Each Option Agreement shall specify the effect of termination of (i) employment, (ii) the consulting or advisory relationship or (iii) membership on the Board or the board of directors (or analogous governing body) of an Affiliate of the Company, as applicable, on the exercisability of the Option. An Option Agreement may provide for the payment of the option price, in whole or in part, by the delivery of a number of shares of Common Stock (plus cash if necessary) having a Fair Market Value equal to such option price. Moreover, an Option Agreement may provide for a “cashless exercise” of the Option by establishing procedures satisfactory to the Committee with respect thereto. Further, an Option Agreement may provide, on such terms and conditions as the Committee in its sole discretion may prescribe, for the grant of a Stock Appreciation Right in connection with the grant of an Option and, in such case, the exercise of the Stock Appreciation Right shall result in the surrender of the right to purchase a number of shares under the Option equal to the number of shares with respect to which the Stock Appreciation Right is exercised (and vice versa). In the case of any Stock Appreciation Right that is granted in connection with an Incentive Stock Option, such right shall be exercisable only when the Fair Market Value of the Common Stock exceeds the exercise price specified therefor in the Option or the portion thereof to be surrendered. The terms and conditions of the respective Option Agreements need not be identical. The Committee may, in its sole discretion, amend an outstanding Option Agreement from time to time in any manner that is not inconsistent with the provisions of the Plan (including, without limitation, an amendment that accelerates the time at which the Option, or a portion thereof, may be exercisable), provided that, except as otherwise provided in the Plan or the applicable Option Agreement, any such amendment shall not materially reduce the rights of a Participant without the consent of such Participant.</w:t>
      </w:r>
    </w:p>
    <w:p>
      <w:pPr>
        <w:spacing w:after="0" w:line="86" w:lineRule="exact"/>
        <w:rPr>
          <w:rFonts w:ascii="Times New Roman" w:cs="Times New Roman" w:eastAsia="Times New Roman" w:hAnsi="Times New Roman"/>
          <w:sz w:val="18"/>
          <w:szCs w:val="18"/>
          <w:color w:val="auto"/>
        </w:rPr>
      </w:pPr>
    </w:p>
    <w:p>
      <w:pPr>
        <w:ind w:left="460" w:right="60" w:firstLine="443"/>
        <w:spacing w:after="0" w:line="256" w:lineRule="auto"/>
        <w:tabs>
          <w:tab w:leader="none" w:pos="11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Price and Payment</w:t>
      </w:r>
      <w:r>
        <w:rPr>
          <w:rFonts w:ascii="Times New Roman" w:cs="Times New Roman" w:eastAsia="Times New Roman" w:hAnsi="Times New Roman"/>
          <w:sz w:val="18"/>
          <w:szCs w:val="18"/>
          <w:color w:val="auto"/>
        </w:rPr>
        <w:t>. The price at which a share of Common Stock may be purchased upon exercise of an Option shall be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Committee but, subject to the special limitations on Incentive Stock Options set forth in Paragraph VII(c) and to adjustment as provided in Paragraph XII, such purchase price shall not be less than the Fair Market Value of a share of Common Stock on the date such Option is granted. The Option or portion thereof may be exercised by delivery of an irrevocable notice of exercise to the Company, as specified by the Committee. The purchase price of the Option or portion thereof shall be paid in full in the manner prescribed by the Committee. Separate stock certificates shall be issued by the Company for those shares acquired pursuant to the exercise of an Incentive Stock Option and for those shares acquired pursuant to the exercise of any Option that does not constitute an Incentive Stock Option.</w:t>
      </w:r>
    </w:p>
    <w:p>
      <w:pPr>
        <w:spacing w:after="0" w:line="75" w:lineRule="exact"/>
        <w:rPr>
          <w:rFonts w:ascii="Times New Roman" w:cs="Times New Roman" w:eastAsia="Times New Roman" w:hAnsi="Times New Roman"/>
          <w:sz w:val="18"/>
          <w:szCs w:val="18"/>
          <w:color w:val="auto"/>
        </w:rPr>
      </w:pPr>
    </w:p>
    <w:p>
      <w:pPr>
        <w:ind w:left="460" w:right="20" w:firstLine="443"/>
        <w:spacing w:after="0" w:line="262" w:lineRule="auto"/>
        <w:tabs>
          <w:tab w:leader="none" w:pos="11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on Repricing of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provided in Paragraph XII, the Committee may not, without approval of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 amend any outstanding Option Agreement to lower the option price, (ii) cancel and replace any outstanding Option Agreement with Option Agreements having a lower option price or (iii) repurchase any Option at a time when the Fair Market Value of the Common Stock is less than the exercise price of the Option.</w:t>
      </w:r>
    </w:p>
    <w:p>
      <w:pPr>
        <w:spacing w:after="0" w:line="68" w:lineRule="exact"/>
        <w:rPr>
          <w:rFonts w:ascii="Times New Roman" w:cs="Times New Roman" w:eastAsia="Times New Roman" w:hAnsi="Times New Roman"/>
          <w:sz w:val="18"/>
          <w:szCs w:val="18"/>
          <w:color w:val="auto"/>
        </w:rPr>
      </w:pPr>
    </w:p>
    <w:p>
      <w:pPr>
        <w:ind w:left="460" w:right="20" w:firstLine="443"/>
        <w:spacing w:after="0" w:line="286" w:lineRule="auto"/>
        <w:tabs>
          <w:tab w:leader="none" w:pos="11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Rights and Privileges</w:t>
      </w:r>
      <w:r>
        <w:rPr>
          <w:rFonts w:ascii="Times New Roman" w:cs="Times New Roman" w:eastAsia="Times New Roman" w:hAnsi="Times New Roman"/>
          <w:sz w:val="18"/>
          <w:szCs w:val="18"/>
          <w:color w:val="auto"/>
        </w:rPr>
        <w:t>. The Participant shall be entitled to all the privileges and rights of a stockholder only with respect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as have been purchased under the Option and for which shares of stock have been issued to the Participant.</w:t>
      </w:r>
    </w:p>
    <w:p>
      <w:pPr>
        <w:spacing w:after="0" w:line="46" w:lineRule="exact"/>
        <w:rPr>
          <w:rFonts w:ascii="Times New Roman" w:cs="Times New Roman" w:eastAsia="Times New Roman" w:hAnsi="Times New Roman"/>
          <w:sz w:val="18"/>
          <w:szCs w:val="18"/>
          <w:color w:val="auto"/>
        </w:rPr>
      </w:pPr>
    </w:p>
    <w:p>
      <w:pPr>
        <w:ind w:left="460" w:right="100" w:firstLine="443"/>
        <w:spacing w:after="0" w:line="291" w:lineRule="auto"/>
        <w:tabs>
          <w:tab w:leader="none" w:pos="115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Options and Rights in Substitution for Options Granted by Other Employers</w:t>
      </w:r>
      <w:r>
        <w:rPr>
          <w:rFonts w:ascii="Times New Roman" w:cs="Times New Roman" w:eastAsia="Times New Roman" w:hAnsi="Times New Roman"/>
          <w:sz w:val="17"/>
          <w:szCs w:val="17"/>
          <w:color w:val="auto"/>
        </w:rPr>
        <w:t>. Options and Stock Appreciation Rights may be granted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Plan from time to time in substitution for options and such rights held by individuals providing services to corporations or other entities who become Employees, Consultants, or Directors as a result of a merger or consolidation or other business transaction with the Company or any Affiliate.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VIII. RESTRICTED STOCK AWARDS</w:t>
      </w:r>
    </w:p>
    <w:p>
      <w:pPr>
        <w:spacing w:after="0" w:line="225" w:lineRule="exact"/>
        <w:rPr>
          <w:sz w:val="20"/>
          <w:szCs w:val="20"/>
          <w:color w:val="auto"/>
        </w:rPr>
      </w:pPr>
    </w:p>
    <w:p>
      <w:pPr>
        <w:ind w:left="460" w:right="240" w:firstLine="443"/>
        <w:spacing w:after="0" w:line="257" w:lineRule="auto"/>
        <w:tabs>
          <w:tab w:leader="none" w:pos="114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Forfeiture Restrictions to be Established by the Committee</w:t>
      </w:r>
      <w:r>
        <w:rPr>
          <w:rFonts w:ascii="Times New Roman" w:cs="Times New Roman" w:eastAsia="Times New Roman" w:hAnsi="Times New Roman"/>
          <w:sz w:val="18"/>
          <w:szCs w:val="18"/>
          <w:color w:val="auto"/>
        </w:rPr>
        <w:t>. Shares of Common Stock that are the subject of a 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be subject to restrictions on transferability by the Participant and an obligation of the Participant to forfeit and surrender the shares to the Company under certain circumstances (the </w:t>
      </w:r>
      <w:r>
        <w:rPr>
          <w:rFonts w:ascii="Times New Roman" w:cs="Times New Roman" w:eastAsia="Times New Roman" w:hAnsi="Times New Roman"/>
          <w:sz w:val="18"/>
          <w:szCs w:val="18"/>
          <w:b w:val="1"/>
          <w:bCs w:val="1"/>
          <w:i w:val="1"/>
          <w:iCs w:val="1"/>
          <w:color w:val="auto"/>
        </w:rPr>
        <w:t>“Forfeiture Restrictions”</w:t>
      </w:r>
      <w:r>
        <w:rPr>
          <w:rFonts w:ascii="Times New Roman" w:cs="Times New Roman" w:eastAsia="Times New Roman" w:hAnsi="Times New Roman"/>
          <w:sz w:val="18"/>
          <w:szCs w:val="18"/>
          <w:color w:val="auto"/>
        </w:rPr>
        <w:t>). The Forfeiture Restrictions shall be determined by the Committee in its sole discretion, and the Committee may provide that the Forfeiture Restrictions shall lapse upon (i) the attainment of one or more Performance Measures,</w:t>
      </w:r>
    </w:p>
    <w:p>
      <w:pPr>
        <w:ind w:left="460" w:right="260" w:firstLine="4"/>
        <w:spacing w:after="0" w:line="277" w:lineRule="auto"/>
        <w:tabs>
          <w:tab w:leader="none" w:pos="72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continued employment with the Company or one of its Affiliates or continued service as a Consultant or Director for a specified period of time, (iii) the occurrence of any event or the satisfaction of any other condition specified by the Committee in its sole discretion, or (iv) a combination of any of the foregoing. Each Restricted Stock Award may have different Forfeiture Restrictions, in the discretion of the Committee.</w:t>
      </w:r>
    </w:p>
    <w:p>
      <w:pPr>
        <w:spacing w:after="0" w:line="57" w:lineRule="exact"/>
        <w:rPr>
          <w:rFonts w:ascii="Times New Roman" w:cs="Times New Roman" w:eastAsia="Times New Roman" w:hAnsi="Times New Roman"/>
          <w:sz w:val="17"/>
          <w:szCs w:val="17"/>
          <w:color w:val="auto"/>
        </w:rPr>
      </w:pPr>
    </w:p>
    <w:p>
      <w:pPr>
        <w:ind w:left="460" w:firstLine="443"/>
        <w:spacing w:after="0" w:line="253" w:lineRule="auto"/>
        <w:tabs>
          <w:tab w:leader="none" w:pos="11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Terms and Conditions</w:t>
      </w:r>
      <w:r>
        <w:rPr>
          <w:rFonts w:ascii="Times New Roman" w:cs="Times New Roman" w:eastAsia="Times New Roman" w:hAnsi="Times New Roman"/>
          <w:sz w:val="18"/>
          <w:szCs w:val="18"/>
          <w:color w:val="auto"/>
        </w:rPr>
        <w:t>. Unless provided otherwise in a Restricted Stock Agreement, the Participant shall have the right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with respect to Common Stock subject to a Restricted Stock Award, to vote Common Stock subject thereto, and to enjoy all other stockholder rights, except that (i) the Participant shall not be entitled to delivery of the stock certificate until the Forfeiture Restrictions have expired, (ii) the Company shall retain custody of the stock until the Forfeiture Restrictions have expired, (iii) the Participant may not sell, transfer, pledge, exchange, hypothecate, or otherwise dispose of or encumber the stock until the Forfeiture Restrictions have expired, (iv) a breach of the terms and conditions established by the Committee pursuant to the Restricted Stock Agreement shall result in a forfeiture of the Restricted Stock Award as determined by the Committee, and (v) with respect to the payment of any dividend with respect to shares of Common Stock subject to a Restricted Stock Award directly to the Participant, each such dividend shall be paid no later than the end of the calendar year in which the dividends are paid to stockholders of such class of shares or, if later, the fifteenth day of the third month following the date the dividends are paid to stockholders of such class of shares. At the time a Restricted Stock Award is granted, the Committee may, in its sole discretion, prescribe additional terms, conditions, or restrictions relating to Restricted Stock Awards, including, but not limited to, rules pertaining to the termination of employment or service as a Consultant or Director (by retirement, disability, death, or otherwise) of a Participant prior to expiration of the Forfeitures Restrictions. Such additional terms, conditions, or restrictions shall be set forth in a Restricted Stock Agreement made in conjunction with the Award.</w:t>
      </w:r>
    </w:p>
    <w:p>
      <w:pPr>
        <w:spacing w:after="0" w:line="80" w:lineRule="exact"/>
        <w:rPr>
          <w:rFonts w:ascii="Times New Roman" w:cs="Times New Roman" w:eastAsia="Times New Roman" w:hAnsi="Times New Roman"/>
          <w:sz w:val="18"/>
          <w:szCs w:val="18"/>
          <w:color w:val="auto"/>
        </w:rPr>
      </w:pPr>
    </w:p>
    <w:p>
      <w:pPr>
        <w:ind w:left="460" w:firstLine="443"/>
        <w:spacing w:after="0" w:line="268" w:lineRule="auto"/>
        <w:tabs>
          <w:tab w:leader="none" w:pos="114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for Restricted Stock</w:t>
      </w:r>
      <w:r>
        <w:rPr>
          <w:rFonts w:ascii="Times New Roman" w:cs="Times New Roman" w:eastAsia="Times New Roman" w:hAnsi="Times New Roman"/>
          <w:sz w:val="18"/>
          <w:szCs w:val="18"/>
          <w:color w:val="auto"/>
        </w:rPr>
        <w:t>. The Committee shall determine the amount and form of any payment for Common Stock received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Stock Award, provided that in the absence of such a determination, a Participant shall not be required to make any payment for Common Stock received pursuant to a Restricted Stock Award, except to the extent otherwise required by law.</w:t>
      </w:r>
    </w:p>
    <w:p>
      <w:pPr>
        <w:spacing w:after="0" w:line="62" w:lineRule="exact"/>
        <w:rPr>
          <w:rFonts w:ascii="Times New Roman" w:cs="Times New Roman" w:eastAsia="Times New Roman" w:hAnsi="Times New Roman"/>
          <w:sz w:val="18"/>
          <w:szCs w:val="18"/>
          <w:color w:val="auto"/>
        </w:rPr>
      </w:pPr>
    </w:p>
    <w:p>
      <w:pPr>
        <w:ind w:left="460" w:right="40" w:firstLine="443"/>
        <w:spacing w:after="0" w:line="259" w:lineRule="auto"/>
        <w:tabs>
          <w:tab w:leader="none" w:pos="11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Committee’s Discretion to Accelerate Vesting of Restricted Stock Awards</w:t>
      </w:r>
      <w:r>
        <w:rPr>
          <w:rFonts w:ascii="Times New Roman" w:cs="Times New Roman" w:eastAsia="Times New Roman" w:hAnsi="Times New Roman"/>
          <w:sz w:val="18"/>
          <w:szCs w:val="18"/>
          <w:color w:val="auto"/>
        </w:rPr>
        <w:t>. Subject to any limitations imposed under section 162(m)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the Committee may, in its discretion and as of a date determined by the Committee, fully vest any or all Common Stock awarded to a Participant pursuant to a Restricted Stock Award and, upon such vesting, all Forfeiture Restrictions applicable to such Restricted Stock Award shall terminate as of such date. Any action by the Committee pursuant to this Subparagraph may vary among individual Participants and may vary among the Restricted Stock Awards held by any individual Participant.</w:t>
      </w:r>
    </w:p>
    <w:p>
      <w:pPr>
        <w:spacing w:after="0" w:line="71" w:lineRule="exact"/>
        <w:rPr>
          <w:rFonts w:ascii="Times New Roman" w:cs="Times New Roman" w:eastAsia="Times New Roman" w:hAnsi="Times New Roman"/>
          <w:sz w:val="18"/>
          <w:szCs w:val="18"/>
          <w:color w:val="auto"/>
        </w:rPr>
      </w:pPr>
    </w:p>
    <w:p>
      <w:pPr>
        <w:ind w:left="460" w:right="20" w:firstLine="443"/>
        <w:spacing w:after="0" w:line="257" w:lineRule="auto"/>
        <w:tabs>
          <w:tab w:leader="none" w:pos="114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Stock Agreements</w:t>
      </w:r>
      <w:r>
        <w:rPr>
          <w:rFonts w:ascii="Times New Roman" w:cs="Times New Roman" w:eastAsia="Times New Roman" w:hAnsi="Times New Roman"/>
          <w:sz w:val="18"/>
          <w:szCs w:val="18"/>
          <w:color w:val="auto"/>
        </w:rPr>
        <w:t>. At the time any Award is made under this Paragraph VIII, the Company and the Participant shall enter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Agreement setting forth each of the matters contemplated hereby and such other matters as the Committee may determine to be appropriate. The terms and provisions of the respective Restricted Stock Agreements need not be identical. Subject to the restriction set forth in the first sentence of Subparagraph (d) above, the Committee may, in its sole discretion, amend an outstanding Restricted Stock Agreement from time to time in any manner that is not inconsistent with the provisions of the Plan, provided that, except as otherwise provided in the Plan or the applicable Restricted Stock Agreement, any such amendment shall not materially reduce the rights of a Participant without the consent of such Participant.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IX. PERFORMANCE AWARDS</w:t>
      </w:r>
    </w:p>
    <w:p>
      <w:pPr>
        <w:spacing w:after="0" w:line="225" w:lineRule="exact"/>
        <w:rPr>
          <w:sz w:val="20"/>
          <w:szCs w:val="20"/>
          <w:color w:val="auto"/>
        </w:rPr>
      </w:pPr>
    </w:p>
    <w:p>
      <w:pPr>
        <w:ind w:left="460" w:right="60" w:firstLine="443"/>
        <w:spacing w:after="0" w:line="259" w:lineRule="auto"/>
        <w:tabs>
          <w:tab w:leader="none" w:pos="11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Performance Awards may be in the form of (i) performance share units which are rights to receive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the Fair Market Value thereof), (ii) rights to receive an amount equal to any appreciation or increase in the Fair Market Value of Common Stock, or (iii) specified cash amounts, which may vest over a period of time as established by the Committee, but which are subject to the satisfaction of performance criteria or objectives that are based on one or more Performance Measures. The Committee may, in its discretion, require payment or other conditions of the Participant respecting any Performance Award.</w:t>
      </w:r>
    </w:p>
    <w:p>
      <w:pPr>
        <w:spacing w:after="0" w:line="71" w:lineRule="exact"/>
        <w:rPr>
          <w:rFonts w:ascii="Times New Roman" w:cs="Times New Roman" w:eastAsia="Times New Roman" w:hAnsi="Times New Roman"/>
          <w:sz w:val="18"/>
          <w:szCs w:val="18"/>
          <w:color w:val="auto"/>
        </w:rPr>
      </w:pPr>
    </w:p>
    <w:p>
      <w:pPr>
        <w:ind w:left="460" w:right="40" w:firstLine="443"/>
        <w:spacing w:after="0" w:line="268" w:lineRule="auto"/>
        <w:tabs>
          <w:tab w:leader="none" w:pos="11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Period</w:t>
      </w:r>
      <w:r>
        <w:rPr>
          <w:rFonts w:ascii="Times New Roman" w:cs="Times New Roman" w:eastAsia="Times New Roman" w:hAnsi="Times New Roman"/>
          <w:sz w:val="18"/>
          <w:szCs w:val="18"/>
          <w:color w:val="auto"/>
        </w:rPr>
        <w:t>. The Committee shall establish, with respect to and at the time of each Performance Award,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or the maximum value of, the Performance Award and the performance period over which the performance applicable to the Performance Award shall be measured.</w:t>
      </w:r>
    </w:p>
    <w:p>
      <w:pPr>
        <w:spacing w:after="0" w:line="62" w:lineRule="exact"/>
        <w:rPr>
          <w:rFonts w:ascii="Times New Roman" w:cs="Times New Roman" w:eastAsia="Times New Roman" w:hAnsi="Times New Roman"/>
          <w:sz w:val="18"/>
          <w:szCs w:val="18"/>
          <w:color w:val="auto"/>
        </w:rPr>
      </w:pPr>
    </w:p>
    <w:p>
      <w:pPr>
        <w:ind w:left="460" w:right="40" w:firstLine="443"/>
        <w:spacing w:after="0" w:line="257" w:lineRule="auto"/>
        <w:tabs>
          <w:tab w:leader="none" w:pos="11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Measures</w:t>
      </w:r>
      <w:r>
        <w:rPr>
          <w:rFonts w:ascii="Times New Roman" w:cs="Times New Roman" w:eastAsia="Times New Roman" w:hAnsi="Times New Roman"/>
          <w:sz w:val="18"/>
          <w:szCs w:val="18"/>
          <w:color w:val="auto"/>
        </w:rPr>
        <w:t>. A Performance Award shall be awarded to a Participant contingent upon future performance of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division, or department thereof under a Performance Measure during the performance period. With respect to Performance Awards that are intended to constitute “performance-based” compensation under section 162(m) of the Code, the Committee shall establish the initial Performance Measures applicable to such performance within any time period required under section 162(m) of the Code and applicable interpretative authority thereunder. The Committee, in its sole discretion, may provide for an adjustable Performance Award value based upon the level of achievement of Performance Measures.</w:t>
      </w:r>
    </w:p>
    <w:p>
      <w:pPr>
        <w:spacing w:after="0" w:line="74" w:lineRule="exact"/>
        <w:rPr>
          <w:rFonts w:ascii="Times New Roman" w:cs="Times New Roman" w:eastAsia="Times New Roman" w:hAnsi="Times New Roman"/>
          <w:sz w:val="18"/>
          <w:szCs w:val="18"/>
          <w:color w:val="auto"/>
        </w:rPr>
      </w:pPr>
    </w:p>
    <w:p>
      <w:pPr>
        <w:ind w:left="460" w:right="40" w:firstLine="443"/>
        <w:spacing w:after="0" w:line="268" w:lineRule="auto"/>
        <w:tabs>
          <w:tab w:leader="none" w:pos="11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Awards Criteria</w:t>
      </w:r>
      <w:r>
        <w:rPr>
          <w:rFonts w:ascii="Times New Roman" w:cs="Times New Roman" w:eastAsia="Times New Roman" w:hAnsi="Times New Roman"/>
          <w:sz w:val="18"/>
          <w:szCs w:val="18"/>
          <w:color w:val="auto"/>
        </w:rPr>
        <w:t>. In determining the value of Performance Awards, the Committee shall take into account a Participant’s responsibility level,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potential, other Awards, and such other considerations as it deems appropriate. The Committee, in its sole discretion, may provide for a reduction in the value of a Participant’s Performance Award during the performance period.</w:t>
      </w:r>
    </w:p>
    <w:p>
      <w:pPr>
        <w:spacing w:after="0" w:line="62" w:lineRule="exact"/>
        <w:rPr>
          <w:rFonts w:ascii="Times New Roman" w:cs="Times New Roman" w:eastAsia="Times New Roman" w:hAnsi="Times New Roman"/>
          <w:sz w:val="18"/>
          <w:szCs w:val="18"/>
          <w:color w:val="auto"/>
        </w:rPr>
      </w:pPr>
    </w:p>
    <w:p>
      <w:pPr>
        <w:ind w:left="460" w:right="40" w:firstLine="443"/>
        <w:spacing w:after="0" w:line="254" w:lineRule="auto"/>
        <w:tabs>
          <w:tab w:leader="none" w:pos="11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Following the end of the performance period, the holder of a Performance Award shall be entitled to receive payment of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exceeding the number of shares of Common Stock subject to, or the maximum value of, the Performance Award, based on the achievement of the Performance Measures for such performance period, as determined and certified in writing by the Committee. Payment of a Performance Award may be made in cash, Common Stock, or a combination thereof, as determined by the Committee. Payment shall be made in a lump sum or in installments as prescribed by the Committee. If a Performance Award covering shares of Common Stock is to be paid in cash, such payment shall be based on the Fair Market Value of the Common Stock on the payment date or such other date as may be specified by the Committee in the Performance Award Agreement. Dividend Equivalents may be paid after the applicable vesting period and Performance Period with respect to an earned Performance Award, in accordance with such terms as may be determined by the Committee. A Participant shall not be entitled to the privileges and rights of a stockholder with respect to a Performance Award covering shares of Common Stock until payment has been determined by the Committee and such shares have been delivered to the Participant.</w:t>
      </w:r>
    </w:p>
    <w:p>
      <w:pPr>
        <w:spacing w:after="0" w:line="78" w:lineRule="exact"/>
        <w:rPr>
          <w:rFonts w:ascii="Times New Roman" w:cs="Times New Roman" w:eastAsia="Times New Roman" w:hAnsi="Times New Roman"/>
          <w:sz w:val="18"/>
          <w:szCs w:val="18"/>
          <w:color w:val="auto"/>
        </w:rPr>
      </w:pPr>
    </w:p>
    <w:p>
      <w:pPr>
        <w:jc w:val="both"/>
        <w:ind w:left="460" w:firstLine="443"/>
        <w:spacing w:after="0" w:line="268" w:lineRule="auto"/>
        <w:tabs>
          <w:tab w:leader="none" w:pos="11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Deferrals</w:t>
      </w:r>
      <w:r>
        <w:rPr>
          <w:rFonts w:ascii="Times New Roman" w:cs="Times New Roman" w:eastAsia="Times New Roman" w:hAnsi="Times New Roman"/>
          <w:sz w:val="18"/>
          <w:szCs w:val="18"/>
          <w:color w:val="auto"/>
        </w:rPr>
        <w:t>. With the consent of the Committee, amounts payable in respect of Performance Awards in the form of performance share units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including Dividend Equivalents respecting such Awards) may be subject to elective deferral by the Participant pursuant to the terms and conditions determined by the Committee and in accordance with the provisions of the Waste Management, Inc. 409A Deferral Savings Plan.</w:t>
      </w:r>
    </w:p>
    <w:p>
      <w:pPr>
        <w:spacing w:after="0" w:line="62" w:lineRule="exact"/>
        <w:rPr>
          <w:rFonts w:ascii="Times New Roman" w:cs="Times New Roman" w:eastAsia="Times New Roman" w:hAnsi="Times New Roman"/>
          <w:sz w:val="18"/>
          <w:szCs w:val="18"/>
          <w:color w:val="auto"/>
        </w:rPr>
      </w:pPr>
    </w:p>
    <w:p>
      <w:pPr>
        <w:ind w:left="460" w:right="60" w:firstLine="443"/>
        <w:spacing w:after="0" w:line="268" w:lineRule="auto"/>
        <w:tabs>
          <w:tab w:leader="none" w:pos="11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Award</w:t>
      </w:r>
      <w:r>
        <w:rPr>
          <w:rFonts w:ascii="Times New Roman" w:cs="Times New Roman" w:eastAsia="Times New Roman" w:hAnsi="Times New Roman"/>
          <w:sz w:val="18"/>
          <w:szCs w:val="18"/>
          <w:color w:val="auto"/>
        </w:rPr>
        <w:t>. A Performance Award shall terminate if the Participant does not remain continuously in the employ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Affiliates or does not continue to perform services as a Consultant or a Director for the Company and its Affiliates at all times during the applicable performance period through the payment date, except as may be determined by the Committee.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left="460" w:right="40" w:firstLine="443"/>
        <w:spacing w:after="0" w:line="268" w:lineRule="auto"/>
        <w:tabs>
          <w:tab w:leader="none" w:pos="115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Award Agreements</w:t>
      </w:r>
      <w:r>
        <w:rPr>
          <w:rFonts w:ascii="Times New Roman" w:cs="Times New Roman" w:eastAsia="Times New Roman" w:hAnsi="Times New Roman"/>
          <w:sz w:val="18"/>
          <w:szCs w:val="18"/>
          <w:color w:val="auto"/>
        </w:rPr>
        <w:t>. At the time any Award is made under this Paragraph IX, the Company and the Participant shall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Performance Award Agreement setting forth each of the matters contemplated hereby and such additional matters as the Committee may determine to be appropriate. The terms and provisions of the respective Performance Award Agreements need not be identical.</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 PHANTOM STOCK AWARDS</w:t>
      </w:r>
    </w:p>
    <w:p>
      <w:pPr>
        <w:spacing w:after="0" w:line="225" w:lineRule="exact"/>
        <w:rPr>
          <w:sz w:val="20"/>
          <w:szCs w:val="20"/>
          <w:color w:val="auto"/>
        </w:rPr>
      </w:pPr>
    </w:p>
    <w:p>
      <w:pPr>
        <w:ind w:left="460" w:firstLine="443"/>
        <w:spacing w:after="0" w:line="255" w:lineRule="auto"/>
        <w:tabs>
          <w:tab w:leader="none" w:pos="114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Phantom Stock Awards</w:t>
      </w:r>
      <w:r>
        <w:rPr>
          <w:rFonts w:ascii="Times New Roman" w:cs="Times New Roman" w:eastAsia="Times New Roman" w:hAnsi="Times New Roman"/>
          <w:sz w:val="18"/>
          <w:szCs w:val="18"/>
          <w:color w:val="auto"/>
        </w:rPr>
        <w:t>. Phantom Stock Awards are rights to receive shares of Common Stock (or the Fair Market Value thereof), or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an amount equal to any appreciation or increase in the Fair Market Value of Common Stock over a specified period of time, which vest over a period of time as established by the Committee, without satisfaction of any performance criteria or objectives that are based upon one or more Performance Measures. The Committee may, in its discretion, require payment or other conditions of the Participant respecting any Phantom Stock Award. Specifically, but without limitation, a Phantom Stock Award may be issued in the form of a restricted stock unit. A Phantom Stock Award may include, without limitation, a Stock Appreciation Right that is granted independently of an Option; provided, however, that the exercise price per share of Common Stock subject to the Stock Appreciation Right shall be (i) determined by the Committee but, subject to adjustment as provided in Paragraph XII, such exercise price shall not be less than the Fair Market Value of a share of Common Stock on the date such Stock Appreciation Right is granted, and (ii) subject to the restrictions on repricings described in Paragraph VII(f) in the same manner as applies to Options.</w:t>
      </w:r>
    </w:p>
    <w:p>
      <w:pPr>
        <w:spacing w:after="0" w:line="73" w:lineRule="exact"/>
        <w:rPr>
          <w:rFonts w:ascii="Times New Roman" w:cs="Times New Roman" w:eastAsia="Times New Roman" w:hAnsi="Times New Roman"/>
          <w:sz w:val="18"/>
          <w:szCs w:val="18"/>
          <w:color w:val="auto"/>
        </w:rPr>
      </w:pPr>
    </w:p>
    <w:p>
      <w:pPr>
        <w:ind w:left="460" w:right="120" w:firstLine="443"/>
        <w:spacing w:after="0" w:line="286" w:lineRule="auto"/>
        <w:tabs>
          <w:tab w:leader="none" w:pos="11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Award Period</w:t>
      </w:r>
      <w:r>
        <w:rPr>
          <w:rFonts w:ascii="Times New Roman" w:cs="Times New Roman" w:eastAsia="Times New Roman" w:hAnsi="Times New Roman"/>
          <w:sz w:val="18"/>
          <w:szCs w:val="18"/>
          <w:color w:val="auto"/>
        </w:rPr>
        <w:t>. The Committee shall establish, with respect to and at the time of each Phantom Stock Award, a period over which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vest with respect to the Participant.</w:t>
      </w:r>
    </w:p>
    <w:p>
      <w:pPr>
        <w:spacing w:after="0" w:line="46" w:lineRule="exact"/>
        <w:rPr>
          <w:rFonts w:ascii="Times New Roman" w:cs="Times New Roman" w:eastAsia="Times New Roman" w:hAnsi="Times New Roman"/>
          <w:sz w:val="18"/>
          <w:szCs w:val="18"/>
          <w:color w:val="auto"/>
        </w:rPr>
      </w:pPr>
    </w:p>
    <w:p>
      <w:pPr>
        <w:ind w:left="460" w:right="340" w:firstLine="443"/>
        <w:spacing w:after="0" w:line="286" w:lineRule="auto"/>
        <w:tabs>
          <w:tab w:leader="none" w:pos="114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Awards Criteria</w:t>
      </w:r>
      <w:r>
        <w:rPr>
          <w:rFonts w:ascii="Times New Roman" w:cs="Times New Roman" w:eastAsia="Times New Roman" w:hAnsi="Times New Roman"/>
          <w:sz w:val="18"/>
          <w:szCs w:val="18"/>
          <w:color w:val="auto"/>
        </w:rPr>
        <w:t>. In determining the value of Phantom Stock Awards, the Committee shall take into account a Participant’s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 performance, potential, other Awards, and such other considerations as it deems appropriate.</w:t>
      </w:r>
    </w:p>
    <w:p>
      <w:pPr>
        <w:spacing w:after="0" w:line="46" w:lineRule="exact"/>
        <w:rPr>
          <w:rFonts w:ascii="Times New Roman" w:cs="Times New Roman" w:eastAsia="Times New Roman" w:hAnsi="Times New Roman"/>
          <w:sz w:val="18"/>
          <w:szCs w:val="18"/>
          <w:color w:val="auto"/>
        </w:rPr>
      </w:pPr>
    </w:p>
    <w:p>
      <w:pPr>
        <w:jc w:val="both"/>
        <w:ind w:left="460" w:right="100" w:firstLine="443"/>
        <w:spacing w:after="0" w:line="272" w:lineRule="auto"/>
        <w:tabs>
          <w:tab w:leader="none" w:pos="115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Payment</w:t>
      </w:r>
      <w:r>
        <w:rPr>
          <w:rFonts w:ascii="Times New Roman" w:cs="Times New Roman" w:eastAsia="Times New Roman" w:hAnsi="Times New Roman"/>
          <w:sz w:val="17"/>
          <w:szCs w:val="17"/>
          <w:color w:val="auto"/>
        </w:rPr>
        <w:t>. Following the end of the vesting period for a Phantom Stock Award (or at such other time as the applicable Phantom Stock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may provide), the holder of a Phantom Stock Award shall be entitled to receive payment of an amount, not exceeding the maximum value of the Phantom Stock Award, based on the then vested value of the Award. Payment of a Phantom Stock Award may be made in cash, Common Stock, or a combination thereof as determined by the Committee. Payment shall be made in a lump sum or in installments as prescribed by the Committee.</w:t>
      </w:r>
    </w:p>
    <w:p>
      <w:pPr>
        <w:ind w:left="46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payment to be made in cash shall be based on the Fair Market Value of the Common Stock on the payment date or such other date as may be specified by the Committee in the Phantom Stock Award Agreement. Dividend Equivalents may be paid after the applicable vesting period with respect to an earned Phantom Stock Award, in accordance with such terms as may be determined by the Committee. A Participant shall not be entitled to the privileges and rights of a stockholder with respect to a Phantom Stock Award until the shares of Common Stock, if any, have been delivered to the Participant.</w:t>
      </w:r>
    </w:p>
    <w:p>
      <w:pPr>
        <w:spacing w:after="0" w:line="75" w:lineRule="exact"/>
        <w:rPr>
          <w:rFonts w:ascii="Times New Roman" w:cs="Times New Roman" w:eastAsia="Times New Roman" w:hAnsi="Times New Roman"/>
          <w:sz w:val="17"/>
          <w:szCs w:val="17"/>
          <w:color w:val="auto"/>
        </w:rPr>
      </w:pPr>
    </w:p>
    <w:p>
      <w:pPr>
        <w:jc w:val="both"/>
        <w:ind w:left="460" w:right="60" w:firstLine="443"/>
        <w:spacing w:after="0" w:line="268" w:lineRule="auto"/>
        <w:tabs>
          <w:tab w:leader="none" w:pos="114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Deferrals</w:t>
      </w:r>
      <w:r>
        <w:rPr>
          <w:rFonts w:ascii="Times New Roman" w:cs="Times New Roman" w:eastAsia="Times New Roman" w:hAnsi="Times New Roman"/>
          <w:sz w:val="18"/>
          <w:szCs w:val="18"/>
          <w:color w:val="auto"/>
        </w:rPr>
        <w:t>. With the consent of the Committee, amounts payable in respect of Phantom Stock Awards in the form of restricted stock units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including Dividend Equivalents respecting such Awards) may be subject to elective deferral by the Participant pursuant to the terms and conditions determined by the Committee and in accordance with the provisions of the Waste Management, Inc. 409A Deferral Savings Plan.</w:t>
      </w:r>
    </w:p>
    <w:p>
      <w:pPr>
        <w:spacing w:after="0" w:line="62" w:lineRule="exact"/>
        <w:rPr>
          <w:rFonts w:ascii="Times New Roman" w:cs="Times New Roman" w:eastAsia="Times New Roman" w:hAnsi="Times New Roman"/>
          <w:sz w:val="18"/>
          <w:szCs w:val="18"/>
          <w:color w:val="auto"/>
        </w:rPr>
      </w:pPr>
    </w:p>
    <w:p>
      <w:pPr>
        <w:ind w:left="460" w:right="100" w:firstLine="443"/>
        <w:spacing w:after="0" w:line="268" w:lineRule="auto"/>
        <w:tabs>
          <w:tab w:leader="none" w:pos="11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Award</w:t>
      </w:r>
      <w:r>
        <w:rPr>
          <w:rFonts w:ascii="Times New Roman" w:cs="Times New Roman" w:eastAsia="Times New Roman" w:hAnsi="Times New Roman"/>
          <w:sz w:val="18"/>
          <w:szCs w:val="18"/>
          <w:color w:val="auto"/>
        </w:rPr>
        <w:t>. A Phantom Stock Award shall terminate if the Participant does not remain continuously in the employ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Affiliates or does not continue to perform services as a Consultant or a Director for the Company and its Affiliates at all times during the applicable vesting period, except as may be otherwise determined by the Committee.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right="260" w:firstLine="443"/>
        <w:spacing w:after="0" w:line="268" w:lineRule="auto"/>
        <w:tabs>
          <w:tab w:leader="none" w:pos="115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Phantom Stock Award Agreements</w:t>
      </w:r>
      <w:r>
        <w:rPr>
          <w:rFonts w:ascii="Times New Roman" w:cs="Times New Roman" w:eastAsia="Times New Roman" w:hAnsi="Times New Roman"/>
          <w:sz w:val="18"/>
          <w:szCs w:val="18"/>
          <w:color w:val="auto"/>
        </w:rPr>
        <w:t>. At the time any Award is made under this Paragraph X, the Company and the Participant shall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Phantom Stock Award Agreement setting forth each of the matters contemplated hereby and such additional matters as the Committee may determine to be appropriate. The terms and provisions of the respective Phantom Stock Award Agreements need not be identical.</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XI. BONUS STOCK AWARDS</w:t>
      </w:r>
    </w:p>
    <w:p>
      <w:pPr>
        <w:spacing w:after="0" w:line="22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Each Bonus Stock Award granted to a Participant shall constitute a transfer of unrestricted shares of Common Stock on such terms and conditions as the Committee shall determine. Bonus Stock Awards shall be made in shares of Common Stock and need not be subject to performance criteria or objectives or to forfeiture. The purchase price, if any, for shares of Common Stock issued in connection with a Bonus Stock Award shall be determined by the Committee in its sole discretion. The Company and the Participant shall enter into a Bonus Stock Award Agreement setting forth the terms of any such Award.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XII. RECAPITALIZATION OR REORGANIZATION</w:t>
      </w:r>
    </w:p>
    <w:p>
      <w:pPr>
        <w:spacing w:after="0" w:line="225" w:lineRule="exact"/>
        <w:rPr>
          <w:sz w:val="20"/>
          <w:szCs w:val="20"/>
          <w:color w:val="auto"/>
        </w:rPr>
      </w:pPr>
    </w:p>
    <w:p>
      <w:pPr>
        <w:ind w:left="460" w:right="80" w:firstLine="443"/>
        <w:spacing w:after="0" w:line="278" w:lineRule="auto"/>
        <w:tabs>
          <w:tab w:leader="none" w:pos="1143"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Effect on Right or Power</w:t>
      </w:r>
      <w:r>
        <w:rPr>
          <w:rFonts w:ascii="Times New Roman" w:cs="Times New Roman" w:eastAsia="Times New Roman" w:hAnsi="Times New Roman"/>
          <w:sz w:val="17"/>
          <w:szCs w:val="17"/>
          <w:color w:val="auto"/>
        </w:rPr>
        <w:t>. The existence of the Plan and the Awards granted hereunder shall not affect in any way the right or power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or the stockholders of the Company to make or authorize any adjustment, recapitalization, reorganization, or other change in the Company’s or any Affiliate’s capital structure or its business, any merger, consolidation or other business combination of the Company or any Affiliate, any issue of debt or equity securities ahead of or affecting Common Stock or the rights thereof, the dissolution or liquidation of the Company or any Affiliate, any sale, lease, exchange, or other disposition of all or any part of its assets or business, or any other corporate act or proceeding.</w:t>
      </w:r>
    </w:p>
    <w:p>
      <w:pPr>
        <w:spacing w:after="0" w:line="56" w:lineRule="exact"/>
        <w:rPr>
          <w:rFonts w:ascii="Times New Roman" w:cs="Times New Roman" w:eastAsia="Times New Roman" w:hAnsi="Times New Roman"/>
          <w:sz w:val="17"/>
          <w:szCs w:val="17"/>
          <w:color w:val="auto"/>
        </w:rPr>
      </w:pPr>
    </w:p>
    <w:p>
      <w:pPr>
        <w:ind w:left="460" w:right="20" w:firstLine="443"/>
        <w:spacing w:after="0" w:line="274" w:lineRule="auto"/>
        <w:tabs>
          <w:tab w:leader="none" w:pos="1153"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Subdivision or Consolidation of Shares; Stock Dividends</w:t>
      </w:r>
      <w:r>
        <w:rPr>
          <w:rFonts w:ascii="Times New Roman" w:cs="Times New Roman" w:eastAsia="Times New Roman" w:hAnsi="Times New Roman"/>
          <w:sz w:val="17"/>
          <w:szCs w:val="17"/>
          <w:color w:val="auto"/>
        </w:rPr>
        <w:t>. The shares with respect to which Awards may be granted are shares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as presently constituted, but if, and whenever, prior to the expiration of an Award theretofore granted, the Company shall effect a subdivision or consolidation of shares of Common Stock or the payment of a stock dividend on Common Stock without receipt of consideration by the Company, the number of shares of Common Stock with respect to which such Award may thereafter be exercised or satisfied, as applicable, (i) in the event of an increase in the number of outstanding shares, shall be proportionately increased, and the purchase price per share, if any, shall be proportionately reduced, and (ii) in the event of a reduction in the number of outstanding shares, shall be proportionately reduced, and the purchase price per share, if any, shall be proportionately increased. Any fractional share resulting from such adjustment shall be rounded up to the next whole share.</w:t>
      </w:r>
    </w:p>
    <w:p>
      <w:pPr>
        <w:spacing w:after="0" w:line="58" w:lineRule="exact"/>
        <w:rPr>
          <w:rFonts w:ascii="Times New Roman" w:cs="Times New Roman" w:eastAsia="Times New Roman" w:hAnsi="Times New Roman"/>
          <w:sz w:val="17"/>
          <w:szCs w:val="17"/>
          <w:color w:val="auto"/>
        </w:rPr>
      </w:pPr>
    </w:p>
    <w:p>
      <w:pPr>
        <w:ind w:left="460" w:firstLine="443"/>
        <w:spacing w:after="0" w:line="270" w:lineRule="auto"/>
        <w:tabs>
          <w:tab w:leader="none" w:pos="1143"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Recapitalizations and Corporate Changes</w:t>
      </w:r>
      <w:r>
        <w:rPr>
          <w:rFonts w:ascii="Times New Roman" w:cs="Times New Roman" w:eastAsia="Times New Roman" w:hAnsi="Times New Roman"/>
          <w:sz w:val="17"/>
          <w:szCs w:val="17"/>
          <w:color w:val="auto"/>
        </w:rPr>
        <w:t>. If the Company recapitalizes, reclassifies its capital stock, or otherwise changes its capital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structure (a </w:t>
      </w:r>
      <w:r>
        <w:rPr>
          <w:rFonts w:ascii="Times New Roman" w:cs="Times New Roman" w:eastAsia="Times New Roman" w:hAnsi="Times New Roman"/>
          <w:sz w:val="17"/>
          <w:szCs w:val="17"/>
          <w:b w:val="1"/>
          <w:bCs w:val="1"/>
          <w:i w:val="1"/>
          <w:iCs w:val="1"/>
          <w:color w:val="auto"/>
        </w:rPr>
        <w:t>“recapitalization”</w:t>
      </w:r>
      <w:r>
        <w:rPr>
          <w:rFonts w:ascii="Times New Roman" w:cs="Times New Roman" w:eastAsia="Times New Roman" w:hAnsi="Times New Roman"/>
          <w:sz w:val="17"/>
          <w:szCs w:val="17"/>
          <w:color w:val="auto"/>
        </w:rPr>
        <w:t>), the number and class of shares of Common Stock or other property covered by an Award theretofore granted and the purchase price of Common Stock or other consideration subject to such Award shall be adjusted so that such Award shall thereafter cover the number and class of shares of stock and securities to which the Participant would have been entitled pursuant to the terms of the recapitalization if, immediately prior to the recapitalization, the Participant had been the holder of record of the number of shares of Common Stock then covered by such Award. If</w:t>
      </w:r>
    </w:p>
    <w:p>
      <w:pPr>
        <w:spacing w:after="0" w:line="3" w:lineRule="exact"/>
        <w:rPr>
          <w:rFonts w:ascii="Times New Roman" w:cs="Times New Roman" w:eastAsia="Times New Roman" w:hAnsi="Times New Roman"/>
          <w:sz w:val="17"/>
          <w:szCs w:val="17"/>
          <w:color w:val="auto"/>
        </w:rPr>
      </w:pPr>
    </w:p>
    <w:p>
      <w:pPr>
        <w:ind w:left="460" w:right="100" w:firstLine="4"/>
        <w:spacing w:after="0" w:line="265" w:lineRule="auto"/>
        <w:tabs>
          <w:tab w:leader="none" w:pos="67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the surviving entity in any consummated merger, consolidation or other business combination or reorganization (or survives only as a subsidiary of an entity), (ii) the Company sells, leases, or exchanges all or substantially all of its assets to any other person or entity,</w:t>
      </w:r>
    </w:p>
    <w:p>
      <w:pPr>
        <w:ind w:left="460" w:right="80" w:firstLine="4"/>
        <w:spacing w:after="0" w:line="254" w:lineRule="auto"/>
        <w:tabs>
          <w:tab w:leader="none" w:pos="7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dissolved and liquidated, (iv) any person or entity, including a “group” as contemplated by section 13(d)(3) of the Exchange Act, acquires or gains ownership or control (including, without limitation, the power to vote) of more than 50% of the outstanding shares of the Company’s voting stock (based upon voting power), or (v) as a result of or in connection with a contested election of directors of the Company, the persons who were directors of the Company before such election shall cease to constitute a majority of</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380"/>
          </w:cols>
          <w:pgMar w:left="240" w:top="455" w:right="2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 xml:space="preserve">the Board (each such event is referred to herein as a </w:t>
      </w:r>
      <w:r>
        <w:rPr>
          <w:rFonts w:ascii="Times New Roman" w:cs="Times New Roman" w:eastAsia="Times New Roman" w:hAnsi="Times New Roman"/>
          <w:sz w:val="18"/>
          <w:szCs w:val="18"/>
          <w:b w:val="1"/>
          <w:bCs w:val="1"/>
          <w:i w:val="1"/>
          <w:iCs w:val="1"/>
          <w:color w:val="auto"/>
        </w:rPr>
        <w:t>“Corporate Change”</w:t>
      </w:r>
      <w:r>
        <w:rPr>
          <w:rFonts w:ascii="Times New Roman" w:cs="Times New Roman" w:eastAsia="Times New Roman" w:hAnsi="Times New Roman"/>
          <w:sz w:val="18"/>
          <w:szCs w:val="18"/>
          <w:color w:val="auto"/>
        </w:rPr>
        <w:t xml:space="preserve">), then no later than (x) 10 days after such merger, consolidation, business combination, reorganization, sale, lease, or exchange of assets or dissolution and liquidation or such election of directors or (y) 30 days after a Corporate Change of the type described in clause (iv), the Committee, acting in its sole discretion without the consent or approval of any Participant, shall effect one or more of the following alternatives in an equitable and appropriate manner to prevent dilution or enlargement of the benefits or potential benefits intended to be made available under the Plan, which alternatives may vary among individual Participants and which may vary among Awards held by any individual Participant: (1) accelerate the time at which Options or Stock Appreciation Rights then outstanding may be exercised so that such Awards may be exercised in full for a limited period of time on or before a specified date (before or after such Corporate Change) fixed by the Committee, after which specified date all such unexercised Awards and all rights of Participants thereunder shall terminate, (2) require the mandatory surrender to the Company by all or selected Participants of some or all of the outstanding Options or Stock Appreciation Rights held by such Participants (irrespective of whether such Awards are then exercisable under the provisions of the Plan) as of a date, before or after such Corporate Change, specified by the Committee, in which event the Committee shall thereupon cancel such Awards and the Company shall pay (or cause to be paid) to each Participant an amount of cash per share equal to the excess, if any, of the amount calculated in Subparagraph (d) below (the </w:t>
      </w:r>
      <w:r>
        <w:rPr>
          <w:rFonts w:ascii="Times New Roman" w:cs="Times New Roman" w:eastAsia="Times New Roman" w:hAnsi="Times New Roman"/>
          <w:sz w:val="18"/>
          <w:szCs w:val="18"/>
          <w:b w:val="1"/>
          <w:bCs w:val="1"/>
          <w:i w:val="1"/>
          <w:i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Control Value”</w:t>
      </w:r>
      <w:r>
        <w:rPr>
          <w:rFonts w:ascii="Times New Roman" w:cs="Times New Roman" w:eastAsia="Times New Roman" w:hAnsi="Times New Roman"/>
          <w:sz w:val="18"/>
          <w:szCs w:val="18"/>
          <w:color w:val="auto"/>
        </w:rPr>
        <w:t>) of the shares subject to such Awards over the exercise price(s) under such Awards for such shares, or (3) make such adjustments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then outstanding as the Committee deems appropriate to reflect such Corporate Change and to prevent the dilution or enlargement of rights (provided, however, that the Committee may determine in its sole discretion that no adjustment is necessary to such Awards then outstanding),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Committee in its sole discretion.</w:t>
      </w:r>
    </w:p>
    <w:p>
      <w:pPr>
        <w:spacing w:after="0" w:line="86" w:lineRule="exact"/>
        <w:rPr>
          <w:sz w:val="20"/>
          <w:szCs w:val="20"/>
          <w:color w:val="auto"/>
        </w:rPr>
      </w:pPr>
    </w:p>
    <w:p>
      <w:pPr>
        <w:ind w:left="460" w:right="100" w:firstLine="443"/>
        <w:spacing w:after="0" w:line="255" w:lineRule="auto"/>
        <w:tabs>
          <w:tab w:leader="none" w:pos="11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of Control Value</w:t>
      </w:r>
      <w:r>
        <w:rPr>
          <w:rFonts w:ascii="Times New Roman" w:cs="Times New Roman" w:eastAsia="Times New Roman" w:hAnsi="Times New Roman"/>
          <w:sz w:val="18"/>
          <w:szCs w:val="18"/>
          <w:color w:val="auto"/>
        </w:rPr>
        <w:t>. For the purposes of clause (2) in Subparagraph (c) above,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“Change of Control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equal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the following clause (i), (ii) or (iii), whichever is applicable: (i) the per share price offered to stockholders of the Company in any such merger, consolidation, or other business combination, reorganization, sale of assets or dissolution and liquidation transaction, (ii) the per share price offered to stockholders of the Company in any tender offer or exchange offer whereby a Corporate Change takes place, or (iii) if such Corporate Change occurs other than pursuant to a tender or exchange offer, the fair market value per share of the shares into which such Options or Stock Appreciation Rights being surrendered are exercisable, as determined by the Committee as of the date determined by the Committee to be the date of cancellation and surrender of such Awards. In the event that the consideration offered to stockholders of the Company in any transaction described in this Subparagraph (d) or Subparagraph (c) above consists of anything other than cash, the Committee shall determine the fair cash equivalent of the portion of the consideration offered which is other than cash.</w:t>
      </w:r>
    </w:p>
    <w:p>
      <w:pPr>
        <w:spacing w:after="0" w:line="73" w:lineRule="exact"/>
        <w:rPr>
          <w:rFonts w:ascii="Times New Roman" w:cs="Times New Roman" w:eastAsia="Times New Roman" w:hAnsi="Times New Roman"/>
          <w:sz w:val="18"/>
          <w:szCs w:val="18"/>
          <w:color w:val="auto"/>
        </w:rPr>
      </w:pPr>
    </w:p>
    <w:p>
      <w:pPr>
        <w:ind w:left="460" w:right="20" w:firstLine="443"/>
        <w:spacing w:after="0" w:line="271" w:lineRule="auto"/>
        <w:tabs>
          <w:tab w:leader="none" w:pos="114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Other Changes in the Common Stock</w:t>
      </w:r>
      <w:r>
        <w:rPr>
          <w:rFonts w:ascii="Times New Roman" w:cs="Times New Roman" w:eastAsia="Times New Roman" w:hAnsi="Times New Roman"/>
          <w:sz w:val="17"/>
          <w:szCs w:val="17"/>
          <w:color w:val="auto"/>
        </w:rPr>
        <w:t>. In the event of changes in the outstanding Common Stock by reason of recapitalizations,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reorganizations, mergers, consolidations, combinations, split-ups, split-offs, spin-offs, exchanges, or other relevant changes in capitalization or distributions (other than ordinary dividends) to the holders of Common Stock occurring after the date of the grant of any Award and not otherwise provided for by this Paragraph XII, such Award and any agreement evidencing such Award shall be subject to adjustment by the Committee at its sole discretion as to the number and price of shares of Common Stock or other consideration subject to such Award, accelerated vesting, conversion into other securities or interests or cash settlement in exchange for cancellation in an equitable and appropriate manner so as to prevent the dilution or enlargement of the benefits or potential benefits intended to be made available under such Award. Notwithstanding the foregoing, with respect to a change that constitutes an “equity restructuring” that would be subject to a compensation expense pursuant to Accounting Standards Codification Topic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or any successor accounting standard, the provisions in Subparagraph (c) above shall control to the extent they are in conflict with the discretionary provisions of this Subparagraph (e). In the event of any such change in the outstanding Common Stock or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400"/>
          </w:cols>
          <w:pgMar w:left="240" w:top="455" w:right="2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520"/>
        <w:spacing w:after="0" w:line="261" w:lineRule="auto"/>
        <w:rPr>
          <w:sz w:val="20"/>
          <w:szCs w:val="20"/>
          <w:color w:val="auto"/>
        </w:rPr>
      </w:pPr>
      <w:r>
        <w:rPr>
          <w:rFonts w:ascii="Times New Roman" w:cs="Times New Roman" w:eastAsia="Times New Roman" w:hAnsi="Times New Roman"/>
          <w:sz w:val="18"/>
          <w:szCs w:val="18"/>
          <w:color w:val="auto"/>
        </w:rPr>
        <w:t>distribution to the holders of Common Stock, or upon the occurrence of any other event described in this Paragraph XII, the aggregate maximum number of shares available under the Plan, the aggregate maximum number of shares that may be issued under the Plan through Incentive Stock Options, and the maximum number of shares that may be subject to Awards granted to any one individual during any calendar year shall be appropriately adjusted to the extent, if any, determined by the Committee, whose determination shall be conclusive.</w:t>
      </w:r>
    </w:p>
    <w:p>
      <w:pPr>
        <w:spacing w:after="0" w:line="68" w:lineRule="exact"/>
        <w:rPr>
          <w:sz w:val="20"/>
          <w:szCs w:val="20"/>
          <w:color w:val="auto"/>
        </w:rPr>
      </w:pPr>
    </w:p>
    <w:p>
      <w:pPr>
        <w:ind w:left="460" w:right="700" w:firstLine="443"/>
        <w:spacing w:after="0" w:line="286" w:lineRule="auto"/>
        <w:tabs>
          <w:tab w:leader="none" w:pos="11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Action</w:t>
      </w:r>
      <w:r>
        <w:rPr>
          <w:rFonts w:ascii="Times New Roman" w:cs="Times New Roman" w:eastAsia="Times New Roman" w:hAnsi="Times New Roman"/>
          <w:sz w:val="18"/>
          <w:szCs w:val="18"/>
          <w:color w:val="auto"/>
        </w:rPr>
        <w:t>. Any adjustment provided for in the above Subparagraphs shall be subject to any stockholder action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or regulation or the Company’s certificate of incorporation or bylaws.</w:t>
      </w:r>
    </w:p>
    <w:p>
      <w:pPr>
        <w:spacing w:after="0" w:line="46" w:lineRule="exact"/>
        <w:rPr>
          <w:rFonts w:ascii="Times New Roman" w:cs="Times New Roman" w:eastAsia="Times New Roman" w:hAnsi="Times New Roman"/>
          <w:sz w:val="18"/>
          <w:szCs w:val="18"/>
          <w:color w:val="auto"/>
        </w:rPr>
      </w:pPr>
    </w:p>
    <w:p>
      <w:pPr>
        <w:ind w:left="460" w:right="40" w:firstLine="443"/>
        <w:spacing w:after="0" w:line="259" w:lineRule="auto"/>
        <w:tabs>
          <w:tab w:leader="none" w:pos="115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Adjustments Unless Otherwise Provided</w:t>
      </w:r>
      <w:r>
        <w:rPr>
          <w:rFonts w:ascii="Times New Roman" w:cs="Times New Roman" w:eastAsia="Times New Roman" w:hAnsi="Times New Roman"/>
          <w:sz w:val="18"/>
          <w:szCs w:val="18"/>
          <w:color w:val="auto"/>
        </w:rPr>
        <w:t>. Except as hereinbefore expressly provided, the issuance by the Company of shares of stock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subject to Awards theretofore granted or the purchase price per share, if applicable.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XIII. AMENDMENT AND TERMINATION OF THE PLAN</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Board in its discretion may terminate the Plan at any time with respect to any shares of Common Stock for which Awards have not theretofore been granted. The Board shall have the right to alter or amend the Plan or any part thereof from time to time; provided that no change in the Plan may be made that would materially impair the rights of a Participant with respect to an Award theretofore granted without the consent of the Participant, and provided, further, that the Board may not, without approval of the stockholders of the Company, (a) amend the Plan to increase the aggregate maximum number of shares that may be issued under the Plan, increase the aggregate maximum number of shares that may be issued under the Plan through Incentive Stock Options, or change the class of individuals eligible to receive Awards under the Plan, or (b) amend or delete Paragraph VII(f).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XIV. MISCELLANEOUS</w:t>
      </w:r>
    </w:p>
    <w:p>
      <w:pPr>
        <w:spacing w:after="0" w:line="225" w:lineRule="exact"/>
        <w:rPr>
          <w:sz w:val="20"/>
          <w:szCs w:val="20"/>
          <w:color w:val="auto"/>
        </w:rPr>
      </w:pPr>
    </w:p>
    <w:p>
      <w:pPr>
        <w:ind w:left="460" w:right="60" w:firstLine="443"/>
        <w:spacing w:after="0" w:line="259" w:lineRule="auto"/>
        <w:tabs>
          <w:tab w:leader="none" w:pos="11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An Award</w:t>
      </w:r>
      <w:r>
        <w:rPr>
          <w:rFonts w:ascii="Times New Roman" w:cs="Times New Roman" w:eastAsia="Times New Roman" w:hAnsi="Times New Roman"/>
          <w:sz w:val="18"/>
          <w:szCs w:val="18"/>
          <w:color w:val="auto"/>
        </w:rPr>
        <w:t>. Neither the adoption of the Plan nor any action of the Board or of the Committee shall be deemed to give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any right to be granted an Award, or any other rights hereunder except as may be evidenced by an Award agreement duly executed on behalf of the Company, and then only to the extent and on the terms and conditions expressly set forth therein. The Plan shall be unfunded. The Company shall not be required to establish any special or separate fund or to make any other segregation of funds or assets to assure the performance of its obligations under any Award.</w:t>
      </w:r>
    </w:p>
    <w:p>
      <w:pPr>
        <w:spacing w:after="0" w:line="71" w:lineRule="exact"/>
        <w:rPr>
          <w:rFonts w:ascii="Times New Roman" w:cs="Times New Roman" w:eastAsia="Times New Roman" w:hAnsi="Times New Roman"/>
          <w:sz w:val="18"/>
          <w:szCs w:val="18"/>
          <w:color w:val="auto"/>
        </w:rPr>
      </w:pPr>
    </w:p>
    <w:p>
      <w:pPr>
        <w:ind w:left="460" w:right="40" w:firstLine="443"/>
        <w:spacing w:after="0" w:line="259" w:lineRule="auto"/>
        <w:tabs>
          <w:tab w:leader="none" w:pos="11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Employment/Membership Rights Conferred</w:t>
      </w:r>
      <w:r>
        <w:rPr>
          <w:rFonts w:ascii="Times New Roman" w:cs="Times New Roman" w:eastAsia="Times New Roman" w:hAnsi="Times New Roman"/>
          <w:sz w:val="18"/>
          <w:szCs w:val="18"/>
          <w:color w:val="auto"/>
        </w:rPr>
        <w:t>. Nothing contained in the Plan shall (i) confer upon any Employee or Consultant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continuation of employment or of a consulting or advisory relationship with the Company or any Affiliate or (ii) interfere in any way with the right of the Company or any Affiliate to terminate his or her employment or consulting or advisory relationship at any time. Nothing contained in the Plan shall confer upon any Director any right with respect to continuation of membership on the Board or the board of directors (or analogous governing body) of any Affiliate of the Company.</w:t>
      </w:r>
    </w:p>
    <w:p>
      <w:pPr>
        <w:spacing w:after="0" w:line="71" w:lineRule="exact"/>
        <w:rPr>
          <w:rFonts w:ascii="Times New Roman" w:cs="Times New Roman" w:eastAsia="Times New Roman" w:hAnsi="Times New Roman"/>
          <w:sz w:val="18"/>
          <w:szCs w:val="18"/>
          <w:color w:val="auto"/>
        </w:rPr>
      </w:pPr>
    </w:p>
    <w:p>
      <w:pPr>
        <w:ind w:left="460" w:right="180" w:firstLine="443"/>
        <w:spacing w:after="0" w:line="268" w:lineRule="auto"/>
        <w:tabs>
          <w:tab w:leader="none" w:pos="11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Laws; Withholding</w:t>
      </w:r>
      <w:r>
        <w:rPr>
          <w:rFonts w:ascii="Times New Roman" w:cs="Times New Roman" w:eastAsia="Times New Roman" w:hAnsi="Times New Roman"/>
          <w:sz w:val="18"/>
          <w:szCs w:val="18"/>
          <w:color w:val="auto"/>
        </w:rPr>
        <w:t>. The Company shall not be obligated to issue any Common Stock pursuant to any Award granted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when the shares covered by such Award have not been registered under the Securities Act of 1933, as amended, and such other state and federal laws, rules, and regulations as the Company or the Committee deems applicable and, in the opinion of legal counsel for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color w:val="auto"/>
        </w:rPr>
        <w:t>the Company, there is no exemption from the registration requirements of such laws, rules, and regulations available for the issuance and sale of such shares. No fractional shares of Common Stock shall be delivered, nor shall any cash in lieu of fractional shares be paid unless otherwise determined by the Committee. The Company shall have the right to deduct in connection with all Awards any taxes required by law to be withheld and to require any payments required to enable it to satisfy its withholding obligations.</w:t>
      </w:r>
    </w:p>
    <w:p>
      <w:pPr>
        <w:spacing w:after="0" w:line="68" w:lineRule="exact"/>
        <w:rPr>
          <w:sz w:val="20"/>
          <w:szCs w:val="20"/>
          <w:color w:val="auto"/>
        </w:rPr>
      </w:pPr>
    </w:p>
    <w:p>
      <w:pPr>
        <w:ind w:left="460" w:right="20" w:firstLine="443"/>
        <w:spacing w:after="0" w:line="262" w:lineRule="auto"/>
        <w:tabs>
          <w:tab w:leader="none" w:pos="115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Restriction on Corporate Action</w:t>
      </w:r>
      <w:r>
        <w:rPr>
          <w:rFonts w:ascii="Times New Roman" w:cs="Times New Roman" w:eastAsia="Times New Roman" w:hAnsi="Times New Roman"/>
          <w:sz w:val="18"/>
          <w:szCs w:val="18"/>
          <w:color w:val="auto"/>
        </w:rPr>
        <w:t>. Nothing contained in the Plan shall be construed to prevent the Company or any Affiliate from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which is deemed by the Company or such Affiliate to be appropriate or in its best interest, whether or not such action would have an adverse effect on the Plan or any Award made under the Plan. No Participant, beneficiary or other person shall have any claim against the Company, any Affiliate, or the Board or the Committee as a result of any such action.</w:t>
      </w:r>
    </w:p>
    <w:p>
      <w:pPr>
        <w:spacing w:after="0" w:line="68" w:lineRule="exact"/>
        <w:rPr>
          <w:rFonts w:ascii="Times New Roman" w:cs="Times New Roman" w:eastAsia="Times New Roman" w:hAnsi="Times New Roman"/>
          <w:sz w:val="18"/>
          <w:szCs w:val="18"/>
          <w:color w:val="auto"/>
        </w:rPr>
      </w:pPr>
    </w:p>
    <w:p>
      <w:pPr>
        <w:ind w:left="460" w:right="400" w:firstLine="443"/>
        <w:spacing w:after="0" w:line="274" w:lineRule="auto"/>
        <w:tabs>
          <w:tab w:leader="none" w:pos="1143"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Restrictions on Transfer</w:t>
      </w:r>
      <w:r>
        <w:rPr>
          <w:rFonts w:ascii="Times New Roman" w:cs="Times New Roman" w:eastAsia="Times New Roman" w:hAnsi="Times New Roman"/>
          <w:sz w:val="17"/>
          <w:szCs w:val="17"/>
          <w:color w:val="auto"/>
        </w:rPr>
        <w:t>. An Award (other than an Incentive Stock Option, which shall be subject to the transfer restrictions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Paragraph VII(c)) shall not be transferable otherwise than (i) by will or the laws of descent and distribution, (ii) pursuant to a qualified domestic relations order as defined by the Code or Title I of the Employee Retirement Income Security Act of 1974, as amended, or the rules thereunder, or</w:t>
      </w:r>
    </w:p>
    <w:p>
      <w:pPr>
        <w:spacing w:after="0" w:line="1" w:lineRule="exact"/>
        <w:rPr>
          <w:rFonts w:ascii="Times New Roman" w:cs="Times New Roman" w:eastAsia="Times New Roman" w:hAnsi="Times New Roman"/>
          <w:sz w:val="17"/>
          <w:szCs w:val="17"/>
          <w:color w:val="auto"/>
        </w:rPr>
      </w:pPr>
    </w:p>
    <w:p>
      <w:pPr>
        <w:ind w:left="780" w:hanging="316"/>
        <w:spacing w:after="0"/>
        <w:tabs>
          <w:tab w:leader="none" w:pos="7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Committee.</w:t>
      </w:r>
    </w:p>
    <w:p>
      <w:pPr>
        <w:spacing w:after="0" w:line="94" w:lineRule="exact"/>
        <w:rPr>
          <w:rFonts w:ascii="Times New Roman" w:cs="Times New Roman" w:eastAsia="Times New Roman" w:hAnsi="Times New Roman"/>
          <w:sz w:val="18"/>
          <w:szCs w:val="18"/>
          <w:color w:val="auto"/>
        </w:rPr>
      </w:pPr>
    </w:p>
    <w:p>
      <w:pPr>
        <w:ind w:left="460" w:right="20" w:firstLine="443"/>
        <w:spacing w:after="0" w:line="259" w:lineRule="auto"/>
        <w:tabs>
          <w:tab w:leader="none" w:pos="112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Notwithstanding any provisions in the Plan to the contrary, any portion of the payments and benefits provided under the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shares of Common Stock shall be subject to a clawback or other recovery by the Company to the extent necessary to comply with applicable law including, without limitation, the requirements of the Dodd-Frank Wall Street Reform and Consumer Protection Act of 2010 or any Securities and Exchange Commission rule. The Committee, in its discretion, may also specify clawback and/or recovery provisions in Award Agreements under the Plan.</w:t>
      </w:r>
    </w:p>
    <w:p>
      <w:pPr>
        <w:spacing w:after="0" w:line="71" w:lineRule="exact"/>
        <w:rPr>
          <w:rFonts w:ascii="Times New Roman" w:cs="Times New Roman" w:eastAsia="Times New Roman" w:hAnsi="Times New Roman"/>
          <w:sz w:val="18"/>
          <w:szCs w:val="18"/>
          <w:color w:val="auto"/>
        </w:rPr>
      </w:pPr>
    </w:p>
    <w:p>
      <w:pPr>
        <w:ind w:left="460" w:right="380" w:firstLine="443"/>
        <w:spacing w:after="0" w:line="262" w:lineRule="auto"/>
        <w:tabs>
          <w:tab w:leader="none" w:pos="115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of the Code</w:t>
      </w:r>
      <w:r>
        <w:rPr>
          <w:rFonts w:ascii="Times New Roman" w:cs="Times New Roman" w:eastAsia="Times New Roman" w:hAnsi="Times New Roman"/>
          <w:sz w:val="18"/>
          <w:szCs w:val="18"/>
          <w:color w:val="auto"/>
        </w:rPr>
        <w:t>. Plan provisions to the contrary notwithstanding, in the event an Award granted under the Plan is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of the Code, then (i) such Award shall be interpreted by the Committee to comply with Section 409A of the Code, and (ii) the Committee, in its discretion, may amend such Award, without a Participant’s consent, as necessary to avoid the imposition of additional taxes and interest under Section 409A of the Code.</w:t>
      </w:r>
    </w:p>
    <w:p>
      <w:pPr>
        <w:spacing w:after="0" w:line="68" w:lineRule="exact"/>
        <w:rPr>
          <w:rFonts w:ascii="Times New Roman" w:cs="Times New Roman" w:eastAsia="Times New Roman" w:hAnsi="Times New Roman"/>
          <w:sz w:val="18"/>
          <w:szCs w:val="18"/>
          <w:color w:val="auto"/>
        </w:rPr>
      </w:pPr>
    </w:p>
    <w:p>
      <w:pPr>
        <w:ind w:left="460" w:right="40" w:firstLine="443"/>
        <w:spacing w:after="0" w:line="259" w:lineRule="auto"/>
        <w:tabs>
          <w:tab w:leader="none" w:pos="115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Delayed Payment Restriction</w:t>
      </w:r>
      <w:r>
        <w:rPr>
          <w:rFonts w:ascii="Times New Roman" w:cs="Times New Roman" w:eastAsia="Times New Roman" w:hAnsi="Times New Roman"/>
          <w:sz w:val="18"/>
          <w:szCs w:val="18"/>
          <w:color w:val="auto"/>
        </w:rPr>
        <w:t>. Notwithstanding any provision in the Plan or an Award agreement to the contrary, if any payment or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under an Award would be subject to additional taxes and interest under section 409A of the Code if the Participant’s receipt of such payment or benefit is not delayed in accordance with the requirements of section 409A(a)(2)(B)(i) of the Code, then such payment or benefit shall not be provided to the Participant (or the Participant’s estate, if applicable) until the earlier of (i) the date of the Participant’s death or (ii) the date that is six months after the date of the Participant’s separation from service with the Company.</w:t>
      </w:r>
    </w:p>
    <w:p>
      <w:pPr>
        <w:spacing w:after="0" w:line="71" w:lineRule="exact"/>
        <w:rPr>
          <w:rFonts w:ascii="Times New Roman" w:cs="Times New Roman" w:eastAsia="Times New Roman" w:hAnsi="Times New Roman"/>
          <w:sz w:val="18"/>
          <w:szCs w:val="18"/>
          <w:color w:val="auto"/>
        </w:rPr>
      </w:pPr>
    </w:p>
    <w:p>
      <w:pPr>
        <w:ind w:left="460" w:firstLine="443"/>
        <w:spacing w:after="0" w:line="262" w:lineRule="auto"/>
        <w:tabs>
          <w:tab w:leader="none" w:pos="111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on Prior Plan</w:t>
      </w:r>
      <w:r>
        <w:rPr>
          <w:rFonts w:ascii="Times New Roman" w:cs="Times New Roman" w:eastAsia="Times New Roman" w:hAnsi="Times New Roman"/>
          <w:sz w:val="18"/>
          <w:szCs w:val="18"/>
          <w:color w:val="auto"/>
        </w:rPr>
        <w:t>. From and after the Effective Date, no further awards or grants will be made under the Prior Plan. The Prior Plan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continue in existence and operation following the Effective Date with respect to awards or grants outstanding under the Prior Plan. From and after the Effective Date, shares available for issuance under the Prior Plan will be subject to the provisions of Section V(a) of the Plan. The Prior Plan is hereby amended as necessary to effect the provisions of Section V(a) of the Plan.</w:t>
      </w:r>
    </w:p>
    <w:p>
      <w:pPr>
        <w:spacing w:after="0" w:line="68" w:lineRule="exact"/>
        <w:rPr>
          <w:rFonts w:ascii="Times New Roman" w:cs="Times New Roman" w:eastAsia="Times New Roman" w:hAnsi="Times New Roman"/>
          <w:sz w:val="18"/>
          <w:szCs w:val="18"/>
          <w:color w:val="auto"/>
        </w:rPr>
      </w:pPr>
    </w:p>
    <w:p>
      <w:pPr>
        <w:ind w:left="460" w:right="260" w:firstLine="443"/>
        <w:spacing w:after="0" w:line="286" w:lineRule="auto"/>
        <w:tabs>
          <w:tab w:leader="none" w:pos="1123"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The Plan shall be governed by, and construed in accordance with, the laws of the State of Texas, without regard to conflicts of laws principles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40"/>
          </w:cols>
          <w:pgMar w:left="240" w:top="45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-584835</wp:posOffset>
            </wp:positionV>
            <wp:extent cx="1252220" cy="4629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52220" cy="46291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1001 FANNIN STREET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SUITE 4000</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4" w:lineRule="exact"/>
        <w:rPr>
          <w:sz w:val="20"/>
          <w:szCs w:val="20"/>
          <w:color w:val="auto"/>
        </w:rPr>
      </w:pPr>
    </w:p>
    <w:p>
      <w:pPr>
        <w:jc w:val="both"/>
        <w:ind w:right="20"/>
        <w:spacing w:after="0" w:line="224"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May 12, 2014. Have your proxy card in hand when you access the web site and follow the instructions to obtain your records and to create an electronic voting instruction form.</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STOCKHOLDER COMMUNICATIONS</w:t>
      </w:r>
    </w:p>
    <w:p>
      <w:pPr>
        <w:spacing w:after="0" w:line="4" w:lineRule="exact"/>
        <w:rPr>
          <w:sz w:val="20"/>
          <w:szCs w:val="20"/>
          <w:color w:val="auto"/>
        </w:rPr>
      </w:pPr>
    </w:p>
    <w:p>
      <w:pPr>
        <w:jc w:val="both"/>
        <w:ind w:right="20"/>
        <w:spacing w:after="0" w:line="222" w:lineRule="auto"/>
        <w:rPr>
          <w:sz w:val="20"/>
          <w:szCs w:val="20"/>
          <w:color w:val="auto"/>
        </w:rPr>
      </w:pPr>
      <w:r>
        <w:rPr>
          <w:rFonts w:ascii="Arial" w:cs="Arial" w:eastAsia="Arial" w:hAnsi="Arial"/>
          <w:sz w:val="13"/>
          <w:szCs w:val="13"/>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Use any touch-tone telephone to transmit your voting instructions up until 11:59 P.M. Eastern Time on May 12, 2014. Have your proxy card in hand when you call and then follow the instructions.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Waste Management, Inc., c/o Broadridge, 51 Mercedes Way, Edgewood, NY 11717.</w:t>
      </w:r>
    </w:p>
    <w:p>
      <w:pPr>
        <w:spacing w:after="0" w:line="200" w:lineRule="exact"/>
        <w:rPr>
          <w:sz w:val="20"/>
          <w:szCs w:val="20"/>
          <w:color w:val="auto"/>
        </w:rPr>
      </w:pPr>
    </w:p>
    <w:p>
      <w:pPr>
        <w:sectPr>
          <w:pgSz w:w="11900" w:h="16838" w:orient="portrait"/>
          <w:cols w:equalWidth="0" w:num="2">
            <w:col w:w="5240" w:space="720"/>
            <w:col w:w="5480"/>
          </w:cols>
          <w:pgMar w:left="240" w:top="45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40" w:type="dxa"/>
            <w:vAlign w:val="bottom"/>
            <w:gridSpan w:val="5"/>
          </w:tcPr>
          <w:p>
            <w:pPr>
              <w:jc w:val="right"/>
              <w:ind w:right="225"/>
              <w:spacing w:after="0"/>
              <w:rPr>
                <w:sz w:val="20"/>
                <w:szCs w:val="20"/>
                <w:color w:val="auto"/>
              </w:rPr>
            </w:pPr>
            <w:r>
              <w:rPr>
                <w:rFonts w:ascii="Arial" w:cs="Arial" w:eastAsia="Arial" w:hAnsi="Arial"/>
                <w:sz w:val="13"/>
                <w:szCs w:val="13"/>
                <w:color w:val="auto"/>
                <w:w w:val="96"/>
              </w:rPr>
              <w:t>TO VOTE, MARK BLOCKS BELOW IN BLUE OR BLACK INK AS FOLLOWS:</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40" w:type="dxa"/>
            <w:vAlign w:val="bottom"/>
            <w:vMerge w:val="restart"/>
          </w:tcPr>
          <w:p>
            <w:pPr>
              <w:ind w:left="1280"/>
              <w:spacing w:after="0"/>
              <w:rPr>
                <w:sz w:val="20"/>
                <w:szCs w:val="20"/>
                <w:color w:val="auto"/>
              </w:rPr>
            </w:pPr>
            <w:r>
              <w:rPr>
                <w:rFonts w:ascii="Arial" w:cs="Arial" w:eastAsia="Arial" w:hAnsi="Arial"/>
                <w:sz w:val="13"/>
                <w:szCs w:val="13"/>
                <w:color w:val="auto"/>
              </w:rPr>
              <w:t>M66184-P47525</w:t>
            </w:r>
          </w:p>
        </w:tc>
        <w:tc>
          <w:tcPr>
            <w:tcW w:w="2920" w:type="dxa"/>
            <w:vAlign w:val="bottom"/>
            <w:gridSpan w:val="6"/>
            <w:vMerge w:val="restart"/>
          </w:tcPr>
          <w:p>
            <w:pPr>
              <w:jc w:val="center"/>
              <w:ind w:left="197"/>
              <w:spacing w:after="0"/>
              <w:rPr>
                <w:sz w:val="20"/>
                <w:szCs w:val="20"/>
                <w:color w:val="auto"/>
              </w:rPr>
            </w:pPr>
            <w:r>
              <w:rPr>
                <w:rFonts w:ascii="Arial" w:cs="Arial" w:eastAsia="Arial" w:hAnsi="Arial"/>
                <w:sz w:val="13"/>
                <w:szCs w:val="13"/>
                <w:color w:val="auto"/>
                <w:w w:val="96"/>
              </w:rPr>
              <w:t>KEEP THIS PORTION FOR YOUR RECORDS</w:t>
            </w:r>
          </w:p>
        </w:tc>
        <w:tc>
          <w:tcPr>
            <w:tcW w:w="0" w:type="dxa"/>
            <w:vAlign w:val="bottom"/>
          </w:tcPr>
          <w:p>
            <w:pPr>
              <w:spacing w:after="0"/>
              <w:rPr>
                <w:sz w:val="1"/>
                <w:szCs w:val="1"/>
                <w:color w:val="auto"/>
              </w:rPr>
            </w:pPr>
          </w:p>
        </w:tc>
      </w:tr>
      <w:tr>
        <w:trPr>
          <w:trHeight w:val="100"/>
        </w:trPr>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20" w:type="dxa"/>
            <w:vAlign w:val="bottom"/>
            <w:gridSpan w:val="13"/>
          </w:tcPr>
          <w:p>
            <w:pPr>
              <w:ind w:left="880"/>
              <w:spacing w:after="0"/>
              <w:rPr>
                <w:sz w:val="20"/>
                <w:szCs w:val="20"/>
                <w:color w:val="auto"/>
              </w:rPr>
            </w:pPr>
            <w:r>
              <w:rPr>
                <w:rFonts w:ascii="Arial" w:cs="Arial" w:eastAsia="Arial" w:hAnsi="Arial"/>
                <w:sz w:val="13"/>
                <w:szCs w:val="13"/>
                <w:color w:val="auto"/>
                <w:w w:val="97"/>
              </w:rPr>
              <w:t>— — — — — — — — — — — — — — — — — — — — — — — — — — — — — — — — — — — — — — — — — — — — — — — — — — — — — — — — — — — —</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700" w:type="dxa"/>
            <w:vAlign w:val="bottom"/>
            <w:gridSpan w:val="7"/>
            <w:vMerge w:val="restart"/>
          </w:tcPr>
          <w:p>
            <w:pPr>
              <w:ind w:left="24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20" w:type="dxa"/>
            <w:vAlign w:val="bottom"/>
            <w:gridSpan w:val="6"/>
          </w:tcPr>
          <w:p>
            <w:pPr>
              <w:jc w:val="center"/>
              <w:ind w:left="157"/>
              <w:spacing w:after="0"/>
              <w:rPr>
                <w:sz w:val="20"/>
                <w:szCs w:val="20"/>
                <w:color w:val="auto"/>
              </w:rPr>
            </w:pPr>
            <w:r>
              <w:rPr>
                <w:rFonts w:ascii="Arial" w:cs="Arial" w:eastAsia="Arial" w:hAnsi="Arial"/>
                <w:sz w:val="13"/>
                <w:szCs w:val="13"/>
                <w:color w:val="auto"/>
                <w:w w:val="95"/>
              </w:rPr>
              <w:t>DETACH AND RETURN THIS PORTION ONLY</w:t>
            </w: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700" w:type="dxa"/>
            <w:vAlign w:val="bottom"/>
            <w:tcBorders>
              <w:bottom w:val="single" w:sz="8" w:color="auto"/>
            </w:tcBorders>
            <w:gridSpan w:val="7"/>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40" w:type="dxa"/>
            <w:vAlign w:val="bottom"/>
            <w:tcBorders>
              <w:left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rPr>
              <w:t>WASTE MANAGEMENT, INC.</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0" w:type="dxa"/>
            <w:vAlign w:val="bottom"/>
            <w:tcBorders>
              <w:left w:val="single" w:sz="8" w:color="auto"/>
            </w:tcBorders>
          </w:tcPr>
          <w:p>
            <w:pPr>
              <w:spacing w:after="0"/>
              <w:rPr>
                <w:sz w:val="11"/>
                <w:szCs w:val="11"/>
                <w:color w:val="auto"/>
              </w:rPr>
            </w:pPr>
          </w:p>
        </w:tc>
        <w:tc>
          <w:tcPr>
            <w:tcW w:w="34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The Board of Directors recommends you vote FOR each</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400" w:type="dxa"/>
            <w:vAlign w:val="bottom"/>
            <w:tcBorders>
              <w:left w:val="single" w:sz="8" w:color="auto"/>
            </w:tcBorders>
          </w:tcPr>
          <w:p>
            <w:pPr>
              <w:spacing w:after="0"/>
              <w:rPr>
                <w:sz w:val="6"/>
                <w:szCs w:val="6"/>
                <w:color w:val="auto"/>
              </w:rPr>
            </w:pPr>
          </w:p>
        </w:tc>
        <w:tc>
          <w:tcPr>
            <w:tcW w:w="34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34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the nominees in item 1 and FOR proposals 2, 3 and 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0" w:type="dxa"/>
            <w:vAlign w:val="bottom"/>
            <w:tcBorders>
              <w:left w:val="single" w:sz="8" w:color="auto"/>
            </w:tcBorders>
          </w:tcPr>
          <w:p>
            <w:pPr>
              <w:spacing w:after="0"/>
              <w:rPr>
                <w:sz w:val="16"/>
                <w:szCs w:val="16"/>
                <w:color w:val="auto"/>
              </w:rPr>
            </w:pPr>
          </w:p>
        </w:tc>
        <w:tc>
          <w:tcPr>
            <w:tcW w:w="3440" w:type="dxa"/>
            <w:vAlign w:val="bottom"/>
            <w:gridSpan w:val="2"/>
          </w:tcPr>
          <w:p>
            <w:pPr>
              <w:ind w:left="20"/>
              <w:spacing w:after="0"/>
              <w:rPr>
                <w:sz w:val="20"/>
                <w:szCs w:val="20"/>
                <w:color w:val="auto"/>
              </w:rPr>
            </w:pPr>
            <w:r>
              <w:rPr>
                <w:rFonts w:ascii="Arial" w:cs="Arial" w:eastAsia="Arial" w:hAnsi="Arial"/>
                <w:sz w:val="11"/>
                <w:szCs w:val="11"/>
                <w:color w:val="auto"/>
              </w:rPr>
              <w:t>1.   Election of Directors</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3440" w:type="dxa"/>
            <w:vAlign w:val="bottom"/>
            <w:gridSpan w:val="2"/>
          </w:tcPr>
          <w:p>
            <w:pPr>
              <w:ind w:left="240"/>
              <w:spacing w:after="0"/>
              <w:rPr>
                <w:sz w:val="20"/>
                <w:szCs w:val="20"/>
                <w:color w:val="auto"/>
              </w:rPr>
            </w:pPr>
            <w:r>
              <w:rPr>
                <w:rFonts w:ascii="Arial" w:cs="Arial" w:eastAsia="Arial" w:hAnsi="Arial"/>
                <w:sz w:val="11"/>
                <w:szCs w:val="11"/>
                <w:b w:val="1"/>
                <w:bCs w:val="1"/>
                <w:color w:val="auto"/>
              </w:rPr>
              <w:t>Nominees</w:t>
            </w:r>
            <w:r>
              <w:rPr>
                <w:rFonts w:ascii="Arial" w:cs="Arial" w:eastAsia="Arial" w:hAnsi="Arial"/>
                <w:sz w:val="11"/>
                <w:szCs w:val="11"/>
                <w:color w:val="auto"/>
              </w:rPr>
              <w:t>:</w:t>
            </w: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rPr>
              <w:t>For</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Against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9"/>
              </w:rPr>
              <w:t>Abstain</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00" w:type="dxa"/>
            <w:vAlign w:val="bottom"/>
            <w:tcBorders>
              <w:left w:val="single" w:sz="8" w:color="auto"/>
            </w:tcBorders>
          </w:tcPr>
          <w:p>
            <w:pPr>
              <w:spacing w:after="0"/>
              <w:rPr>
                <w:sz w:val="19"/>
                <w:szCs w:val="19"/>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1a.</w:t>
            </w:r>
          </w:p>
        </w:tc>
        <w:tc>
          <w:tcPr>
            <w:tcW w:w="3020" w:type="dxa"/>
            <w:vAlign w:val="bottom"/>
          </w:tcPr>
          <w:p>
            <w:pPr>
              <w:ind w:left="60"/>
              <w:spacing w:after="0"/>
              <w:rPr>
                <w:sz w:val="20"/>
                <w:szCs w:val="20"/>
                <w:color w:val="auto"/>
              </w:rPr>
            </w:pPr>
            <w:r>
              <w:rPr>
                <w:rFonts w:ascii="Arial" w:cs="Arial" w:eastAsia="Arial" w:hAnsi="Arial"/>
                <w:sz w:val="11"/>
                <w:szCs w:val="11"/>
                <w:color w:val="auto"/>
              </w:rPr>
              <w:t>Bradbury H. Anderson</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4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72"/>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 w:type="dxa"/>
            <w:vAlign w:val="bottom"/>
            <w:tcBorders>
              <w:left w:val="single" w:sz="8" w:color="auto"/>
            </w:tcBorders>
          </w:tcPr>
          <w:p>
            <w:pPr>
              <w:spacing w:after="0"/>
              <w:rPr>
                <w:sz w:val="23"/>
                <w:szCs w:val="23"/>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1b.</w:t>
            </w:r>
          </w:p>
        </w:tc>
        <w:tc>
          <w:tcPr>
            <w:tcW w:w="3020" w:type="dxa"/>
            <w:vAlign w:val="bottom"/>
          </w:tcPr>
          <w:p>
            <w:pPr>
              <w:ind w:left="60"/>
              <w:spacing w:after="0"/>
              <w:rPr>
                <w:sz w:val="20"/>
                <w:szCs w:val="20"/>
                <w:color w:val="auto"/>
              </w:rPr>
            </w:pPr>
            <w:r>
              <w:rPr>
                <w:rFonts w:ascii="Arial" w:cs="Arial" w:eastAsia="Arial" w:hAnsi="Arial"/>
                <w:sz w:val="11"/>
                <w:szCs w:val="11"/>
                <w:color w:val="auto"/>
              </w:rPr>
              <w:t>Frank M. Clark, Jr.</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4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72"/>
              </w:rPr>
              <w:t>☐</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For</w:t>
            </w:r>
          </w:p>
        </w:tc>
        <w:tc>
          <w:tcPr>
            <w:tcW w:w="460" w:type="dxa"/>
            <w:vAlign w:val="bottom"/>
            <w:vMerge w:val="restart"/>
          </w:tcPr>
          <w:p>
            <w:pPr>
              <w:jc w:val="center"/>
              <w:ind w:left="6"/>
              <w:spacing w:after="0"/>
              <w:rPr>
                <w:sz w:val="20"/>
                <w:szCs w:val="20"/>
                <w:color w:val="auto"/>
              </w:rPr>
            </w:pPr>
            <w:r>
              <w:rPr>
                <w:rFonts w:ascii="Arial" w:cs="Arial" w:eastAsia="Arial" w:hAnsi="Arial"/>
                <w:sz w:val="11"/>
                <w:szCs w:val="11"/>
                <w:b w:val="1"/>
                <w:bCs w:val="1"/>
                <w:color w:val="auto"/>
                <w:w w:val="99"/>
              </w:rPr>
              <w:t>Against</w:t>
            </w:r>
          </w:p>
        </w:tc>
        <w:tc>
          <w:tcPr>
            <w:tcW w:w="700" w:type="dxa"/>
            <w:vAlign w:val="bottom"/>
            <w:tcBorders>
              <w:right w:val="single" w:sz="8" w:color="auto"/>
            </w:tcBorders>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99"/>
              </w:rPr>
              <w:t>Abstain</w:t>
            </w: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7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0" w:type="dxa"/>
            <w:vAlign w:val="bottom"/>
            <w:tcBorders>
              <w:left w:val="single" w:sz="8" w:color="auto"/>
            </w:tcBorders>
          </w:tcPr>
          <w:p>
            <w:pPr>
              <w:spacing w:after="0"/>
              <w:rPr>
                <w:sz w:val="16"/>
                <w:szCs w:val="16"/>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1c.</w:t>
            </w:r>
          </w:p>
        </w:tc>
        <w:tc>
          <w:tcPr>
            <w:tcW w:w="3020" w:type="dxa"/>
            <w:vAlign w:val="bottom"/>
          </w:tcPr>
          <w:p>
            <w:pPr>
              <w:ind w:left="60"/>
              <w:spacing w:after="0"/>
              <w:rPr>
                <w:sz w:val="20"/>
                <w:szCs w:val="20"/>
                <w:color w:val="auto"/>
              </w:rPr>
            </w:pPr>
            <w:r>
              <w:rPr>
                <w:rFonts w:ascii="Arial" w:cs="Arial" w:eastAsia="Arial" w:hAnsi="Arial"/>
                <w:sz w:val="11"/>
                <w:szCs w:val="11"/>
                <w:color w:val="auto"/>
              </w:rPr>
              <w:t>Patrick W. Gross</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4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72"/>
              </w:rPr>
              <w:t>☐</w:t>
            </w:r>
          </w:p>
        </w:tc>
        <w:tc>
          <w:tcPr>
            <w:tcW w:w="4660" w:type="dxa"/>
            <w:vAlign w:val="bottom"/>
            <w:gridSpan w:val="5"/>
          </w:tcPr>
          <w:p>
            <w:pPr>
              <w:ind w:left="140"/>
              <w:spacing w:after="0"/>
              <w:rPr>
                <w:sz w:val="20"/>
                <w:szCs w:val="20"/>
                <w:color w:val="auto"/>
              </w:rPr>
            </w:pPr>
            <w:r>
              <w:rPr>
                <w:rFonts w:ascii="Arial" w:cs="Arial" w:eastAsia="Arial" w:hAnsi="Arial"/>
                <w:sz w:val="11"/>
                <w:szCs w:val="11"/>
                <w:color w:val="auto"/>
              </w:rPr>
              <w:t>2.  Ratification of the appointment of Ernst &amp; Young, LLP as the independent</w:t>
            </w:r>
          </w:p>
        </w:tc>
        <w:tc>
          <w:tcPr>
            <w:tcW w:w="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Borders>
              <w:right w:val="single" w:sz="8" w:color="auto"/>
            </w:tcBorders>
            <w:gridSpan w:val="2"/>
          </w:tcPr>
          <w:p>
            <w:pPr>
              <w:jc w:val="center"/>
              <w:ind w:righ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46"/>
        </w:trPr>
        <w:tc>
          <w:tcPr>
            <w:tcW w:w="40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gridSpan w:val="2"/>
          </w:tcPr>
          <w:p>
            <w:pPr>
              <w:ind w:left="100"/>
              <w:spacing w:after="0"/>
              <w:rPr>
                <w:sz w:val="20"/>
                <w:szCs w:val="20"/>
                <w:color w:val="auto"/>
              </w:rPr>
            </w:pPr>
            <w:r>
              <w:rPr>
                <w:rFonts w:ascii="Arial" w:cs="Arial" w:eastAsia="Arial" w:hAnsi="Arial"/>
                <w:sz w:val="11"/>
                <w:szCs w:val="11"/>
                <w:color w:val="auto"/>
              </w:rPr>
              <w:t>registered public accounting firm for 2014.</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400" w:type="dxa"/>
            <w:vAlign w:val="bottom"/>
            <w:tcBorders>
              <w:left w:val="single" w:sz="8" w:color="auto"/>
            </w:tcBorders>
          </w:tcPr>
          <w:p>
            <w:pPr>
              <w:spacing w:after="0"/>
              <w:rPr>
                <w:sz w:val="22"/>
                <w:szCs w:val="22"/>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1d.</w:t>
            </w:r>
          </w:p>
        </w:tc>
        <w:tc>
          <w:tcPr>
            <w:tcW w:w="3020" w:type="dxa"/>
            <w:vAlign w:val="bottom"/>
          </w:tcPr>
          <w:p>
            <w:pPr>
              <w:ind w:left="60"/>
              <w:spacing w:after="0"/>
              <w:rPr>
                <w:sz w:val="20"/>
                <w:szCs w:val="20"/>
                <w:color w:val="auto"/>
              </w:rPr>
            </w:pPr>
            <w:r>
              <w:rPr>
                <w:rFonts w:ascii="Arial" w:cs="Arial" w:eastAsia="Arial" w:hAnsi="Arial"/>
                <w:sz w:val="11"/>
                <w:szCs w:val="11"/>
                <w:color w:val="auto"/>
              </w:rPr>
              <w:t>Victoria M. Holt</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4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72"/>
              </w:rPr>
              <w:t>☐</w:t>
            </w:r>
          </w:p>
        </w:tc>
        <w:tc>
          <w:tcPr>
            <w:tcW w:w="3240" w:type="dxa"/>
            <w:vAlign w:val="bottom"/>
            <w:gridSpan w:val="3"/>
          </w:tcPr>
          <w:p>
            <w:pPr>
              <w:ind w:left="140"/>
              <w:spacing w:after="0"/>
              <w:rPr>
                <w:sz w:val="20"/>
                <w:szCs w:val="20"/>
                <w:color w:val="auto"/>
              </w:rPr>
            </w:pPr>
            <w:r>
              <w:rPr>
                <w:rFonts w:ascii="Arial" w:cs="Arial" w:eastAsia="Arial" w:hAnsi="Arial"/>
                <w:sz w:val="11"/>
                <w:szCs w:val="11"/>
                <w:color w:val="auto"/>
              </w:rPr>
              <w:t>3.  Approval of our executive compensation.</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Borders>
              <w:right w:val="single" w:sz="8" w:color="auto"/>
            </w:tcBorders>
            <w:gridSpan w:val="2"/>
          </w:tcPr>
          <w:p>
            <w:pPr>
              <w:jc w:val="center"/>
              <w:ind w:righ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70"/>
        </w:trPr>
        <w:tc>
          <w:tcPr>
            <w:tcW w:w="400" w:type="dxa"/>
            <w:vAlign w:val="bottom"/>
            <w:tcBorders>
              <w:left w:val="single" w:sz="8" w:color="auto"/>
            </w:tcBorders>
          </w:tcPr>
          <w:p>
            <w:pPr>
              <w:spacing w:after="0"/>
              <w:rPr>
                <w:sz w:val="23"/>
                <w:szCs w:val="23"/>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1e.</w:t>
            </w:r>
          </w:p>
        </w:tc>
        <w:tc>
          <w:tcPr>
            <w:tcW w:w="3020" w:type="dxa"/>
            <w:vAlign w:val="bottom"/>
          </w:tcPr>
          <w:p>
            <w:pPr>
              <w:ind w:left="60"/>
              <w:spacing w:after="0"/>
              <w:rPr>
                <w:sz w:val="20"/>
                <w:szCs w:val="20"/>
                <w:color w:val="auto"/>
              </w:rPr>
            </w:pPr>
            <w:r>
              <w:rPr>
                <w:rFonts w:ascii="Arial" w:cs="Arial" w:eastAsia="Arial" w:hAnsi="Arial"/>
                <w:sz w:val="11"/>
                <w:szCs w:val="11"/>
                <w:color w:val="auto"/>
              </w:rPr>
              <w:t>John C. Pope</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4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72"/>
              </w:rPr>
              <w:t>☐</w:t>
            </w:r>
          </w:p>
        </w:tc>
        <w:tc>
          <w:tcPr>
            <w:tcW w:w="3240" w:type="dxa"/>
            <w:vAlign w:val="bottom"/>
            <w:gridSpan w:val="3"/>
          </w:tcPr>
          <w:p>
            <w:pPr>
              <w:ind w:left="140"/>
              <w:spacing w:after="0"/>
              <w:rPr>
                <w:sz w:val="20"/>
                <w:szCs w:val="20"/>
                <w:color w:val="auto"/>
              </w:rPr>
            </w:pPr>
            <w:r>
              <w:rPr>
                <w:rFonts w:ascii="Arial" w:cs="Arial" w:eastAsia="Arial" w:hAnsi="Arial"/>
                <w:sz w:val="11"/>
                <w:szCs w:val="11"/>
                <w:color w:val="auto"/>
              </w:rPr>
              <w:t>4.  Approval of our 2014 Stock Incentive Plan.</w:t>
            </w: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Borders>
              <w:right w:val="single" w:sz="8" w:color="auto"/>
            </w:tcBorders>
            <w:gridSpan w:val="2"/>
          </w:tcPr>
          <w:p>
            <w:pPr>
              <w:jc w:val="center"/>
              <w:ind w:righ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1f.</w:t>
            </w:r>
          </w:p>
        </w:tc>
        <w:tc>
          <w:tcPr>
            <w:tcW w:w="3020" w:type="dxa"/>
            <w:vAlign w:val="bottom"/>
          </w:tcPr>
          <w:p>
            <w:pPr>
              <w:ind w:left="40"/>
              <w:spacing w:after="0"/>
              <w:rPr>
                <w:sz w:val="20"/>
                <w:szCs w:val="20"/>
                <w:color w:val="auto"/>
              </w:rPr>
            </w:pPr>
            <w:r>
              <w:rPr>
                <w:rFonts w:ascii="Arial" w:cs="Arial" w:eastAsia="Arial" w:hAnsi="Arial"/>
                <w:sz w:val="11"/>
                <w:szCs w:val="11"/>
                <w:color w:val="auto"/>
              </w:rPr>
              <w:t>W. Robert Reum</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4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72"/>
              </w:rPr>
              <w:t>☐</w:t>
            </w:r>
          </w:p>
        </w:tc>
        <w:tc>
          <w:tcPr>
            <w:tcW w:w="3240" w:type="dxa"/>
            <w:vAlign w:val="bottom"/>
            <w:gridSpan w:val="3"/>
          </w:tcPr>
          <w:p>
            <w:pPr>
              <w:ind w:left="140"/>
              <w:spacing w:after="0"/>
              <w:rPr>
                <w:sz w:val="20"/>
                <w:szCs w:val="20"/>
                <w:color w:val="auto"/>
              </w:rPr>
            </w:pPr>
            <w:r>
              <w:rPr>
                <w:rFonts w:ascii="Arial" w:cs="Arial" w:eastAsia="Arial" w:hAnsi="Arial"/>
                <w:sz w:val="11"/>
                <w:szCs w:val="11"/>
                <w:b w:val="1"/>
                <w:bCs w:val="1"/>
                <w:color w:val="auto"/>
              </w:rPr>
              <w:t>The Board of Directors recommends you vote AGAINST</w:t>
            </w: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00" w:type="dxa"/>
            <w:vAlign w:val="bottom"/>
            <w:tcBorders>
              <w:lef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40" w:type="dxa"/>
            <w:vAlign w:val="bottom"/>
            <w:gridSpan w:val="3"/>
          </w:tcPr>
          <w:p>
            <w:pPr>
              <w:ind w:left="140"/>
              <w:spacing w:after="0"/>
              <w:rPr>
                <w:sz w:val="20"/>
                <w:szCs w:val="20"/>
                <w:color w:val="auto"/>
              </w:rPr>
            </w:pPr>
            <w:r>
              <w:rPr>
                <w:rFonts w:ascii="Arial" w:cs="Arial" w:eastAsia="Arial" w:hAnsi="Arial"/>
                <w:sz w:val="11"/>
                <w:szCs w:val="11"/>
                <w:b w:val="1"/>
                <w:bCs w:val="1"/>
                <w:color w:val="auto"/>
              </w:rPr>
              <w:t>proposal 5:</w:t>
            </w: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0" w:type="dxa"/>
            <w:vAlign w:val="bottom"/>
            <w:tcBorders>
              <w:left w:val="single" w:sz="8" w:color="auto"/>
            </w:tcBorders>
          </w:tcPr>
          <w:p>
            <w:pPr>
              <w:spacing w:after="0"/>
              <w:rPr>
                <w:sz w:val="14"/>
                <w:szCs w:val="14"/>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1g.</w:t>
            </w:r>
          </w:p>
        </w:tc>
        <w:tc>
          <w:tcPr>
            <w:tcW w:w="3020" w:type="dxa"/>
            <w:vAlign w:val="bottom"/>
          </w:tcPr>
          <w:p>
            <w:pPr>
              <w:ind w:left="60"/>
              <w:spacing w:after="0"/>
              <w:rPr>
                <w:sz w:val="20"/>
                <w:szCs w:val="20"/>
                <w:color w:val="auto"/>
              </w:rPr>
            </w:pPr>
            <w:r>
              <w:rPr>
                <w:rFonts w:ascii="Arial" w:cs="Arial" w:eastAsia="Arial" w:hAnsi="Arial"/>
                <w:sz w:val="11"/>
                <w:szCs w:val="11"/>
                <w:color w:val="auto"/>
              </w:rPr>
              <w:t>David P. Steiner</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4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72"/>
              </w:rPr>
              <w:t>☐</w:t>
            </w:r>
          </w:p>
        </w:tc>
        <w:tc>
          <w:tcPr>
            <w:tcW w:w="4660" w:type="dxa"/>
            <w:vAlign w:val="bottom"/>
            <w:gridSpan w:val="5"/>
          </w:tcPr>
          <w:p>
            <w:pPr>
              <w:ind w:left="140"/>
              <w:spacing w:after="0"/>
              <w:rPr>
                <w:sz w:val="20"/>
                <w:szCs w:val="20"/>
                <w:color w:val="auto"/>
              </w:rPr>
            </w:pPr>
            <w:r>
              <w:rPr>
                <w:rFonts w:ascii="Arial" w:cs="Arial" w:eastAsia="Arial" w:hAnsi="Arial"/>
                <w:sz w:val="11"/>
                <w:szCs w:val="11"/>
                <w:color w:val="auto"/>
              </w:rPr>
              <w:t>5.  Stockholder proposal regarding disclosure of political contributions, if properly presented</w:t>
            </w:r>
          </w:p>
        </w:tc>
        <w:tc>
          <w:tcPr>
            <w:tcW w:w="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Borders>
              <w:right w:val="single" w:sz="8" w:color="auto"/>
            </w:tcBorders>
            <w:gridSpan w:val="2"/>
          </w:tcPr>
          <w:p>
            <w:pPr>
              <w:jc w:val="center"/>
              <w:ind w:righ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46"/>
        </w:trPr>
        <w:tc>
          <w:tcPr>
            <w:tcW w:w="40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gridSpan w:val="2"/>
          </w:tcPr>
          <w:p>
            <w:pPr>
              <w:ind w:left="100"/>
              <w:spacing w:after="0"/>
              <w:rPr>
                <w:sz w:val="20"/>
                <w:szCs w:val="20"/>
                <w:color w:val="auto"/>
              </w:rPr>
            </w:pPr>
            <w:r>
              <w:rPr>
                <w:rFonts w:ascii="Arial" w:cs="Arial" w:eastAsia="Arial" w:hAnsi="Arial"/>
                <w:sz w:val="11"/>
                <w:szCs w:val="11"/>
                <w:color w:val="auto"/>
              </w:rPr>
              <w:t>at the meeting.</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400" w:type="dxa"/>
            <w:vAlign w:val="bottom"/>
            <w:tcBorders>
              <w:left w:val="single" w:sz="8" w:color="auto"/>
            </w:tcBorders>
          </w:tcPr>
          <w:p>
            <w:pPr>
              <w:spacing w:after="0"/>
              <w:rPr>
                <w:sz w:val="22"/>
                <w:szCs w:val="22"/>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1h.</w:t>
            </w:r>
          </w:p>
        </w:tc>
        <w:tc>
          <w:tcPr>
            <w:tcW w:w="3020" w:type="dxa"/>
            <w:vAlign w:val="bottom"/>
          </w:tcPr>
          <w:p>
            <w:pPr>
              <w:ind w:left="60"/>
              <w:spacing w:after="0"/>
              <w:rPr>
                <w:sz w:val="20"/>
                <w:szCs w:val="20"/>
                <w:color w:val="auto"/>
              </w:rPr>
            </w:pPr>
            <w:r>
              <w:rPr>
                <w:rFonts w:ascii="Arial" w:cs="Arial" w:eastAsia="Arial" w:hAnsi="Arial"/>
                <w:sz w:val="11"/>
                <w:szCs w:val="11"/>
                <w:color w:val="auto"/>
              </w:rPr>
              <w:t>Thomas H. Weidemeyer</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4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72"/>
              </w:rPr>
              <w:t>☐</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400" w:type="dxa"/>
            <w:vAlign w:val="bottom"/>
            <w:tcBorders>
              <w:left w:val="single" w:sz="8" w:color="auto"/>
            </w:tcBorders>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Arial" w:cs="Arial" w:eastAsia="Arial" w:hAnsi="Arial"/>
                <w:sz w:val="11"/>
                <w:szCs w:val="11"/>
                <w:color w:val="auto"/>
              </w:rPr>
              <w:t>For address changes and/or comments, please check this box and</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72"/>
              </w:rPr>
              <w: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0" w:type="dxa"/>
            <w:vAlign w:val="bottom"/>
            <w:tcBorders>
              <w:left w:val="single" w:sz="8" w:color="auto"/>
            </w:tcBorders>
          </w:tcPr>
          <w:p>
            <w:pPr>
              <w:spacing w:after="0"/>
              <w:rPr>
                <w:sz w:val="12"/>
                <w:szCs w:val="12"/>
                <w:color w:val="auto"/>
              </w:rPr>
            </w:pPr>
          </w:p>
        </w:tc>
        <w:tc>
          <w:tcPr>
            <w:tcW w:w="3440" w:type="dxa"/>
            <w:vAlign w:val="bottom"/>
            <w:gridSpan w:val="2"/>
          </w:tcPr>
          <w:p>
            <w:pPr>
              <w:ind w:left="80"/>
              <w:spacing w:after="0"/>
              <w:rPr>
                <w:sz w:val="20"/>
                <w:szCs w:val="20"/>
                <w:color w:val="auto"/>
              </w:rPr>
            </w:pPr>
            <w:r>
              <w:rPr>
                <w:rFonts w:ascii="Arial" w:cs="Arial" w:eastAsia="Arial" w:hAnsi="Arial"/>
                <w:sz w:val="11"/>
                <w:szCs w:val="11"/>
                <w:color w:val="auto"/>
              </w:rPr>
              <w:t>write them on the back where indicated.</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vMerge w:val="restart"/>
          </w:tcPr>
          <w:p>
            <w:pPr>
              <w:jc w:val="center"/>
              <w:ind w:left="6"/>
              <w:spacing w:after="0"/>
              <w:rPr>
                <w:sz w:val="20"/>
                <w:szCs w:val="20"/>
                <w:color w:val="auto"/>
              </w:rPr>
            </w:pPr>
            <w:r>
              <w:rPr>
                <w:rFonts w:ascii="Arial" w:cs="Arial" w:eastAsia="Arial" w:hAnsi="Arial"/>
                <w:sz w:val="11"/>
                <w:szCs w:val="11"/>
                <w:b w:val="1"/>
                <w:bCs w:val="1"/>
                <w:color w:val="auto"/>
              </w:rPr>
              <w:t>Yes</w:t>
            </w:r>
          </w:p>
        </w:tc>
        <w:tc>
          <w:tcPr>
            <w:tcW w:w="460" w:type="dxa"/>
            <w:vAlign w:val="bottom"/>
            <w:vMerge w:val="restart"/>
          </w:tcPr>
          <w:p>
            <w:pPr>
              <w:jc w:val="center"/>
              <w:ind w:left="26"/>
              <w:spacing w:after="0"/>
              <w:rPr>
                <w:sz w:val="20"/>
                <w:szCs w:val="20"/>
                <w:color w:val="auto"/>
              </w:rPr>
            </w:pPr>
            <w:r>
              <w:rPr>
                <w:rFonts w:ascii="Arial" w:cs="Arial" w:eastAsia="Arial" w:hAnsi="Arial"/>
                <w:sz w:val="11"/>
                <w:szCs w:val="11"/>
                <w:b w:val="1"/>
                <w:bCs w:val="1"/>
                <w:color w:val="auto"/>
                <w:w w:val="95"/>
              </w:rPr>
              <w:t>No</w:t>
            </w:r>
          </w:p>
        </w:tc>
        <w:tc>
          <w:tcPr>
            <w:tcW w:w="5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0" w:type="dxa"/>
            <w:vAlign w:val="bottom"/>
            <w:tcBorders>
              <w:lef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40" w:type="dxa"/>
            <w:vAlign w:val="bottom"/>
            <w:gridSpan w:val="3"/>
          </w:tcPr>
          <w:p>
            <w:pPr>
              <w:ind w:left="140"/>
              <w:spacing w:after="0"/>
              <w:rPr>
                <w:sz w:val="20"/>
                <w:szCs w:val="20"/>
                <w:color w:val="auto"/>
              </w:rPr>
            </w:pPr>
            <w:r>
              <w:rPr>
                <w:rFonts w:ascii="Arial" w:cs="Arial" w:eastAsia="Arial" w:hAnsi="Arial"/>
                <w:sz w:val="11"/>
                <w:szCs w:val="11"/>
                <w:color w:val="auto"/>
              </w:rPr>
              <w:t>Please indicate if you plan to attend this meeting.</w:t>
            </w: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72"/>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4880" w:type="dxa"/>
            <w:vAlign w:val="bottom"/>
            <w:gridSpan w:val="5"/>
          </w:tcPr>
          <w:p>
            <w:pPr>
              <w:ind w:left="80"/>
              <w:spacing w:after="0"/>
              <w:rPr>
                <w:sz w:val="20"/>
                <w:szCs w:val="20"/>
                <w:color w:val="auto"/>
              </w:rPr>
            </w:pPr>
            <w:r>
              <w:rPr>
                <w:rFonts w:ascii="Arial" w:cs="Arial" w:eastAsia="Arial" w:hAnsi="Arial"/>
                <w:sz w:val="11"/>
                <w:szCs w:val="11"/>
                <w:color w:val="auto"/>
              </w:rPr>
              <w:t>The shares represented by this proxy, when properly executed, will be voted in the manner</w:t>
            </w:r>
          </w:p>
        </w:tc>
        <w:tc>
          <w:tcPr>
            <w:tcW w:w="5000" w:type="dxa"/>
            <w:vAlign w:val="bottom"/>
            <w:gridSpan w:val="6"/>
          </w:tcPr>
          <w:p>
            <w:pPr>
              <w:ind w:left="140"/>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In their discretion, upon such other matters that may properly come before the meeting or</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4880" w:type="dxa"/>
            <w:vAlign w:val="bottom"/>
            <w:gridSpan w:val="5"/>
          </w:tcPr>
          <w:p>
            <w:pPr>
              <w:ind w:left="80"/>
              <w:spacing w:after="0" w:line="122" w:lineRule="exact"/>
              <w:rPr>
                <w:sz w:val="20"/>
                <w:szCs w:val="20"/>
                <w:color w:val="auto"/>
              </w:rPr>
            </w:pPr>
            <w:r>
              <w:rPr>
                <w:rFonts w:ascii="Arial" w:cs="Arial" w:eastAsia="Arial" w:hAnsi="Arial"/>
                <w:sz w:val="11"/>
                <w:szCs w:val="11"/>
                <w:color w:val="auto"/>
              </w:rPr>
              <w:t>directed herein by the undersigned stockholder(s). If no direction is made, this proxy will be voted</w:t>
            </w:r>
          </w:p>
        </w:tc>
        <w:tc>
          <w:tcPr>
            <w:tcW w:w="324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any adjournment or adjournments thereof.</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4880" w:type="dxa"/>
            <w:vAlign w:val="bottom"/>
            <w:gridSpan w:val="5"/>
          </w:tcPr>
          <w:p>
            <w:pPr>
              <w:ind w:left="80"/>
              <w:spacing w:after="0" w:line="122" w:lineRule="exact"/>
              <w:rPr>
                <w:sz w:val="20"/>
                <w:szCs w:val="20"/>
                <w:color w:val="auto"/>
              </w:rPr>
            </w:pPr>
            <w:r>
              <w:rPr>
                <w:rFonts w:ascii="Arial" w:cs="Arial" w:eastAsia="Arial" w:hAnsi="Arial"/>
                <w:sz w:val="11"/>
                <w:szCs w:val="11"/>
                <w:color w:val="auto"/>
              </w:rPr>
              <w:t>FOR each of the nominees in item 1, FOR proposals 2, 3 and 4, and AGAINST proposal 5. If any</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4880" w:type="dxa"/>
            <w:vAlign w:val="bottom"/>
            <w:gridSpan w:val="5"/>
          </w:tcPr>
          <w:p>
            <w:pPr>
              <w:ind w:left="80"/>
              <w:spacing w:after="0" w:line="122" w:lineRule="exact"/>
              <w:rPr>
                <w:sz w:val="20"/>
                <w:szCs w:val="20"/>
                <w:color w:val="auto"/>
              </w:rPr>
            </w:pPr>
            <w:r>
              <w:rPr>
                <w:rFonts w:ascii="Arial" w:cs="Arial" w:eastAsia="Arial" w:hAnsi="Arial"/>
                <w:sz w:val="11"/>
                <w:szCs w:val="11"/>
                <w:color w:val="auto"/>
              </w:rPr>
              <w:t>other matters properly come before the meeting, the persons named in this proxy will vote in their</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0" w:type="dxa"/>
            <w:vAlign w:val="bottom"/>
            <w:tcBorders>
              <w:left w:val="single" w:sz="8" w:color="auto"/>
            </w:tcBorders>
          </w:tcPr>
          <w:p>
            <w:pPr>
              <w:spacing w:after="0"/>
              <w:rPr>
                <w:sz w:val="12"/>
                <w:szCs w:val="12"/>
                <w:color w:val="auto"/>
              </w:rPr>
            </w:pPr>
          </w:p>
        </w:tc>
        <w:tc>
          <w:tcPr>
            <w:tcW w:w="3440" w:type="dxa"/>
            <w:vAlign w:val="bottom"/>
            <w:gridSpan w:val="2"/>
          </w:tcPr>
          <w:p>
            <w:pPr>
              <w:ind w:left="80"/>
              <w:spacing w:after="0"/>
              <w:rPr>
                <w:sz w:val="20"/>
                <w:szCs w:val="20"/>
                <w:color w:val="auto"/>
              </w:rPr>
            </w:pPr>
            <w:r>
              <w:rPr>
                <w:rFonts w:ascii="Arial" w:cs="Arial" w:eastAsia="Arial" w:hAnsi="Arial"/>
                <w:sz w:val="11"/>
                <w:szCs w:val="11"/>
                <w:color w:val="auto"/>
              </w:rPr>
              <w:t>discretion.</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00" w:type="dxa"/>
            <w:vAlign w:val="bottom"/>
            <w:tcBorders>
              <w:left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400" w:type="dxa"/>
            <w:vAlign w:val="bottom"/>
            <w:tcBorders>
              <w:left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00" w:type="dxa"/>
            <w:vAlign w:val="bottom"/>
            <w:tcBorders>
              <w:left w:val="single" w:sz="8" w:color="auto"/>
              <w:bottom w:val="single" w:sz="8" w:color="auto"/>
            </w:tcBorders>
          </w:tcPr>
          <w:p>
            <w:pPr>
              <w:spacing w:after="0"/>
              <w:rPr>
                <w:sz w:val="13"/>
                <w:szCs w:val="13"/>
                <w:color w:val="auto"/>
              </w:rPr>
            </w:pPr>
          </w:p>
        </w:tc>
        <w:tc>
          <w:tcPr>
            <w:tcW w:w="3440" w:type="dxa"/>
            <w:vAlign w:val="bottom"/>
            <w:tcBorders>
              <w:bottom w:val="single" w:sz="8" w:color="auto"/>
            </w:tcBorders>
            <w:gridSpan w:val="2"/>
          </w:tcPr>
          <w:p>
            <w:pPr>
              <w:ind w:left="80"/>
              <w:spacing w:after="0" w:line="135" w:lineRule="exact"/>
              <w:rPr>
                <w:sz w:val="20"/>
                <w:szCs w:val="20"/>
                <w:color w:val="auto"/>
              </w:rPr>
            </w:pPr>
            <w:r>
              <w:rPr>
                <w:rFonts w:ascii="Arial" w:cs="Arial" w:eastAsia="Arial" w:hAnsi="Arial"/>
                <w:sz w:val="13"/>
                <w:szCs w:val="13"/>
                <w:color w:val="auto"/>
              </w:rPr>
              <w:t>Signature [PLEASE SIGN WITHIN BOX]</w:t>
            </w: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5"/>
              <w:spacing w:after="0" w:line="135" w:lineRule="exact"/>
              <w:rPr>
                <w:sz w:val="20"/>
                <w:szCs w:val="20"/>
                <w:color w:val="auto"/>
              </w:rPr>
            </w:pPr>
            <w:r>
              <w:rPr>
                <w:rFonts w:ascii="Arial" w:cs="Arial" w:eastAsia="Arial" w:hAnsi="Arial"/>
                <w:sz w:val="13"/>
                <w:szCs w:val="13"/>
                <w:color w:val="auto"/>
              </w:rPr>
              <w:t>Date</w:t>
            </w: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Signature (Joint Owners)</w:t>
            </w: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3"/>
                <w:szCs w:val="13"/>
                <w:color w:val="auto"/>
              </w:rPr>
              <w:t>Date</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5" w:right="21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Combined Proxy Statement and Annual Report on Form 10-K for the year ended December 31, 2013 is</w:t>
      </w:r>
    </w:p>
    <w:p>
      <w:pPr>
        <w:jc w:val="center"/>
        <w:spacing w:after="0"/>
        <w:rPr>
          <w:sz w:val="20"/>
          <w:szCs w:val="20"/>
          <w:color w:val="auto"/>
        </w:rPr>
      </w:pPr>
      <w:r>
        <w:rPr>
          <w:rFonts w:ascii="Arial" w:cs="Arial" w:eastAsia="Arial" w:hAnsi="Arial"/>
          <w:sz w:val="18"/>
          <w:szCs w:val="18"/>
          <w:color w:val="auto"/>
        </w:rPr>
        <w:t>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left="720"/>
        <w:spacing w:after="0" w:line="336" w:lineRule="auto"/>
        <w:rPr>
          <w:sz w:val="20"/>
          <w:szCs w:val="20"/>
          <w:color w:val="auto"/>
        </w:rPr>
      </w:pPr>
      <w:r>
        <w:rPr>
          <w:rFonts w:ascii="Arial" w:cs="Arial" w:eastAsia="Arial" w:hAnsi="Arial"/>
          <w:sz w:val="13"/>
          <w:szCs w:val="13"/>
          <w:color w:val="auto"/>
        </w:rPr>
        <w:t>— — — — — — — — — — — — — — — — — — — — — — — — — — — — — — — — — — — — — — — — — — — — — — — — — — — — — — — — — — — — — — — — — — M66185-P47525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263765" cy="3601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3601720"/>
                    </a:xfrm>
                    <a:prstGeom prst="rect">
                      <a:avLst/>
                    </a:prstGeom>
                    <a:noFill/>
                  </pic:spPr>
                </pic:pic>
              </a:graphicData>
            </a:graphic>
          </wp:anchor>
        </w:drawing>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WASTE MANAGEMENT, INC.</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Meeting of Stockholders - May 13, 2014 at 11:00 A.M.</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THIS PROXY IS SOLICITED BY THE BOARD OF DIRECTORS</w:t>
      </w:r>
    </w:p>
    <w:p>
      <w:pPr>
        <w:spacing w:after="0" w:line="203" w:lineRule="exact"/>
        <w:rPr>
          <w:sz w:val="20"/>
          <w:szCs w:val="20"/>
          <w:color w:val="auto"/>
        </w:rPr>
      </w:pPr>
    </w:p>
    <w:p>
      <w:pPr>
        <w:jc w:val="both"/>
        <w:ind w:left="580" w:right="460"/>
        <w:spacing w:after="0" w:line="255" w:lineRule="auto"/>
        <w:rPr>
          <w:sz w:val="20"/>
          <w:szCs w:val="20"/>
          <w:color w:val="auto"/>
        </w:rPr>
      </w:pPr>
      <w:r>
        <w:rPr>
          <w:rFonts w:ascii="Arial" w:cs="Arial" w:eastAsia="Arial" w:hAnsi="Arial"/>
          <w:sz w:val="16"/>
          <w:szCs w:val="16"/>
          <w:color w:val="auto"/>
        </w:rPr>
        <w:t>The undersigned stockholder(s) of Waste Management, Inc., a Delaware corporation, hereby acknowledge(s) receipt of the Proxy Statement dated March 27, 2014, and hereby appoint(s) David P. Steiner and Rick L Wittenbraker, and each of them, proxies and attorneys-in-fact, with full power to each of substitution, on behalf and in the name of the undersigned, to represent the undersigned at the Annual Meeting of Stockholders of Waste Management, Inc., to be held May 13, 2014,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198" w:lineRule="exact"/>
        <w:rPr>
          <w:sz w:val="20"/>
          <w:szCs w:val="20"/>
          <w:color w:val="auto"/>
        </w:rPr>
      </w:pPr>
    </w:p>
    <w:p>
      <w:pPr>
        <w:jc w:val="both"/>
        <w:ind w:left="580" w:right="440"/>
        <w:spacing w:after="0" w:line="245" w:lineRule="auto"/>
        <w:rPr>
          <w:sz w:val="20"/>
          <w:szCs w:val="20"/>
          <w:color w:val="auto"/>
        </w:rPr>
      </w:pPr>
      <w:r>
        <w:rPr>
          <w:rFonts w:ascii="Arial" w:cs="Arial" w:eastAsia="Arial" w:hAnsi="Arial"/>
          <w:sz w:val="18"/>
          <w:szCs w:val="18"/>
          <w:b w:val="1"/>
          <w:bCs w:val="1"/>
          <w:color w:val="auto"/>
        </w:rPr>
        <w:t xml:space="preserve">Attention participants in 401(k) plans: </w:t>
      </w:r>
      <w:r>
        <w:rPr>
          <w:rFonts w:ascii="Arial" w:cs="Arial" w:eastAsia="Arial" w:hAnsi="Arial"/>
          <w:sz w:val="18"/>
          <w:szCs w:val="18"/>
          <w:color w:val="auto"/>
        </w:rPr>
        <w:t>If you have an interest in the Common Stock of Waste Management, Inc.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participation in the Waste 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in its sole discretion. </w:t>
      </w:r>
      <w:r>
        <w:rPr>
          <w:rFonts w:ascii="Arial" w:cs="Arial" w:eastAsia="Arial" w:hAnsi="Arial"/>
          <w:sz w:val="18"/>
          <w:szCs w:val="18"/>
          <w:b w:val="1"/>
          <w:bCs w:val="1"/>
          <w:color w:val="auto"/>
        </w:rPr>
        <w:t>The voting deadline for 401(k) plan participants is 11:59 P.M. Eastern Time on May 11, 2014.</w:t>
      </w:r>
    </w:p>
    <w:p>
      <w:pPr>
        <w:spacing w:after="0" w:line="349"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(If you noted any Address Changes/Comments above, please mark corresponding box on the reverse side.)</w:t>
      </w: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2)"/>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lowerRoman"/>
      <w:start w:val="2"/>
    </w:lvl>
  </w:abstractNum>
  <w:abstractNum w:abstractNumId="13">
    <w:nsid w:val="542289EC"/>
    <w:multiLevelType w:val="hybridMultilevel"/>
    <w:lvl w:ilvl="0">
      <w:lvlJc w:val="left"/>
      <w:lvlText w:val="(%1)"/>
      <w:numFmt w:val="lowerRoman"/>
      <w:start w:val="4"/>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4"/>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lowerRoman"/>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lowerRoman"/>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2"/>
    </w:lvl>
  </w:abstractNum>
  <w:abstractNum w:abstractNumId="39">
    <w:nsid w:val="15B5AF5C"/>
    <w:multiLevelType w:val="hybridMultilevel"/>
    <w:lvl w:ilvl="0">
      <w:lvlJc w:val="left"/>
      <w:lvlText w:val="(%1)"/>
      <w:numFmt w:val="lowerLetter"/>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decimal"/>
      <w:start w:val="4"/>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decimal"/>
      <w:start w:val="1"/>
    </w:lvl>
    <w:lvl w:ilvl="1">
      <w:lvlJc w:val="left"/>
      <w:lvlText w:val="%2."/>
      <w:numFmt w:val="lowerLetter"/>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lvl w:ilvl="1">
      <w:lvlJc w:val="left"/>
      <w:lvlText w:val="(%2)"/>
      <w:numFmt w:val="lowerLetter"/>
      <w:start w:val="9"/>
    </w:lvl>
  </w:abstractNum>
  <w:abstractNum w:abstractNumId="55">
    <w:nsid w:val="1381823A"/>
    <w:multiLevelType w:val="hybridMultilevel"/>
    <w:lvl w:ilvl="0">
      <w:lvlJc w:val="left"/>
      <w:lvlText w:val="(%1)"/>
      <w:numFmt w:val="lowerLetter"/>
      <w:start w:val="61"/>
    </w:lvl>
    <w:lvl w:ilvl="1">
      <w:lvlJc w:val="left"/>
      <w:lvlText w:val="(%2)"/>
      <w:numFmt w:val="lowerLetter"/>
      <w:start w:val="18"/>
    </w:lvl>
  </w:abstractNum>
  <w:abstractNum w:abstractNumId="56">
    <w:nsid w:val="5DB70AE5"/>
    <w:multiLevelType w:val="hybridMultilevel"/>
    <w:lvl w:ilvl="0">
      <w:lvlJc w:val="left"/>
      <w:lvlText w:val="(%1)"/>
      <w:numFmt w:val="lowerRoman"/>
      <w:start w:val="11"/>
    </w:lvl>
    <w:lvl w:ilvl="1">
      <w:lvlJc w:val="left"/>
      <w:lvlText w:val="(%2)"/>
      <w:numFmt w:val="lowerLetter"/>
      <w:start w:val="25"/>
    </w:lvl>
  </w:abstractNum>
  <w:abstractNum w:abstractNumId="57">
    <w:nsid w:val="100F8FCA"/>
    <w:multiLevelType w:val="hybridMultilevel"/>
    <w:lvl w:ilvl="0">
      <w:lvlJc w:val="left"/>
      <w:lvlText w:val="(%1)"/>
      <w:numFmt w:val="lowerLetter"/>
      <w:start w:val="27"/>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lowerLetter"/>
      <w:start w:val="1"/>
    </w:lvl>
  </w:abstractNum>
  <w:abstractNum w:abstractNumId="60">
    <w:nsid w:val="5F5E7FD0"/>
    <w:multiLevelType w:val="hybridMultilevel"/>
    <w:lvl w:ilvl="0">
      <w:lvlJc w:val="left"/>
      <w:lvlText w:val="%1"/>
      <w:numFmt w:val="lowerLetter"/>
      <w:start w:val="1"/>
    </w:lvl>
    <w:lvl w:ilvl="1">
      <w:lvlJc w:val="left"/>
      <w:lvlText w:val="(%2)"/>
      <w:numFmt w:val="lowerLetter"/>
      <w:start w:val="5"/>
    </w:lvl>
  </w:abstractNum>
  <w:abstractNum w:abstractNumId="61">
    <w:nsid w:val="98A3148"/>
    <w:multiLevelType w:val="hybridMultilevel"/>
    <w:lvl w:ilvl="0">
      <w:lvlJc w:val="left"/>
      <w:lvlText w:val="(%1)"/>
      <w:numFmt w:val="lowerLetter"/>
      <w:start w:val="35"/>
    </w:lvl>
    <w:lvl w:ilvl="1">
      <w:lvlJc w:val="left"/>
      <w:lvlText w:val="%2"/>
      <w:numFmt w:val="lowerLetter"/>
      <w:start w:val="1"/>
    </w:lvl>
  </w:abstractNum>
  <w:abstractNum w:abstractNumId="62">
    <w:nsid w:val="799D0247"/>
    <w:multiLevelType w:val="hybridMultilevel"/>
    <w:lvl w:ilvl="0">
      <w:lvlJc w:val="left"/>
      <w:lvlText w:val="%1"/>
      <w:numFmt w:val="decimal"/>
      <w:start w:val="1"/>
    </w:lvl>
    <w:lvl w:ilvl="1">
      <w:lvlJc w:val="left"/>
      <w:lvlText w:val="(%2)"/>
      <w:numFmt w:val="lowerLetter"/>
      <w:start w:val="1"/>
    </w:lvl>
  </w:abstractNum>
  <w:abstractNum w:abstractNumId="63">
    <w:nsid w:val="6B94764"/>
    <w:multiLevelType w:val="hybridMultilevel"/>
    <w:lvl w:ilvl="0">
      <w:lvlJc w:val="left"/>
      <w:lvlText w:val="(%1)"/>
      <w:numFmt w:val="decimal"/>
      <w:start w:val="6"/>
    </w:lvl>
    <w:lvl w:ilvl="1">
      <w:lvlJc w:val="left"/>
      <w:lvlText w:val="%2"/>
      <w:numFmt w:val="lowerLetter"/>
      <w:start w:val="1"/>
    </w:lvl>
  </w:abstractNum>
  <w:abstractNum w:abstractNumId="64">
    <w:nsid w:val="42C296BD"/>
    <w:multiLevelType w:val="hybridMultilevel"/>
    <w:lvl w:ilvl="0">
      <w:lvlJc w:val="left"/>
      <w:lvlText w:val="(%1)"/>
      <w:numFmt w:val="lowerLetter"/>
      <w:start w:val="4"/>
    </w:lvl>
  </w:abstractNum>
  <w:abstractNum w:abstractNumId="65">
    <w:nsid w:val="168E121F"/>
    <w:multiLevelType w:val="hybridMultilevel"/>
    <w:lvl w:ilvl="0">
      <w:lvlJc w:val="left"/>
      <w:lvlText w:val="%1"/>
      <w:numFmt w:val="lowerLetter"/>
      <w:start w:val="1"/>
    </w:lvl>
    <w:lvl w:ilvl="1">
      <w:lvlJc w:val="left"/>
      <w:lvlText w:val="(%2)"/>
      <w:numFmt w:val="lowerLetter"/>
      <w:start w:val="1"/>
    </w:lvl>
  </w:abstractNum>
  <w:abstractNum w:abstractNumId="66">
    <w:nsid w:val="1EBA5D23"/>
    <w:multiLevelType w:val="hybridMultilevel"/>
    <w:lvl w:ilvl="0">
      <w:lvlJc w:val="left"/>
      <w:lvlText w:val="(%1)"/>
      <w:numFmt w:val="lowerLetter"/>
      <w:start w:val="35"/>
    </w:lvl>
    <w:lvl w:ilvl="1">
      <w:lvlJc w:val="left"/>
      <w:lvlText w:val="(%2)"/>
      <w:numFmt w:val="lowerLetter"/>
      <w:start w:val="2"/>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Letter"/>
      <w:start w:val="8"/>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lowerLetter"/>
      <w:start w:val="7"/>
    </w:lvl>
  </w:abstractNum>
  <w:abstractNum w:abstractNumId="71">
    <w:nsid w:val="51D9C564"/>
    <w:multiLevelType w:val="hybridMultilevel"/>
    <w:lvl w:ilvl="0">
      <w:lvlJc w:val="left"/>
      <w:lvlText w:val="%1"/>
      <w:numFmt w:val="lowerLetter"/>
      <w:start w:val="1"/>
    </w:lvl>
    <w:lvl w:ilvl="1">
      <w:lvlJc w:val="left"/>
      <w:lvlText w:val="(%2)"/>
      <w:numFmt w:val="lowerLetter"/>
      <w:start w:val="1"/>
    </w:lvl>
  </w:abstractNum>
  <w:abstractNum w:abstractNumId="72">
    <w:nsid w:val="613EFDC5"/>
    <w:multiLevelType w:val="hybridMultilevel"/>
    <w:lvl w:ilvl="0">
      <w:lvlJc w:val="left"/>
      <w:lvlText w:val="(%1)"/>
      <w:numFmt w:val="lowerLetter"/>
      <w:start w:val="9"/>
    </w:lvl>
    <w:lvl w:ilvl="1">
      <w:lvlJc w:val="left"/>
      <w:lvlText w:val="%2"/>
      <w:numFmt w:val="lowerLetter"/>
      <w:start w:val="1"/>
    </w:lvl>
  </w:abstractNum>
  <w:abstractNum w:abstractNumId="73">
    <w:nsid w:val="BF72B14"/>
    <w:multiLevelType w:val="hybridMultilevel"/>
    <w:lvl w:ilvl="0">
      <w:lvlJc w:val="left"/>
      <w:lvlText w:val="(%1)"/>
      <w:numFmt w:val="lowerLetter"/>
      <w:start w:val="61"/>
    </w:lvl>
    <w:lvl w:ilvl="1">
      <w:lvlJc w:val="left"/>
      <w:lvlText w:val="%2"/>
      <w:numFmt w:val="lowerLetter"/>
      <w:start w:val="1"/>
    </w:lvl>
  </w:abstractNum>
  <w:abstractNum w:abstractNumId="74">
    <w:nsid w:val="11447B73"/>
    <w:multiLevelType w:val="hybridMultilevel"/>
    <w:lvl w:ilvl="0">
      <w:lvlJc w:val="left"/>
      <w:lvlText w:val="(%1)"/>
      <w:numFmt w:val="lowerLetter"/>
      <w:start w:val="4"/>
    </w:lvl>
  </w:abstractNum>
  <w:abstractNum w:abstractNumId="75">
    <w:nsid w:val="42963E5A"/>
    <w:multiLevelType w:val="hybridMultilevel"/>
    <w:lvl w:ilvl="0">
      <w:lvlJc w:val="left"/>
      <w:lvlText w:val="(%1)"/>
      <w:numFmt w:val="lowerLetter"/>
      <w:start w:val="6"/>
    </w:lvl>
  </w:abstractNum>
  <w:abstractNum w:abstractNumId="76">
    <w:nsid w:val="A0382C5"/>
    <w:multiLevelType w:val="hybridMultilevel"/>
    <w:lvl w:ilvl="0">
      <w:lvlJc w:val="left"/>
      <w:lvlText w:val="(%1)"/>
      <w:numFmt w:val="lowerLetter"/>
      <w:start w:val="1"/>
    </w:lvl>
  </w:abstractNum>
  <w:abstractNum w:abstractNumId="77">
    <w:nsid w:val="8F2B15E"/>
    <w:multiLevelType w:val="hybridMultilevel"/>
    <w:lvl w:ilvl="0">
      <w:lvlJc w:val="left"/>
      <w:lvlText w:val="%1"/>
      <w:numFmt w:val="lowerLetter"/>
      <w:start w:val="1"/>
    </w:lvl>
    <w:lvl w:ilvl="1">
      <w:lvlJc w:val="left"/>
      <w:lvlText w:val="(%2)"/>
      <w:numFmt w:val="lowerLetter"/>
      <w:start w:val="4"/>
    </w:lvl>
  </w:abstractNum>
  <w:abstractNum w:abstractNumId="78">
    <w:nsid w:val="1A32234B"/>
    <w:multiLevelType w:val="hybridMultilevel"/>
    <w:lvl w:ilvl="0">
      <w:lvlJc w:val="left"/>
      <w:lvlText w:val="(%1)"/>
      <w:numFmt w:val="lowerLetter"/>
      <w:start w:val="61"/>
    </w:lvl>
    <w:lvl w:ilvl="1">
      <w:lvlJc w:val="left"/>
      <w:lvlText w:val="(%2)"/>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2019-12-06T00:52:15Z</dcterms:created>
  <dcterms:modified xsi:type="dcterms:W3CDTF">2019-12-06T00:52:15Z</dcterms:modified>
</cp:coreProperties>
</file>