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820" w:right="120"/>
        <w:spacing w:after="0" w:line="250" w:lineRule="auto"/>
        <w:rPr>
          <w:sz w:val="20"/>
          <w:szCs w:val="20"/>
          <w:color w:val="auto"/>
        </w:rPr>
      </w:pPr>
      <w:r>
        <w:rPr>
          <w:rFonts w:ascii="Arial" w:cs="Arial" w:eastAsia="Arial" w:hAnsi="Arial"/>
          <w:sz w:val="14"/>
          <w:szCs w:val="14"/>
          <w:color w:val="E8112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333-137526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E8112D"/>
        </w:rPr>
        <w:t>SUBJECT TO COMPLETION, DATED FEBRUARY 23, 2009</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2006)</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80" w:hanging="752"/>
        <w:spacing w:after="0"/>
        <w:tabs>
          <w:tab w:leader="none" w:pos="468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2015</w:t>
      </w:r>
    </w:p>
    <w:p>
      <w:pPr>
        <w:spacing w:after="0" w:line="131" w:lineRule="exact"/>
        <w:rPr>
          <w:rFonts w:ascii="Arial" w:cs="Arial" w:eastAsia="Arial" w:hAnsi="Arial"/>
          <w:sz w:val="25"/>
          <w:szCs w:val="25"/>
          <w:b w:val="1"/>
          <w:bCs w:val="1"/>
          <w:color w:val="auto"/>
        </w:rPr>
      </w:pPr>
    </w:p>
    <w:p>
      <w:pPr>
        <w:ind w:left="4680" w:hanging="752"/>
        <w:spacing w:after="0"/>
        <w:tabs>
          <w:tab w:leader="none" w:pos="468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2019</w:t>
      </w:r>
    </w:p>
    <w:p>
      <w:pPr>
        <w:spacing w:after="0" w:line="140"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We are offering $ of our % senior notes due 2015 and $ of our % senior notes due 2019. Interest on the notes of each series will accrue from , 2009 and will be payable on and of each year, beginning , 2009. The 2015 notes will mature on , 2015 and the 2019 notes will mature on , 2019. We use the term “notes” to refer to both series of notes collectively.</w:t>
      </w:r>
    </w:p>
    <w:p>
      <w:pPr>
        <w:spacing w:after="0" w:line="92"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52"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We may redeem the 2015 notes and the 2019 notes, in whole or in part, at any time at the redemption prices described beginning on page S-14. If a change of control triggering event as described on page S-17 occurs, we may be required to offer to purchase the notes of each series from holders.</w:t>
      </w:r>
    </w:p>
    <w:p>
      <w:pPr>
        <w:spacing w:after="0" w:line="74" w:lineRule="exact"/>
        <w:rPr>
          <w:sz w:val="20"/>
          <w:szCs w:val="20"/>
          <w:color w:val="auto"/>
        </w:rPr>
      </w:pPr>
    </w:p>
    <w:p>
      <w:pPr>
        <w:ind w:left="700" w:right="5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Per 2015</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Per 2019</w:t>
            </w:r>
          </w:p>
        </w:tc>
        <w:tc>
          <w:tcPr>
            <w:tcW w:w="160" w:type="dxa"/>
            <w:vAlign w:val="bottom"/>
          </w:tcPr>
          <w:p>
            <w:pPr>
              <w:spacing w:after="0"/>
              <w:rPr>
                <w:sz w:val="14"/>
                <w:szCs w:val="14"/>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740" w:type="dxa"/>
            <w:vAlign w:val="bottom"/>
            <w:gridSpan w:val="3"/>
          </w:tcPr>
          <w:p>
            <w:pPr>
              <w:spacing w:after="0"/>
              <w:rPr>
                <w:sz w:val="20"/>
                <w:szCs w:val="20"/>
                <w:color w:val="auto"/>
              </w:rPr>
            </w:pPr>
            <w:r>
              <w:rPr>
                <w:rFonts w:ascii="Arial" w:cs="Arial" w:eastAsia="Arial" w:hAnsi="Arial"/>
                <w:sz w:val="18"/>
                <w:szCs w:val="18"/>
                <w:color w:val="auto"/>
              </w:rPr>
              <w:t>Public Offering Price(1)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Underwriting Discount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Proceeds to Us (excluding expenses)</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260" w:type="dxa"/>
            <w:vAlign w:val="bottom"/>
            <w:tcBorders>
              <w:bottom w:val="single" w:sz="8" w:color="auto"/>
            </w:tcBorders>
          </w:tcPr>
          <w:p>
            <w:pPr>
              <w:spacing w:after="0"/>
              <w:rPr>
                <w:sz w:val="10"/>
                <w:szCs w:val="10"/>
                <w:color w:val="auto"/>
              </w:rPr>
            </w:pPr>
          </w:p>
        </w:tc>
        <w:tc>
          <w:tcPr>
            <w:tcW w:w="548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6740" w:type="dxa"/>
            <w:vAlign w:val="bottom"/>
            <w:gridSpan w:val="3"/>
          </w:tcPr>
          <w:p>
            <w:pPr>
              <w:spacing w:after="0"/>
              <w:rPr>
                <w:sz w:val="20"/>
                <w:szCs w:val="20"/>
                <w:color w:val="auto"/>
              </w:rPr>
            </w:pPr>
            <w:r>
              <w:rPr>
                <w:rFonts w:ascii="Arial" w:cs="Arial" w:eastAsia="Arial" w:hAnsi="Arial"/>
                <w:sz w:val="18"/>
                <w:szCs w:val="18"/>
                <w:color w:val="auto"/>
              </w:rPr>
              <w:t>(1) Plus accrued interest from February  , 2009 if delivery occurs after that date.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underwriters expect to deliver the notes to investors on or about February , 2009 only in book-entry form through the facilities of The Depository Trust Company and its participants, including Euroclear and Clearstream Luxembourg.</w:t>
      </w:r>
    </w:p>
    <w:p>
      <w:pPr>
        <w:spacing w:after="0" w:line="76"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Joint Book-Running and Joint Lead Managers</w:t>
      </w:r>
    </w:p>
    <w:p>
      <w:pPr>
        <w:sectPr>
          <w:pgSz w:w="11900" w:h="16838" w:orient="portrait"/>
          <w:cols w:equalWidth="0" w:num="1">
            <w:col w:w="10620"/>
          </w:cols>
          <w:pgMar w:left="240" w:top="122" w:right="1039" w:bottom="1440" w:gutter="0" w:footer="0" w:header="0"/>
        </w:sectPr>
      </w:pPr>
    </w:p>
    <w:p>
      <w:pPr>
        <w:spacing w:after="0" w:line="113"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Barclays Capital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Suisse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Deutsche Bank Securities RBS Greenwich Capital</w:t>
      </w:r>
    </w:p>
    <w:p>
      <w:pPr>
        <w:spacing w:after="0" w:line="200" w:lineRule="exact"/>
        <w:rPr>
          <w:sz w:val="20"/>
          <w:szCs w:val="20"/>
          <w:color w:val="auto"/>
        </w:rPr>
      </w:pPr>
    </w:p>
    <w:p>
      <w:pPr>
        <w:sectPr>
          <w:pgSz w:w="11900" w:h="16838" w:orient="portrait"/>
          <w:cols w:equalWidth="0" w:num="3">
            <w:col w:w="2960" w:space="720"/>
            <w:col w:w="1320" w:space="560"/>
            <w:col w:w="5060"/>
          </w:cols>
          <w:pgMar w:left="240" w:top="122" w:right="1039" w:bottom="1440" w:gutter="0" w:footer="0" w:header="0"/>
          <w:type w:val="continuous"/>
        </w:sectPr>
      </w:pPr>
    </w:p>
    <w:p>
      <w:pPr>
        <w:spacing w:after="0" w:line="7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5"/>
          <w:szCs w:val="15"/>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p>
      <w:pPr>
        <w:ind w:left="700" w:right="840" w:firstLine="397"/>
        <w:spacing w:after="0" w:line="271" w:lineRule="auto"/>
        <w:rPr>
          <w:sz w:val="20"/>
          <w:szCs w:val="20"/>
          <w:color w:val="auto"/>
        </w:rPr>
      </w:pPr>
      <w:r>
        <w:rPr>
          <w:rFonts w:ascii="Arial" w:cs="Arial" w:eastAsia="Arial" w:hAnsi="Arial"/>
          <w:sz w:val="17"/>
          <w:szCs w:val="17"/>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7"/>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6"/>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Notes</w:t>
              </w:r>
            </w:hyperlink>
          </w:p>
        </w:tc>
        <w:tc>
          <w:tcPr>
            <w:tcW w:w="2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Underwriting</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Legal Matters</w:t>
              </w:r>
            </w:hyperlink>
          </w:p>
        </w:tc>
        <w:tc>
          <w:tcPr>
            <w:tcW w:w="2800" w:type="dxa"/>
            <w:vAlign w:val="bottom"/>
            <w:gridSpan w:val="4"/>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438"/>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“WMI.”</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9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Issuer</w:t>
            </w:r>
          </w:p>
        </w:tc>
        <w:tc>
          <w:tcPr>
            <w:tcW w:w="3980" w:type="dxa"/>
            <w:vAlign w:val="bottom"/>
            <w:gridSpan w:val="4"/>
          </w:tcPr>
          <w:p>
            <w:pPr>
              <w:ind w:left="1060"/>
              <w:spacing w:after="0"/>
              <w:rPr>
                <w:sz w:val="20"/>
                <w:szCs w:val="20"/>
                <w:color w:val="auto"/>
              </w:rPr>
            </w:pPr>
            <w:r>
              <w:rPr>
                <w:rFonts w:ascii="Arial" w:cs="Arial" w:eastAsia="Arial" w:hAnsi="Arial"/>
                <w:sz w:val="18"/>
                <w:szCs w:val="18"/>
                <w:color w:val="auto"/>
              </w:rPr>
              <w:t>Waste Management, Inc.</w:t>
            </w:r>
          </w:p>
        </w:tc>
        <w:tc>
          <w:tcPr>
            <w:tcW w:w="3180" w:type="dxa"/>
            <w:vAlign w:val="bottom"/>
          </w:tcPr>
          <w:p>
            <w:pPr>
              <w:spacing w:after="0"/>
              <w:rPr>
                <w:sz w:val="20"/>
                <w:szCs w:val="20"/>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Securities Offered</w:t>
            </w:r>
          </w:p>
        </w:tc>
        <w:tc>
          <w:tcPr>
            <w:tcW w:w="1240" w:type="dxa"/>
            <w:vAlign w:val="bottom"/>
          </w:tcPr>
          <w:p>
            <w:pPr>
              <w:ind w:left="1060"/>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180"/>
              <w:spacing w:after="0"/>
              <w:rPr>
                <w:sz w:val="20"/>
                <w:szCs w:val="20"/>
                <w:color w:val="auto"/>
              </w:rPr>
            </w:pPr>
            <w:r>
              <w:rPr>
                <w:rFonts w:ascii="Arial" w:cs="Arial" w:eastAsia="Arial" w:hAnsi="Arial"/>
                <w:sz w:val="18"/>
                <w:szCs w:val="18"/>
                <w:color w:val="auto"/>
              </w:rPr>
              <w:t>million aggregate principal amount of notes, consisting of:</w:t>
            </w:r>
          </w:p>
        </w:tc>
      </w:tr>
      <w:tr>
        <w:trPr>
          <w:trHeight w:val="338"/>
        </w:trPr>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aggregate principal amount of</w:t>
            </w:r>
          </w:p>
        </w:tc>
        <w:tc>
          <w:tcPr>
            <w:tcW w:w="3180" w:type="dxa"/>
            <w:vAlign w:val="bottom"/>
          </w:tcPr>
          <w:p>
            <w:pPr>
              <w:ind w:left="120"/>
              <w:spacing w:after="0"/>
              <w:rPr>
                <w:sz w:val="20"/>
                <w:szCs w:val="20"/>
                <w:color w:val="auto"/>
              </w:rPr>
            </w:pPr>
            <w:r>
              <w:rPr>
                <w:rFonts w:ascii="Arial" w:cs="Arial" w:eastAsia="Arial" w:hAnsi="Arial"/>
                <w:sz w:val="18"/>
                <w:szCs w:val="18"/>
                <w:color w:val="auto"/>
              </w:rPr>
              <w:t>% Senior Notes due 2015</w:t>
            </w:r>
          </w:p>
        </w:tc>
      </w:tr>
      <w:tr>
        <w:trPr>
          <w:trHeight w:val="324"/>
        </w:trPr>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aggregate principal amount of</w:t>
            </w:r>
          </w:p>
        </w:tc>
        <w:tc>
          <w:tcPr>
            <w:tcW w:w="3180" w:type="dxa"/>
            <w:vAlign w:val="bottom"/>
          </w:tcPr>
          <w:p>
            <w:pPr>
              <w:ind w:left="120"/>
              <w:spacing w:after="0"/>
              <w:rPr>
                <w:sz w:val="20"/>
                <w:szCs w:val="20"/>
                <w:color w:val="auto"/>
              </w:rPr>
            </w:pPr>
            <w:r>
              <w:rPr>
                <w:rFonts w:ascii="Arial" w:cs="Arial" w:eastAsia="Arial" w:hAnsi="Arial"/>
                <w:sz w:val="18"/>
                <w:szCs w:val="18"/>
                <w:color w:val="auto"/>
              </w:rPr>
              <w:t>% Senior Notes due 2019</w:t>
            </w:r>
          </w:p>
        </w:tc>
      </w:tr>
      <w:tr>
        <w:trPr>
          <w:trHeight w:val="323"/>
        </w:trPr>
        <w:tc>
          <w:tcPr>
            <w:tcW w:w="2620" w:type="dxa"/>
            <w:vAlign w:val="bottom"/>
          </w:tcPr>
          <w:p>
            <w:pPr>
              <w:spacing w:after="0"/>
              <w:rPr>
                <w:sz w:val="20"/>
                <w:szCs w:val="20"/>
                <w:color w:val="auto"/>
              </w:rPr>
            </w:pPr>
            <w:r>
              <w:rPr>
                <w:rFonts w:ascii="Arial" w:cs="Arial" w:eastAsia="Arial" w:hAnsi="Arial"/>
                <w:sz w:val="18"/>
                <w:szCs w:val="18"/>
                <w:color w:val="auto"/>
              </w:rPr>
              <w:t>Subsidiary Guarantee</w:t>
            </w:r>
          </w:p>
        </w:tc>
        <w:tc>
          <w:tcPr>
            <w:tcW w:w="7160" w:type="dxa"/>
            <w:vAlign w:val="bottom"/>
            <w:gridSpan w:val="5"/>
          </w:tcPr>
          <w:p>
            <w:pPr>
              <w:ind w:left="1060"/>
              <w:spacing w:after="0"/>
              <w:rPr>
                <w:sz w:val="20"/>
                <w:szCs w:val="20"/>
                <w:color w:val="auto"/>
              </w:rPr>
            </w:pPr>
            <w:r>
              <w:rPr>
                <w:rFonts w:ascii="Arial" w:cs="Arial" w:eastAsia="Arial" w:hAnsi="Arial"/>
                <w:sz w:val="18"/>
                <w:szCs w:val="18"/>
                <w:color w:val="auto"/>
                <w:w w:val="92"/>
              </w:rPr>
              <w:t>WM Holdings will fully and unconditionally guarantee, on a senior unsecured basis,</w:t>
            </w:r>
          </w:p>
        </w:tc>
      </w:tr>
      <w:tr>
        <w:trPr>
          <w:trHeight w:val="216"/>
        </w:trPr>
        <w:tc>
          <w:tcPr>
            <w:tcW w:w="2620" w:type="dxa"/>
            <w:vAlign w:val="bottom"/>
          </w:tcPr>
          <w:p>
            <w:pPr>
              <w:spacing w:after="0"/>
              <w:rPr>
                <w:sz w:val="18"/>
                <w:szCs w:val="18"/>
                <w:color w:val="auto"/>
              </w:rPr>
            </w:pPr>
          </w:p>
        </w:tc>
        <w:tc>
          <w:tcPr>
            <w:tcW w:w="7160" w:type="dxa"/>
            <w:vAlign w:val="bottom"/>
            <w:gridSpan w:val="5"/>
          </w:tcPr>
          <w:p>
            <w:pPr>
              <w:ind w:left="1060"/>
              <w:spacing w:after="0"/>
              <w:rPr>
                <w:sz w:val="20"/>
                <w:szCs w:val="20"/>
                <w:color w:val="auto"/>
              </w:rPr>
            </w:pPr>
            <w:r>
              <w:rPr>
                <w:rFonts w:ascii="Arial" w:cs="Arial" w:eastAsia="Arial" w:hAnsi="Arial"/>
                <w:sz w:val="18"/>
                <w:szCs w:val="18"/>
                <w:color w:val="auto"/>
                <w:w w:val="94"/>
              </w:rPr>
              <w:t>the full and prompt payment of the principal and any premium and interest on the</w:t>
            </w:r>
          </w:p>
        </w:tc>
      </w:tr>
      <w:tr>
        <w:trPr>
          <w:trHeight w:val="216"/>
        </w:trPr>
        <w:tc>
          <w:tcPr>
            <w:tcW w:w="2620" w:type="dxa"/>
            <w:vAlign w:val="bottom"/>
          </w:tcPr>
          <w:p>
            <w:pPr>
              <w:spacing w:after="0"/>
              <w:rPr>
                <w:sz w:val="18"/>
                <w:szCs w:val="18"/>
                <w:color w:val="auto"/>
              </w:rPr>
            </w:pPr>
          </w:p>
        </w:tc>
        <w:tc>
          <w:tcPr>
            <w:tcW w:w="7160" w:type="dxa"/>
            <w:vAlign w:val="bottom"/>
            <w:gridSpan w:val="5"/>
          </w:tcPr>
          <w:p>
            <w:pPr>
              <w:ind w:left="1060"/>
              <w:spacing w:after="0"/>
              <w:rPr>
                <w:sz w:val="20"/>
                <w:szCs w:val="20"/>
                <w:color w:val="auto"/>
              </w:rPr>
            </w:pPr>
            <w:r>
              <w:rPr>
                <w:rFonts w:ascii="Arial" w:cs="Arial" w:eastAsia="Arial" w:hAnsi="Arial"/>
                <w:sz w:val="18"/>
                <w:szCs w:val="18"/>
                <w:color w:val="auto"/>
                <w:w w:val="88"/>
              </w:rPr>
              <w:t>notes of each series, when and as it becomes due and payable, whether at maturity or</w:t>
            </w:r>
          </w:p>
        </w:tc>
      </w:tr>
      <w:tr>
        <w:trPr>
          <w:trHeight w:val="230"/>
        </w:trPr>
        <w:tc>
          <w:tcPr>
            <w:tcW w:w="2620" w:type="dxa"/>
            <w:vAlign w:val="bottom"/>
          </w:tcPr>
          <w:p>
            <w:pPr>
              <w:spacing w:after="0"/>
              <w:rPr>
                <w:sz w:val="20"/>
                <w:szCs w:val="20"/>
                <w:color w:val="auto"/>
              </w:rPr>
            </w:pPr>
          </w:p>
        </w:tc>
        <w:tc>
          <w:tcPr>
            <w:tcW w:w="2180" w:type="dxa"/>
            <w:vAlign w:val="bottom"/>
            <w:gridSpan w:val="3"/>
          </w:tcPr>
          <w:p>
            <w:pPr>
              <w:ind w:left="1060"/>
              <w:spacing w:after="0"/>
              <w:rPr>
                <w:sz w:val="20"/>
                <w:szCs w:val="20"/>
                <w:color w:val="auto"/>
              </w:rPr>
            </w:pPr>
            <w:r>
              <w:rPr>
                <w:rFonts w:ascii="Arial" w:cs="Arial" w:eastAsia="Arial" w:hAnsi="Arial"/>
                <w:sz w:val="18"/>
                <w:szCs w:val="18"/>
                <w:color w:val="auto"/>
              </w:rPr>
              <w:t>otherwise.</w:t>
            </w:r>
          </w:p>
        </w:tc>
        <w:tc>
          <w:tcPr>
            <w:tcW w:w="18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Maturity Date</w:t>
            </w:r>
          </w:p>
        </w:tc>
        <w:tc>
          <w:tcPr>
            <w:tcW w:w="2180" w:type="dxa"/>
            <w:vAlign w:val="bottom"/>
            <w:gridSpan w:val="3"/>
          </w:tcPr>
          <w:p>
            <w:pPr>
              <w:ind w:left="1060"/>
              <w:spacing w:after="0"/>
              <w:rPr>
                <w:sz w:val="20"/>
                <w:szCs w:val="20"/>
                <w:color w:val="auto"/>
              </w:rPr>
            </w:pPr>
            <w:r>
              <w:rPr>
                <w:rFonts w:ascii="Arial" w:cs="Arial" w:eastAsia="Arial" w:hAnsi="Arial"/>
                <w:sz w:val="18"/>
                <w:szCs w:val="18"/>
                <w:color w:val="auto"/>
              </w:rPr>
              <w:t>2015 notes -</w:t>
            </w:r>
          </w:p>
        </w:tc>
        <w:tc>
          <w:tcPr>
            <w:tcW w:w="1800" w:type="dxa"/>
            <w:vAlign w:val="bottom"/>
          </w:tcPr>
          <w:p>
            <w:pPr>
              <w:jc w:val="right"/>
              <w:ind w:right="1050"/>
              <w:spacing w:after="0"/>
              <w:rPr>
                <w:sz w:val="20"/>
                <w:szCs w:val="20"/>
                <w:color w:val="auto"/>
              </w:rPr>
            </w:pPr>
            <w:r>
              <w:rPr>
                <w:rFonts w:ascii="Arial" w:cs="Arial" w:eastAsia="Arial" w:hAnsi="Arial"/>
                <w:sz w:val="18"/>
                <w:szCs w:val="18"/>
                <w:color w:val="auto"/>
              </w:rPr>
              <w:t>, 2015</w:t>
            </w:r>
          </w:p>
        </w:tc>
        <w:tc>
          <w:tcPr>
            <w:tcW w:w="3180" w:type="dxa"/>
            <w:vAlign w:val="bottom"/>
          </w:tcPr>
          <w:p>
            <w:pPr>
              <w:spacing w:after="0"/>
              <w:rPr>
                <w:sz w:val="24"/>
                <w:szCs w:val="24"/>
                <w:color w:val="auto"/>
              </w:rPr>
            </w:pPr>
          </w:p>
        </w:tc>
      </w:tr>
      <w:tr>
        <w:trPr>
          <w:trHeight w:val="324"/>
        </w:trPr>
        <w:tc>
          <w:tcPr>
            <w:tcW w:w="2620" w:type="dxa"/>
            <w:vAlign w:val="bottom"/>
          </w:tcPr>
          <w:p>
            <w:pPr>
              <w:spacing w:after="0"/>
              <w:rPr>
                <w:sz w:val="24"/>
                <w:szCs w:val="24"/>
                <w:color w:val="auto"/>
              </w:rPr>
            </w:pPr>
          </w:p>
        </w:tc>
        <w:tc>
          <w:tcPr>
            <w:tcW w:w="2180" w:type="dxa"/>
            <w:vAlign w:val="bottom"/>
            <w:gridSpan w:val="3"/>
          </w:tcPr>
          <w:p>
            <w:pPr>
              <w:ind w:left="1060"/>
              <w:spacing w:after="0"/>
              <w:rPr>
                <w:sz w:val="20"/>
                <w:szCs w:val="20"/>
                <w:color w:val="auto"/>
              </w:rPr>
            </w:pPr>
            <w:r>
              <w:rPr>
                <w:rFonts w:ascii="Arial" w:cs="Arial" w:eastAsia="Arial" w:hAnsi="Arial"/>
                <w:sz w:val="18"/>
                <w:szCs w:val="18"/>
                <w:color w:val="auto"/>
              </w:rPr>
              <w:t>2019 notes -</w:t>
            </w:r>
          </w:p>
        </w:tc>
        <w:tc>
          <w:tcPr>
            <w:tcW w:w="1800" w:type="dxa"/>
            <w:vAlign w:val="bottom"/>
          </w:tcPr>
          <w:p>
            <w:pPr>
              <w:jc w:val="right"/>
              <w:ind w:right="1050"/>
              <w:spacing w:after="0"/>
              <w:rPr>
                <w:sz w:val="20"/>
                <w:szCs w:val="20"/>
                <w:color w:val="auto"/>
              </w:rPr>
            </w:pPr>
            <w:r>
              <w:rPr>
                <w:rFonts w:ascii="Arial" w:cs="Arial" w:eastAsia="Arial" w:hAnsi="Arial"/>
                <w:sz w:val="18"/>
                <w:szCs w:val="18"/>
                <w:color w:val="auto"/>
              </w:rPr>
              <w:t>, 2019</w:t>
            </w:r>
          </w:p>
        </w:tc>
        <w:tc>
          <w:tcPr>
            <w:tcW w:w="3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Interest Rate</w:t>
            </w:r>
          </w:p>
        </w:tc>
        <w:tc>
          <w:tcPr>
            <w:tcW w:w="1960" w:type="dxa"/>
            <w:vAlign w:val="bottom"/>
          </w:tcPr>
          <w:p>
            <w:pPr>
              <w:ind w:left="960"/>
              <w:spacing w:after="0"/>
              <w:rPr>
                <w:sz w:val="20"/>
                <w:szCs w:val="20"/>
                <w:color w:val="auto"/>
              </w:rPr>
            </w:pPr>
            <w:r>
              <w:rPr>
                <w:rFonts w:ascii="Arial" w:cs="Arial" w:eastAsia="Arial" w:hAnsi="Arial"/>
                <w:sz w:val="18"/>
                <w:szCs w:val="18"/>
                <w:color w:val="auto"/>
                <w:w w:val="97"/>
              </w:rPr>
              <w:t>2015 notes -</w:t>
            </w:r>
          </w:p>
        </w:tc>
        <w:tc>
          <w:tcPr>
            <w:tcW w:w="2480" w:type="dxa"/>
            <w:vAlign w:val="bottom"/>
          </w:tcPr>
          <w:p>
            <w:pPr>
              <w:ind w:left="120"/>
              <w:spacing w:after="0"/>
              <w:rPr>
                <w:sz w:val="20"/>
                <w:szCs w:val="20"/>
                <w:color w:val="auto"/>
              </w:rPr>
            </w:pPr>
            <w:r>
              <w:rPr>
                <w:rFonts w:ascii="Arial" w:cs="Arial" w:eastAsia="Arial" w:hAnsi="Arial"/>
                <w:sz w:val="18"/>
                <w:szCs w:val="18"/>
                <w:color w:val="auto"/>
              </w:rPr>
              <w:t>% per year</w:t>
            </w: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2720" w:type="dxa"/>
            <w:vAlign w:val="bottom"/>
          </w:tcPr>
          <w:p>
            <w:pPr>
              <w:spacing w:after="0"/>
              <w:rPr>
                <w:sz w:val="24"/>
                <w:szCs w:val="24"/>
                <w:color w:val="auto"/>
              </w:rPr>
            </w:pPr>
          </w:p>
        </w:tc>
        <w:tc>
          <w:tcPr>
            <w:tcW w:w="1960" w:type="dxa"/>
            <w:vAlign w:val="bottom"/>
          </w:tcPr>
          <w:p>
            <w:pPr>
              <w:ind w:left="960"/>
              <w:spacing w:after="0"/>
              <w:rPr>
                <w:sz w:val="20"/>
                <w:szCs w:val="20"/>
                <w:color w:val="auto"/>
              </w:rPr>
            </w:pPr>
            <w:r>
              <w:rPr>
                <w:rFonts w:ascii="Arial" w:cs="Arial" w:eastAsia="Arial" w:hAnsi="Arial"/>
                <w:sz w:val="18"/>
                <w:szCs w:val="18"/>
                <w:color w:val="auto"/>
                <w:w w:val="97"/>
              </w:rPr>
              <w:t>2019 notes -</w:t>
            </w:r>
          </w:p>
        </w:tc>
        <w:tc>
          <w:tcPr>
            <w:tcW w:w="2480" w:type="dxa"/>
            <w:vAlign w:val="bottom"/>
          </w:tcPr>
          <w:p>
            <w:pPr>
              <w:ind w:left="120"/>
              <w:spacing w:after="0"/>
              <w:rPr>
                <w:sz w:val="20"/>
                <w:szCs w:val="20"/>
                <w:color w:val="auto"/>
              </w:rPr>
            </w:pPr>
            <w:r>
              <w:rPr>
                <w:rFonts w:ascii="Arial" w:cs="Arial" w:eastAsia="Arial" w:hAnsi="Arial"/>
                <w:sz w:val="18"/>
                <w:szCs w:val="18"/>
                <w:color w:val="auto"/>
              </w:rPr>
              <w:t>% per year</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960" w:type="dxa"/>
            <w:vAlign w:val="bottom"/>
          </w:tcPr>
          <w:p>
            <w:pPr>
              <w:ind w:left="1400"/>
              <w:spacing w:after="0"/>
              <w:rPr>
                <w:sz w:val="20"/>
                <w:szCs w:val="20"/>
                <w:color w:val="auto"/>
              </w:rPr>
            </w:pPr>
            <w:r>
              <w:rPr>
                <w:rFonts w:ascii="Arial" w:cs="Arial" w:eastAsia="Arial" w:hAnsi="Arial"/>
                <w:sz w:val="18"/>
                <w:szCs w:val="18"/>
                <w:color w:val="auto"/>
              </w:rPr>
              <w:t>and</w:t>
            </w:r>
          </w:p>
        </w:tc>
        <w:tc>
          <w:tcPr>
            <w:tcW w:w="2480" w:type="dxa"/>
            <w:vAlign w:val="bottom"/>
          </w:tcPr>
          <w:p>
            <w:pPr>
              <w:ind w:left="200"/>
              <w:spacing w:after="0"/>
              <w:rPr>
                <w:sz w:val="20"/>
                <w:szCs w:val="20"/>
                <w:color w:val="auto"/>
              </w:rPr>
            </w:pPr>
            <w:r>
              <w:rPr>
                <w:rFonts w:ascii="Arial" w:cs="Arial" w:eastAsia="Arial" w:hAnsi="Arial"/>
                <w:sz w:val="18"/>
                <w:szCs w:val="18"/>
                <w:color w:val="auto"/>
              </w:rPr>
              <w:t>of each year, commencing</w:t>
            </w:r>
          </w:p>
        </w:tc>
        <w:tc>
          <w:tcPr>
            <w:tcW w:w="1400" w:type="dxa"/>
            <w:vAlign w:val="bottom"/>
          </w:tcPr>
          <w:p>
            <w:pPr>
              <w:jc w:val="right"/>
              <w:ind w:right="790"/>
              <w:spacing w:after="0"/>
              <w:rPr>
                <w:sz w:val="20"/>
                <w:szCs w:val="20"/>
                <w:color w:val="auto"/>
              </w:rPr>
            </w:pPr>
            <w:r>
              <w:rPr>
                <w:rFonts w:ascii="Arial" w:cs="Arial" w:eastAsia="Arial" w:hAnsi="Arial"/>
                <w:sz w:val="18"/>
                <w:szCs w:val="18"/>
                <w:color w:val="auto"/>
                <w:w w:val="99"/>
              </w:rPr>
              <w:t>, 2009</w:t>
            </w:r>
          </w:p>
        </w:tc>
        <w:tc>
          <w:tcPr>
            <w:tcW w:w="132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Optional Redemption</w:t>
            </w: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5"/>
              </w:rPr>
              <w:t>We may elect to redeem and repay any or all of the notes at any time in minimum</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3"/>
              </w:rPr>
              <w:t>principal amounts of $2,000 or any integral of $1,000 in excess thereof. We will pay</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89"/>
              </w:rPr>
              <w:t>an amount equal to the greater of 100% of the principal amount of the notes redeemed</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1"/>
              </w:rPr>
              <w:t>and repaid, or the sum of the present values of the remaining scheduled payments of</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6"/>
              </w:rPr>
              <w:t>principal and interest on the notes, as described on page S-14 of this prospectus</w:t>
            </w:r>
          </w:p>
        </w:tc>
      </w:tr>
      <w:tr>
        <w:trPr>
          <w:trHeight w:val="230"/>
        </w:trPr>
        <w:tc>
          <w:tcPr>
            <w:tcW w:w="2720" w:type="dxa"/>
            <w:vAlign w:val="bottom"/>
          </w:tcPr>
          <w:p>
            <w:pPr>
              <w:spacing w:after="0"/>
              <w:rPr>
                <w:sz w:val="20"/>
                <w:szCs w:val="20"/>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rPr>
              <w:t>supplement. We will also pay accrued interest to the redemption date.</w:t>
            </w:r>
          </w:p>
        </w:tc>
      </w:tr>
      <w:tr>
        <w:trPr>
          <w:trHeight w:val="324"/>
        </w:trPr>
        <w:tc>
          <w:tcPr>
            <w:tcW w:w="2720" w:type="dxa"/>
            <w:vAlign w:val="bottom"/>
          </w:tcPr>
          <w:p>
            <w:pPr>
              <w:spacing w:after="0"/>
              <w:rPr>
                <w:sz w:val="24"/>
                <w:szCs w:val="24"/>
                <w:color w:val="auto"/>
              </w:rPr>
            </w:pP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rPr>
              <w:t>Please read “Description of Notes — Optional Redemption.”</w:t>
            </w:r>
          </w:p>
        </w:tc>
        <w:tc>
          <w:tcPr>
            <w:tcW w:w="132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3"/>
              </w:rPr>
              <w:t>If a change of control triggering event as described on page S-17 occurs, holders of</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3"/>
              </w:rPr>
              <w:t>the notes of each series may require us to purchase all or a portion of such holder’s</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0"/>
              </w:rPr>
              <w:t>notes at a price equal to 101% of the principal amount, plus accrued interest, if any, to</w:t>
            </w:r>
          </w:p>
        </w:tc>
      </w:tr>
      <w:tr>
        <w:trPr>
          <w:trHeight w:val="230"/>
        </w:trPr>
        <w:tc>
          <w:tcPr>
            <w:tcW w:w="2720" w:type="dxa"/>
            <w:vAlign w:val="bottom"/>
          </w:tcPr>
          <w:p>
            <w:pPr>
              <w:spacing w:after="0"/>
              <w:rPr>
                <w:sz w:val="20"/>
                <w:szCs w:val="20"/>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rPr>
              <w:t>the date of purchase. See “Description of Notes — Change of Control Offer.”</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Ranking</w:t>
            </w: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7"/>
              </w:rPr>
              <w:t>The notes and the guarantee will constitute the senior unsecured debt of Waste</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5"/>
              </w:rPr>
              <w:t>Management, Inc. and WM Holdings, respectively, and will rank equally with all of</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rPr>
              <w:t>our and its other existing and future senior indebtedness from time to time</w:t>
            </w:r>
          </w:p>
        </w:tc>
      </w:tr>
      <w:tr>
        <w:trPr>
          <w:trHeight w:val="230"/>
        </w:trPr>
        <w:tc>
          <w:tcPr>
            <w:tcW w:w="2720" w:type="dxa"/>
            <w:vAlign w:val="bottom"/>
          </w:tcPr>
          <w:p>
            <w:pPr>
              <w:spacing w:after="0"/>
              <w:rPr>
                <w:sz w:val="20"/>
                <w:szCs w:val="20"/>
                <w:color w:val="auto"/>
              </w:rPr>
            </w:pPr>
          </w:p>
        </w:tc>
        <w:tc>
          <w:tcPr>
            <w:tcW w:w="1960" w:type="dxa"/>
            <w:vAlign w:val="bottom"/>
          </w:tcPr>
          <w:p>
            <w:pPr>
              <w:ind w:left="960"/>
              <w:spacing w:after="0"/>
              <w:rPr>
                <w:sz w:val="20"/>
                <w:szCs w:val="20"/>
                <w:color w:val="auto"/>
              </w:rPr>
            </w:pPr>
            <w:r>
              <w:rPr>
                <w:rFonts w:ascii="Arial" w:cs="Arial" w:eastAsia="Arial" w:hAnsi="Arial"/>
                <w:sz w:val="18"/>
                <w:szCs w:val="18"/>
                <w:color w:val="auto"/>
                <w:w w:val="99"/>
              </w:rPr>
              <w:t>outstanding.</w:t>
            </w:r>
          </w:p>
        </w:tc>
        <w:tc>
          <w:tcPr>
            <w:tcW w:w="2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Covenants</w:t>
            </w: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6"/>
              </w:rPr>
              <w:t>We will issue the notes under an indenture containing covenants for your benefit.</w:t>
            </w:r>
          </w:p>
        </w:tc>
      </w:tr>
      <w:tr>
        <w:trPr>
          <w:trHeight w:val="230"/>
        </w:trPr>
        <w:tc>
          <w:tcPr>
            <w:tcW w:w="2720" w:type="dxa"/>
            <w:vAlign w:val="bottom"/>
          </w:tcPr>
          <w:p>
            <w:pPr>
              <w:spacing w:after="0"/>
              <w:rPr>
                <w:sz w:val="20"/>
                <w:szCs w:val="20"/>
                <w:color w:val="auto"/>
              </w:rPr>
            </w:pP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w w:val="97"/>
              </w:rPr>
              <w:t>These covenants restrict our ability, with certain exceptions, to:</w:t>
            </w:r>
          </w:p>
        </w:tc>
        <w:tc>
          <w:tcPr>
            <w:tcW w:w="1320" w:type="dxa"/>
            <w:vAlign w:val="bottom"/>
          </w:tcPr>
          <w:p>
            <w:pPr>
              <w:spacing w:after="0"/>
              <w:rPr>
                <w:sz w:val="20"/>
                <w:szCs w:val="20"/>
                <w:color w:val="auto"/>
              </w:rPr>
            </w:pPr>
          </w:p>
        </w:tc>
      </w:tr>
      <w:tr>
        <w:trPr>
          <w:trHeight w:val="324"/>
        </w:trPr>
        <w:tc>
          <w:tcPr>
            <w:tcW w:w="2720" w:type="dxa"/>
            <w:vAlign w:val="bottom"/>
          </w:tcPr>
          <w:p>
            <w:pPr>
              <w:spacing w:after="0"/>
              <w:rPr>
                <w:sz w:val="24"/>
                <w:szCs w:val="24"/>
                <w:color w:val="auto"/>
              </w:rPr>
            </w:pPr>
          </w:p>
        </w:tc>
        <w:tc>
          <w:tcPr>
            <w:tcW w:w="4440" w:type="dxa"/>
            <w:vAlign w:val="bottom"/>
            <w:gridSpan w:val="2"/>
          </w:tcPr>
          <w:p>
            <w:pPr>
              <w:ind w:left="960"/>
              <w:spacing w:after="0"/>
              <w:rPr>
                <w:sz w:val="20"/>
                <w:szCs w:val="20"/>
                <w:color w:val="auto"/>
              </w:rPr>
            </w:pPr>
            <w:r>
              <w:rPr>
                <w:rFonts w:ascii="Arial" w:cs="Arial" w:eastAsia="Arial" w:hAnsi="Arial"/>
                <w:sz w:val="18"/>
                <w:szCs w:val="18"/>
                <w:color w:val="auto"/>
                <w:w w:val="91"/>
              </w:rPr>
              <w:t>• create, incur or assume debt secured by liens;</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2720" w:type="dxa"/>
            <w:vAlign w:val="bottom"/>
          </w:tcPr>
          <w:p>
            <w:pPr>
              <w:spacing w:after="0"/>
              <w:rPr>
                <w:sz w:val="24"/>
                <w:szCs w:val="24"/>
                <w:color w:val="auto"/>
              </w:rPr>
            </w:pPr>
          </w:p>
        </w:tc>
        <w:tc>
          <w:tcPr>
            <w:tcW w:w="4440" w:type="dxa"/>
            <w:vAlign w:val="bottom"/>
            <w:gridSpan w:val="2"/>
          </w:tcPr>
          <w:p>
            <w:pPr>
              <w:ind w:left="960"/>
              <w:spacing w:after="0"/>
              <w:rPr>
                <w:sz w:val="20"/>
                <w:szCs w:val="20"/>
                <w:color w:val="auto"/>
              </w:rPr>
            </w:pPr>
            <w:r>
              <w:rPr>
                <w:rFonts w:ascii="Arial" w:cs="Arial" w:eastAsia="Arial" w:hAnsi="Arial"/>
                <w:sz w:val="18"/>
                <w:szCs w:val="18"/>
                <w:color w:val="auto"/>
                <w:w w:val="88"/>
              </w:rPr>
              <w:t>• engage in sale and leaseback transactions; and</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2720" w:type="dxa"/>
            <w:vAlign w:val="bottom"/>
          </w:tcPr>
          <w:p>
            <w:pPr>
              <w:spacing w:after="0"/>
              <w:rPr>
                <w:sz w:val="24"/>
                <w:szCs w:val="24"/>
                <w:color w:val="auto"/>
              </w:rPr>
            </w:pP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w w:val="90"/>
              </w:rPr>
              <w:t>• merge, consolidate or transfer all or substantially all of our assets.</w:t>
            </w:r>
          </w:p>
        </w:tc>
        <w:tc>
          <w:tcPr>
            <w:tcW w:w="132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Use of Proceeds</w:t>
            </w: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w w:val="93"/>
              </w:rPr>
              <w:t>We expect the net proceeds from the offering of the notes to be $</w:t>
            </w:r>
          </w:p>
        </w:tc>
        <w:tc>
          <w:tcPr>
            <w:tcW w:w="1320" w:type="dxa"/>
            <w:vAlign w:val="bottom"/>
          </w:tcPr>
          <w:p>
            <w:pPr>
              <w:ind w:left="60"/>
              <w:spacing w:after="0"/>
              <w:rPr>
                <w:sz w:val="20"/>
                <w:szCs w:val="20"/>
                <w:color w:val="auto"/>
              </w:rPr>
            </w:pPr>
            <w:r>
              <w:rPr>
                <w:rFonts w:ascii="Arial" w:cs="Arial" w:eastAsia="Arial" w:hAnsi="Arial"/>
                <w:sz w:val="18"/>
                <w:szCs w:val="18"/>
                <w:color w:val="auto"/>
              </w:rPr>
              <w:t>million, after</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4"/>
              </w:rPr>
              <w:t>deducting underwriting discounts and commissions and estimated expenses of the</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3"/>
              </w:rPr>
              <w:t>offering that we will pay. These net proceeds will be used to repay in full at maturity</w:t>
            </w:r>
          </w:p>
        </w:tc>
      </w:tr>
      <w:tr>
        <w:trPr>
          <w:trHeight w:val="216"/>
        </w:trPr>
        <w:tc>
          <w:tcPr>
            <w:tcW w:w="2720" w:type="dxa"/>
            <w:vAlign w:val="bottom"/>
          </w:tcPr>
          <w:p>
            <w:pPr>
              <w:spacing w:after="0"/>
              <w:rPr>
                <w:sz w:val="18"/>
                <w:szCs w:val="18"/>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89"/>
              </w:rPr>
              <w:t>certain of our debt securities and for general corporate purposes. For more details, see</w:t>
            </w:r>
          </w:p>
        </w:tc>
      </w:tr>
      <w:tr>
        <w:trPr>
          <w:trHeight w:val="230"/>
        </w:trPr>
        <w:tc>
          <w:tcPr>
            <w:tcW w:w="2720" w:type="dxa"/>
            <w:vAlign w:val="bottom"/>
          </w:tcPr>
          <w:p>
            <w:pPr>
              <w:spacing w:after="0"/>
              <w:rPr>
                <w:sz w:val="20"/>
                <w:szCs w:val="20"/>
                <w:color w:val="auto"/>
              </w:rPr>
            </w:pPr>
          </w:p>
        </w:tc>
        <w:tc>
          <w:tcPr>
            <w:tcW w:w="4440" w:type="dxa"/>
            <w:vAlign w:val="bottom"/>
            <w:gridSpan w:val="2"/>
          </w:tcPr>
          <w:p>
            <w:pPr>
              <w:ind w:left="960"/>
              <w:spacing w:after="0"/>
              <w:rPr>
                <w:sz w:val="20"/>
                <w:szCs w:val="20"/>
                <w:color w:val="auto"/>
              </w:rPr>
            </w:pPr>
            <w:r>
              <w:rPr>
                <w:rFonts w:ascii="Arial" w:cs="Arial" w:eastAsia="Arial" w:hAnsi="Arial"/>
                <w:sz w:val="18"/>
                <w:szCs w:val="18"/>
                <w:color w:val="auto"/>
              </w:rPr>
              <w:t>“Use of Proceeds.”</w:t>
            </w: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Trustee</w:t>
            </w:r>
          </w:p>
        </w:tc>
        <w:tc>
          <w:tcPr>
            <w:tcW w:w="5840" w:type="dxa"/>
            <w:vAlign w:val="bottom"/>
            <w:gridSpan w:val="3"/>
          </w:tcPr>
          <w:p>
            <w:pPr>
              <w:ind w:left="960"/>
              <w:spacing w:after="0"/>
              <w:rPr>
                <w:sz w:val="20"/>
                <w:szCs w:val="20"/>
                <w:color w:val="auto"/>
              </w:rPr>
            </w:pPr>
            <w:r>
              <w:rPr>
                <w:rFonts w:ascii="Arial" w:cs="Arial" w:eastAsia="Arial" w:hAnsi="Arial"/>
                <w:sz w:val="18"/>
                <w:szCs w:val="18"/>
                <w:color w:val="auto"/>
              </w:rPr>
              <w:t>The Bank of New York Mellon Trust Company, N.A.</w:t>
            </w:r>
          </w:p>
        </w:tc>
        <w:tc>
          <w:tcPr>
            <w:tcW w:w="132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Additional Issues</w:t>
            </w: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0"/>
              </w:rPr>
              <w:t>We may, without the consent of the holders, create and issue additional notes of each</w:t>
            </w:r>
          </w:p>
        </w:tc>
      </w:tr>
      <w:tr>
        <w:trPr>
          <w:trHeight w:val="230"/>
        </w:trPr>
        <w:tc>
          <w:tcPr>
            <w:tcW w:w="2720" w:type="dxa"/>
            <w:vAlign w:val="bottom"/>
          </w:tcPr>
          <w:p>
            <w:pPr>
              <w:spacing w:after="0"/>
              <w:rPr>
                <w:sz w:val="20"/>
                <w:szCs w:val="20"/>
                <w:color w:val="auto"/>
              </w:rPr>
            </w:pPr>
          </w:p>
        </w:tc>
        <w:tc>
          <w:tcPr>
            <w:tcW w:w="7160" w:type="dxa"/>
            <w:vAlign w:val="bottom"/>
            <w:gridSpan w:val="4"/>
          </w:tcPr>
          <w:p>
            <w:pPr>
              <w:ind w:left="960"/>
              <w:spacing w:after="0"/>
              <w:rPr>
                <w:sz w:val="20"/>
                <w:szCs w:val="20"/>
                <w:color w:val="auto"/>
              </w:rPr>
            </w:pPr>
            <w:r>
              <w:rPr>
                <w:rFonts w:ascii="Arial" w:cs="Arial" w:eastAsia="Arial" w:hAnsi="Arial"/>
                <w:sz w:val="18"/>
                <w:szCs w:val="18"/>
                <w:color w:val="auto"/>
                <w:w w:val="90"/>
              </w:rPr>
              <w:t>series ranking equally and ratably with the notes of such series in all respects, so that</w:t>
            </w:r>
          </w:p>
        </w:tc>
      </w:tr>
    </w:tbl>
    <w:p>
      <w:pPr>
        <w:ind w:left="4600" w:right="260"/>
        <w:spacing w:after="0" w:line="261" w:lineRule="auto"/>
        <w:rPr>
          <w:sz w:val="20"/>
          <w:szCs w:val="20"/>
          <w:color w:val="auto"/>
        </w:rPr>
      </w:pPr>
      <w:r>
        <w:rPr>
          <w:rFonts w:ascii="Arial" w:cs="Arial" w:eastAsia="Arial" w:hAnsi="Arial"/>
          <w:sz w:val="18"/>
          <w:szCs w:val="18"/>
          <w:color w:val="auto"/>
        </w:rPr>
        <w:t>such additional notes shall be considered and form a single series with the notes of such series.</w:t>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r>
      <w:tr>
        <w:trPr>
          <w:trHeight w:val="264"/>
        </w:trPr>
        <w:tc>
          <w:tcPr>
            <w:tcW w:w="64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r>
      <w:tr>
        <w:trPr>
          <w:trHeight w:val="20"/>
        </w:trPr>
        <w:tc>
          <w:tcPr>
            <w:tcW w:w="6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920" w:right="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earnings before taxes, cumulative effects of changes in accounting principles, losses in equity investments, minority interest expense and fixed charges. Fixed charges consist of total interest, whether expensed or capitalized, and the portion of our operating lease rental expense that represents an interest factor.</w:t>
      </w:r>
    </w:p>
    <w:p>
      <w:pPr>
        <w:sectPr>
          <w:pgSz w:w="11900" w:h="16838" w:orient="portrait"/>
          <w:cols w:equalWidth="0" w:num="1">
            <w:col w:w="10760"/>
          </w:cols>
          <w:pgMar w:left="240" w:top="419"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December 31, 2008, our operating subsidiaries had $3.25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have substantial indebtedness.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substantial indebtedness. At December 31, 2008, our ratio of total debt to total capitalization was 58.5% and our total</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consolidated indebtedness as of December 31, 2008 was $8.33 billion. Our annual debt service obligations vary due to differing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maturities on all of our debt instruments; however, our total interest expense for the twelve months ended December 31, 2008 was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$472 million. A 1% increase in interest rates for our variable rate instruments, including our interest rate swaps, would have increased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interest expense for the twelve months ended December 31, 2008 by 6.4%, or $30 million. Such an increase would have caused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coverage ratio, which we calculate as consolidated net income plus interest and income taxes over interest expense, to decrease from 4.7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1 to 4.4 to 1 for the twelve months ended December 31, 2008. Although such an interest rate increase would also affect our other debt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covenants, we would still be in compliance with all of these covenants, including the coverage ratio covenant. However, any more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substantial increases in interest rates for our variable rate instruments could affect our compliance with our debt covenants, liquidity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ability to service our debt, including making payments on the notes.</w:t>
      </w:r>
    </w:p>
    <w:p>
      <w:pPr>
        <w:spacing w:after="0" w:line="116" w:lineRule="exact"/>
        <w:rPr>
          <w:sz w:val="20"/>
          <w:szCs w:val="20"/>
          <w:color w:val="auto"/>
        </w:rPr>
      </w:pPr>
    </w:p>
    <w:p>
      <w:pPr>
        <w:ind w:left="700" w:right="360" w:firstLine="397"/>
        <w:spacing w:after="0" w:line="279" w:lineRule="auto"/>
        <w:rPr>
          <w:sz w:val="20"/>
          <w:szCs w:val="20"/>
          <w:color w:val="auto"/>
        </w:rPr>
      </w:pPr>
      <w:r>
        <w:rPr>
          <w:rFonts w:ascii="Arial" w:cs="Arial" w:eastAsia="Arial" w:hAnsi="Arial"/>
          <w:sz w:val="17"/>
          <w:szCs w:val="17"/>
          <w:color w:val="auto"/>
        </w:rPr>
        <w:t>The degree to which we are leveraged could adversely affect our ability to obtain additional financing and could make us more vulnerable to industry downturns or competitive pressures, all of which could materially adversely affect our ability to meet our debt service obligations. Additionally, our indentures do not limit the amount of future indebtedness that we can create, incur, assume or guarantee. The incurrence of additional debt could exacerbate any risks associated with our liquidity.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0"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94" w:lineRule="exact"/>
        <w:rPr>
          <w:sz w:val="20"/>
          <w:szCs w:val="20"/>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The availability of credit in the second half of 2008 was severely limited, which negatively affected business and consumer spending generally. If our customers do not have access to capital, we do not expect that our volumes will improve or that we will increase new business. Additionally, if we are unable to access credit on favorable terms, our growth, development and capital spending plans may be adversely affected.</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8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and we have continued our fuel surcharge program, all of which have increased our internal revenue growth.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Additionally, in February 2009 we announced that we had taken steps to realign our field operations to combine several of our market areas in an effort to achieve greater economies of scale in our local and regional operations and our corporate organization to provide support functions more efficiently. If we are not able to fully or successfully implement our plans and strategies for any reason, many of which are out of our control, we may not see the expected improvements in our income from operations or our operating margins.</w:t>
      </w:r>
    </w:p>
    <w:p>
      <w:pPr>
        <w:spacing w:after="0" w:line="191"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86"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We could be liable if our operations cause environmental damage to our properties or to the property of other landowners, particularly as a result of the contamination of air, drinking water or soil. Under current law,</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94"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77"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14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Governmental authorities may enact climate change regulations that could increase our costs to operate.</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Environmental advocacy groups and regulatory agencies in the United States have been focusing considerable attention on the emissions of greenhouse gases and their potential role in climate change. The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97" w:lineRule="auto"/>
        <w:rPr>
          <w:sz w:val="20"/>
          <w:szCs w:val="20"/>
          <w:color w:val="auto"/>
        </w:rPr>
      </w:pPr>
      <w:r>
        <w:rPr>
          <w:rFonts w:ascii="Arial" w:cs="Arial" w:eastAsia="Arial" w:hAnsi="Arial"/>
          <w:sz w:val="16"/>
          <w:szCs w:val="16"/>
          <w:color w:val="auto"/>
        </w:rPr>
        <w:t>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9%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86" w:lineRule="exact"/>
        <w:rPr>
          <w:sz w:val="20"/>
          <w:szCs w:val="20"/>
          <w:color w:val="auto"/>
        </w:rPr>
      </w:pPr>
    </w:p>
    <w:p>
      <w:pPr>
        <w:ind w:left="900" w:right="24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7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do not anticipate any unmanageable difficulty in obtaining financial assurance instruments in the future, although general economic factors may adversely affect the cost of our current financial assurance instruments.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The recent downturn in the recycling commodities market could potentially cause the carrying value of our recycling operations’ assets to be lower than their fair value, resulting in an impairment to goodwill.</w:t>
      </w:r>
    </w:p>
    <w:p>
      <w:pPr>
        <w:spacing w:after="0" w:line="72"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 and 72%, respectively, from their high points within the year. The decline in market prices for commodities resulted in a fourth quarter 2008 year-over-year decrease in revenue of almost $100 million. Additionally,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8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as longer-term agreements expire and are up for renewal, or as market prices remain at lower levels for sustained periods, our revenues will be adversely affected. Additionally, revenues from our independent power production plants can be affected by price fluctuations. In the past two years, the year-over-year changes in the average quarterly electricity prices have ranged from increases of as much as 26% to decreases of as much as 5%.</w:t>
      </w:r>
    </w:p>
    <w:p>
      <w:pPr>
        <w:spacing w:after="0" w:line="206" w:lineRule="exact"/>
        <w:rPr>
          <w:sz w:val="20"/>
          <w:szCs w:val="20"/>
          <w:color w:val="auto"/>
        </w:rPr>
      </w:pPr>
    </w:p>
    <w:p>
      <w:pPr>
        <w:ind w:left="900" w:right="54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Considerable attention has been focused on proposed legislation that could amend the National Labor Relations Act that would make it easier for unions to become recognized as the bargaining representatives for employees. Depending on the form of legislation, if any, that is ultimately enacted, it is reasonably possible that our operating expenses would increase as a result of the provisions of such legislation. If we are unable to negotiate acceptable collective bargaining agreements, or future legislation requires us to submit the terms of employment to binding arbitration in the event an agreement can not be reached in a timely manner, our operating expenses could increase significantly as a result of work stoppages, including strikes, or unfavorable terms in such agreements that result from arbitration. Any of these matters could adversely affect our financial condition, results of operations and cash flows.</w:t>
      </w:r>
    </w:p>
    <w:p>
      <w:pPr>
        <w:spacing w:after="0" w:line="186"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0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There can be no assurances that our issues related to the licensed application will not ultimately result in an impairment charge, which could be material. Additionally, any systems failures could impede our ability to timely collect and report financial results in accordance with applicable laws and regulations.</w:t>
      </w:r>
    </w:p>
    <w:p>
      <w:pPr>
        <w:spacing w:after="0" w:line="206"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currently expect to meet our anticipated cash needs for capital expenditures, scheduled debt repayments, acquisitions and other cash expenditures with our cash flows from operations and, to the extent necessary and available, additional financings. However, materially adverse events, including recent economic conditions, may reduce our cash flows from operations. Our Board of Directors has approved a capital allocation program for 2009 that provides for up to $1.3 billion in aggregate dividend payments, share repurchases, acquisitions and debt reductions. In December 2008, we announced that we expect future</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3" w:lineRule="auto"/>
        <w:rPr>
          <w:sz w:val="20"/>
          <w:szCs w:val="20"/>
          <w:color w:val="auto"/>
        </w:rPr>
      </w:pPr>
      <w:r>
        <w:rPr>
          <w:rFonts w:ascii="Arial" w:cs="Arial" w:eastAsia="Arial" w:hAnsi="Arial"/>
          <w:sz w:val="17"/>
          <w:szCs w:val="17"/>
          <w:color w:val="auto"/>
        </w:rPr>
        <w:t>quarterly dividend payments, when declared by the Board of Directors, to be $0.29 per share. If the impact on our cash flows from operations is significant, we may need to reduce capital expenditures, acquisition activity or dividend declarations unless we are able to incur indebtedness to either pay for these activities or refinance our scheduled debt maturities. In light of the recent state of the credit markets, there can be no assurances that we will be able to obtain additional financings on acceptable terms. In these circumstances, we would likely use our revolving credit facility to meet our cash needs, to the extent available. As of December 31, 2008, we had $297 million of capacity under our revolving credit facility.</w:t>
      </w:r>
    </w:p>
    <w:p>
      <w:pPr>
        <w:spacing w:after="0" w:line="84" w:lineRule="exact"/>
        <w:rPr>
          <w:sz w:val="20"/>
          <w:szCs w:val="20"/>
          <w:color w:val="auto"/>
        </w:rPr>
      </w:pPr>
    </w:p>
    <w:p>
      <w:pPr>
        <w:jc w:val="both"/>
        <w:ind w:left="700" w:right="100" w:firstLine="397"/>
        <w:spacing w:after="0" w:line="259" w:lineRule="auto"/>
        <w:rPr>
          <w:sz w:val="20"/>
          <w:szCs w:val="20"/>
          <w:color w:val="auto"/>
        </w:rPr>
      </w:pPr>
      <w:r>
        <w:rPr>
          <w:rFonts w:ascii="Arial" w:cs="Arial" w:eastAsia="Arial" w:hAnsi="Arial"/>
          <w:sz w:val="18"/>
          <w:szCs w:val="18"/>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30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We expect the net proceeds from the offering of the notes to be $ million, after deducting discounts to the underwriters and estimated expenses of the offering that we will pay. We intend to use the net proceeds to repay the $500 million principal amount of our outstanding 6.875% Senior Notes when they mature in May 2009. We intend to use any remaining proceeds for general corporate purposes, which may include repayments of amounts outstanding under our revolving credit facility. Pending application of the offering proceeds as described, we may temporarily invest the proceeds in short-term investments.</w:t>
      </w:r>
    </w:p>
    <w:p>
      <w:pPr>
        <w:spacing w:after="0" w:line="78"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Affiliates of some of the underwriters are lenders under our revolving credit facility and may receive a share of the proceeds of this offering as a result of any repayment of outstanding indebtedness under our revolving credit facility. See “Underwriting.”</w:t>
      </w:r>
    </w:p>
    <w:p>
      <w:pPr>
        <w:spacing w:after="0" w:line="3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December 31, 2008 and as adjusted to give effect to the offering of the notes and the application of the estimated net proceeds as described under “Use of Proceeds.”</w:t>
      </w:r>
    </w:p>
    <w:p>
      <w:pPr>
        <w:spacing w:after="0" w:line="87"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(weighted average interest rate of 2.4% at December 31, 2008)(a)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3.3% at December 31, 2008)(b)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Maturing through 2032, interest rates ranging from 5.0% to 7.75% (weighted average interest rate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color w:val="auto"/>
              </w:rPr>
              <w:t>6.8% at December 31,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Senior Notes due 2015 offered hereby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740"/>
              <w:spacing w:after="0"/>
              <w:rPr>
                <w:sz w:val="20"/>
                <w:szCs w:val="20"/>
                <w:color w:val="auto"/>
              </w:rPr>
            </w:pPr>
            <w:r>
              <w:rPr>
                <w:rFonts w:ascii="Arial" w:cs="Arial" w:eastAsia="Arial" w:hAnsi="Arial"/>
                <w:sz w:val="18"/>
                <w:szCs w:val="18"/>
                <w:color w:val="auto"/>
              </w:rPr>
              <w:t>% Senior Notes due 2019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Tax-exempt bonds maturing through 2039, fixed and variable interest rates ranging from 0.9% to 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interest rate of 3.9% at December 31, 2008)(c)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spacing w:after="0" w:line="201" w:lineRule="exact"/>
              <w:rPr>
                <w:sz w:val="20"/>
                <w:szCs w:val="20"/>
                <w:color w:val="auto"/>
              </w:rPr>
            </w:pPr>
            <w:r>
              <w:rPr>
                <w:rFonts w:ascii="Arial" w:cs="Arial" w:eastAsia="Arial" w:hAnsi="Arial"/>
                <w:sz w:val="18"/>
                <w:szCs w:val="18"/>
                <w:color w:val="auto"/>
                <w:w w:val="98"/>
              </w:rPr>
              <w:t>Tax-exempt project bonds, principal payable in periodic installments, maturing through 2029, fixed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w w:val="92"/>
              </w:rPr>
              <w:t>variable interest rates ranging from 1.2% to 9.3% (weighted average interest rate of 4.9% at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2008)(d)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Treasury stock at cost, 139,546,915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debt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14,228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hanging="40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party to a $2.4 billion revolving credit facility that matures on August 17, 2011.</w:t>
      </w:r>
    </w:p>
    <w:p>
      <w:pPr>
        <w:spacing w:after="0" w:line="63" w:lineRule="exact"/>
        <w:rPr>
          <w:rFonts w:ascii="Arial" w:cs="Arial" w:eastAsia="Arial" w:hAnsi="Arial"/>
          <w:sz w:val="18"/>
          <w:szCs w:val="18"/>
          <w:color w:val="auto"/>
        </w:rPr>
      </w:pPr>
    </w:p>
    <w:p>
      <w:pPr>
        <w:ind w:left="1100" w:right="480" w:hanging="407"/>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 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100" w:right="340" w:hanging="407"/>
        <w:spacing w:after="0" w:line="305"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ind w:left="1100" w:right="180" w:hanging="407"/>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80" w:firstLine="397"/>
        <w:spacing w:after="0" w:line="327" w:lineRule="auto"/>
        <w:rPr>
          <w:sz w:val="20"/>
          <w:szCs w:val="20"/>
          <w:color w:val="auto"/>
        </w:rPr>
      </w:pPr>
      <w:r>
        <w:rPr>
          <w:rFonts w:ascii="Arial" w:cs="Arial" w:eastAsia="Arial" w:hAnsi="Arial"/>
          <w:sz w:val="15"/>
          <w:szCs w:val="15"/>
          <w:color w:val="auto"/>
        </w:rPr>
        <w:t>The notes of each series will be issued under and pursuant to an Indenture dated as of September 10, 1997, between us and The Bank of New York Mellon Trust Company, N.A. (the current successor to Texas Commerce Bank National Association), as Trustee. The 2015 notes and 2019 notes are separate series of notes under the Indenture. We will issue the notes of each series pursuant to a resolution of our Board of Directors and accompanying officers’ certificate setting forth the specific terms applicable to the notes of each series.</w:t>
      </w:r>
    </w:p>
    <w:p>
      <w:pPr>
        <w:spacing w:after="0" w:line="4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420" w:hanging="202"/>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constitute new and separate series of debt securities issued under the Indenture: the 2015 notes will be initially limited to an aggregate principal amount of $ million and the 2019 notes will be initially limited to an aggregate principal amount of</w:t>
      </w:r>
    </w:p>
    <w:p>
      <w:pPr>
        <w:ind w:left="1660" w:hanging="36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million;</w:t>
      </w:r>
    </w:p>
    <w:p>
      <w:pPr>
        <w:spacing w:after="0" w:line="103" w:lineRule="exact"/>
        <w:rPr>
          <w:sz w:val="20"/>
          <w:szCs w:val="20"/>
          <w:color w:val="auto"/>
        </w:rPr>
      </w:pPr>
    </w:p>
    <w:p>
      <w:pPr>
        <w:ind w:left="1100"/>
        <w:spacing w:after="0"/>
        <w:tabs>
          <w:tab w:leader="none" w:pos="1280" w:val="left"/>
          <w:tab w:leader="none" w:pos="2460" w:val="left"/>
          <w:tab w:leader="none" w:pos="5760" w:val="left"/>
        </w:tabs>
        <w:rPr>
          <w:sz w:val="20"/>
          <w:szCs w:val="20"/>
          <w:color w:val="auto"/>
        </w:rPr>
      </w:pPr>
      <w:r>
        <w:rPr>
          <w:rFonts w:ascii="Arial" w:cs="Arial" w:eastAsia="Arial" w:hAnsi="Arial"/>
          <w:sz w:val="18"/>
          <w:szCs w:val="18"/>
          <w:color w:val="auto"/>
        </w:rPr>
        <w:t>•</w:t>
        <w:tab/>
        <w:t>mature on</w:t>
      </w:r>
      <w:r>
        <w:rPr>
          <w:sz w:val="20"/>
          <w:szCs w:val="20"/>
          <w:color w:val="auto"/>
        </w:rPr>
        <w:tab/>
      </w:r>
      <w:r>
        <w:rPr>
          <w:rFonts w:ascii="Arial" w:cs="Arial" w:eastAsia="Arial" w:hAnsi="Arial"/>
          <w:sz w:val="18"/>
          <w:szCs w:val="18"/>
          <w:color w:val="auto"/>
        </w:rPr>
        <w:t>, 2015 in the case of the 2015 notes and</w:t>
      </w:r>
      <w:r>
        <w:rPr>
          <w:sz w:val="20"/>
          <w:szCs w:val="20"/>
          <w:color w:val="auto"/>
        </w:rPr>
        <w:tab/>
      </w:r>
      <w:r>
        <w:rPr>
          <w:rFonts w:ascii="Arial" w:cs="Arial" w:eastAsia="Arial" w:hAnsi="Arial"/>
          <w:sz w:val="16"/>
          <w:szCs w:val="16"/>
          <w:color w:val="auto"/>
        </w:rPr>
        <w:t>, 2019, in the case of the 2019 notes;</w:t>
      </w:r>
    </w:p>
    <w:p>
      <w:pPr>
        <w:spacing w:after="0" w:line="117"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gridSpan w:val="2"/>
          </w:tcPr>
          <w:p>
            <w:pPr>
              <w:ind w:left="60"/>
              <w:spacing w:after="0"/>
              <w:rPr>
                <w:sz w:val="20"/>
                <w:szCs w:val="20"/>
                <w:color w:val="auto"/>
              </w:rPr>
            </w:pPr>
            <w:r>
              <w:rPr>
                <w:rFonts w:ascii="Arial" w:cs="Arial" w:eastAsia="Arial" w:hAnsi="Arial"/>
                <w:sz w:val="18"/>
                <w:szCs w:val="18"/>
                <w:color w:val="auto"/>
                <w:w w:val="91"/>
              </w:rPr>
              <w:t>accrue on the 2015 notes at the rate of</w:t>
            </w:r>
          </w:p>
        </w:tc>
        <w:tc>
          <w:tcPr>
            <w:tcW w:w="5540" w:type="dxa"/>
            <w:vAlign w:val="bottom"/>
            <w:gridSpan w:val="4"/>
          </w:tcPr>
          <w:p>
            <w:pPr>
              <w:jc w:val="right"/>
              <w:ind w:right="70"/>
              <w:spacing w:after="0"/>
              <w:rPr>
                <w:sz w:val="20"/>
                <w:szCs w:val="20"/>
                <w:color w:val="auto"/>
              </w:rPr>
            </w:pPr>
            <w:r>
              <w:rPr>
                <w:rFonts w:ascii="Arial" w:cs="Arial" w:eastAsia="Arial" w:hAnsi="Arial"/>
                <w:sz w:val="18"/>
                <w:szCs w:val="18"/>
                <w:color w:val="auto"/>
                <w:w w:val="91"/>
              </w:rPr>
              <w:t>% per annum and accrue on the 2019 notes at the rate of   % per annum;</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60"/>
              <w:spacing w:after="0"/>
              <w:rPr>
                <w:sz w:val="20"/>
                <w:szCs w:val="20"/>
                <w:color w:val="auto"/>
              </w:rPr>
            </w:pPr>
            <w:r>
              <w:rPr>
                <w:rFonts w:ascii="Arial" w:cs="Arial" w:eastAsia="Arial" w:hAnsi="Arial"/>
                <w:sz w:val="18"/>
                <w:szCs w:val="18"/>
                <w:color w:val="auto"/>
              </w:rPr>
              <w:t>accrue from</w:t>
            </w:r>
          </w:p>
        </w:tc>
        <w:tc>
          <w:tcPr>
            <w:tcW w:w="5640" w:type="dxa"/>
            <w:vAlign w:val="bottom"/>
            <w:gridSpan w:val="4"/>
          </w:tcPr>
          <w:p>
            <w:pPr>
              <w:ind w:left="240"/>
              <w:spacing w:after="0"/>
              <w:rPr>
                <w:sz w:val="20"/>
                <w:szCs w:val="20"/>
                <w:color w:val="auto"/>
              </w:rPr>
            </w:pPr>
            <w:r>
              <w:rPr>
                <w:rFonts w:ascii="Arial" w:cs="Arial" w:eastAsia="Arial" w:hAnsi="Arial"/>
                <w:sz w:val="18"/>
                <w:szCs w:val="18"/>
                <w:color w:val="auto"/>
              </w:rPr>
              <w:t>, 2009 or the most recent interest payment date;</w:t>
            </w:r>
          </w:p>
        </w:tc>
        <w:tc>
          <w:tcPr>
            <w:tcW w:w="1680" w:type="dxa"/>
            <w:vAlign w:val="bottom"/>
          </w:tcPr>
          <w:p>
            <w:pPr>
              <w:spacing w:after="0"/>
              <w:rPr>
                <w:sz w:val="24"/>
                <w:szCs w:val="24"/>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7"/>
              </w:rPr>
              <w:t>be payable in cash semi-annually in arrears on</w:t>
            </w:r>
          </w:p>
        </w:tc>
        <w:tc>
          <w:tcPr>
            <w:tcW w:w="680" w:type="dxa"/>
            <w:vAlign w:val="bottom"/>
          </w:tcPr>
          <w:p>
            <w:pPr>
              <w:ind w:left="160"/>
              <w:spacing w:after="0"/>
              <w:rPr>
                <w:sz w:val="20"/>
                <w:szCs w:val="20"/>
                <w:color w:val="auto"/>
              </w:rPr>
            </w:pPr>
            <w:r>
              <w:rPr>
                <w:rFonts w:ascii="Arial" w:cs="Arial" w:eastAsia="Arial" w:hAnsi="Arial"/>
                <w:sz w:val="18"/>
                <w:szCs w:val="18"/>
                <w:color w:val="auto"/>
              </w:rPr>
              <w:t>and</w:t>
            </w:r>
          </w:p>
        </w:tc>
        <w:tc>
          <w:tcPr>
            <w:tcW w:w="2380" w:type="dxa"/>
            <w:vAlign w:val="bottom"/>
          </w:tcPr>
          <w:p>
            <w:pPr>
              <w:ind w:left="240"/>
              <w:spacing w:after="0"/>
              <w:rPr>
                <w:sz w:val="20"/>
                <w:szCs w:val="20"/>
                <w:color w:val="auto"/>
              </w:rPr>
            </w:pPr>
            <w:r>
              <w:rPr>
                <w:rFonts w:ascii="Arial" w:cs="Arial" w:eastAsia="Arial" w:hAnsi="Arial"/>
                <w:sz w:val="18"/>
                <w:szCs w:val="18"/>
                <w:color w:val="auto"/>
                <w:w w:val="99"/>
              </w:rPr>
              <w:t>of each year, beginning on</w:t>
            </w:r>
          </w:p>
        </w:tc>
        <w:tc>
          <w:tcPr>
            <w:tcW w:w="1680" w:type="dxa"/>
            <w:vAlign w:val="bottom"/>
          </w:tcPr>
          <w:p>
            <w:pPr>
              <w:jc w:val="right"/>
              <w:ind w:right="870"/>
              <w:spacing w:after="0"/>
              <w:rPr>
                <w:sz w:val="20"/>
                <w:szCs w:val="20"/>
                <w:color w:val="auto"/>
              </w:rPr>
            </w:pPr>
            <w:r>
              <w:rPr>
                <w:rFonts w:ascii="Arial" w:cs="Arial" w:eastAsia="Arial" w:hAnsi="Arial"/>
                <w:sz w:val="18"/>
                <w:szCs w:val="18"/>
                <w:color w:val="auto"/>
              </w:rPr>
              <w:t>, 2009;</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gridSpan w:val="2"/>
          </w:tcPr>
          <w:p>
            <w:pPr>
              <w:ind w:left="60"/>
              <w:spacing w:after="0"/>
              <w:rPr>
                <w:sz w:val="20"/>
                <w:szCs w:val="20"/>
                <w:color w:val="auto"/>
              </w:rPr>
            </w:pPr>
            <w:r>
              <w:rPr>
                <w:rFonts w:ascii="Arial" w:cs="Arial" w:eastAsia="Arial" w:hAnsi="Arial"/>
                <w:sz w:val="18"/>
                <w:szCs w:val="18"/>
                <w:color w:val="auto"/>
                <w:w w:val="93"/>
              </w:rPr>
              <w:t>be payable to holders of record on the</w:t>
            </w:r>
          </w:p>
        </w:tc>
        <w:tc>
          <w:tcPr>
            <w:tcW w:w="800" w:type="dxa"/>
            <w:vAlign w:val="bottom"/>
          </w:tcPr>
          <w:p>
            <w:pPr>
              <w:ind w:left="360"/>
              <w:spacing w:after="0"/>
              <w:rPr>
                <w:sz w:val="20"/>
                <w:szCs w:val="20"/>
                <w:color w:val="auto"/>
              </w:rPr>
            </w:pPr>
            <w:r>
              <w:rPr>
                <w:rFonts w:ascii="Arial" w:cs="Arial" w:eastAsia="Arial" w:hAnsi="Arial"/>
                <w:sz w:val="18"/>
                <w:szCs w:val="18"/>
                <w:color w:val="auto"/>
              </w:rPr>
              <w:t>and</w:t>
            </w:r>
          </w:p>
        </w:tc>
        <w:tc>
          <w:tcPr>
            <w:tcW w:w="4740" w:type="dxa"/>
            <w:vAlign w:val="bottom"/>
            <w:gridSpan w:val="3"/>
          </w:tcPr>
          <w:p>
            <w:pPr>
              <w:jc w:val="right"/>
              <w:spacing w:after="0"/>
              <w:rPr>
                <w:sz w:val="20"/>
                <w:szCs w:val="20"/>
                <w:color w:val="auto"/>
              </w:rPr>
            </w:pPr>
            <w:r>
              <w:rPr>
                <w:rFonts w:ascii="Arial" w:cs="Arial" w:eastAsia="Arial" w:hAnsi="Arial"/>
                <w:sz w:val="18"/>
                <w:szCs w:val="18"/>
                <w:color w:val="auto"/>
                <w:w w:val="94"/>
              </w:rPr>
              <w:t>immediately preceding the related interest payment dates; and</w:t>
            </w:r>
          </w:p>
        </w:tc>
      </w:tr>
    </w:tbl>
    <w:p>
      <w:pPr>
        <w:spacing w:after="0" w:line="94"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on behalf (for the benefit) of The Bank of New York Mellon Trust Company, N.A., located at 101 Barclay Street, Floor 21 West, New York, New York 10286).</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on behalf (for the benefit) of The Bank of New York Mellon Trust Company, N.A., or by check mailed directly to registered holders at their registered addresses or by wire transfer to an account designated by a registered holder.</w:t>
      </w:r>
    </w:p>
    <w:p>
      <w:pPr>
        <w:spacing w:after="0" w:line="9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notes of each series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w:t>
      </w:r>
    </w:p>
    <w:p>
      <w:pPr>
        <w:spacing w:after="0" w:line="46" w:lineRule="exact"/>
        <w:rPr>
          <w:sz w:val="20"/>
          <w:szCs w:val="20"/>
          <w:color w:val="auto"/>
        </w:rPr>
      </w:pPr>
    </w:p>
    <w:p>
      <w:pPr>
        <w:ind w:left="1300" w:right="20"/>
        <w:spacing w:after="0" w:line="186" w:lineRule="auto"/>
        <w:rPr>
          <w:sz w:val="20"/>
          <w:szCs w:val="20"/>
          <w:color w:val="auto"/>
        </w:rPr>
      </w:pPr>
      <w:r>
        <w:rPr>
          <w:rFonts w:ascii="Arial" w:cs="Arial" w:eastAsia="Arial" w:hAnsi="Arial"/>
          <w:sz w:val="12"/>
          <w:szCs w:val="12"/>
          <w:color w:val="auto"/>
        </w:rPr>
        <w:t>calculation of the redemption price) on the notes of the applicable series to be redeemed (exclusive of interest accrued to the date of redemption) discounted to the date of redemption on a semi-annual basis (assuming a 360-day year consisting of twelve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30-day months) at the applicable Treasury Yield plus basis points for the 2015 notes and at the applicable Treasury Yield plus basis points for the 2019 notes;</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either series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of a series, the rate per annum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semi-annual equivalent yield to maturity (computed as of the third business day immediately preceding the redemption date) of the Comparable Treasury Issue, assuming a price for the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Comparable Treasury Issue (expressed as a percentage of its principal amount) equal to the applicable Comparable Treasury Price for the redemption date.</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comparable to the remaining term of the notes of the series to be redeemed that would be utilized, at the time of selection and in accordance with customary financial practice, in pricing new issues of corporate debt securities of comparable maturity to the remaining term of the notes of such series.</w:t>
      </w:r>
    </w:p>
    <w:p>
      <w:pPr>
        <w:spacing w:after="0" w:line="92"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Barclays Capital Inc., Credit Suisse Securities (USA) LLC, Deutsche Bank</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9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(a) the bid price for the Comparable Treasury Issue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“Reference Treasury Dealer” </w:t>
      </w:r>
      <w:r>
        <w:rPr>
          <w:rFonts w:ascii="Arial" w:cs="Arial" w:eastAsia="Arial" w:hAnsi="Arial"/>
          <w:sz w:val="17"/>
          <w:szCs w:val="17"/>
          <w:color w:val="auto"/>
        </w:rPr>
        <w:t>means (i) each of Barclays Capital Inc., Credit Suisse Securities (USA) LLC, Deutsche Bank</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Securities Inc. and Greenwich Capital Markets, Inc. (and their respective successors), unless any of them ceases to be a primary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 government securities dealer in New York City (a “Primary Treasury Dealer”), in which case we will substitute therefore another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Primary Treasury Dealer, and (ii) any other Primary Treasury Dealer selected by us.</w:t>
      </w:r>
    </w:p>
    <w:p>
      <w:pPr>
        <w:spacing w:after="0" w:line="116"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of a series,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680" w:firstLine="397"/>
        <w:spacing w:after="0" w:line="308" w:lineRule="auto"/>
        <w:rPr>
          <w:sz w:val="20"/>
          <w:szCs w:val="20"/>
          <w:color w:val="auto"/>
        </w:rPr>
      </w:pPr>
      <w:r>
        <w:rPr>
          <w:rFonts w:ascii="Arial" w:cs="Arial" w:eastAsia="Arial" w:hAnsi="Arial"/>
          <w:sz w:val="17"/>
          <w:szCs w:val="17"/>
          <w:color w:val="auto"/>
        </w:rPr>
        <w:t>Each series of notes will be subject to legal defeasance and to covenant defeasance as provided under “Description of Debt Securities — Provisions Applicable to Each Indenture — Defeasance” in the accompanying prospectus.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87" w:lineRule="exact"/>
        <w:rPr>
          <w:sz w:val="20"/>
          <w:szCs w:val="20"/>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200" w:firstLine="372"/>
        <w:spacing w:after="0" w:line="312" w:lineRule="auto"/>
        <w:tabs>
          <w:tab w:leader="none" w:pos="20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00" w:hanging="248"/>
        <w:spacing w:after="0"/>
        <w:tabs>
          <w:tab w:leader="none" w:pos="2100" w:val="left"/>
        </w:tabs>
        <w:numPr>
          <w:ilvl w:val="2"/>
          <w:numId w:val="12"/>
        </w:numPr>
        <w:rPr>
          <w:rFonts w:ascii="Arial" w:cs="Arial" w:eastAsia="Arial" w:hAnsi="Arial"/>
          <w:sz w:val="17"/>
          <w:szCs w:val="17"/>
          <w:color w:val="auto"/>
        </w:rPr>
      </w:pPr>
      <w:r>
        <w:rPr>
          <w:rFonts w:ascii="Arial" w:cs="Arial" w:eastAsia="Arial" w:hAnsi="Arial"/>
          <w:sz w:val="17"/>
          <w:szCs w:val="17"/>
          <w:color w:val="auto"/>
        </w:rPr>
        <w:t>all notes of that series not theretofore delivered to the Trustee for cancellation (i) have become due and payable,</w:t>
      </w:r>
    </w:p>
    <w:p>
      <w:pPr>
        <w:spacing w:after="0" w:line="34" w:lineRule="exact"/>
        <w:rPr>
          <w:rFonts w:ascii="Arial" w:cs="Arial" w:eastAsia="Arial" w:hAnsi="Arial"/>
          <w:sz w:val="17"/>
          <w:szCs w:val="17"/>
          <w:color w:val="auto"/>
        </w:rPr>
      </w:pPr>
    </w:p>
    <w:p>
      <w:pPr>
        <w:jc w:val="both"/>
        <w:ind w:left="1480" w:firstLine="7"/>
        <w:spacing w:after="0" w:line="315" w:lineRule="auto"/>
        <w:tabs>
          <w:tab w:leader="none" w:pos="1745" w:val="left"/>
        </w:tabs>
        <w:numPr>
          <w:ilvl w:val="1"/>
          <w:numId w:val="13"/>
        </w:numPr>
        <w:rPr>
          <w:rFonts w:ascii="Arial" w:cs="Arial" w:eastAsia="Arial" w:hAnsi="Arial"/>
          <w:sz w:val="15"/>
          <w:szCs w:val="15"/>
          <w:color w:val="auto"/>
        </w:rPr>
      </w:pPr>
      <w:r>
        <w:rPr>
          <w:rFonts w:ascii="Arial" w:cs="Arial" w:eastAsia="Arial" w:hAnsi="Arial"/>
          <w:sz w:val="15"/>
          <w:szCs w:val="15"/>
          <w:color w:val="auto"/>
        </w:rPr>
        <w:t>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55" w:lineRule="exact"/>
        <w:rPr>
          <w:rFonts w:ascii="Arial" w:cs="Arial" w:eastAsia="Arial" w:hAnsi="Arial"/>
          <w:sz w:val="15"/>
          <w:szCs w:val="15"/>
          <w:color w:val="auto"/>
        </w:rPr>
      </w:pPr>
    </w:p>
    <w:p>
      <w:pPr>
        <w:ind w:left="1720" w:hanging="249"/>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75"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As of December 31, 2008, our operating subsidiaries had $3.25 billion of indebtedness and WM Holdings had $638 million of indebtedness (excluding guarantees of $4.3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440" w:firstLine="397"/>
        <w:spacing w:after="0" w:line="257" w:lineRule="auto"/>
        <w:rPr>
          <w:sz w:val="20"/>
          <w:szCs w:val="20"/>
          <w:color w:val="auto"/>
        </w:rPr>
      </w:pPr>
      <w:r>
        <w:rPr>
          <w:rFonts w:ascii="Arial" w:cs="Arial" w:eastAsia="Arial" w:hAnsi="Arial"/>
          <w:sz w:val="18"/>
          <w:szCs w:val="18"/>
          <w:color w:val="auto"/>
        </w:rPr>
        <w:t>WM Holdings will unconditionally guarantee our obligations under the notes of each series.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of each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70"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80"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 by</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i w:val="1"/>
          <w:iCs w:val="1"/>
          <w:color w:val="auto"/>
        </w:rPr>
        <w:t xml:space="preserve">“rating agencies” </w:t>
      </w:r>
      <w:r>
        <w:rPr>
          <w:rFonts w:ascii="Arial" w:cs="Arial" w:eastAsia="Arial" w:hAnsi="Arial"/>
          <w:sz w:val="17"/>
          <w:szCs w:val="17"/>
          <w:color w:val="auto"/>
        </w:rPr>
        <w:t>means (1) each of Fitch, Moody’s and S&amp;P and (2) if any of Fitch, Moody’s or S&amp;P ceases to rate the notes or</w:t>
      </w:r>
      <w:r>
        <w:rPr>
          <w:rFonts w:ascii="Arial" w:cs="Arial" w:eastAsia="Arial" w:hAnsi="Arial"/>
          <w:sz w:val="17"/>
          <w:szCs w:val="17"/>
          <w:i w:val="1"/>
          <w:iCs w:val="1"/>
          <w:color w:val="auto"/>
        </w:rPr>
        <w:t xml:space="preserve"> </w:t>
      </w:r>
      <w:r>
        <w:rPr>
          <w:rFonts w:ascii="Arial" w:cs="Arial" w:eastAsia="Arial" w:hAnsi="Arial"/>
          <w:sz w:val="17"/>
          <w:szCs w:val="17"/>
          <w:color w:val="auto"/>
        </w:rPr>
        <w:t>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“rating event” </w:t>
      </w:r>
      <w:r>
        <w:rPr>
          <w:rFonts w:ascii="Arial" w:cs="Arial" w:eastAsia="Arial" w:hAnsi="Arial"/>
          <w:sz w:val="18"/>
          <w:szCs w:val="18"/>
          <w:color w:val="auto"/>
        </w:rPr>
        <w:t>means the rating on the notes is lowered by at least two of the three rating agencies and the notes are rated below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rating by at least two of the three rating agencies, in any case on any day during the period (which period will be extended so long as the rating of the notes is under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from time to time, without notice or the consent of the registered holders of the notes, create and issue further notes ranking equally and ratably with the notes of either series in all respects (or in all respects except for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160" w:firstLine="397"/>
        <w:spacing w:after="0" w:line="288"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 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beneficial owners will be governed by arrangements among them, subject to any statutory or regulatory requirements as may be in effect from time to time.</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through Euroclear in many currencies, including United States dollars and Japanese yen. Euroclear provides various other services, including securities lending and borrowing and interfaces with domestic markets in several countries generally similar to the arrangements for cross-market transfers with DTC.</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Euroclear is operated by the Euroclear Operator under a contract with Euroclear Clearance System plc, a U.K. corporation, or the “Euroclear Clearance System.” The Euroclear Operator conducts all operations, and all Euroclear securities clearance accounts and Euroclear cash accounts are accounts with the Euroclear Operator, not Euroclear Clearance System. The Euroclear Clearance System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98"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92"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4"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16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80" w:firstLine="397"/>
        <w:spacing w:after="0" w:line="342" w:lineRule="auto"/>
        <w:rPr>
          <w:sz w:val="20"/>
          <w:szCs w:val="20"/>
          <w:color w:val="auto"/>
        </w:rPr>
      </w:pPr>
      <w:r>
        <w:rPr>
          <w:rFonts w:ascii="Arial" w:cs="Arial" w:eastAsia="Arial" w:hAnsi="Arial"/>
          <w:sz w:val="16"/>
          <w:szCs w:val="16"/>
          <w:color w:val="auto"/>
        </w:rPr>
        <w:t>Barclays Capital Inc., Credit Suisse Securities (USA) LLC, Deutsche Bank Securities Inc. and Greenwich Capital Markets, Inc. are acting as joint book-running and joint lead managers of the offering and as representatives of the underwriters named below.</w:t>
      </w:r>
    </w:p>
    <w:p>
      <w:pPr>
        <w:spacing w:after="0" w:line="29"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2015 notes and the 2019 notes set forth opposite the respective underwriters’ names.</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nderwriters</w:t>
            </w:r>
          </w:p>
        </w:tc>
        <w:tc>
          <w:tcPr>
            <w:tcW w:w="1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 of</w:t>
            </w:r>
          </w:p>
        </w:tc>
        <w:tc>
          <w:tcPr>
            <w:tcW w:w="3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2015 Notes</w:t>
            </w:r>
          </w:p>
        </w:tc>
        <w:tc>
          <w:tcPr>
            <w:tcW w:w="3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2019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420" w:type="dxa"/>
            <w:vAlign w:val="bottom"/>
            <w:gridSpan w:val="2"/>
            <w:shd w:val="clear" w:color="auto" w:fill="CCEEFF"/>
          </w:tcPr>
          <w:p>
            <w:pPr>
              <w:jc w:val="right"/>
              <w:ind w:right="144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Greenwich Capital Markets, Inc.</w:t>
            </w: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00"/>
        <w:spacing w:after="0"/>
        <w:tabs>
          <w:tab w:leader="none" w:pos="6940" w:val="left"/>
          <w:tab w:leader="none" w:pos="89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3010" cy="163195"/>
                    </a:xfrm>
                    <a:prstGeom prst="rect">
                      <a:avLst/>
                    </a:prstGeom>
                    <a:noFill/>
                  </pic:spPr>
                </pic:pic>
              </a:graphicData>
            </a:graphic>
          </wp:anchor>
        </w:drawing>
      </w:r>
    </w:p>
    <w:p>
      <w:pPr>
        <w:spacing w:after="0" w:line="164"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The underwriters propose to offer the notes of each series directly to the public at the public offering price set forth on the cover page of this prospectus supplement and may offer notes of each series to dealers at the public offering price less a concession not to exceed % of the principal amount of the 2015 notes and % of the principal amount of the 2019 notes. The underwriters may allow, and dealers may reallow, a concession not to exceed % of the principal amount of the 2015 notes and % of the principal amounts of the 2019 notes on sales to other dealers. After the initial offering of the notes to the public, the representatives may change the public offering price and concessions applicable to the notes of either series.</w:t>
      </w:r>
    </w:p>
    <w:p>
      <w:pPr>
        <w:spacing w:after="0" w:line="9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of either series in excess of the principal amount of notes of that series to be purchased by the underwriters in the offering, which creates a syndicate short position. Syndicate covering transactions involve purchases of the notes of either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95"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of either series.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FMSA does not apply to us.</w:t>
      </w:r>
    </w:p>
    <w:p>
      <w:pPr>
        <w:spacing w:after="0" w:line="64"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Certain of the underwriters or their affiliates have performed investment banking, commercial banking and advisory services for us from time to time for which they have received customary fees and expenses. The underwriters may, from time to time, engage in transactions with and perform services for us in the ordinary course of their business. Affiliates of Barclays Capital Inc., Credit Suisse Securities (USA) LLC, Deutsche Bank Securities Inc. and Greenwich Capital Markets, Inc. serve as lenders under our revolving credit facility. These affiliates of the underwriters may receive a portion of the proceeds from this offering as a result of any repayment of outstanding indebtedness thereunder, which may in aggregate be more than 10% of the net proceeds of this offering. Accordingly, this offering is being conducted in accordance with the requirements of Rule 5110 of the Financial Industry Regulatory Authority.</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2008 including the schedule appearing therein, and the effectiveness of Waste Management’s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163195</wp:posOffset>
            </wp:positionV>
            <wp:extent cx="1269365"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19"/>
        <w:spacing w:after="0"/>
        <w:rPr>
          <w:sz w:val="20"/>
          <w:szCs w:val="20"/>
          <w:color w:val="auto"/>
        </w:rPr>
      </w:pPr>
      <w:r>
        <w:rPr>
          <w:rFonts w:ascii="Arial" w:cs="Arial" w:eastAsia="Arial" w:hAnsi="Arial"/>
          <w:sz w:val="32"/>
          <w:szCs w:val="32"/>
          <w:b w:val="1"/>
          <w:bCs w:val="1"/>
          <w:color w:val="auto"/>
        </w:rPr>
        <w:t>WASTE MANAGEMENT, INC.</w:t>
      </w:r>
    </w:p>
    <w:p>
      <w:pPr>
        <w:spacing w:after="0" w:line="133"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DEBT SECURITIES</w:t>
      </w:r>
    </w:p>
    <w:p>
      <w:pPr>
        <w:spacing w:after="0" w:line="34"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COMMON STOCK</w:t>
      </w:r>
    </w:p>
    <w:p>
      <w:pPr>
        <w:jc w:val="center"/>
        <w:ind w:right="-819"/>
        <w:spacing w:after="0"/>
        <w:rPr>
          <w:sz w:val="20"/>
          <w:szCs w:val="20"/>
          <w:color w:val="auto"/>
        </w:rPr>
      </w:pPr>
      <w:r>
        <w:rPr>
          <w:rFonts w:ascii="Arial" w:cs="Arial" w:eastAsia="Arial" w:hAnsi="Arial"/>
          <w:sz w:val="27"/>
          <w:szCs w:val="27"/>
          <w:b w:val="1"/>
          <w:bCs w:val="1"/>
          <w:color w:val="auto"/>
        </w:rPr>
        <w:t>PREFERRED STOCK</w:t>
      </w:r>
    </w:p>
    <w:p>
      <w:pPr>
        <w:jc w:val="center"/>
        <w:ind w:right="-819"/>
        <w:spacing w:after="0"/>
        <w:rPr>
          <w:sz w:val="20"/>
          <w:szCs w:val="20"/>
          <w:color w:val="auto"/>
        </w:rPr>
      </w:pPr>
      <w:r>
        <w:rPr>
          <w:rFonts w:ascii="Arial" w:cs="Arial" w:eastAsia="Arial" w:hAnsi="Arial"/>
          <w:sz w:val="27"/>
          <w:szCs w:val="27"/>
          <w:b w:val="1"/>
          <w:bCs w:val="1"/>
          <w:color w:val="auto"/>
        </w:rPr>
        <w:t>WARRANTS</w:t>
      </w:r>
    </w:p>
    <w:p>
      <w:pPr>
        <w:jc w:val="center"/>
        <w:ind w:right="-819"/>
        <w:spacing w:after="0"/>
        <w:rPr>
          <w:sz w:val="20"/>
          <w:szCs w:val="20"/>
          <w:color w:val="auto"/>
        </w:rPr>
      </w:pPr>
      <w:r>
        <w:rPr>
          <w:rFonts w:ascii="Arial" w:cs="Arial" w:eastAsia="Arial" w:hAnsi="Arial"/>
          <w:sz w:val="27"/>
          <w:szCs w:val="27"/>
          <w:b w:val="1"/>
          <w:bCs w:val="1"/>
          <w:color w:val="auto"/>
        </w:rPr>
        <w:t>GUARANTEES</w:t>
      </w:r>
    </w:p>
    <w:p>
      <w:pPr>
        <w:jc w:val="center"/>
        <w:ind w:right="-819"/>
        <w:spacing w:after="0"/>
        <w:rPr>
          <w:sz w:val="20"/>
          <w:szCs w:val="20"/>
          <w:color w:val="auto"/>
        </w:rPr>
      </w:pPr>
      <w:r>
        <w:rPr>
          <w:rFonts w:ascii="Arial" w:cs="Arial" w:eastAsia="Arial" w:hAnsi="Arial"/>
          <w:sz w:val="27"/>
          <w:szCs w:val="27"/>
          <w:b w:val="1"/>
          <w:bCs w:val="1"/>
          <w:color w:val="auto"/>
        </w:rPr>
        <w:t>UNITS</w:t>
      </w:r>
    </w:p>
    <w:p>
      <w:pPr>
        <w:spacing w:after="0" w:line="109"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“WMI.”</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You should consider carefully the risk factors included in our periodic reports filed with the SEC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16376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31"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36195</wp:posOffset>
            </wp:positionV>
            <wp:extent cx="16376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This prospectus is dated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40" w:firstLine="298"/>
        <w:spacing w:after="0" w:line="275" w:lineRule="auto"/>
        <w:rPr>
          <w:sz w:val="20"/>
          <w:szCs w:val="20"/>
          <w:color w:val="auto"/>
        </w:rPr>
      </w:pPr>
      <w:r>
        <w:rPr>
          <w:rFonts w:ascii="Arial" w:cs="Arial" w:eastAsia="Arial" w:hAnsi="Arial"/>
          <w:sz w:val="16"/>
          <w:szCs w:val="16"/>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90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32">
              <w:r>
                <w:rPr>
                  <w:rFonts w:ascii="Arial" w:cs="Arial" w:eastAsia="Arial" w:hAnsi="Arial"/>
                  <w:sz w:val="16"/>
                  <w:szCs w:val="16"/>
                  <w:color w:val="0000EE"/>
                  <w:w w:val="91"/>
                </w:rPr>
                <w:t>Forward-Looking Statements</w:t>
              </w:r>
            </w:hyperlink>
          </w:p>
        </w:tc>
        <w:tc>
          <w:tcPr>
            <w:tcW w:w="4240" w:type="dxa"/>
            <w:vAlign w:val="bottom"/>
            <w:gridSpan w:val="5"/>
          </w:tcPr>
          <w:p>
            <w:pPr>
              <w:spacing w:after="0"/>
              <w:rPr>
                <w:sz w:val="16"/>
                <w:szCs w:val="16"/>
                <w:color w:val="auto"/>
              </w:rPr>
            </w:pPr>
          </w:p>
        </w:tc>
        <w:tc>
          <w:tcPr>
            <w:tcW w:w="4580" w:type="dxa"/>
            <w:vAlign w:val="bottom"/>
          </w:tcPr>
          <w:p>
            <w:pPr>
              <w:jc w:val="right"/>
              <w:ind w:right="759"/>
              <w:spacing w:after="0"/>
              <w:rPr>
                <w:sz w:val="20"/>
                <w:szCs w:val="20"/>
                <w:color w:val="auto"/>
              </w:rPr>
            </w:pPr>
            <w:r>
              <w:rPr>
                <w:rFonts w:ascii="Arial" w:cs="Arial" w:eastAsia="Arial" w:hAnsi="Arial"/>
                <w:sz w:val="16"/>
                <w:szCs w:val="16"/>
                <w:color w:val="auto"/>
              </w:rPr>
              <w:t>1</w:t>
            </w: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3"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About this Prospectus</w:t>
              </w:r>
            </w:hyperlink>
          </w:p>
        </w:tc>
        <w:tc>
          <w:tcPr>
            <w:tcW w:w="4720" w:type="dxa"/>
            <w:vAlign w:val="bottom"/>
            <w:gridSpan w:val="10"/>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2</w:t>
            </w: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w:anchor="page34">
              <w:r>
                <w:rPr>
                  <w:rFonts w:ascii="Arial" w:cs="Arial" w:eastAsia="Arial" w:hAnsi="Arial"/>
                  <w:sz w:val="16"/>
                  <w:szCs w:val="16"/>
                  <w:color w:val="0000EE"/>
                  <w:w w:val="91"/>
                </w:rPr>
                <w:t>Incorporation by Reference</w:t>
              </w:r>
            </w:hyperlink>
          </w:p>
        </w:tc>
        <w:tc>
          <w:tcPr>
            <w:tcW w:w="4360" w:type="dxa"/>
            <w:vAlign w:val="bottom"/>
            <w:gridSpan w:val="7"/>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3</w:t>
            </w: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Where You Can Find More Information</w:t>
              </w:r>
            </w:hyperlink>
          </w:p>
        </w:tc>
        <w:tc>
          <w:tcPr>
            <w:tcW w:w="3560" w:type="dxa"/>
            <w:vAlign w:val="bottom"/>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w:anchor="page35">
              <w:r>
                <w:rPr>
                  <w:rFonts w:ascii="Arial" w:cs="Arial" w:eastAsia="Arial" w:hAnsi="Arial"/>
                  <w:sz w:val="16"/>
                  <w:szCs w:val="16"/>
                  <w:color w:val="0000EE"/>
                  <w:w w:val="89"/>
                </w:rPr>
                <w:t>The Company</w:t>
              </w:r>
            </w:hyperlink>
          </w:p>
        </w:tc>
        <w:tc>
          <w:tcPr>
            <w:tcW w:w="5220" w:type="dxa"/>
            <w:vAlign w:val="bottom"/>
            <w:gridSpan w:val="1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Ratio of Earnings to Fixed Charges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Use of Proceeds</w:t>
              </w:r>
            </w:hyperlink>
          </w:p>
        </w:tc>
        <w:tc>
          <w:tcPr>
            <w:tcW w:w="3860" w:type="dxa"/>
            <w:vAlign w:val="bottom"/>
            <w:gridSpan w:val="2"/>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Debt Securities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4180" w:type="dxa"/>
            <w:vAlign w:val="bottom"/>
            <w:gridSpan w:val="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Description of Capital Stock</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w:anchor="page46">
              <w:r>
                <w:rPr>
                  <w:rFonts w:ascii="Arial" w:cs="Arial" w:eastAsia="Arial" w:hAnsi="Arial"/>
                  <w:sz w:val="16"/>
                  <w:szCs w:val="16"/>
                  <w:color w:val="0000EE"/>
                  <w:w w:val="92"/>
                </w:rPr>
                <w:t>Description of Other Securities</w:t>
              </w:r>
            </w:hyperlink>
          </w:p>
        </w:tc>
        <w:tc>
          <w:tcPr>
            <w:tcW w:w="4120" w:type="dxa"/>
            <w:vAlign w:val="bottom"/>
            <w:gridSpan w:val="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6">
              <w:r>
                <w:rPr>
                  <w:rFonts w:ascii="Arial" w:cs="Arial" w:eastAsia="Arial" w:hAnsi="Arial"/>
                  <w:sz w:val="16"/>
                  <w:szCs w:val="16"/>
                  <w:color w:val="0000EE"/>
                </w:rPr>
                <w:t>Plan of Distribution</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w:anchor="page48">
              <w:r>
                <w:rPr>
                  <w:rFonts w:ascii="Arial" w:cs="Arial" w:eastAsia="Arial" w:hAnsi="Arial"/>
                  <w:sz w:val="16"/>
                  <w:szCs w:val="16"/>
                  <w:color w:val="0000EE"/>
                  <w:w w:val="92"/>
                </w:rPr>
                <w:t>Selling Securityholders</w:t>
              </w:r>
            </w:hyperlink>
          </w:p>
        </w:tc>
        <w:tc>
          <w:tcPr>
            <w:tcW w:w="4620" w:type="dxa"/>
            <w:vAlign w:val="bottom"/>
            <w:gridSpan w:val="9"/>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Legal Matters</w:t>
              </w:r>
            </w:hyperlink>
          </w:p>
        </w:tc>
        <w:tc>
          <w:tcPr>
            <w:tcW w:w="5240" w:type="dxa"/>
            <w:vAlign w:val="bottom"/>
            <w:gridSpan w:val="1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8">
              <w:r>
                <w:rPr>
                  <w:rFonts w:ascii="Arial" w:cs="Arial" w:eastAsia="Arial" w:hAnsi="Arial"/>
                  <w:sz w:val="16"/>
                  <w:szCs w:val="16"/>
                  <w:color w:val="0000EE"/>
                </w:rPr>
                <w:t>Experts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560" w:type="dxa"/>
            <w:vAlign w:val="bottom"/>
            <w:tcBorders>
              <w:bottom w:val="single" w:sz="8" w:color="808080"/>
            </w:tcBorders>
          </w:tcPr>
          <w:p>
            <w:pPr>
              <w:spacing w:after="0"/>
              <w:rPr>
                <w:sz w:val="21"/>
                <w:szCs w:val="21"/>
                <w:color w:val="auto"/>
              </w:rPr>
            </w:pPr>
          </w:p>
        </w:tc>
        <w:tc>
          <w:tcPr>
            <w:tcW w:w="45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left="700" w:right="16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SEC filings, including the report on Form 10-K for the year ended December 31, 2005.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the following:</w:t>
      </w:r>
    </w:p>
    <w:p>
      <w:pPr>
        <w:spacing w:after="0" w:line="83" w:lineRule="exact"/>
        <w:rPr>
          <w:sz w:val="20"/>
          <w:szCs w:val="20"/>
          <w:color w:val="auto"/>
        </w:rPr>
      </w:pPr>
    </w:p>
    <w:p>
      <w:pPr>
        <w:jc w:val="both"/>
        <w:ind w:left="1300" w:right="120" w:hanging="202"/>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w:t>
      </w:r>
    </w:p>
    <w:p>
      <w:pPr>
        <w:spacing w:after="0" w:line="117" w:lineRule="exact"/>
        <w:rPr>
          <w:rFonts w:ascii="Arial" w:cs="Arial" w:eastAsia="Arial" w:hAnsi="Arial"/>
          <w:sz w:val="18"/>
          <w:szCs w:val="18"/>
          <w:color w:val="auto"/>
        </w:rPr>
      </w:pPr>
    </w:p>
    <w:p>
      <w:pPr>
        <w:ind w:left="1300" w:right="7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attract or retain qualified personnel, including licensed commercial drivers and truck maintenance professionals;</w:t>
      </w:r>
    </w:p>
    <w:p>
      <w:pPr>
        <w:spacing w:after="0" w:line="62" w:lineRule="exact"/>
        <w:rPr>
          <w:rFonts w:ascii="Arial" w:cs="Arial" w:eastAsia="Arial" w:hAnsi="Arial"/>
          <w:sz w:val="18"/>
          <w:szCs w:val="18"/>
          <w:color w:val="auto"/>
        </w:rPr>
      </w:pPr>
    </w:p>
    <w:p>
      <w:pPr>
        <w:ind w:left="1300" w:right="48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57" w:lineRule="exact"/>
        <w:rPr>
          <w:rFonts w:ascii="Arial" w:cs="Arial" w:eastAsia="Arial" w:hAnsi="Arial"/>
          <w:sz w:val="17"/>
          <w:szCs w:val="17"/>
          <w:color w:val="auto"/>
        </w:rPr>
      </w:pPr>
    </w:p>
    <w:p>
      <w:pPr>
        <w:ind w:left="1300" w:right="3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including our tax expense if Section 45K credits are phased out due to continued high crude oil prices;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fluctuating commodity prices may have negative effects on our operating revenues and expenses;</w:t>
      </w:r>
    </w:p>
    <w:p>
      <w:pPr>
        <w:spacing w:after="0" w:line="117" w:lineRule="exact"/>
        <w:rPr>
          <w:rFonts w:ascii="Arial" w:cs="Arial" w:eastAsia="Arial" w:hAnsi="Arial"/>
          <w:sz w:val="18"/>
          <w:szCs w:val="18"/>
          <w:color w:val="auto"/>
        </w:rPr>
      </w:pPr>
    </w:p>
    <w:p>
      <w:pPr>
        <w:ind w:left="1300" w:right="6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inflation and resulting higher interest rates may have negative effects on the economy, which could result in decreases in volumes of waste generated and increases in our financing costs and other expenses </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inability of our insurers to meet their obligations may cause our expenses to increase;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 to quarter results to fluctuate, and extremely harsh weather or natural disasters may cause us to shut down operations;</w:t>
      </w:r>
    </w:p>
    <w:p>
      <w:pPr>
        <w:spacing w:after="0" w:line="62" w:lineRule="exact"/>
        <w:rPr>
          <w:rFonts w:ascii="Arial" w:cs="Arial" w:eastAsia="Arial" w:hAnsi="Arial"/>
          <w:sz w:val="18"/>
          <w:szCs w:val="18"/>
          <w:color w:val="auto"/>
        </w:rPr>
      </w:pPr>
    </w:p>
    <w:p>
      <w:pPr>
        <w:ind w:left="1300" w:right="7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or cross-border waste or certain categories of waste can increase our expenses and reduce our revenues;</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3"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78"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or limit our ability to conduct or expand our operations;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errors or problems with implementing and deploying new information technology systems may decrease our efficiencies and increase our costs to operate;</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quarterly results of operations or adversely impact our results of operations; and</w:t>
      </w:r>
    </w:p>
    <w:p>
      <w:pPr>
        <w:spacing w:after="0" w:line="62" w:lineRule="exact"/>
        <w:rPr>
          <w:rFonts w:ascii="Arial" w:cs="Arial" w:eastAsia="Arial" w:hAnsi="Arial"/>
          <w:sz w:val="18"/>
          <w:szCs w:val="18"/>
          <w:color w:val="auto"/>
        </w:rPr>
      </w:pPr>
    </w:p>
    <w:p>
      <w:pPr>
        <w:ind w:left="1300" w:right="22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26" w:lineRule="exact"/>
        <w:rPr>
          <w:sz w:val="20"/>
          <w:szCs w:val="20"/>
          <w:color w:val="auto"/>
        </w:rPr>
      </w:pPr>
    </w:p>
    <w:p>
      <w:pPr>
        <w:ind w:left="700" w:right="480" w:firstLine="397"/>
        <w:spacing w:after="0" w:line="308" w:lineRule="auto"/>
        <w:rPr>
          <w:sz w:val="20"/>
          <w:szCs w:val="20"/>
          <w:color w:val="auto"/>
        </w:rPr>
      </w:pPr>
      <w:r>
        <w:rPr>
          <w:rFonts w:ascii="Arial" w:cs="Arial" w:eastAsia="Arial" w:hAnsi="Arial"/>
          <w:sz w:val="17"/>
          <w:szCs w:val="17"/>
          <w:color w:val="auto"/>
        </w:rPr>
        <w:t>This prospectus is part of a registration statement we filed with the SEC using a “shelf” registration process. We may sell any combination of the securities described in this prospectus from time to time up to an indeterminate dollar amount.</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142"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131" w:lineRule="exact"/>
        <w:rPr>
          <w:sz w:val="20"/>
          <w:szCs w:val="20"/>
          <w:color w:val="auto"/>
        </w:rPr>
      </w:pPr>
    </w:p>
    <w:p>
      <w:pPr>
        <w:ind w:left="700" w:right="112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 “Documents Incorporated by Reference” and “Where You Can Find More Information.”</w:t>
      </w:r>
    </w:p>
    <w:p>
      <w:pPr>
        <w:spacing w:after="0" w:line="71" w:lineRule="exact"/>
        <w:rPr>
          <w:sz w:val="20"/>
          <w:szCs w:val="20"/>
          <w:color w:val="auto"/>
        </w:rPr>
      </w:pPr>
    </w:p>
    <w:p>
      <w:pPr>
        <w:ind w:left="700" w:right="102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1140" w:hanging="7"/>
        <w:spacing w:after="0" w:line="261" w:lineRule="auto"/>
        <w:tabs>
          <w:tab w:leader="none" w:pos="9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6"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9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60" w:type="dxa"/>
            <w:vAlign w:val="bottom"/>
            <w:gridSpan w:val="3"/>
          </w:tcPr>
          <w:p>
            <w:pPr>
              <w:ind w:left="700"/>
              <w:spacing w:after="0"/>
              <w:rPr>
                <w:sz w:val="20"/>
                <w:szCs w:val="20"/>
                <w:color w:val="auto"/>
              </w:rPr>
            </w:pPr>
            <w:r>
              <w:rPr>
                <w:rFonts w:ascii="Arial" w:cs="Arial" w:eastAsia="Arial" w:hAnsi="Arial"/>
                <w:sz w:val="18"/>
                <w:szCs w:val="18"/>
                <w:b w:val="1"/>
                <w:bCs w:val="1"/>
                <w:color w:val="auto"/>
              </w:rPr>
              <w:t>SEC Filing (our SEC file number is 1-1254)</w:t>
            </w:r>
          </w:p>
        </w:tc>
        <w:tc>
          <w:tcPr>
            <w:tcW w:w="280" w:type="dxa"/>
            <w:vAlign w:val="bottom"/>
          </w:tcPr>
          <w:p>
            <w:pPr>
              <w:spacing w:after="0"/>
              <w:rPr>
                <w:sz w:val="21"/>
                <w:szCs w:val="21"/>
                <w:color w:val="auto"/>
              </w:rPr>
            </w:pPr>
          </w:p>
        </w:tc>
        <w:tc>
          <w:tcPr>
            <w:tcW w:w="1580" w:type="dxa"/>
            <w:vAlign w:val="bottom"/>
          </w:tcPr>
          <w:p>
            <w:pPr>
              <w:ind w:left="400"/>
              <w:spacing w:after="0"/>
              <w:rPr>
                <w:sz w:val="20"/>
                <w:szCs w:val="20"/>
                <w:color w:val="auto"/>
              </w:rPr>
            </w:pPr>
            <w:r>
              <w:rPr>
                <w:rFonts w:ascii="Arial" w:cs="Arial" w:eastAsia="Arial" w:hAnsi="Arial"/>
                <w:sz w:val="18"/>
                <w:szCs w:val="18"/>
                <w:b w:val="1"/>
                <w:bCs w:val="1"/>
                <w:color w:val="auto"/>
              </w:rPr>
              <w:t>Date Filed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2006 annual meeting of</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9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1"/>
              </w:rPr>
              <w:t>stockholders incorporated by reference therein) for the year ended December 31, 2005</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February 21,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2006</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27,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2006</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March 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20,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12,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May 18,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24,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June 22,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6,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21,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13, 1995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760" w:type="dxa"/>
            <w:vAlign w:val="bottom"/>
            <w:gridSpan w:val="3"/>
          </w:tcPr>
          <w:p>
            <w:pPr>
              <w:jc w:val="right"/>
              <w:ind w:right="29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to the end of the offering of the securities.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9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www.wm.com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34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6"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THE COMPANY</w:t>
      </w:r>
    </w:p>
    <w:p>
      <w:pPr>
        <w:spacing w:after="0" w:line="12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500" w:type="dxa"/>
            <w:vAlign w:val="bottom"/>
          </w:tcPr>
          <w:p>
            <w:pPr>
              <w:ind w:left="246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7640" w:type="dxa"/>
            <w:vAlign w:val="bottom"/>
            <w:gridSpan w:val="4"/>
          </w:tcPr>
          <w:p>
            <w:pPr>
              <w:jc w:val="right"/>
              <w:spacing w:after="0"/>
              <w:rPr>
                <w:sz w:val="20"/>
                <w:szCs w:val="20"/>
                <w:color w:val="auto"/>
              </w:rPr>
            </w:pPr>
            <w:r>
              <w:rPr>
                <w:rFonts w:ascii="Arial" w:cs="Arial" w:eastAsia="Arial" w:hAnsi="Arial"/>
                <w:sz w:val="18"/>
                <w:szCs w:val="18"/>
                <w:color w:val="auto"/>
                <w:w w:val="96"/>
              </w:rPr>
              <w:t>The following table sets forth our ratio of earnings to fixed charges for each of the periods indicated: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2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6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taxes, cumulative effect of changes in accounting principles, losses in equity</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and minority interests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1,316</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3"/>
          </w:tcPr>
          <w:p>
            <w:pPr>
              <w:ind w:left="700"/>
              <w:spacing w:after="0"/>
              <w:rPr>
                <w:sz w:val="20"/>
                <w:szCs w:val="20"/>
                <w:color w:val="auto"/>
              </w:rPr>
            </w:pPr>
            <w:r>
              <w:rPr>
                <w:rFonts w:ascii="Arial" w:cs="Arial" w:eastAsia="Arial" w:hAnsi="Arial"/>
                <w:sz w:val="18"/>
                <w:szCs w:val="18"/>
                <w:color w:val="auto"/>
              </w:rPr>
              <w:t>Fixed charges deducted from income:</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Implicit interest in rents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360"/>
              <w:spacing w:after="0"/>
              <w:rPr>
                <w:sz w:val="20"/>
                <w:szCs w:val="20"/>
                <w:color w:val="auto"/>
              </w:rPr>
            </w:pPr>
            <w:r>
              <w:rPr>
                <w:rFonts w:ascii="Arial" w:cs="Arial" w:eastAsia="Arial" w:hAnsi="Arial"/>
                <w:sz w:val="18"/>
                <w:szCs w:val="18"/>
                <w:color w:val="auto"/>
              </w:rPr>
              <w:t>Earnings available for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3.1x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the repayment of indebtedness and our working capital requirements. Unless otherwise specified in the applicable prospectus supplement, we will not receive any proceeds from the sale of securities by selling securityholders.</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26"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JPMorgan Chase Bank), as trustee. We will issue subordinated debt securities under an indenture dated as of February 1, 1997 among Waste Management, as issuer, and JPMorgan Chase, as trustee. The indentures are substantially identical, except for provisions relating to subordination and covenants.</w:t>
      </w:r>
    </w:p>
    <w:p>
      <w:pPr>
        <w:spacing w:after="0" w:line="64"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We have summarized material provisions of the indentures, the debt securities and the guarantees below. This summary is not complete. We have filed the senior indenture and the form of subordinated indenture with the SEC as exhibits to the registration statement, and you should read the indentures for provisions that may be important to you.</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involving Waste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or a lease, transfer or disposition of all or substantially all of our assets unless:</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are the continuing corporation; or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700" w:hanging="202"/>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we are not the continuing corporation, the resulting entity or transferee assumes the performance of its covenants and obligations under the indentures and the due and punctual payments on the debt securities; and</w:t>
      </w:r>
    </w:p>
    <w:p>
      <w:pPr>
        <w:spacing w:after="0" w:line="38" w:lineRule="exact"/>
        <w:rPr>
          <w:rFonts w:ascii="Arial" w:cs="Arial" w:eastAsia="Arial" w:hAnsi="Arial"/>
          <w:sz w:val="17"/>
          <w:szCs w:val="17"/>
          <w:color w:val="auto"/>
        </w:rPr>
      </w:pPr>
    </w:p>
    <w:p>
      <w:pPr>
        <w:ind w:left="1300" w:right="10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either case, 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that series of debt securities</w:t>
      </w:r>
    </w:p>
    <w:p>
      <w:pPr>
        <w:spacing w:after="0" w:line="117" w:lineRule="exact"/>
        <w:rPr>
          <w:rFonts w:ascii="Arial" w:cs="Arial" w:eastAsia="Arial" w:hAnsi="Arial"/>
          <w:sz w:val="18"/>
          <w:szCs w:val="18"/>
          <w:color w:val="auto"/>
        </w:rPr>
      </w:pPr>
    </w:p>
    <w:p>
      <w:pPr>
        <w:ind w:left="1300" w:right="4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31"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certain restrictive covenants, and the related events of default will no longer apply (“covenant defeasance”).</w:t>
      </w:r>
    </w:p>
    <w:p>
      <w:pPr>
        <w:spacing w:after="0" w:line="76"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JPMorgan Chase is the trustee under the senior indenture and the subordinated indenture. JPMorgan Chase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relating to a number of series of debt obligations of Waste Management as of December 31, 2005. JPMorgan Chase and its affiliates perform certain commercial banking services for us for which they receive customary fees and are lenders under our current credit facility.</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87"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place of payment on the debt securities of that series is authorized or obligated by law, regulation or executive order to remain closed.</w:t>
      </w:r>
    </w:p>
    <w:p>
      <w:pPr>
        <w:spacing w:after="0" w:line="7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6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8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Liens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60" w:firstLine="391"/>
        <w:spacing w:after="0" w:line="277" w:lineRule="auto"/>
        <w:tabs>
          <w:tab w:leader="none" w:pos="17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right="740" w:firstLine="391"/>
        <w:spacing w:after="0" w:line="277" w:lineRule="auto"/>
        <w:tabs>
          <w:tab w:leader="none" w:pos="17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480" w:firstLine="391"/>
        <w:spacing w:after="0" w:line="277" w:lineRule="auto"/>
        <w:tabs>
          <w:tab w:leader="none" w:pos="17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Consolidation, Merger and Sale of Assets</w:t>
      </w:r>
      <w:r>
        <w:rPr>
          <w:rFonts w:ascii="Arial" w:cs="Arial" w:eastAsia="Arial" w:hAnsi="Arial"/>
          <w:sz w:val="18"/>
          <w:szCs w:val="18"/>
          <w:color w:val="auto"/>
        </w:rPr>
        <w:t>,” above;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700" w:hanging="211"/>
        <w:spacing w:after="0"/>
        <w:tabs>
          <w:tab w:leader="none" w:pos="17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b w:val="1"/>
          <w:bCs w:val="1"/>
          <w:color w:val="auto"/>
        </w:rPr>
      </w:pPr>
    </w:p>
    <w:p>
      <w:pPr>
        <w:ind w:left="1700" w:hanging="211"/>
        <w:spacing w:after="0" w:line="259" w:lineRule="auto"/>
        <w:tabs>
          <w:tab w:leader="none" w:pos="17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sz w:val="20"/>
          <w:szCs w:val="20"/>
          <w:color w:val="auto"/>
        </w:rPr>
      </w:pPr>
    </w:p>
    <w:p>
      <w:pPr>
        <w:ind w:left="1740" w:hanging="269"/>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740" w:hanging="269"/>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080" w:right="100" w:firstLine="391"/>
        <w:spacing w:after="0" w:line="277" w:lineRule="auto"/>
        <w:tabs>
          <w:tab w:leader="none" w:pos="17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153" w:lineRule="exact"/>
        <w:rPr>
          <w:rFonts w:ascii="Arial" w:cs="Arial" w:eastAsia="Arial" w:hAnsi="Arial"/>
          <w:sz w:val="16"/>
          <w:szCs w:val="16"/>
          <w:color w:val="auto"/>
        </w:rPr>
      </w:pPr>
    </w:p>
    <w:p>
      <w:pPr>
        <w:ind w:left="1080" w:right="120" w:firstLine="391"/>
        <w:spacing w:after="0" w:line="277" w:lineRule="auto"/>
        <w:tabs>
          <w:tab w:leader="none" w:pos="17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00" w:firstLine="391"/>
        <w:spacing w:after="0" w:line="277" w:lineRule="auto"/>
        <w:tabs>
          <w:tab w:leader="none" w:pos="18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80" w:hanging="309"/>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20" w:firstLine="391"/>
        <w:spacing w:after="0" w:line="277" w:lineRule="auto"/>
        <w:tabs>
          <w:tab w:leader="none" w:pos="17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Sale/Leaseback Transactions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00" w:firstLine="391"/>
        <w:spacing w:after="0" w:line="264" w:lineRule="auto"/>
        <w:tabs>
          <w:tab w:leader="none" w:pos="17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right="680" w:firstLine="391"/>
        <w:spacing w:after="0" w:line="277" w:lineRule="auto"/>
        <w:tabs>
          <w:tab w:leader="none" w:pos="17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debt securities issued under the senior indenture or to the acquisition or capital improvement of a Principal Property.</w:t>
      </w:r>
    </w:p>
    <w:p>
      <w:pPr>
        <w:spacing w:after="0" w:line="13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Glossary</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“Consolidated Net Tangible Assets” 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“Indebtedness” means (a) all obligations for borrowed money or on which interest charges are customarily paid, all as shown on the balance sheet of the indebted party and (b) all guarantees of Indebtedness.</w:t>
      </w:r>
    </w:p>
    <w:p>
      <w:pPr>
        <w:spacing w:after="0" w:line="7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“Restricted Subsidiary” means any Subsidiary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80" w:firstLine="397"/>
        <w:spacing w:after="0" w:line="255" w:lineRule="auto"/>
        <w:rPr>
          <w:sz w:val="20"/>
          <w:szCs w:val="20"/>
          <w:color w:val="auto"/>
        </w:rPr>
      </w:pPr>
      <w:r>
        <w:rPr>
          <w:rFonts w:ascii="Arial" w:cs="Arial" w:eastAsia="Arial" w:hAnsi="Arial"/>
          <w:sz w:val="18"/>
          <w:szCs w:val="18"/>
          <w:color w:val="auto"/>
        </w:rPr>
        <w:t>“Principal Property”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“Sale/Leaseback Transaction” means any arrangement with anyone under which we or our Restricted Subsidiaries lease any 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“Subsidiary” means an entity at least a majority of the outstanding voting stock of which is owned, directly or indirectly, by us or by one or more other Subsidiaries, or by us and one or more other Subsidiaries.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9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CAPITAL STOCK</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52"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534,480,615 shares were outstanding at September 20, 2006.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rights. Accordingly, the holders of a majority of shares voting for the election of directors can elect all of the directors standing for election.</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131"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Mellon Investor Services in South</w:t>
      </w:r>
      <w:r>
        <w:rPr>
          <w:rFonts w:ascii="Arial" w:cs="Arial" w:eastAsia="Arial" w:hAnsi="Arial"/>
          <w:sz w:val="18"/>
          <w:szCs w:val="18"/>
          <w:i w:val="1"/>
          <w:iCs w:val="1"/>
          <w:color w:val="auto"/>
        </w:rPr>
        <w:t xml:space="preserve"> </w:t>
      </w:r>
      <w:r>
        <w:rPr>
          <w:rFonts w:ascii="Arial" w:cs="Arial" w:eastAsia="Arial" w:hAnsi="Arial"/>
          <w:sz w:val="18"/>
          <w:szCs w:val="18"/>
          <w:color w:val="auto"/>
        </w:rPr>
        <w:t>Hackensack, New Jersey.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6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elect not to be governed by Section 203. Such an election would be effective 12 months after its adoption.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7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4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7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2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2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PLAN OF DISTRIBUTION</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discounts. If such dealers or agents were deemed to be underwriters, they may be subject to statutory liabilities under the Securities Act.</w:t>
      </w:r>
    </w:p>
    <w:p>
      <w:pPr>
        <w:spacing w:after="0" w:line="154"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0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SELLING SECURITYHOLDERS</w:t>
      </w:r>
    </w:p>
    <w:p>
      <w:pPr>
        <w:spacing w:after="0" w:line="126" w:lineRule="exact"/>
        <w:rPr>
          <w:sz w:val="20"/>
          <w:szCs w:val="20"/>
          <w:color w:val="auto"/>
        </w:rPr>
      </w:pPr>
    </w:p>
    <w:p>
      <w:pPr>
        <w:ind w:left="700" w:right="62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6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26"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2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2005 (including the schedule appearing therein), and Waste Management, Inc.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140970</wp:posOffset>
            </wp:positionV>
            <wp:extent cx="1269365"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20"/>
        <w:spacing w:after="0"/>
        <w:tabs>
          <w:tab w:leader="none" w:pos="466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2015</w:t>
      </w:r>
    </w:p>
    <w:p>
      <w:pPr>
        <w:spacing w:after="0" w:line="384" w:lineRule="exact"/>
        <w:rPr>
          <w:sz w:val="20"/>
          <w:szCs w:val="20"/>
          <w:color w:val="auto"/>
        </w:rPr>
      </w:pPr>
    </w:p>
    <w:p>
      <w:pPr>
        <w:ind w:left="3920"/>
        <w:spacing w:after="0"/>
        <w:tabs>
          <w:tab w:leader="none" w:pos="4660" w:val="left"/>
        </w:tabs>
        <w:rPr>
          <w:sz w:val="20"/>
          <w:szCs w:val="20"/>
          <w:color w:val="auto"/>
        </w:rPr>
      </w:pPr>
      <w:r>
        <w:rPr>
          <w:rFonts w:ascii="Arial" w:cs="Arial" w:eastAsia="Arial" w:hAnsi="Arial"/>
          <w:sz w:val="23"/>
          <w:szCs w:val="23"/>
          <w:b w:val="1"/>
          <w:bCs w:val="1"/>
          <w:color w:val="auto"/>
        </w:rPr>
        <w:t>$</w:t>
      </w:r>
      <w:r>
        <w:rPr>
          <w:sz w:val="20"/>
          <w:szCs w:val="20"/>
          <w:color w:val="auto"/>
        </w:rPr>
        <w:tab/>
      </w:r>
      <w:r>
        <w:rPr>
          <w:rFonts w:ascii="Arial" w:cs="Arial" w:eastAsia="Arial" w:hAnsi="Arial"/>
          <w:sz w:val="23"/>
          <w:szCs w:val="23"/>
          <w:b w:val="1"/>
          <w:bCs w:val="1"/>
          <w:color w:val="auto"/>
        </w:rPr>
        <w:t>% Senior Notes due 2019</w:t>
      </w:r>
    </w:p>
    <w:p>
      <w:pPr>
        <w:spacing w:after="0" w:line="203"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Barclays Capital</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Credit Suisse</w:t>
      </w:r>
    </w:p>
    <w:p>
      <w:pPr>
        <w:jc w:val="center"/>
        <w:ind w:right="-1100"/>
        <w:spacing w:after="0"/>
        <w:rPr>
          <w:sz w:val="20"/>
          <w:szCs w:val="20"/>
          <w:color w:val="auto"/>
        </w:rPr>
      </w:pPr>
      <w:r>
        <w:rPr>
          <w:rFonts w:ascii="Arial" w:cs="Arial" w:eastAsia="Arial" w:hAnsi="Arial"/>
          <w:sz w:val="28"/>
          <w:szCs w:val="28"/>
          <w:b w:val="1"/>
          <w:bCs w:val="1"/>
          <w:color w:val="auto"/>
        </w:rPr>
        <w:t>Deutsche Bank Securities</w:t>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RBS Greenwich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154305</wp:posOffset>
            </wp:positionV>
            <wp:extent cx="63030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713"/>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lvl w:ilvl="1">
      <w:lvlJc w:val="left"/>
      <w:lvlText w:val="(%2)"/>
      <w:numFmt w:val="lowerLetter"/>
      <w:start w:val="1"/>
    </w:lvl>
  </w:abstractNum>
  <w:abstractNum w:abstractNumId="11">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
    <w:nsid w:val="54E49EB4"/>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3">
    <w:nsid w:val="71F3245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Roman"/>
      <w:start w:val="2"/>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6"/>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2019-12-10T07:53:32Z</dcterms:created>
  <dcterms:modified xsi:type="dcterms:W3CDTF">2019-12-10T07:53:32Z</dcterms:modified>
</cp:coreProperties>
</file>