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Waste Management Inc.</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94106L109</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30, 2005</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and Management Company</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95-1411037</w:t>
      </w:r>
    </w:p>
    <w:p>
      <w:pPr>
        <w:spacing w:after="0" w:line="202"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7,050,000</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27,975,000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27,975,000</w:t>
      </w:r>
      <w:r>
        <w:rPr>
          <w:rFonts w:ascii="Courier New" w:cs="Courier New" w:eastAsia="Courier New" w:hAnsi="Courier New"/>
          <w:sz w:val="16"/>
          <w:szCs w:val="16"/>
          <w:color w:val="auto"/>
        </w:rPr>
        <w:t>Beneficial ownership disclaimed pursuant to Rule 13d-4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2519" w:hanging="427"/>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5.1%</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94106L109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5</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tabs>
          <w:tab w:leader="none" w:pos="2940" w:val="left"/>
        </w:tabs>
        <w:rPr>
          <w:sz w:val="20"/>
          <w:szCs w:val="20"/>
          <w:color w:val="auto"/>
        </w:rPr>
      </w:pPr>
      <w:r>
        <w:rPr>
          <w:rFonts w:ascii="Courier New" w:cs="Courier New" w:eastAsia="Courier New" w:hAnsi="Courier New"/>
          <w:sz w:val="18"/>
          <w:szCs w:val="18"/>
          <w:color w:val="auto"/>
        </w:rPr>
        <w:t>1001 Fannin Street,</w:t>
      </w:r>
      <w:r>
        <w:rPr>
          <w:sz w:val="20"/>
          <w:szCs w:val="20"/>
          <w:color w:val="auto"/>
        </w:rPr>
        <w:tab/>
      </w:r>
      <w:r>
        <w:rPr>
          <w:rFonts w:ascii="Courier New" w:cs="Courier New" w:eastAsia="Courier New" w:hAnsi="Courier New"/>
          <w:sz w:val="16"/>
          <w:szCs w:val="16"/>
          <w:color w:val="auto"/>
        </w:rPr>
        <w:t>Ste 4000</w:t>
      </w:r>
    </w:p>
    <w:p>
      <w:pPr>
        <w:ind w:left="740"/>
        <w:spacing w:after="0"/>
        <w:rPr>
          <w:sz w:val="20"/>
          <w:szCs w:val="20"/>
          <w:color w:val="auto"/>
        </w:rPr>
      </w:pPr>
      <w:r>
        <w:rPr>
          <w:rFonts w:ascii="Courier New" w:cs="Courier New" w:eastAsia="Courier New" w:hAnsi="Courier New"/>
          <w:sz w:val="18"/>
          <w:szCs w:val="18"/>
          <w:color w:val="auto"/>
        </w:rPr>
        <w:t>Houston TX 77002</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Research and Management Company</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80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94106L109</w:t>
            </w:r>
          </w:p>
        </w:tc>
        <w:tc>
          <w:tcPr>
            <w:tcW w:w="80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w:t>
            </w:r>
          </w:p>
        </w:tc>
        <w:tc>
          <w:tcPr>
            <w:tcW w:w="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[X]</w:t>
            </w:r>
          </w:p>
        </w:tc>
        <w:tc>
          <w:tcPr>
            <w:tcW w:w="52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Investment company registered under section 8</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of the Investment Company Act of 1940 (15 U.S.C. 80a-8).</w:t>
      </w:r>
    </w:p>
    <w:p>
      <w:pPr>
        <w:spacing w:after="0" w:line="4" w:lineRule="exact"/>
        <w:rPr>
          <w:sz w:val="20"/>
          <w:szCs w:val="20"/>
          <w:color w:val="auto"/>
        </w:rPr>
      </w:pPr>
    </w:p>
    <w:p>
      <w:pPr>
        <w:ind w:left="1280" w:right="3479" w:hanging="535"/>
        <w:spacing w:after="0" w:line="235" w:lineRule="auto"/>
        <w:tabs>
          <w:tab w:leader="none" w:pos="170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3 of 5</w:t>
      </w:r>
    </w:p>
    <w:p>
      <w:pPr>
        <w:spacing w:after="0" w:line="200" w:lineRule="exact"/>
        <w:rPr>
          <w:sz w:val="20"/>
          <w:szCs w:val="20"/>
          <w:color w:val="auto"/>
        </w:rPr>
      </w:pPr>
    </w:p>
    <w:p>
      <w:pPr>
        <w:spacing w:after="0" w:line="385" w:lineRule="exact"/>
        <w:rPr>
          <w:sz w:val="20"/>
          <w:szCs w:val="20"/>
          <w:color w:val="auto"/>
        </w:rPr>
      </w:pPr>
    </w:p>
    <w:p>
      <w:pPr>
        <w:ind w:left="740" w:right="2939"/>
        <w:spacing w:after="0" w:line="271" w:lineRule="auto"/>
        <w:rPr>
          <w:sz w:val="20"/>
          <w:szCs w:val="20"/>
          <w:color w:val="auto"/>
        </w:rPr>
      </w:pPr>
      <w:r>
        <w:rPr>
          <w:rFonts w:ascii="Courier New" w:cs="Courier New" w:eastAsia="Courier New" w:hAnsi="Courier New"/>
          <w:sz w:val="16"/>
          <w:szCs w:val="16"/>
          <w:color w:val="auto"/>
        </w:rPr>
        <w:t>Capital Research and Management Company, an investment adviser registered under Section 203 of the Investment Advisers Act of 1940 is deemed to be the beneficial owner of 27,975,000 shares or 5.1% of the 551,836,000 shares of Common Stock believed to be outstanding as a result of acting as investment adviser to various investment companies registered under Section 8 of the Investment Company Act of 1940.</w:t>
      </w:r>
    </w:p>
    <w:p>
      <w:pPr>
        <w:spacing w:after="0" w:line="188"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6, 2006</w:t>
      </w:r>
    </w:p>
    <w:p>
      <w:pPr>
        <w:spacing w:after="0" w:line="200" w:lineRule="exact"/>
        <w:rPr>
          <w:sz w:val="20"/>
          <w:szCs w:val="20"/>
          <w:color w:val="auto"/>
        </w:rPr>
      </w:pPr>
    </w:p>
    <w:p>
      <w:pPr>
        <w:sectPr>
          <w:pgSz w:w="11900" w:h="16838" w:orient="portrait"/>
          <w:cols w:equalWidth="0" w:num="2">
            <w:col w:w="1720" w:space="720"/>
            <w:col w:w="7779"/>
          </w:cols>
          <w:pgMar w:left="240" w:top="136" w:right="1440" w:bottom="0"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*Paul G. Haaga, Jr.</w:t>
      </w:r>
    </w:p>
    <w:p>
      <w:pPr>
        <w:spacing w:after="0" w:line="238" w:lineRule="auto"/>
        <w:rPr>
          <w:sz w:val="20"/>
          <w:szCs w:val="20"/>
          <w:color w:val="auto"/>
        </w:rPr>
      </w:pPr>
      <w:r>
        <w:rPr>
          <w:rFonts w:ascii="Courier New" w:cs="Courier New" w:eastAsia="Courier New" w:hAnsi="Courier New"/>
          <w:sz w:val="18"/>
          <w:szCs w:val="18"/>
          <w:color w:val="auto"/>
        </w:rPr>
        <w:t>Paul G. Haaga, Jr., Executive Vice</w:t>
      </w:r>
    </w:p>
    <w:p>
      <w:pPr>
        <w:spacing w:after="0"/>
        <w:rPr>
          <w:sz w:val="20"/>
          <w:szCs w:val="20"/>
          <w:color w:val="auto"/>
        </w:rPr>
      </w:pPr>
      <w:r>
        <w:rPr>
          <w:rFonts w:ascii="Courier New" w:cs="Courier New" w:eastAsia="Courier New" w:hAnsi="Courier New"/>
          <w:sz w:val="18"/>
          <w:szCs w:val="18"/>
          <w:color w:val="auto"/>
        </w:rPr>
        <w:t>President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Research and Management Company</w:t>
      </w:r>
    </w:p>
    <w:p>
      <w:pPr>
        <w:sectPr>
          <w:pgSz w:w="11900" w:h="16838" w:orient="portrait"/>
          <w:cols w:equalWidth="0" w:num="2">
            <w:col w:w="2000" w:space="440"/>
            <w:col w:w="7779"/>
          </w:cols>
          <w:pgMar w:left="240" w:top="136" w:right="1440" w:bottom="0" w:gutter="0" w:footer="0" w:header="0"/>
          <w:type w:val="continuous"/>
        </w:sectPr>
      </w:pPr>
    </w:p>
    <w:bookmarkStart w:id="3" w:name="page4"/>
    <w:bookmarkEnd w:id="3"/>
    <w:p>
      <w:pPr>
        <w:spacing w:after="0" w:line="317"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4 of 5</w:t>
      </w:r>
    </w:p>
    <w:p>
      <w:pPr>
        <w:sectPr>
          <w:pgSz w:w="11900" w:h="16838" w:orient="portrait"/>
          <w:cols w:equalWidth="0" w:num="1">
            <w:col w:w="10219"/>
          </w:cols>
          <w:pgMar w:left="240" w:top="1440" w:right="1440" w:bottom="1440" w:gutter="0" w:footer="0" w:header="0"/>
        </w:sectPr>
      </w:pPr>
    </w:p>
    <w:bookmarkStart w:id="4" w:name="page5"/>
    <w:bookmarkEnd w:id="4"/>
    <w:p>
      <w:pPr>
        <w:ind w:left="8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 Liliane Corzo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Liliane Corzo</w:t>
      </w:r>
    </w:p>
    <w:p>
      <w:pPr>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ectPr>
          <w:pgSz w:w="11900" w:h="16838" w:orient="portrait"/>
          <w:cols w:equalWidth="0" w:num="2">
            <w:col w:w="1160" w:space="420"/>
            <w:col w:w="8639"/>
          </w:cols>
          <w:pgMar w:left="240" w:top="520" w:right="1440" w:bottom="1440" w:gutter="0" w:footer="0" w:header="0"/>
        </w:sectPr>
      </w:pPr>
    </w:p>
    <w:p>
      <w:pPr>
        <w:spacing w:after="0" w:line="7" w:lineRule="exact"/>
        <w:rPr>
          <w:sz w:val="20"/>
          <w:szCs w:val="20"/>
          <w:color w:val="auto"/>
        </w:rPr>
      </w:pPr>
    </w:p>
    <w:p>
      <w:pPr>
        <w:ind w:left="158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10, 2005 included as an Exhibit to Schedule 13G filed with the Securities and Exchange Commission by Capital Research and Management Company on August 16, 2005 with respect to Advanced Energy Industries</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5 of 5</w:t>
      </w:r>
    </w:p>
    <w:p>
      <w:pPr>
        <w:sectPr>
          <w:pgSz w:w="11900" w:h="16838" w:orient="portrait"/>
          <w:cols w:equalWidth="0" w:num="1">
            <w:col w:w="10219"/>
          </w:cols>
          <w:pgMar w:left="240" w:top="520" w:right="1440" w:bottom="1440" w:gutter="0" w:footer="0" w:header="0"/>
          <w:type w:val="continuous"/>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8"/>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1"/>
      <w:numFmt w:val="decimal"/>
      <w:start w:val="10"/>
    </w:lvl>
  </w:abstractNum>
  <w:abstractNum w:abstractNumId="9">
    <w:nsid w:val="1F16E9E8"/>
    <w:multiLevelType w:val="hybridMultilevel"/>
    <w:lvl w:ilvl="0">
      <w:lvlJc w:val="left"/>
      <w:lvlText w:val="(%1)"/>
      <w:numFmt w:val="lowerLetter"/>
      <w:start w:val="5"/>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2019-12-19T19:17:14Z</dcterms:created>
  <dcterms:modified xsi:type="dcterms:W3CDTF">2019-12-19T19:17:14Z</dcterms:modified>
</cp:coreProperties>
</file>