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REUM W ROBERT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01/16/2013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2,521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34.7717</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26,456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shares to cover personal income tax obligations upon grant of stock award, pursuant to Rule 10b5-1 Trading Plan.</w:t>
      </w:r>
    </w:p>
    <w:p>
      <w:pPr>
        <w:spacing w:after="0" w:line="41" w:lineRule="exact"/>
        <w:rPr>
          <w:rFonts w:ascii="Arial" w:cs="Arial" w:eastAsia="Arial" w:hAnsi="Arial"/>
          <w:sz w:val="14"/>
          <w:szCs w:val="14"/>
          <w:color w:val="008000"/>
        </w:rPr>
      </w:pPr>
    </w:p>
    <w:p>
      <w:pPr>
        <w:ind w:left="40" w:right="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34.73 to 34.8401.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7"/>
              </w:rPr>
              <w:t>Linda J. Smith,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01/17/2013</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379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2019-12-18T07:53:49Z</dcterms:created>
  <dcterms:modified xsi:type="dcterms:W3CDTF">2019-12-18T07:53:49Z</dcterms:modified>
</cp:coreProperties>
</file>