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2860"/>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880"/>
        <w:spacing w:after="0"/>
        <w:tabs>
          <w:tab w:leader="none" w:pos="160" w:val="left"/>
          <w:tab w:leader="none" w:pos="160" w:val="left"/>
          <w:tab w:leader="none" w:pos="180" w:val="left"/>
        </w:tabs>
        <w:rPr>
          <w:sz w:val="20"/>
          <w:szCs w:val="20"/>
          <w:color w:val="auto"/>
        </w:rPr>
      </w:pPr>
      <w:r>
        <w:rPr>
          <w:rFonts w:ascii="Courier New" w:cs="Courier New" w:eastAsia="Courier New" w:hAnsi="Courier New"/>
          <w:sz w:val="16"/>
          <w:szCs w:val="16"/>
          <w:color w:val="auto"/>
        </w:rPr>
        <w:t>SECURITIES</w:t>
        <w:tab/>
        <w:t>AND</w:t>
        <w:tab/>
        <w:t>EXCHANGE</w:t>
      </w:r>
      <w:r>
        <w:rPr>
          <w:sz w:val="20"/>
          <w:szCs w:val="20"/>
          <w:color w:val="auto"/>
        </w:rPr>
        <w:tab/>
      </w:r>
      <w:r>
        <w:rPr>
          <w:rFonts w:ascii="Courier New" w:cs="Courier New" w:eastAsia="Courier New" w:hAnsi="Courier New"/>
          <w:sz w:val="15"/>
          <w:szCs w:val="15"/>
          <w:color w:val="auto"/>
        </w:rPr>
        <w:t>COMMISSION</w:t>
      </w:r>
    </w:p>
    <w:p>
      <w:pPr>
        <w:spacing w:after="0" w:line="2" w:lineRule="exact"/>
        <w:rPr>
          <w:sz w:val="24"/>
          <w:szCs w:val="24"/>
          <w:color w:val="auto"/>
        </w:rPr>
      </w:pPr>
    </w:p>
    <w:p>
      <w:pPr>
        <w:jc w:val="center"/>
        <w:ind w:right="2880"/>
        <w:spacing w:after="0"/>
        <w:tabs>
          <w:tab w:leader="none" w:pos="160" w:val="left"/>
        </w:tabs>
        <w:rPr>
          <w:sz w:val="20"/>
          <w:szCs w:val="20"/>
          <w:color w:val="auto"/>
        </w:rPr>
      </w:pPr>
      <w:r>
        <w:rPr>
          <w:rFonts w:ascii="Courier New" w:cs="Courier New" w:eastAsia="Courier New" w:hAnsi="Courier New"/>
          <w:sz w:val="16"/>
          <w:szCs w:val="16"/>
          <w:color w:val="auto"/>
        </w:rPr>
        <w:t>WASHINGTON, D.C.</w:t>
        <w:tab/>
        <w:t>20549</w:t>
      </w:r>
    </w:p>
    <w:p>
      <w:pPr>
        <w:spacing w:after="0" w:line="186"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340"/>
        <w:spacing w:after="0"/>
        <w:tabs>
          <w:tab w:leader="none" w:pos="3880" w:val="left"/>
        </w:tabs>
        <w:rPr>
          <w:sz w:val="20"/>
          <w:szCs w:val="20"/>
          <w:color w:val="auto"/>
        </w:rPr>
      </w:pPr>
      <w:r>
        <w:rPr>
          <w:rFonts w:ascii="Courier New" w:cs="Courier New" w:eastAsia="Courier New" w:hAnsi="Courier New"/>
          <w:sz w:val="16"/>
          <w:szCs w:val="16"/>
          <w:color w:val="auto"/>
        </w:rPr>
        <w:t>FORM</w:t>
        <w:tab/>
        <w:t>8-K</w:t>
      </w:r>
    </w:p>
    <w:p>
      <w:pPr>
        <w:spacing w:after="0" w:line="369" w:lineRule="exact"/>
        <w:rPr>
          <w:sz w:val="24"/>
          <w:szCs w:val="24"/>
          <w:color w:val="auto"/>
        </w:rPr>
      </w:pPr>
    </w:p>
    <w:p>
      <w:pPr>
        <w:jc w:val="center"/>
        <w:ind w:right="2780"/>
        <w:spacing w:after="0"/>
        <w:rPr>
          <w:sz w:val="20"/>
          <w:szCs w:val="20"/>
          <w:color w:val="auto"/>
        </w:rPr>
      </w:pPr>
      <w:r>
        <w:rPr>
          <w:rFonts w:ascii="Courier New" w:cs="Courier New" w:eastAsia="Courier New" w:hAnsi="Courier New"/>
          <w:sz w:val="16"/>
          <w:szCs w:val="16"/>
          <w:color w:val="auto"/>
        </w:rPr>
        <w:t>CURRENT REPORT</w:t>
      </w:r>
    </w:p>
    <w:p>
      <w:pPr>
        <w:spacing w:after="0" w:line="2" w:lineRule="exact"/>
        <w:rPr>
          <w:sz w:val="24"/>
          <w:szCs w:val="24"/>
          <w:color w:val="auto"/>
        </w:rPr>
      </w:pPr>
    </w:p>
    <w:p>
      <w:pPr>
        <w:jc w:val="center"/>
        <w:ind w:right="278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86"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MAY 7, 1996</w:t>
      </w:r>
    </w:p>
    <w:p>
      <w:pPr>
        <w:spacing w:after="0" w:line="369" w:lineRule="exact"/>
        <w:rPr>
          <w:sz w:val="24"/>
          <w:szCs w:val="24"/>
          <w:color w:val="auto"/>
        </w:rPr>
      </w:pPr>
    </w:p>
    <w:p>
      <w:pPr>
        <w:jc w:val="center"/>
        <w:ind w:right="278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4"/>
          <w:szCs w:val="24"/>
          <w:color w:val="auto"/>
        </w:rPr>
      </w:pPr>
    </w:p>
    <w:p>
      <w:pPr>
        <w:jc w:val="center"/>
        <w:ind w:right="27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400"/>
          </w:cols>
          <w:pgMar w:left="240" w:top="237" w:right="1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(STATE OR OTHER JURISDICTION</w:t>
      </w:r>
    </w:p>
    <w:p>
      <w:pPr>
        <w:spacing w:after="0" w:line="11"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1-12154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73-1309529</w:t>
      </w:r>
    </w:p>
    <w:p>
      <w:pPr>
        <w:spacing w:after="0" w:line="2"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8" w:lineRule="exact"/>
        <w:rPr>
          <w:sz w:val="24"/>
          <w:szCs w:val="24"/>
          <w:color w:val="auto"/>
        </w:rPr>
      </w:pPr>
    </w:p>
    <w:p>
      <w:pPr>
        <w:sectPr>
          <w:pgSz w:w="11900" w:h="16838" w:orient="portrait"/>
          <w:cols w:equalWidth="0" w:num="3">
            <w:col w:w="3380" w:space="720"/>
            <w:col w:w="3760" w:space="720"/>
            <w:col w:w="1820"/>
          </w:cols>
          <w:pgMar w:left="240" w:top="237" w:right="1259" w:bottom="1440" w:gutter="0" w:footer="0" w:header="0"/>
          <w:type w:val="continuous"/>
        </w:sectPr>
      </w:pPr>
    </w:p>
    <w:p>
      <w:pPr>
        <w:spacing w:after="0" w:line="352"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5400 LBJ FREEWAY</w:t>
      </w:r>
    </w:p>
    <w:p>
      <w:pPr>
        <w:spacing w:after="0" w:line="2" w:lineRule="exact"/>
        <w:rPr>
          <w:sz w:val="24"/>
          <w:szCs w:val="24"/>
          <w:color w:val="auto"/>
        </w:rPr>
      </w:pPr>
    </w:p>
    <w:p>
      <w:pPr>
        <w:ind w:left="2200"/>
        <w:spacing w:after="0"/>
        <w:rPr>
          <w:sz w:val="20"/>
          <w:szCs w:val="20"/>
          <w:color w:val="auto"/>
        </w:rPr>
      </w:pPr>
      <w:r>
        <w:rPr>
          <w:rFonts w:ascii="Courier New" w:cs="Courier New" w:eastAsia="Courier New" w:hAnsi="Courier New"/>
          <w:sz w:val="16"/>
          <w:szCs w:val="16"/>
          <w:color w:val="auto"/>
        </w:rPr>
        <w:t>SUITE 300 - TOWER ONE</w:t>
      </w:r>
    </w:p>
    <w:p>
      <w:pPr>
        <w:spacing w:after="0" w:line="2" w:lineRule="exact"/>
        <w:rPr>
          <w:sz w:val="24"/>
          <w:szCs w:val="24"/>
          <w:color w:val="auto"/>
        </w:rPr>
      </w:pPr>
    </w:p>
    <w:p>
      <w:pPr>
        <w:ind w:left="2480"/>
        <w:spacing w:after="0"/>
        <w:rPr>
          <w:sz w:val="20"/>
          <w:szCs w:val="20"/>
          <w:color w:val="auto"/>
        </w:rPr>
      </w:pPr>
      <w:r>
        <w:rPr>
          <w:rFonts w:ascii="Courier New" w:cs="Courier New" w:eastAsia="Courier New" w:hAnsi="Courier New"/>
          <w:sz w:val="16"/>
          <w:szCs w:val="16"/>
          <w:color w:val="auto"/>
        </w:rPr>
        <w:t>DALLAS, TEXAS</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75240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7480" w:space="720"/>
            <w:col w:w="2200"/>
          </w:cols>
          <w:pgMar w:left="240" w:top="237" w:right="1259" w:bottom="1440" w:gutter="0" w:footer="0" w:header="0"/>
          <w:type w:val="continuous"/>
        </w:sectPr>
      </w:pPr>
    </w:p>
    <w:p>
      <w:pPr>
        <w:spacing w:after="0" w:line="361"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REGISTRANT'S TELEPHONE NUMBER, INCLUDING AREA CODE: (214) 383-7900</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400"/>
          </w:cols>
          <w:pgMar w:left="240" w:top="237" w:right="1259" w:bottom="1440" w:gutter="0" w:footer="0" w:header="0"/>
          <w:type w:val="continuous"/>
        </w:sectPr>
      </w:pPr>
    </w:p>
    <w:bookmarkStart w:id="1" w:name="page2"/>
    <w:bookmarkEnd w:id="1"/>
    <w:p>
      <w:pPr>
        <w:ind w:left="282"/>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ACQUISITION OR DISPOSITION OF ASSETS</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On May 7, 1996, pursuant to the Agreement and Plan of Reorganization, dated as of December 18, 1995, as amended (the "Merger Agreement"), by and among USA Waste Services, Inc. ("USA Waste"), Riviera Acquisition Corporation ("Acquisition"), a wholly owned subsidiary of USA Waste, and Western Waste Industries ("Western"), Acquisition merged with and into Western, whereupon Western became a wholly owned subsidiary of USA Waste (the "Merger"). Western's common stock, no par value ("Western Common Stock"), is no longer transferable, and certificates evidencing shares of Western Common Stock represent only the right to receive, without interest, shares of USA Waste Common Stock, par value $0.01 per share ("USA Waste Common Stock"), in accordance with the provisions of the Merger Agreement. The holders of shares of Western Common Stock (the "Western Shareholders") are entitled to receive 1.50 (the "Exchange Ratio") shares of USA Common Stock for each share of Western Common Stock held, or an aggregate of approximately 21.7 million shares of USA Waste Common Stock. Also pursuant to the Merger Agreement, each unexpired and unexercised outstanding option to purchase Western Common Stock (each a "Western Option") was automatically converted into an option to purchase that number of shares of USA Waste Common Stock equal to the number of shares of Western Common Stock that could have been purchased under the Western Option multiplied by the Exchange Ratio, at a price per share of USA Waste Common Stock equal to the option exercise price determined pursuant to the Western Option divided by the Exchange Ratio. The stockholders of USA Waste (the "USA Waste Stockholders") and the Western Shareholders approved the Merger on May 7, 1996. The Exchange Ratio was determined through negotiations between the managements of USA Waste and Western and was approved by their respective boards of directors. Cash will be paid in lieu of fractional shares of USA Waste Common Stock (on the basis of $25.625 per share). Pursuant to the Merger Agreement, no interest will be paid or accrued on the consideration paid in the Merger. The Merger was accounted for as a pooling of interests.</w:t>
      </w:r>
    </w:p>
    <w:p>
      <w:pPr>
        <w:spacing w:after="0" w:line="202"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Western is a provider of integrated waste services to commercial, industrial and residential customers. These services consist of the collection, transfer and disposal of solid waste in California, Texas, Louisiana, Florida, Colorado and Arkansas. Western has 91 municipal and regional authority contracts and serves over 785,000 customers. As part of its business, Western operates six landfills, three transfer stations and five recycling facilities. Western is continuing such operations as a wholly owned subsidiary of USA Waste.</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EVENTS.</w:t>
      </w:r>
    </w:p>
    <w:p>
      <w:pPr>
        <w:spacing w:after="0" w:line="188"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On May 7, 1996, in connection with the acquisition of Western, USA Waste replaced its existing credit facility with a $750 million senior revolving credit facility (the "Credit Facility") with a consortium of banks including The First National Bank of Boston, Bank of America Illinois and Morgan Guaranty Trust Company. The Credit Facility is for a term of five years and will be available for standby letters of credit of up to $300 million. Loans under the Credit Facility bear interest at a rate based on the Eurodollar rate plus a spread not to exceed 0.75% per annum, which spread is initially set at 0.405% per annum. The Credit Facility requires a facility fee, initially set at 0.22% per annum, not to exceed 0.38% per annum on the entire available credit facility. No principal reductions are required for a three-year period. USA Waste plans to use the funds available under the Credit Facility to refinance existing bank loans and letters of credit, to fund additional acquisitions and to provide working capital for the company's business.</w:t>
      </w:r>
    </w:p>
    <w:p>
      <w:pPr>
        <w:spacing w:after="0" w:line="365"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86" w:lineRule="exact"/>
        <w:rPr>
          <w:sz w:val="20"/>
          <w:szCs w:val="20"/>
          <w:color w:val="auto"/>
        </w:rPr>
      </w:pPr>
    </w:p>
    <w:p>
      <w:pPr>
        <w:ind w:left="862" w:hanging="862"/>
        <w:spacing w:after="0"/>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Businesses Acquired.</w:t>
      </w:r>
    </w:p>
    <w:p>
      <w:pPr>
        <w:spacing w:after="0" w:line="188" w:lineRule="exact"/>
        <w:rPr>
          <w:sz w:val="20"/>
          <w:szCs w:val="20"/>
          <w:color w:val="auto"/>
        </w:rPr>
      </w:pPr>
    </w:p>
    <w:p>
      <w:pPr>
        <w:ind w:left="2" w:right="2679" w:firstLine="858"/>
        <w:spacing w:after="0"/>
        <w:rPr>
          <w:sz w:val="20"/>
          <w:szCs w:val="20"/>
          <w:color w:val="auto"/>
        </w:rPr>
      </w:pPr>
      <w:r>
        <w:rPr>
          <w:rFonts w:ascii="Courier New" w:cs="Courier New" w:eastAsia="Courier New" w:hAnsi="Courier New"/>
          <w:sz w:val="16"/>
          <w:szCs w:val="16"/>
          <w:color w:val="auto"/>
        </w:rPr>
        <w:t>At this time, it is impracticable to provide the required financial statements of Western. The required information will be filed no later than 60 days after the filing of this Report on Form 8-K.</w:t>
      </w:r>
    </w:p>
    <w:p>
      <w:pPr>
        <w:spacing w:after="0" w:line="187" w:lineRule="exact"/>
        <w:rPr>
          <w:sz w:val="20"/>
          <w:szCs w:val="20"/>
          <w:color w:val="auto"/>
        </w:rPr>
      </w:pPr>
    </w:p>
    <w:p>
      <w:pPr>
        <w:ind w:left="862" w:hanging="862"/>
        <w:spacing w:after="0"/>
        <w:tabs>
          <w:tab w:leader="none" w:pos="8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188" w:lineRule="exact"/>
        <w:rPr>
          <w:sz w:val="20"/>
          <w:szCs w:val="20"/>
          <w:color w:val="auto"/>
        </w:rPr>
      </w:pPr>
    </w:p>
    <w:p>
      <w:pPr>
        <w:ind w:left="2" w:right="2779" w:firstLine="858"/>
        <w:spacing w:after="0"/>
        <w:rPr>
          <w:sz w:val="20"/>
          <w:szCs w:val="20"/>
          <w:color w:val="auto"/>
        </w:rPr>
      </w:pPr>
      <w:r>
        <w:rPr>
          <w:rFonts w:ascii="Courier New" w:cs="Courier New" w:eastAsia="Courier New" w:hAnsi="Courier New"/>
          <w:sz w:val="16"/>
          <w:szCs w:val="16"/>
          <w:color w:val="auto"/>
        </w:rPr>
        <w:t>At this time, it is impracticable to provide the required pro forma financial information of USA Waste and Western. The required information will be filed no later than 60 days after the filing of this Report on Form 8-K.</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298" w:right="1440" w:bottom="1440" w:gutter="0" w:footer="0" w:header="0"/>
          <w:type w:val="continuous"/>
        </w:sectPr>
      </w:pPr>
    </w:p>
    <w:bookmarkStart w:id="2" w:name="page3"/>
    <w:bookmarkEnd w:id="2"/>
    <w:p>
      <w:pPr>
        <w:ind w:left="282"/>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ind w:left="862" w:hanging="862"/>
        <w:spacing w:after="0"/>
        <w:tabs>
          <w:tab w:leader="none" w:pos="86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Courier New" w:cs="Courier New" w:eastAsia="Courier New" w:hAnsi="Courier New"/>
                <w:sz w:val="16"/>
                <w:szCs w:val="16"/>
                <w:color w:val="auto"/>
              </w:rPr>
              <w:t>Exhibit Number</w:t>
            </w: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Description</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24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Agreement and Plan of Merger, dated as of December 18, 1995, by and among USA Waste</w:t>
            </w:r>
          </w:p>
        </w:tc>
      </w:tr>
      <w:tr>
        <w:trPr>
          <w:trHeight w:val="183"/>
        </w:trPr>
        <w:tc>
          <w:tcPr>
            <w:tcW w:w="1580" w:type="dxa"/>
            <w:vAlign w:val="bottom"/>
          </w:tcPr>
          <w:p>
            <w:pPr>
              <w:spacing w:after="0"/>
              <w:rPr>
                <w:sz w:val="15"/>
                <w:szCs w:val="15"/>
                <w:color w:val="auto"/>
              </w:rPr>
            </w:pP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w w:val="99"/>
              </w:rPr>
              <w:t>Services, Inc., Riviera Acquisition Corporation and Western Waste Industries (included</w:t>
            </w:r>
          </w:p>
        </w:tc>
      </w:tr>
      <w:tr>
        <w:trPr>
          <w:trHeight w:val="183"/>
        </w:trPr>
        <w:tc>
          <w:tcPr>
            <w:tcW w:w="1580" w:type="dxa"/>
            <w:vAlign w:val="bottom"/>
          </w:tcPr>
          <w:p>
            <w:pPr>
              <w:spacing w:after="0"/>
              <w:rPr>
                <w:sz w:val="15"/>
                <w:szCs w:val="15"/>
                <w:color w:val="auto"/>
              </w:rPr>
            </w:pP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as Appendix A in Registration Statement on Form S-4 (Registration No. 333-02181) and</w:t>
            </w:r>
          </w:p>
        </w:tc>
      </w:tr>
      <w:tr>
        <w:trPr>
          <w:trHeight w:val="183"/>
        </w:trPr>
        <w:tc>
          <w:tcPr>
            <w:tcW w:w="1580" w:type="dxa"/>
            <w:vAlign w:val="bottom"/>
          </w:tcPr>
          <w:p>
            <w:pPr>
              <w:spacing w:after="0"/>
              <w:rPr>
                <w:sz w:val="15"/>
                <w:szCs w:val="15"/>
                <w:color w:val="auto"/>
              </w:rPr>
            </w:pP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Amendment No. 1 to Agreement and Plan of Merger, dated May 1, 1996, by and among USA</w:t>
            </w:r>
          </w:p>
        </w:tc>
      </w:tr>
      <w:tr>
        <w:trPr>
          <w:trHeight w:val="183"/>
        </w:trPr>
        <w:tc>
          <w:tcPr>
            <w:tcW w:w="1580" w:type="dxa"/>
            <w:vAlign w:val="bottom"/>
          </w:tcPr>
          <w:p>
            <w:pPr>
              <w:spacing w:after="0"/>
              <w:rPr>
                <w:sz w:val="15"/>
                <w:szCs w:val="15"/>
                <w:color w:val="auto"/>
              </w:rPr>
            </w:pP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Waste Services, Inc., Riviera Acquisition Corporation and Western Waste Industries.</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Revolving Credit Agreement by and among USA Waste Services, Inc., The First National</w:t>
            </w:r>
          </w:p>
        </w:tc>
      </w:tr>
      <w:tr>
        <w:trPr>
          <w:trHeight w:val="183"/>
        </w:trPr>
        <w:tc>
          <w:tcPr>
            <w:tcW w:w="1580" w:type="dxa"/>
            <w:vAlign w:val="bottom"/>
          </w:tcPr>
          <w:p>
            <w:pPr>
              <w:spacing w:after="0"/>
              <w:rPr>
                <w:sz w:val="15"/>
                <w:szCs w:val="15"/>
                <w:color w:val="auto"/>
              </w:rPr>
            </w:pP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Bank of Boston, Bank of America Illinois, Morgan Guaranty Trust Company of New York</w:t>
            </w:r>
          </w:p>
        </w:tc>
      </w:tr>
      <w:tr>
        <w:trPr>
          <w:trHeight w:val="183"/>
        </w:trPr>
        <w:tc>
          <w:tcPr>
            <w:tcW w:w="1580" w:type="dxa"/>
            <w:vAlign w:val="bottom"/>
          </w:tcPr>
          <w:p>
            <w:pPr>
              <w:spacing w:after="0"/>
              <w:rPr>
                <w:sz w:val="15"/>
                <w:szCs w:val="15"/>
                <w:color w:val="auto"/>
              </w:rPr>
            </w:pP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and other financial institutions, dated as of May 7, 1996.</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Press Release, dated May 7, 1996, relating to closing of the Merger and new revolving</w:t>
            </w:r>
          </w:p>
        </w:tc>
      </w:tr>
      <w:tr>
        <w:trPr>
          <w:trHeight w:val="183"/>
        </w:trPr>
        <w:tc>
          <w:tcPr>
            <w:tcW w:w="1580" w:type="dxa"/>
            <w:vAlign w:val="bottom"/>
          </w:tcPr>
          <w:p>
            <w:pPr>
              <w:spacing w:after="0"/>
              <w:rPr>
                <w:sz w:val="15"/>
                <w:szCs w:val="15"/>
                <w:color w:val="auto"/>
              </w:rPr>
            </w:pPr>
          </w:p>
        </w:tc>
        <w:tc>
          <w:tcPr>
            <w:tcW w:w="8240" w:type="dxa"/>
            <w:vAlign w:val="bottom"/>
          </w:tcPr>
          <w:p>
            <w:pPr>
              <w:ind w:left="40"/>
              <w:spacing w:after="0"/>
              <w:rPr>
                <w:sz w:val="20"/>
                <w:szCs w:val="20"/>
                <w:color w:val="auto"/>
              </w:rPr>
            </w:pPr>
            <w:r>
              <w:rPr>
                <w:rFonts w:ascii="Courier New" w:cs="Courier New" w:eastAsia="Courier New" w:hAnsi="Courier New"/>
                <w:sz w:val="16"/>
                <w:szCs w:val="16"/>
                <w:color w:val="auto"/>
              </w:rPr>
              <w:t>credit agreement.</w:t>
            </w:r>
          </w:p>
        </w:tc>
      </w:tr>
    </w:tbl>
    <w:p>
      <w:pPr>
        <w:spacing w:after="0" w:line="369" w:lineRule="exact"/>
        <w:rPr>
          <w:sz w:val="20"/>
          <w:szCs w:val="20"/>
          <w:color w:val="auto"/>
        </w:rPr>
      </w:pPr>
    </w:p>
    <w:p>
      <w:pPr>
        <w:ind w:left="182" w:hanging="182"/>
        <w:spacing w:after="0"/>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298"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372" w:lineRule="exact"/>
        <w:rPr>
          <w:sz w:val="20"/>
          <w:szCs w:val="20"/>
          <w:color w:val="auto"/>
        </w:rPr>
      </w:pPr>
    </w:p>
    <w:p>
      <w:pPr>
        <w:jc w:val="both"/>
        <w:ind w:right="2879" w:firstLine="858"/>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Current Report to be signed on its behalf by the undersigned, thereunto duly authorized.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USA</w:t>
            </w:r>
          </w:p>
        </w:tc>
        <w:tc>
          <w:tcPr>
            <w:tcW w:w="3400" w:type="dxa"/>
            <w:vAlign w:val="bottom"/>
          </w:tcPr>
          <w:p>
            <w:pPr>
              <w:ind w:left="60"/>
              <w:spacing w:after="0"/>
              <w:rPr>
                <w:sz w:val="20"/>
                <w:szCs w:val="20"/>
                <w:color w:val="auto"/>
              </w:rPr>
            </w:pPr>
            <w:r>
              <w:rPr>
                <w:rFonts w:ascii="Courier New" w:cs="Courier New" w:eastAsia="Courier New" w:hAnsi="Courier New"/>
                <w:sz w:val="16"/>
                <w:szCs w:val="16"/>
                <w:color w:val="auto"/>
              </w:rPr>
              <w:t>WASTE SERVICES, INC.</w:t>
            </w:r>
          </w:p>
        </w:tc>
      </w:tr>
      <w:tr>
        <w:trPr>
          <w:trHeight w:val="917"/>
        </w:trPr>
        <w:tc>
          <w:tcPr>
            <w:tcW w:w="72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2040" w:type="dxa"/>
            <w:vAlign w:val="bottom"/>
          </w:tcPr>
          <w:p>
            <w:pPr>
              <w:ind w:left="140"/>
              <w:spacing w:after="0"/>
              <w:rPr>
                <w:sz w:val="20"/>
                <w:szCs w:val="20"/>
                <w:color w:val="auto"/>
              </w:rPr>
            </w:pPr>
            <w:r>
              <w:rPr>
                <w:rFonts w:ascii="Courier New" w:cs="Courier New" w:eastAsia="Courier New" w:hAnsi="Courier New"/>
                <w:sz w:val="16"/>
                <w:szCs w:val="16"/>
                <w:color w:val="auto"/>
              </w:rPr>
              <w:t>May 22, 1996</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By:</w:t>
            </w:r>
          </w:p>
        </w:tc>
        <w:tc>
          <w:tcPr>
            <w:tcW w:w="3400" w:type="dxa"/>
            <w:vAlign w:val="bottom"/>
          </w:tcPr>
          <w:p>
            <w:pPr>
              <w:ind w:left="60"/>
              <w:spacing w:after="0"/>
              <w:rPr>
                <w:sz w:val="20"/>
                <w:szCs w:val="20"/>
                <w:color w:val="auto"/>
              </w:rPr>
            </w:pPr>
            <w:r>
              <w:rPr>
                <w:rFonts w:ascii="Courier New" w:cs="Courier New" w:eastAsia="Courier New" w:hAnsi="Courier New"/>
                <w:sz w:val="16"/>
                <w:szCs w:val="16"/>
                <w:color w:val="auto"/>
              </w:rPr>
              <w:t>/s/ Bruce E. Snyder</w:t>
            </w:r>
          </w:p>
        </w:tc>
      </w:tr>
      <w:tr>
        <w:trPr>
          <w:trHeight w:val="183"/>
        </w:trPr>
        <w:tc>
          <w:tcPr>
            <w:tcW w:w="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0" w:type="dxa"/>
            <w:vAlign w:val="bottom"/>
          </w:tcPr>
          <w:p>
            <w:pPr>
              <w:ind w:left="60"/>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0" w:type="dxa"/>
            <w:vAlign w:val="bottom"/>
          </w:tcPr>
          <w:p>
            <w:pPr>
              <w:ind w:left="60"/>
              <w:spacing w:after="0"/>
              <w:rPr>
                <w:sz w:val="20"/>
                <w:szCs w:val="20"/>
                <w:color w:val="auto"/>
              </w:rPr>
            </w:pPr>
            <w:r>
              <w:rPr>
                <w:rFonts w:ascii="Courier New" w:cs="Courier New" w:eastAsia="Courier New" w:hAnsi="Courier New"/>
                <w:sz w:val="16"/>
                <w:szCs w:val="16"/>
                <w:color w:val="auto"/>
              </w:rPr>
              <w:t>Bruce E. Snyder</w:t>
            </w:r>
          </w:p>
        </w:tc>
      </w:tr>
      <w:tr>
        <w:trPr>
          <w:trHeight w:val="183"/>
        </w:trPr>
        <w:tc>
          <w:tcPr>
            <w:tcW w:w="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0" w:type="dxa"/>
            <w:vAlign w:val="bottom"/>
          </w:tcPr>
          <w:p>
            <w:pPr>
              <w:ind w:left="60"/>
              <w:spacing w:after="0"/>
              <w:rPr>
                <w:sz w:val="20"/>
                <w:szCs w:val="20"/>
                <w:color w:val="auto"/>
              </w:rPr>
            </w:pPr>
            <w:r>
              <w:rPr>
                <w:rFonts w:ascii="Courier New" w:cs="Courier New" w:eastAsia="Courier New" w:hAnsi="Courier New"/>
                <w:sz w:val="16"/>
                <w:szCs w:val="16"/>
                <w:color w:val="auto"/>
              </w:rPr>
              <w:t>Vice President-Controller,</w:t>
            </w:r>
          </w:p>
        </w:tc>
      </w:tr>
      <w:tr>
        <w:trPr>
          <w:trHeight w:val="183"/>
        </w:trPr>
        <w:tc>
          <w:tcPr>
            <w:tcW w:w="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0" w:type="dxa"/>
            <w:vAlign w:val="bottom"/>
          </w:tcPr>
          <w:p>
            <w:pPr>
              <w:ind w:left="60"/>
              <w:spacing w:after="0"/>
              <w:rPr>
                <w:sz w:val="20"/>
                <w:szCs w:val="20"/>
                <w:color w:val="auto"/>
              </w:rPr>
            </w:pPr>
            <w:r>
              <w:rPr>
                <w:rFonts w:ascii="Courier New" w:cs="Courier New" w:eastAsia="Courier New" w:hAnsi="Courier New"/>
                <w:sz w:val="16"/>
                <w:szCs w:val="16"/>
                <w:color w:val="auto"/>
              </w:rPr>
              <w:t>Chief Accounting Officer</w:t>
            </w:r>
          </w:p>
        </w:tc>
      </w:tr>
      <w:tr>
        <w:trPr>
          <w:trHeight w:val="917"/>
        </w:trPr>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w:t>
            </w:r>
          </w:p>
        </w:tc>
        <w:tc>
          <w:tcPr>
            <w:tcW w:w="3400" w:type="dxa"/>
            <w:vAlign w:val="bottom"/>
          </w:tcPr>
          <w:p>
            <w:pPr>
              <w:spacing w:after="0"/>
              <w:rPr>
                <w:sz w:val="24"/>
                <w:szCs w:val="24"/>
                <w:color w:val="auto"/>
              </w:rPr>
            </w:pPr>
          </w:p>
        </w:tc>
      </w:tr>
    </w:tbl>
    <w:p>
      <w:pPr>
        <w:sectPr>
          <w:pgSz w:w="11900" w:h="16838" w:orient="portrait"/>
          <w:cols w:equalWidth="0" w:num="1">
            <w:col w:w="10219"/>
          </w:cols>
          <w:pgMar w:left="240" w:top="29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7120" w:type="dxa"/>
            <w:vAlign w:val="bottom"/>
          </w:tcPr>
          <w:p>
            <w:pPr>
              <w:ind w:left="1480"/>
              <w:spacing w:after="0"/>
              <w:rPr>
                <w:sz w:val="20"/>
                <w:szCs w:val="20"/>
                <w:color w:val="auto"/>
              </w:rPr>
            </w:pPr>
            <w:r>
              <w:rPr>
                <w:rFonts w:ascii="Courier New" w:cs="Courier New" w:eastAsia="Courier New" w:hAnsi="Courier New"/>
                <w:sz w:val="16"/>
                <w:szCs w:val="16"/>
                <w:color w:val="auto"/>
              </w:rPr>
              <w:t>EXHIBIT INDEX</w:t>
            </w:r>
          </w:p>
        </w:tc>
        <w:tc>
          <w:tcPr>
            <w:tcW w:w="1520" w:type="dxa"/>
            <w:vAlign w:val="bottom"/>
          </w:tcPr>
          <w:p>
            <w:pPr>
              <w:spacing w:after="0"/>
              <w:rPr>
                <w:sz w:val="15"/>
                <w:szCs w:val="15"/>
                <w:color w:val="auto"/>
              </w:rPr>
            </w:pPr>
          </w:p>
        </w:tc>
      </w:tr>
      <w:tr>
        <w:trPr>
          <w:trHeight w:val="917"/>
        </w:trPr>
        <w:tc>
          <w:tcPr>
            <w:tcW w:w="13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Sequentially</w:t>
            </w:r>
          </w:p>
        </w:tc>
      </w:tr>
      <w:tr>
        <w:trPr>
          <w:trHeight w:val="183"/>
        </w:trPr>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Exhibit No.</w:t>
            </w:r>
          </w:p>
        </w:tc>
        <w:tc>
          <w:tcPr>
            <w:tcW w:w="7120" w:type="dxa"/>
            <w:vAlign w:val="bottom"/>
          </w:tcPr>
          <w:p>
            <w:pPr>
              <w:ind w:left="2340"/>
              <w:spacing w:after="0"/>
              <w:rPr>
                <w:sz w:val="20"/>
                <w:szCs w:val="20"/>
                <w:color w:val="auto"/>
              </w:rPr>
            </w:pPr>
            <w:r>
              <w:rPr>
                <w:rFonts w:ascii="Courier New" w:cs="Courier New" w:eastAsia="Courier New" w:hAnsi="Courier New"/>
                <w:sz w:val="16"/>
                <w:szCs w:val="16"/>
                <w:color w:val="auto"/>
              </w:rPr>
              <w:t>Description</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Numbered Page</w:t>
            </w:r>
          </w:p>
        </w:tc>
      </w:tr>
      <w:tr>
        <w:trPr>
          <w:trHeight w:val="183"/>
        </w:trPr>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w:t>
            </w:r>
          </w:p>
        </w:tc>
        <w:tc>
          <w:tcPr>
            <w:tcW w:w="7120" w:type="dxa"/>
            <w:vAlign w:val="bottom"/>
          </w:tcPr>
          <w:p>
            <w:pPr>
              <w:ind w:left="234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13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2.1</w:t>
            </w: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Agreement and Plan of Merger, dated as of December 18, 1995,</w:t>
            </w:r>
          </w:p>
        </w:tc>
        <w:tc>
          <w:tcPr>
            <w:tcW w:w="1520" w:type="dxa"/>
            <w:vAlign w:val="bottom"/>
          </w:tcPr>
          <w:p>
            <w:pPr>
              <w:spacing w:after="0"/>
              <w:rPr>
                <w:sz w:val="24"/>
                <w:szCs w:val="24"/>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by and among USA Waste Services, Inc., Riviera Acquisition</w:t>
            </w:r>
          </w:p>
        </w:tc>
        <w:tc>
          <w:tcPr>
            <w:tcW w:w="152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Corporation and Western Waste Industries (included as Appendix</w:t>
            </w:r>
          </w:p>
        </w:tc>
        <w:tc>
          <w:tcPr>
            <w:tcW w:w="152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A in Registration Statement on Form S-4 (Registration No. 333-02181)</w:t>
            </w:r>
          </w:p>
        </w:tc>
        <w:tc>
          <w:tcPr>
            <w:tcW w:w="152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and incorporated herein by reference).</w:t>
            </w:r>
          </w:p>
        </w:tc>
        <w:tc>
          <w:tcPr>
            <w:tcW w:w="1520" w:type="dxa"/>
            <w:vAlign w:val="bottom"/>
          </w:tcPr>
          <w:p>
            <w:pPr>
              <w:spacing w:after="0"/>
              <w:rPr>
                <w:sz w:val="15"/>
                <w:szCs w:val="15"/>
                <w:color w:val="auto"/>
              </w:rPr>
            </w:pPr>
          </w:p>
        </w:tc>
      </w:tr>
      <w:tr>
        <w:trPr>
          <w:trHeight w:val="367"/>
        </w:trPr>
        <w:tc>
          <w:tcPr>
            <w:tcW w:w="13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*2.2</w:t>
            </w: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Amendment No. 1 to Agreement and Plan of Merger, dated May 1,</w:t>
            </w:r>
          </w:p>
        </w:tc>
        <w:tc>
          <w:tcPr>
            <w:tcW w:w="1520" w:type="dxa"/>
            <w:vAlign w:val="bottom"/>
          </w:tcPr>
          <w:p>
            <w:pPr>
              <w:spacing w:after="0"/>
              <w:rPr>
                <w:sz w:val="24"/>
                <w:szCs w:val="24"/>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1996, by and among USA Waste Services, Inc., Riviera Acquisition</w:t>
            </w:r>
          </w:p>
        </w:tc>
        <w:tc>
          <w:tcPr>
            <w:tcW w:w="152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Corporation and Western Waste Industries.</w:t>
            </w:r>
          </w:p>
        </w:tc>
        <w:tc>
          <w:tcPr>
            <w:tcW w:w="1520" w:type="dxa"/>
            <w:vAlign w:val="bottom"/>
          </w:tcPr>
          <w:p>
            <w:pPr>
              <w:spacing w:after="0"/>
              <w:rPr>
                <w:sz w:val="15"/>
                <w:szCs w:val="15"/>
                <w:color w:val="auto"/>
              </w:rPr>
            </w:pPr>
          </w:p>
        </w:tc>
      </w:tr>
      <w:tr>
        <w:trPr>
          <w:trHeight w:val="367"/>
        </w:trPr>
        <w:tc>
          <w:tcPr>
            <w:tcW w:w="13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*10.1</w:t>
            </w: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Revolving Credit Agreement by and among USA Waste Services, Inc.,</w:t>
            </w:r>
          </w:p>
        </w:tc>
        <w:tc>
          <w:tcPr>
            <w:tcW w:w="1520" w:type="dxa"/>
            <w:vAlign w:val="bottom"/>
          </w:tcPr>
          <w:p>
            <w:pPr>
              <w:spacing w:after="0"/>
              <w:rPr>
                <w:sz w:val="24"/>
                <w:szCs w:val="24"/>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The First National Bank of Boston, Bank of America Illinois,</w:t>
            </w:r>
          </w:p>
        </w:tc>
        <w:tc>
          <w:tcPr>
            <w:tcW w:w="152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Morgan Guaranty Trust Company of New York and other financial</w:t>
            </w:r>
          </w:p>
        </w:tc>
        <w:tc>
          <w:tcPr>
            <w:tcW w:w="152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institutions, dated as of May 7, 1996.</w:t>
            </w:r>
          </w:p>
        </w:tc>
        <w:tc>
          <w:tcPr>
            <w:tcW w:w="1520" w:type="dxa"/>
            <w:vAlign w:val="bottom"/>
          </w:tcPr>
          <w:p>
            <w:pPr>
              <w:spacing w:after="0"/>
              <w:rPr>
                <w:sz w:val="15"/>
                <w:szCs w:val="15"/>
                <w:color w:val="auto"/>
              </w:rPr>
            </w:pPr>
          </w:p>
        </w:tc>
      </w:tr>
      <w:tr>
        <w:trPr>
          <w:trHeight w:val="367"/>
        </w:trPr>
        <w:tc>
          <w:tcPr>
            <w:tcW w:w="13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*99.1</w:t>
            </w: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Press Release, dated May 7, 1996, relating to closing of the Merger</w:t>
            </w:r>
          </w:p>
        </w:tc>
        <w:tc>
          <w:tcPr>
            <w:tcW w:w="1520" w:type="dxa"/>
            <w:vAlign w:val="bottom"/>
          </w:tcPr>
          <w:p>
            <w:pPr>
              <w:spacing w:after="0"/>
              <w:rPr>
                <w:sz w:val="24"/>
                <w:szCs w:val="24"/>
                <w:color w:val="auto"/>
              </w:rPr>
            </w:pPr>
          </w:p>
        </w:tc>
      </w:tr>
      <w:tr>
        <w:trPr>
          <w:trHeight w:val="183"/>
        </w:trPr>
        <w:tc>
          <w:tcPr>
            <w:tcW w:w="1380" w:type="dxa"/>
            <w:vAlign w:val="bottom"/>
          </w:tcPr>
          <w:p>
            <w:pPr>
              <w:spacing w:after="0"/>
              <w:rPr>
                <w:sz w:val="15"/>
                <w:szCs w:val="15"/>
                <w:color w:val="auto"/>
              </w:rPr>
            </w:pP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rPr>
              <w:t>and new revolving credit agreement.</w:t>
            </w:r>
          </w:p>
        </w:tc>
        <w:tc>
          <w:tcPr>
            <w:tcW w:w="1520" w:type="dxa"/>
            <w:vAlign w:val="bottom"/>
          </w:tcPr>
          <w:p>
            <w:pPr>
              <w:spacing w:after="0"/>
              <w:rPr>
                <w:sz w:val="15"/>
                <w:szCs w:val="15"/>
                <w:color w:val="auto"/>
              </w:rPr>
            </w:pPr>
          </w:p>
        </w:tc>
      </w:tr>
    </w:tbl>
    <w:p>
      <w:pPr>
        <w:sectPr>
          <w:pgSz w:w="11900" w:h="16838" w:orient="portrait"/>
          <w:cols w:equalWidth="0" w:num="1">
            <w:col w:w="10020"/>
          </w:cols>
          <w:pgMar w:left="520" w:top="298" w:right="135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2.2</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AMENDMENT NO. 1</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TO</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AGREEMENT AND PLAN OF MERGER</w:t>
      </w:r>
    </w:p>
    <w:p>
      <w:pPr>
        <w:spacing w:after="0" w:line="37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This Amendment No. 1 to the Agreement and Plan of Merger (this "Amendment") is made and entered this first day of May, 1996 by and between USA Waste Services, Inc., a Delaware corporation ("Parent"), Riviera Acquisition Corporation, a California corporation and a wholly owned subsidiary of Parent ("Subsidiary") and Western Waste Industries, a California corporation (the "Company").</w:t>
      </w:r>
    </w:p>
    <w:p>
      <w:pPr>
        <w:spacing w:after="0" w:line="187"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WHEREAS, the Parent, Subsidiary and the Company have previously entered into an Agreement and Plan of Merger dated as of December 18, 1995 (the "Agreement") relating to the merger of Subsidiary with and into the Company;</w:t>
      </w:r>
    </w:p>
    <w:p>
      <w:pPr>
        <w:spacing w:after="0" w:line="189" w:lineRule="exact"/>
        <w:rPr>
          <w:sz w:val="20"/>
          <w:szCs w:val="20"/>
          <w:color w:val="auto"/>
        </w:rPr>
      </w:pPr>
    </w:p>
    <w:p>
      <w:pPr>
        <w:ind w:right="3159" w:firstLine="1621"/>
        <w:spacing w:after="0" w:line="239" w:lineRule="auto"/>
        <w:rPr>
          <w:sz w:val="20"/>
          <w:szCs w:val="20"/>
          <w:color w:val="auto"/>
        </w:rPr>
      </w:pPr>
      <w:r>
        <w:rPr>
          <w:rFonts w:ascii="Courier New" w:cs="Courier New" w:eastAsia="Courier New" w:hAnsi="Courier New"/>
          <w:sz w:val="16"/>
          <w:szCs w:val="16"/>
          <w:color w:val="auto"/>
        </w:rPr>
        <w:t>WHEREAS, the Parent, Subsidiary and the Company desire to amend the Merger Agreement as set forth below;</w:t>
      </w:r>
    </w:p>
    <w:p>
      <w:pPr>
        <w:spacing w:after="0" w:line="189"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NOW, THEREFORE, for the mutual covenants and promises set forth below and other good and valuable consideration, the sufficiency of which is hereby acknowledged, Parent, Subsidiary and the Company hereby agree as follows:</w:t>
      </w:r>
    </w:p>
    <w:p>
      <w:pPr>
        <w:spacing w:after="0" w:line="189" w:lineRule="exact"/>
        <w:rPr>
          <w:sz w:val="20"/>
          <w:szCs w:val="20"/>
          <w:color w:val="auto"/>
        </w:rPr>
      </w:pPr>
    </w:p>
    <w:p>
      <w:pPr>
        <w:ind w:right="2879" w:firstLine="1619"/>
        <w:spacing w:after="0"/>
        <w:tabs>
          <w:tab w:leader="none" w:pos="190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"Agreement and Plan of Merger" is hereby amended to be read "Agreement and Plan of Reorganization" in each place in the Agreement where it so reads.</w:t>
      </w:r>
    </w:p>
    <w:p>
      <w:pPr>
        <w:spacing w:after="0" w:line="189" w:lineRule="exact"/>
        <w:rPr>
          <w:rFonts w:ascii="Courier New" w:cs="Courier New" w:eastAsia="Courier New" w:hAnsi="Courier New"/>
          <w:sz w:val="16"/>
          <w:szCs w:val="16"/>
          <w:color w:val="auto"/>
        </w:rPr>
      </w:pPr>
    </w:p>
    <w:p>
      <w:pPr>
        <w:ind w:right="2679" w:firstLine="1619"/>
        <w:spacing w:after="0" w:line="242" w:lineRule="auto"/>
        <w:tabs>
          <w:tab w:leader="none" w:pos="20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effectuate the merger of Subsidiary with and into the Company in the State of California, the parties hereto agree to execute and deliver the Agreement of Merger attached hereto as Exhibit 1 and have such Agreement of Merger filed, with all necessary documentation, with the Secretary of State of the State of California as soon as practicable after the Closing (as defined in the Agreement).</w:t>
      </w:r>
    </w:p>
    <w:p>
      <w:pPr>
        <w:sectPr>
          <w:pgSz w:w="11900" w:h="16838" w:orient="portrait"/>
          <w:cols w:equalWidth="0" w:num="1">
            <w:col w:w="10219"/>
          </w:cols>
          <w:pgMar w:left="240" w:top="139"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55" w:lineRule="exact"/>
        <w:rPr>
          <w:sz w:val="20"/>
          <w:szCs w:val="20"/>
          <w:color w:val="auto"/>
        </w:rPr>
      </w:pPr>
    </w:p>
    <w:p>
      <w:pPr>
        <w:ind w:right="2879" w:firstLine="1621"/>
        <w:spacing w:after="0"/>
        <w:rPr>
          <w:sz w:val="20"/>
          <w:szCs w:val="20"/>
          <w:color w:val="auto"/>
        </w:rPr>
      </w:pPr>
      <w:r>
        <w:rPr>
          <w:rFonts w:ascii="Courier New" w:cs="Courier New" w:eastAsia="Courier New" w:hAnsi="Courier New"/>
          <w:sz w:val="16"/>
          <w:szCs w:val="16"/>
          <w:color w:val="auto"/>
        </w:rPr>
        <w:t>IN WITNESS WHEREOF, the parties hereto have caused this Amendment to be signed by their duly authorized representatives as of the day and year first above written.</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John E. Drury</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John E. Drury, Chief Executive Officer</w:t>
      </w:r>
    </w:p>
    <w:p>
      <w:pPr>
        <w:spacing w:after="0" w:line="369"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By: /s/ Gregory T. Sangalis</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Gregory T. Sangalis, Secretary</w:t>
      </w:r>
    </w:p>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RIVIERA ACQUISITION CORPORATION</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John E. Drury</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John E. Drury, Chief Executive Officer</w:t>
      </w:r>
    </w:p>
    <w:p>
      <w:pPr>
        <w:spacing w:after="0" w:line="369"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By: /s/ Gregory T. Sangalis</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Gregory T. Sangalis, Secretary</w:t>
      </w:r>
    </w:p>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WESTERN WASTE INDUSTRIES</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Kosti Shirvanian</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Kosti Shirvanian, President and Chief</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Executive Officer</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Savey Tufenkian</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Savey Tufenkian,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10.1</w:t>
      </w:r>
    </w:p>
    <w:p>
      <w:pPr>
        <w:spacing w:after="0" w:line="369" w:lineRule="exact"/>
        <w:rPr>
          <w:sz w:val="20"/>
          <w:szCs w:val="20"/>
          <w:color w:val="auto"/>
        </w:rPr>
      </w:pPr>
    </w:p>
    <w:tbl>
      <w:tblPr>
        <w:tblLayout w:type="fixed"/>
        <w:tblInd w:w="2300" w:type="dxa"/>
        <w:tblCellMar>
          <w:top w:w="0" w:type="dxa"/>
          <w:left w:w="0" w:type="dxa"/>
          <w:bottom w:w="0" w:type="dxa"/>
          <w:right w:w="0" w:type="dxa"/>
        </w:tblCellMar>
      </w:tblPr>
      <w:tr>
        <w:trPr>
          <w:trHeight w:val="181"/>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REVOLVING</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w w:val="98"/>
              </w:rPr>
              <w:t>CREDIT AGREEMENT</w:t>
            </w:r>
          </w:p>
        </w:tc>
      </w:tr>
      <w:tr>
        <w:trPr>
          <w:trHeight w:val="367"/>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DATED AS</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OF MAY 7, 1996</w:t>
            </w:r>
          </w:p>
        </w:tc>
      </w:tr>
      <w:tr>
        <w:trPr>
          <w:trHeight w:val="367"/>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BY</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AND AMONG</w:t>
            </w: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USA WASTE</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SERVICES, INC.,</w:t>
            </w: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"BORROWER")</w:t>
            </w:r>
          </w:p>
        </w:tc>
      </w:tr>
      <w:tr>
        <w:trPr>
          <w:trHeight w:val="367"/>
        </w:trPr>
        <w:tc>
          <w:tcPr>
            <w:tcW w:w="900" w:type="dxa"/>
            <w:vAlign w:val="bottom"/>
          </w:tcPr>
          <w:p>
            <w:pPr>
              <w:spacing w:after="0"/>
              <w:rPr>
                <w:sz w:val="24"/>
                <w:szCs w:val="2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AND</w:t>
            </w:r>
          </w:p>
        </w:tc>
      </w:tr>
    </w:tbl>
    <w:p>
      <w:pPr>
        <w:spacing w:after="0" w:line="18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THE FIRST NATIONAL BANK OF BOSTON</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("FNBB"),</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BANK OF AMERICA ILLINOIS</w:t>
      </w:r>
    </w:p>
    <w:p>
      <w:pPr>
        <w:spacing w:after="0" w:line="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("BAI")</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MORGAN GUARANTY TRUST COMPANY OF NEW YORK</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("MGT")</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AND THE OTHER FINANCIAL INSTITUTIONS WHICH BECOME</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A PARTY TO THIS AGREEMENT</w:t>
      </w:r>
    </w:p>
    <w:p>
      <w:pPr>
        <w:spacing w:after="0" w:line="36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(Collectively, the "Banks")</w:t>
      </w:r>
    </w:p>
    <w:p>
      <w:pPr>
        <w:spacing w:after="0" w:line="18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MGT as the Administrative Agent</w:t>
      </w:r>
    </w:p>
    <w:p>
      <w:pPr>
        <w:spacing w:after="0" w:line="18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FNBB as Documentation Agent</w:t>
      </w:r>
    </w:p>
    <w:p>
      <w:pPr>
        <w:spacing w:after="0" w:line="369"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(Collectively, the "Bank Agents")</w:t>
      </w:r>
    </w:p>
    <w:p>
      <w:pPr>
        <w:sectPr>
          <w:pgSz w:w="11900" w:h="16838" w:orient="portrait"/>
          <w:cols w:equalWidth="0" w:num="1">
            <w:col w:w="9939"/>
          </w:cols>
          <w:pgMar w:left="520" w:top="139"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1.</w:t>
            </w:r>
          </w:p>
        </w:tc>
        <w:tc>
          <w:tcPr>
            <w:tcW w:w="3820" w:type="dxa"/>
            <w:vAlign w:val="bottom"/>
            <w:gridSpan w:val="5"/>
          </w:tcPr>
          <w:p>
            <w:pPr>
              <w:spacing w:after="0"/>
              <w:rPr>
                <w:sz w:val="20"/>
                <w:szCs w:val="20"/>
                <w:color w:val="auto"/>
              </w:rPr>
            </w:pPr>
            <w:r>
              <w:rPr>
                <w:rFonts w:ascii="Courier New" w:cs="Courier New" w:eastAsia="Courier New" w:hAnsi="Courier New"/>
                <w:sz w:val="16"/>
                <w:szCs w:val="16"/>
                <w:color w:val="auto"/>
                <w:w w:val="98"/>
              </w:rPr>
              <w:t>DEFINITIONS AND RULES OF INTERPRETATION.</w:t>
            </w:r>
          </w:p>
        </w:tc>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1.1.</w:t>
            </w:r>
          </w:p>
        </w:tc>
        <w:tc>
          <w:tcPr>
            <w:tcW w:w="15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Definitions.</w:t>
            </w:r>
          </w:p>
        </w:tc>
        <w:tc>
          <w:tcPr>
            <w:tcW w:w="640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1.2.</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Rules of</w:t>
            </w:r>
          </w:p>
        </w:tc>
        <w:tc>
          <w:tcPr>
            <w:tcW w:w="14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Interpretation.</w:t>
            </w:r>
          </w:p>
        </w:tc>
        <w:tc>
          <w:tcPr>
            <w:tcW w:w="54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2.</w:t>
            </w:r>
          </w:p>
        </w:tc>
        <w:tc>
          <w:tcPr>
            <w:tcW w:w="7920" w:type="dxa"/>
            <w:vAlign w:val="bottom"/>
            <w:gridSpan w:val="6"/>
          </w:tcPr>
          <w:p>
            <w:pPr>
              <w:spacing w:after="0"/>
              <w:rPr>
                <w:sz w:val="20"/>
                <w:szCs w:val="20"/>
                <w:color w:val="auto"/>
              </w:rPr>
            </w:pPr>
            <w:r>
              <w:rPr>
                <w:rFonts w:ascii="Courier New" w:cs="Courier New" w:eastAsia="Courier New" w:hAnsi="Courier New"/>
                <w:sz w:val="16"/>
                <w:szCs w:val="16"/>
                <w:color w:val="auto"/>
              </w:rPr>
              <w:t>THE SYNDICATED FACILITY.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2.1.</w:t>
            </w:r>
          </w:p>
        </w:tc>
        <w:tc>
          <w:tcPr>
            <w:tcW w:w="382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Commitment to Lend Syndicated Loans.</w:t>
            </w:r>
          </w:p>
        </w:tc>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2.2.</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Facility</w:t>
            </w:r>
          </w:p>
        </w:tc>
        <w:tc>
          <w:tcPr>
            <w:tcW w:w="692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Fee.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2.3.</w:t>
            </w:r>
          </w:p>
        </w:tc>
        <w:tc>
          <w:tcPr>
            <w:tcW w:w="344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Reduction of Total Commitment.</w:t>
            </w:r>
          </w:p>
        </w:tc>
        <w:tc>
          <w:tcPr>
            <w:tcW w:w="44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2.4.</w:t>
            </w:r>
          </w:p>
        </w:tc>
        <w:tc>
          <w:tcPr>
            <w:tcW w:w="24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The Syndicated Notes.</w:t>
            </w:r>
          </w:p>
        </w:tc>
        <w:tc>
          <w:tcPr>
            <w:tcW w:w="54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w w:val="99"/>
              </w:rPr>
              <w:t>.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2.5.</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692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on Syndicated Loans.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2.6.</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Requests</w:t>
            </w:r>
          </w:p>
        </w:tc>
        <w:tc>
          <w:tcPr>
            <w:tcW w:w="24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for Syndicated Loans.</w:t>
            </w:r>
          </w:p>
        </w:tc>
        <w:tc>
          <w:tcPr>
            <w:tcW w:w="44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Section 2.7.  Election</w:t>
            </w:r>
          </w:p>
        </w:tc>
        <w:tc>
          <w:tcPr>
            <w:tcW w:w="692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of Eurodollar Rate; Notice of Election; Interest Periods;</w:t>
            </w:r>
          </w:p>
        </w:tc>
        <w:tc>
          <w:tcPr>
            <w:tcW w:w="5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4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Minimum Amounts.</w:t>
            </w:r>
          </w:p>
        </w:tc>
        <w:tc>
          <w:tcPr>
            <w:tcW w:w="54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w w:val="99"/>
              </w:rPr>
              <w:t>.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2.8.</w:t>
            </w:r>
          </w:p>
        </w:tc>
        <w:tc>
          <w:tcPr>
            <w:tcW w:w="3440" w:type="dxa"/>
            <w:vAlign w:val="bottom"/>
            <w:gridSpan w:val="4"/>
          </w:tcPr>
          <w:p>
            <w:pPr>
              <w:ind w:left="200"/>
              <w:spacing w:after="0"/>
              <w:rPr>
                <w:sz w:val="20"/>
                <w:szCs w:val="20"/>
                <w:color w:val="auto"/>
              </w:rPr>
            </w:pPr>
            <w:r>
              <w:rPr>
                <w:rFonts w:ascii="Courier New" w:cs="Courier New" w:eastAsia="Courier New" w:hAnsi="Courier New"/>
                <w:sz w:val="16"/>
                <w:szCs w:val="16"/>
                <w:color w:val="auto"/>
                <w:w w:val="98"/>
              </w:rPr>
              <w:t>Funds for Syndicated Credit Loans.</w:t>
            </w:r>
          </w:p>
        </w:tc>
        <w:tc>
          <w:tcPr>
            <w:tcW w:w="380" w:type="dxa"/>
            <w:vAlign w:val="bottom"/>
          </w:tcPr>
          <w:p>
            <w:pPr>
              <w:spacing w:after="0"/>
              <w:rPr>
                <w:sz w:val="15"/>
                <w:szCs w:val="15"/>
                <w:color w:val="auto"/>
              </w:rPr>
            </w:pPr>
          </w:p>
        </w:tc>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2.9.</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Maturity</w:t>
            </w:r>
          </w:p>
        </w:tc>
        <w:tc>
          <w:tcPr>
            <w:tcW w:w="692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of the Syndicated Loans and Reimbursement Obligations.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Section 2.10. Optional</w:t>
            </w:r>
          </w:p>
        </w:tc>
        <w:tc>
          <w:tcPr>
            <w:tcW w:w="692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Prepayments or Repayments of Syndicated Loans.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3.</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LETTERS OF</w:t>
            </w:r>
          </w:p>
        </w:tc>
        <w:tc>
          <w:tcPr>
            <w:tcW w:w="692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CREDIT.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3.1.  Letter of Credit Commitments.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3.2.</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Reimbursement Obligation of the Borrower.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3.3.</w:t>
            </w:r>
          </w:p>
        </w:tc>
        <w:tc>
          <w:tcPr>
            <w:tcW w:w="24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Obligations Absolute.</w:t>
            </w:r>
          </w:p>
        </w:tc>
        <w:tc>
          <w:tcPr>
            <w:tcW w:w="54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w w:val="99"/>
              </w:rPr>
              <w:t>.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3.4.</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Reliance</w:t>
            </w:r>
          </w:p>
        </w:tc>
        <w:tc>
          <w:tcPr>
            <w:tcW w:w="692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by the Issuing Bank.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3.5.</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Notice Regarding Letters of Credit.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bl>
    <w:p>
      <w:pPr>
        <w:sectPr>
          <w:pgSz w:w="11900" w:h="16838" w:orient="portrait"/>
          <w:cols w:equalWidth="0" w:num="1">
            <w:col w:w="10219"/>
          </w:cols>
          <w:pgMar w:left="240" w:top="298"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ii</w:t>
            </w:r>
          </w:p>
        </w:tc>
        <w:tc>
          <w:tcPr>
            <w:tcW w:w="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1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3.6.</w:t>
            </w:r>
          </w:p>
        </w:tc>
        <w:tc>
          <w:tcPr>
            <w:tcW w:w="2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Letter of Credit Fee.</w:t>
            </w:r>
          </w:p>
        </w:tc>
        <w:tc>
          <w:tcPr>
            <w:tcW w:w="548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9"/>
              </w:rPr>
              <w:t>.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4.</w:t>
            </w:r>
          </w:p>
        </w:tc>
        <w:tc>
          <w:tcPr>
            <w:tcW w:w="7920" w:type="dxa"/>
            <w:vAlign w:val="bottom"/>
            <w:gridSpan w:val="6"/>
          </w:tcPr>
          <w:p>
            <w:pPr>
              <w:spacing w:after="0"/>
              <w:rPr>
                <w:sz w:val="20"/>
                <w:szCs w:val="20"/>
                <w:color w:val="auto"/>
              </w:rPr>
            </w:pPr>
            <w:r>
              <w:rPr>
                <w:rFonts w:ascii="Courier New" w:cs="Courier New" w:eastAsia="Courier New" w:hAnsi="Courier New"/>
                <w:sz w:val="16"/>
                <w:szCs w:val="16"/>
                <w:color w:val="auto"/>
              </w:rPr>
              <w:t>COMPETITIVE BID LOANS.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4.1.</w:t>
            </w:r>
          </w:p>
        </w:tc>
        <w:tc>
          <w:tcPr>
            <w:tcW w:w="30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The Competitive Bid Option.</w:t>
            </w:r>
          </w:p>
        </w:tc>
        <w:tc>
          <w:tcPr>
            <w:tcW w:w="492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4.2.</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Competitive Bid Loan Accounts: Competitive Bid Notes.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4.3.</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Competitive Bid Quote Request; Invitation for Competitive Bid Quotes.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4.4.</w:t>
            </w:r>
          </w:p>
        </w:tc>
        <w:tc>
          <w:tcPr>
            <w:tcW w:w="358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Alternative Manner of Procedure.</w:t>
            </w:r>
          </w:p>
        </w:tc>
        <w:tc>
          <w:tcPr>
            <w:tcW w:w="43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4.5.</w:t>
            </w:r>
          </w:p>
        </w:tc>
        <w:tc>
          <w:tcPr>
            <w:tcW w:w="530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Submission and Contents of Competitive Bid Quotes.</w:t>
            </w:r>
          </w:p>
        </w:tc>
        <w:tc>
          <w:tcPr>
            <w:tcW w:w="2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4.6.</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Notice to Borrower.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4.7.</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Acceptance and Notice by Company and Administrative Agent.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4.8.</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Allocation by Administrative Agent.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4.9.</w:t>
            </w:r>
          </w:p>
        </w:tc>
        <w:tc>
          <w:tcPr>
            <w:tcW w:w="358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Funding of Competitive Bid Loans.</w:t>
            </w:r>
          </w:p>
        </w:tc>
        <w:tc>
          <w:tcPr>
            <w:tcW w:w="43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3"/>
        </w:trPr>
        <w:tc>
          <w:tcPr>
            <w:tcW w:w="2820" w:type="dxa"/>
            <w:vAlign w:val="bottom"/>
            <w:gridSpan w:val="2"/>
          </w:tcPr>
          <w:p>
            <w:pPr>
              <w:spacing w:after="0"/>
              <w:rPr>
                <w:sz w:val="20"/>
                <w:szCs w:val="20"/>
                <w:color w:val="auto"/>
              </w:rPr>
            </w:pPr>
            <w:r>
              <w:rPr>
                <w:rFonts w:ascii="Courier New" w:cs="Courier New" w:eastAsia="Courier New" w:hAnsi="Courier New"/>
                <w:sz w:val="16"/>
                <w:szCs w:val="16"/>
                <w:color w:val="auto"/>
              </w:rPr>
              <w:t>Section 4.10. Funding Losses.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 . .</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 . .</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 . . . . . . . .</w:t>
            </w:r>
          </w:p>
        </w:tc>
        <w:tc>
          <w:tcPr>
            <w:tcW w:w="2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3"/>
        </w:trPr>
        <w:tc>
          <w:tcPr>
            <w:tcW w:w="6440" w:type="dxa"/>
            <w:vAlign w:val="bottom"/>
            <w:gridSpan w:val="6"/>
          </w:tcPr>
          <w:p>
            <w:pPr>
              <w:spacing w:after="0"/>
              <w:rPr>
                <w:sz w:val="20"/>
                <w:szCs w:val="20"/>
                <w:color w:val="auto"/>
              </w:rPr>
            </w:pPr>
            <w:r>
              <w:rPr>
                <w:rFonts w:ascii="Courier New" w:cs="Courier New" w:eastAsia="Courier New" w:hAnsi="Courier New"/>
                <w:sz w:val="16"/>
                <w:szCs w:val="16"/>
                <w:color w:val="auto"/>
                <w:w w:val="99"/>
              </w:rPr>
              <w:t>Section 4.11. Repayment of Competitive Bid Loans; Interest. . . . .</w:t>
            </w:r>
          </w:p>
        </w:tc>
        <w:tc>
          <w:tcPr>
            <w:tcW w:w="2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5.</w:t>
            </w:r>
          </w:p>
        </w:tc>
        <w:tc>
          <w:tcPr>
            <w:tcW w:w="530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8"/>
              </w:rPr>
              <w:t>PROVISIONS RELATING TO ALL LOANS AND LETTERS OF CREDIT.</w:t>
            </w:r>
          </w:p>
        </w:tc>
        <w:tc>
          <w:tcPr>
            <w:tcW w:w="2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5.1.</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Payments. . .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 . .</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 . .</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 . . . . . . . .</w:t>
            </w:r>
          </w:p>
        </w:tc>
        <w:tc>
          <w:tcPr>
            <w:tcW w:w="2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5.2.</w:t>
            </w:r>
          </w:p>
        </w:tc>
        <w:tc>
          <w:tcPr>
            <w:tcW w:w="358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Mandatory Repayments of the Loans.</w:t>
            </w:r>
          </w:p>
        </w:tc>
        <w:tc>
          <w:tcPr>
            <w:tcW w:w="43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5.3.</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Computations.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5.4.</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Illegality; Inability to Determine Eurodollar Rate.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5.5.</w:t>
            </w:r>
          </w:p>
        </w:tc>
        <w:tc>
          <w:tcPr>
            <w:tcW w:w="2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Additional Costs, Etc.</w:t>
            </w:r>
          </w:p>
        </w:tc>
        <w:tc>
          <w:tcPr>
            <w:tcW w:w="548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rPr>
              <w:t>.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5.6.</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Capital Adequacy.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5.7.</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Certificate.</w:t>
            </w:r>
          </w:p>
        </w:tc>
        <w:tc>
          <w:tcPr>
            <w:tcW w:w="6240" w:type="dxa"/>
            <w:vAlign w:val="bottom"/>
            <w:gridSpan w:val="5"/>
          </w:tcPr>
          <w:p>
            <w:pPr>
              <w:jc w:val="right"/>
              <w:ind w:right="301"/>
              <w:spacing w:after="0"/>
              <w:rPr>
                <w:sz w:val="20"/>
                <w:szCs w:val="20"/>
                <w:color w:val="auto"/>
              </w:rPr>
            </w:pPr>
            <w:r>
              <w:rPr>
                <w:rFonts w:ascii="Courier New" w:cs="Courier New" w:eastAsia="Courier New" w:hAnsi="Courier New"/>
                <w:sz w:val="16"/>
                <w:szCs w:val="16"/>
                <w:color w:val="auto"/>
                <w:w w:val="99"/>
              </w:rPr>
              <w: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bl>
    <w:p>
      <w:pPr>
        <w:sectPr>
          <w:pgSz w:w="11900" w:h="16838" w:orient="portrait"/>
          <w:cols w:equalWidth="0" w:num="1">
            <w:col w:w="10219"/>
          </w:cols>
          <w:pgMar w:left="240" w:top="298"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15"/>
                <w:szCs w:val="15"/>
                <w:color w:val="auto"/>
              </w:rPr>
            </w:pPr>
          </w:p>
        </w:tc>
        <w:tc>
          <w:tcPr>
            <w:tcW w:w="2920" w:type="dxa"/>
            <w:vAlign w:val="bottom"/>
          </w:tcPr>
          <w:p>
            <w:pPr>
              <w:ind w:left="2340"/>
              <w:spacing w:after="0"/>
              <w:rPr>
                <w:sz w:val="20"/>
                <w:szCs w:val="20"/>
                <w:color w:val="auto"/>
              </w:rPr>
            </w:pPr>
            <w:r>
              <w:rPr>
                <w:rFonts w:ascii="Courier New" w:cs="Courier New" w:eastAsia="Courier New" w:hAnsi="Courier New"/>
                <w:sz w:val="16"/>
                <w:szCs w:val="16"/>
                <w:color w:val="auto"/>
              </w:rPr>
              <w:t>iii</w:t>
            </w:r>
          </w:p>
        </w:tc>
        <w:tc>
          <w:tcPr>
            <w:tcW w:w="4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17"/>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5.8.</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Eurodollar and Competitive Bid Indemnity.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5.9.</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Interest on Overdue Amounts.</w:t>
            </w:r>
          </w:p>
        </w:tc>
        <w:tc>
          <w:tcPr>
            <w:tcW w:w="4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3"/>
        </w:trPr>
        <w:tc>
          <w:tcPr>
            <w:tcW w:w="9060" w:type="dxa"/>
            <w:vAlign w:val="bottom"/>
            <w:gridSpan w:val="3"/>
          </w:tcPr>
          <w:p>
            <w:pPr>
              <w:spacing w:after="0"/>
              <w:rPr>
                <w:sz w:val="20"/>
                <w:szCs w:val="20"/>
                <w:color w:val="auto"/>
              </w:rPr>
            </w:pPr>
            <w:r>
              <w:rPr>
                <w:rFonts w:ascii="Courier New" w:cs="Courier New" w:eastAsia="Courier New" w:hAnsi="Courier New"/>
                <w:sz w:val="16"/>
                <w:szCs w:val="16"/>
                <w:color w:val="auto"/>
              </w:rPr>
              <w:t>Section 5.10. Interest Limitation.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3"/>
        </w:trPr>
        <w:tc>
          <w:tcPr>
            <w:tcW w:w="9060" w:type="dxa"/>
            <w:vAlign w:val="bottom"/>
            <w:gridSpan w:val="3"/>
          </w:tcPr>
          <w:p>
            <w:pPr>
              <w:spacing w:after="0"/>
              <w:rPr>
                <w:sz w:val="20"/>
                <w:szCs w:val="20"/>
                <w:color w:val="auto"/>
              </w:rPr>
            </w:pPr>
            <w:r>
              <w:rPr>
                <w:rFonts w:ascii="Courier New" w:cs="Courier New" w:eastAsia="Courier New" w:hAnsi="Courier New"/>
                <w:sz w:val="16"/>
                <w:szCs w:val="16"/>
                <w:color w:val="auto"/>
              </w:rPr>
              <w:t>Section 5.11. Reasonable Efforts to Mitigate.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3"/>
        </w:trPr>
        <w:tc>
          <w:tcPr>
            <w:tcW w:w="9060" w:type="dxa"/>
            <w:vAlign w:val="bottom"/>
            <w:gridSpan w:val="3"/>
          </w:tcPr>
          <w:p>
            <w:pPr>
              <w:spacing w:after="0"/>
              <w:rPr>
                <w:sz w:val="20"/>
                <w:szCs w:val="20"/>
                <w:color w:val="auto"/>
              </w:rPr>
            </w:pPr>
            <w:r>
              <w:rPr>
                <w:rFonts w:ascii="Courier New" w:cs="Courier New" w:eastAsia="Courier New" w:hAnsi="Courier New"/>
                <w:sz w:val="16"/>
                <w:szCs w:val="16"/>
                <w:color w:val="auto"/>
              </w:rPr>
              <w:t>Section 5.12. Replacement of Banks.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3"/>
        </w:trPr>
        <w:tc>
          <w:tcPr>
            <w:tcW w:w="9060" w:type="dxa"/>
            <w:vAlign w:val="bottom"/>
            <w:gridSpan w:val="3"/>
          </w:tcPr>
          <w:p>
            <w:pPr>
              <w:spacing w:after="0"/>
              <w:rPr>
                <w:sz w:val="20"/>
                <w:szCs w:val="20"/>
                <w:color w:val="auto"/>
              </w:rPr>
            </w:pPr>
            <w:r>
              <w:rPr>
                <w:rFonts w:ascii="Courier New" w:cs="Courier New" w:eastAsia="Courier New" w:hAnsi="Courier New"/>
                <w:sz w:val="16"/>
                <w:szCs w:val="16"/>
                <w:color w:val="auto"/>
              </w:rPr>
              <w:t>Section 5.13. Advances by Administrative Agent.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3"/>
        </w:trPr>
        <w:tc>
          <w:tcPr>
            <w:tcW w:w="9060" w:type="dxa"/>
            <w:vAlign w:val="bottom"/>
            <w:gridSpan w:val="3"/>
          </w:tcPr>
          <w:p>
            <w:pPr>
              <w:spacing w:after="0"/>
              <w:rPr>
                <w:sz w:val="20"/>
                <w:szCs w:val="20"/>
                <w:color w:val="auto"/>
              </w:rPr>
            </w:pPr>
            <w:r>
              <w:rPr>
                <w:rFonts w:ascii="Courier New" w:cs="Courier New" w:eastAsia="Courier New" w:hAnsi="Courier New"/>
                <w:sz w:val="16"/>
                <w:szCs w:val="16"/>
                <w:color w:val="auto"/>
              </w:rPr>
              <w:t>Section 6.  REPRESENTATIONS AND WARRANTIES.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6.1.</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Corporate Authority.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6.2.</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Governmental Approvals.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6.3.</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Title to Properties; Leases.</w:t>
            </w:r>
          </w:p>
        </w:tc>
        <w:tc>
          <w:tcPr>
            <w:tcW w:w="4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6.4.</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Financial Statements; Solvency.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6.5.</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No Material Changes, Etc.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6.6.</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Franchises, Patents, Copyrights, Etc.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6.7.</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Litigation.   .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6.8.</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No Materially Adverse Contracts, Etc.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6.9.</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Compliance With Other Instruments, Laws, Etc.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6.10.</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Tax Status.   .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6.11.</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No Event of Default.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6.12.</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Holding Company and Investment Company Acts.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6.13.</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Absence of Financing Statements, Etc.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6.14.</w:t>
            </w:r>
          </w:p>
        </w:tc>
        <w:tc>
          <w:tcPr>
            <w:tcW w:w="7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Employee Benefit Plans.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bl>
    <w:p>
      <w:pPr>
        <w:sectPr>
          <w:pgSz w:w="11900" w:h="16838" w:orient="portrait"/>
          <w:cols w:equalWidth="0" w:num="1">
            <w:col w:w="10219"/>
          </w:cols>
          <w:pgMar w:left="240" w:top="298"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ind w:left="200"/>
              <w:spacing w:after="0"/>
              <w:rPr>
                <w:sz w:val="20"/>
                <w:szCs w:val="20"/>
                <w:color w:val="auto"/>
              </w:rPr>
            </w:pPr>
            <w:r>
              <w:rPr>
                <w:rFonts w:ascii="Courier New" w:cs="Courier New" w:eastAsia="Courier New" w:hAnsi="Courier New"/>
                <w:sz w:val="16"/>
                <w:szCs w:val="16"/>
                <w:color w:val="auto"/>
              </w:rPr>
              <w:t>iv</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17"/>
        </w:trPr>
        <w:tc>
          <w:tcPr>
            <w:tcW w:w="4060" w:type="dxa"/>
            <w:vAlign w:val="bottom"/>
            <w:gridSpan w:val="4"/>
          </w:tcPr>
          <w:p>
            <w:pPr>
              <w:spacing w:after="0"/>
              <w:rPr>
                <w:sz w:val="20"/>
                <w:szCs w:val="20"/>
                <w:color w:val="auto"/>
              </w:rPr>
            </w:pPr>
            <w:r>
              <w:rPr>
                <w:rFonts w:ascii="Courier New" w:cs="Courier New" w:eastAsia="Courier New" w:hAnsi="Courier New"/>
                <w:sz w:val="16"/>
                <w:szCs w:val="16"/>
                <w:color w:val="auto"/>
              </w:rPr>
              <w:t>Section 6.15. [INTENTIONALLY LEFT BLANK.]</w:t>
            </w:r>
          </w:p>
        </w:tc>
        <w:tc>
          <w:tcPr>
            <w:tcW w:w="50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6.16. Environmental Compliance.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3"/>
        </w:trPr>
        <w:tc>
          <w:tcPr>
            <w:tcW w:w="4060" w:type="dxa"/>
            <w:vAlign w:val="bottom"/>
            <w:gridSpan w:val="4"/>
          </w:tcPr>
          <w:p>
            <w:pPr>
              <w:spacing w:after="0"/>
              <w:rPr>
                <w:sz w:val="20"/>
                <w:szCs w:val="20"/>
                <w:color w:val="auto"/>
              </w:rPr>
            </w:pPr>
            <w:r>
              <w:rPr>
                <w:rFonts w:ascii="Courier New" w:cs="Courier New" w:eastAsia="Courier New" w:hAnsi="Courier New"/>
                <w:sz w:val="16"/>
                <w:szCs w:val="16"/>
                <w:color w:val="auto"/>
              </w:rPr>
              <w:t>Section 6.17. [INTENTIONALLY LEFT BLANK.]</w:t>
            </w:r>
          </w:p>
        </w:tc>
        <w:tc>
          <w:tcPr>
            <w:tcW w:w="50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6.18. True Copies of Charter and Other Documents.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6.19. Disclosure.   .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6.20. Permits and Governmental Authority.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7.</w:t>
            </w:r>
          </w:p>
        </w:tc>
        <w:tc>
          <w:tcPr>
            <w:tcW w:w="3820" w:type="dxa"/>
            <w:vAlign w:val="bottom"/>
            <w:gridSpan w:val="4"/>
          </w:tcPr>
          <w:p>
            <w:pPr>
              <w:spacing w:after="0"/>
              <w:rPr>
                <w:sz w:val="20"/>
                <w:szCs w:val="20"/>
                <w:color w:val="auto"/>
              </w:rPr>
            </w:pPr>
            <w:r>
              <w:rPr>
                <w:rFonts w:ascii="Courier New" w:cs="Courier New" w:eastAsia="Courier New" w:hAnsi="Courier New"/>
                <w:sz w:val="16"/>
                <w:szCs w:val="16"/>
                <w:color w:val="auto"/>
              </w:rPr>
              <w:t>AFFIRMATIVE COVENANTS OF THE BORROWER.</w:t>
            </w:r>
          </w:p>
        </w:tc>
        <w:tc>
          <w:tcPr>
            <w:tcW w:w="41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7.1.</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Punctual Payment.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7.2.</w:t>
            </w:r>
          </w:p>
        </w:tc>
        <w:tc>
          <w:tcPr>
            <w:tcW w:w="23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Maintenance of Office.</w:t>
            </w:r>
          </w:p>
        </w:tc>
        <w:tc>
          <w:tcPr>
            <w:tcW w:w="554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rPr>
              <w:t>.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7.3.</w:t>
            </w:r>
          </w:p>
        </w:tc>
        <w:tc>
          <w:tcPr>
            <w:tcW w:w="23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Records and Accounts.</w:t>
            </w:r>
          </w:p>
        </w:tc>
        <w:tc>
          <w:tcPr>
            <w:tcW w:w="554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rPr>
              <w:t>.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7.4.</w:t>
            </w:r>
          </w:p>
        </w:tc>
        <w:tc>
          <w:tcPr>
            <w:tcW w:w="7920" w:type="dxa"/>
            <w:vAlign w:val="bottom"/>
            <w:gridSpan w:val="6"/>
          </w:tcPr>
          <w:p>
            <w:pPr>
              <w:ind w:left="200"/>
              <w:spacing w:after="0"/>
              <w:rPr>
                <w:sz w:val="20"/>
                <w:szCs w:val="20"/>
                <w:color w:val="auto"/>
              </w:rPr>
            </w:pPr>
            <w:r>
              <w:rPr>
                <w:rFonts w:ascii="Courier New" w:cs="Courier New" w:eastAsia="Courier New" w:hAnsi="Courier New"/>
                <w:sz w:val="16"/>
                <w:szCs w:val="16"/>
                <w:color w:val="auto"/>
              </w:rPr>
              <w:t>Financial Statements, Certificates and Information.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7.5.</w:t>
            </w:r>
          </w:p>
        </w:tc>
        <w:tc>
          <w:tcPr>
            <w:tcW w:w="468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Corporate Existence and Conduct of Business.</w:t>
            </w:r>
          </w:p>
        </w:tc>
        <w:tc>
          <w:tcPr>
            <w:tcW w:w="3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7.6.</w:t>
            </w:r>
          </w:p>
        </w:tc>
        <w:tc>
          <w:tcPr>
            <w:tcW w:w="29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Maintenance of Properties.</w:t>
            </w:r>
          </w:p>
        </w:tc>
        <w:tc>
          <w:tcPr>
            <w:tcW w:w="50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7.7.</w:t>
            </w: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w w:val="95"/>
              </w:rPr>
              <w:t>Insurance.</w:t>
            </w:r>
          </w:p>
        </w:tc>
        <w:tc>
          <w:tcPr>
            <w:tcW w:w="6780" w:type="dxa"/>
            <w:vAlign w:val="bottom"/>
            <w:gridSpan w:val="5"/>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7.8.</w:t>
            </w: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rPr>
              <w:t>Taxes.</w:t>
            </w:r>
          </w:p>
        </w:tc>
        <w:tc>
          <w:tcPr>
            <w:tcW w:w="6780" w:type="dxa"/>
            <w:vAlign w:val="bottom"/>
            <w:gridSpan w:val="5"/>
          </w:tcPr>
          <w:p>
            <w:pPr>
              <w:jc w:val="right"/>
              <w:ind w:right="301"/>
              <w:spacing w:after="0"/>
              <w:rPr>
                <w:sz w:val="20"/>
                <w:szCs w:val="20"/>
                <w:color w:val="auto"/>
              </w:rPr>
            </w:pPr>
            <w:r>
              <w:rPr>
                <w:rFonts w:ascii="Courier New" w:cs="Courier New" w:eastAsia="Courier New" w:hAnsi="Courier New"/>
                <w:sz w:val="16"/>
                <w:szCs w:val="16"/>
                <w:color w:val="auto"/>
                <w:w w:val="99"/>
              </w:rPr>
              <w:t>. . .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7.9.</w:t>
            </w:r>
          </w:p>
        </w:tc>
        <w:tc>
          <w:tcPr>
            <w:tcW w:w="468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Inspection of Properties, Books and Contracts.</w:t>
            </w:r>
          </w:p>
        </w:tc>
        <w:tc>
          <w:tcPr>
            <w:tcW w:w="3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7.10. Compliance with Laws, Contracts, Licenses and Permits; Maintenance of</w:t>
            </w:r>
          </w:p>
        </w:tc>
        <w:tc>
          <w:tcPr>
            <w:tcW w:w="5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920" w:type="dxa"/>
            <w:vAlign w:val="bottom"/>
            <w:gridSpan w:val="6"/>
          </w:tcPr>
          <w:p>
            <w:pPr>
              <w:jc w:val="right"/>
              <w:ind w:right="301"/>
              <w:spacing w:after="0"/>
              <w:rPr>
                <w:sz w:val="20"/>
                <w:szCs w:val="20"/>
                <w:color w:val="auto"/>
              </w:rPr>
            </w:pPr>
            <w:r>
              <w:rPr>
                <w:rFonts w:ascii="Courier New" w:cs="Courier New" w:eastAsia="Courier New" w:hAnsi="Courier New"/>
                <w:sz w:val="16"/>
                <w:szCs w:val="16"/>
                <w:color w:val="auto"/>
              </w:rPr>
              <w:t>Material Licenses and Permits.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7.11. Environmental Indemnification.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7.12. Further Assurances.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7.13. Notice of Potential Claims or Litigation.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3"/>
        </w:trPr>
        <w:tc>
          <w:tcPr>
            <w:tcW w:w="9060" w:type="dxa"/>
            <w:vAlign w:val="bottom"/>
            <w:gridSpan w:val="7"/>
          </w:tcPr>
          <w:p>
            <w:pPr>
              <w:spacing w:after="0"/>
              <w:rPr>
                <w:sz w:val="20"/>
                <w:szCs w:val="20"/>
                <w:color w:val="auto"/>
              </w:rPr>
            </w:pPr>
            <w:r>
              <w:rPr>
                <w:rFonts w:ascii="Courier New" w:cs="Courier New" w:eastAsia="Courier New" w:hAnsi="Courier New"/>
                <w:sz w:val="16"/>
                <w:szCs w:val="16"/>
                <w:color w:val="auto"/>
              </w:rPr>
              <w:t>Section 7.14. Notice of Certain Events Concerning Insurance and Environmental Claims.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bl>
    <w:p>
      <w:pPr>
        <w:sectPr>
          <w:pgSz w:w="11900" w:h="16838" w:orient="portrait"/>
          <w:cols w:equalWidth="0" w:num="1">
            <w:col w:w="10219"/>
          </w:cols>
          <w:pgMar w:left="240" w:top="298"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v</w:t>
            </w:r>
          </w:p>
        </w:tc>
        <w:tc>
          <w:tcPr>
            <w:tcW w:w="7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17"/>
        </w:trPr>
        <w:tc>
          <w:tcPr>
            <w:tcW w:w="9060" w:type="dxa"/>
            <w:vAlign w:val="bottom"/>
            <w:gridSpan w:val="6"/>
          </w:tcPr>
          <w:p>
            <w:pPr>
              <w:spacing w:after="0"/>
              <w:rPr>
                <w:sz w:val="20"/>
                <w:szCs w:val="20"/>
                <w:color w:val="auto"/>
              </w:rPr>
            </w:pPr>
            <w:r>
              <w:rPr>
                <w:rFonts w:ascii="Courier New" w:cs="Courier New" w:eastAsia="Courier New" w:hAnsi="Courier New"/>
                <w:sz w:val="16"/>
                <w:szCs w:val="16"/>
                <w:color w:val="auto"/>
              </w:rPr>
              <w:t>Section 7.15. Notice of Default.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3"/>
        </w:trPr>
        <w:tc>
          <w:tcPr>
            <w:tcW w:w="9060" w:type="dxa"/>
            <w:vAlign w:val="bottom"/>
            <w:gridSpan w:val="6"/>
          </w:tcPr>
          <w:p>
            <w:pPr>
              <w:spacing w:after="0"/>
              <w:rPr>
                <w:sz w:val="20"/>
                <w:szCs w:val="20"/>
                <w:color w:val="auto"/>
              </w:rPr>
            </w:pPr>
            <w:r>
              <w:rPr>
                <w:rFonts w:ascii="Courier New" w:cs="Courier New" w:eastAsia="Courier New" w:hAnsi="Courier New"/>
                <w:sz w:val="16"/>
                <w:szCs w:val="16"/>
                <w:color w:val="auto"/>
              </w:rPr>
              <w:t>Section 7.16. Use of Proceeds.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9060" w:type="dxa"/>
            <w:vAlign w:val="bottom"/>
            <w:gridSpan w:val="6"/>
          </w:tcPr>
          <w:p>
            <w:pPr>
              <w:spacing w:after="0"/>
              <w:rPr>
                <w:sz w:val="20"/>
                <w:szCs w:val="20"/>
                <w:color w:val="auto"/>
              </w:rPr>
            </w:pPr>
            <w:r>
              <w:rPr>
                <w:rFonts w:ascii="Courier New" w:cs="Courier New" w:eastAsia="Courier New" w:hAnsi="Courier New"/>
                <w:sz w:val="16"/>
                <w:szCs w:val="16"/>
                <w:color w:val="auto"/>
              </w:rPr>
              <w:t>Section 7.17. Certain Transactions.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8.</w:t>
            </w:r>
          </w:p>
        </w:tc>
        <w:tc>
          <w:tcPr>
            <w:tcW w:w="7920" w:type="dxa"/>
            <w:vAlign w:val="bottom"/>
            <w:gridSpan w:val="5"/>
          </w:tcPr>
          <w:p>
            <w:pPr>
              <w:jc w:val="right"/>
              <w:ind w:right="301"/>
              <w:spacing w:after="0"/>
              <w:rPr>
                <w:sz w:val="20"/>
                <w:szCs w:val="20"/>
                <w:color w:val="auto"/>
              </w:rPr>
            </w:pPr>
            <w:r>
              <w:rPr>
                <w:rFonts w:ascii="Courier New" w:cs="Courier New" w:eastAsia="Courier New" w:hAnsi="Courier New"/>
                <w:sz w:val="16"/>
                <w:szCs w:val="16"/>
                <w:color w:val="auto"/>
                <w:w w:val="99"/>
              </w:rPr>
              <w:t>CERTAIN NEGATIVE COVENANTS OF THE BORROWER.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8.1.</w:t>
            </w:r>
          </w:p>
        </w:tc>
        <w:tc>
          <w:tcPr>
            <w:tcW w:w="100" w:type="dxa"/>
            <w:vAlign w:val="bottom"/>
          </w:tcPr>
          <w:p>
            <w:pPr>
              <w:spacing w:after="0"/>
              <w:rPr>
                <w:sz w:val="15"/>
                <w:szCs w:val="15"/>
                <w:color w:val="auto"/>
              </w:rPr>
            </w:pP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Restrictions on Indebtedness.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8.2.</w:t>
            </w:r>
          </w:p>
        </w:tc>
        <w:tc>
          <w:tcPr>
            <w:tcW w:w="10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Restrictions on Liens.</w:t>
            </w:r>
          </w:p>
        </w:tc>
        <w:tc>
          <w:tcPr>
            <w:tcW w:w="54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8.3.</w:t>
            </w:r>
          </w:p>
        </w:tc>
        <w:tc>
          <w:tcPr>
            <w:tcW w:w="100" w:type="dxa"/>
            <w:vAlign w:val="bottom"/>
          </w:tcPr>
          <w:p>
            <w:pPr>
              <w:spacing w:after="0"/>
              <w:rPr>
                <w:sz w:val="15"/>
                <w:szCs w:val="15"/>
                <w:color w:val="auto"/>
              </w:rPr>
            </w:pPr>
          </w:p>
        </w:tc>
        <w:tc>
          <w:tcPr>
            <w:tcW w:w="2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Restrictions on Investments.</w:t>
            </w:r>
          </w:p>
        </w:tc>
        <w:tc>
          <w:tcPr>
            <w:tcW w:w="50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8.4.</w:t>
            </w:r>
          </w:p>
        </w:tc>
        <w:tc>
          <w:tcPr>
            <w:tcW w:w="100" w:type="dxa"/>
            <w:vAlign w:val="bottom"/>
          </w:tcPr>
          <w:p>
            <w:pPr>
              <w:spacing w:after="0"/>
              <w:rPr>
                <w:sz w:val="15"/>
                <w:szCs w:val="15"/>
                <w:color w:val="auto"/>
              </w:rPr>
            </w:pP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Mergers, Consolidations, Sales.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8.5.</w:t>
            </w:r>
          </w:p>
        </w:tc>
        <w:tc>
          <w:tcPr>
            <w:tcW w:w="100" w:type="dxa"/>
            <w:vAlign w:val="bottom"/>
          </w:tcPr>
          <w:p>
            <w:pPr>
              <w:spacing w:after="0"/>
              <w:rPr>
                <w:sz w:val="15"/>
                <w:szCs w:val="15"/>
                <w:color w:val="auto"/>
              </w:rPr>
            </w:pP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Restricted Distributions and Redemptions.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8.6.</w:t>
            </w:r>
          </w:p>
        </w:tc>
        <w:tc>
          <w:tcPr>
            <w:tcW w:w="100" w:type="dxa"/>
            <w:vAlign w:val="bottom"/>
          </w:tcPr>
          <w:p>
            <w:pPr>
              <w:spacing w:after="0"/>
              <w:rPr>
                <w:sz w:val="15"/>
                <w:szCs w:val="15"/>
                <w:color w:val="auto"/>
              </w:rPr>
            </w:pP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Employee Benefit Plans.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8.7.</w:t>
            </w:r>
          </w:p>
        </w:tc>
        <w:tc>
          <w:tcPr>
            <w:tcW w:w="100" w:type="dxa"/>
            <w:vAlign w:val="bottom"/>
          </w:tcPr>
          <w:p>
            <w:pPr>
              <w:spacing w:after="0"/>
              <w:rPr>
                <w:sz w:val="15"/>
                <w:szCs w:val="15"/>
                <w:color w:val="auto"/>
              </w:rPr>
            </w:pP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Reliance Documents.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9.</w:t>
            </w:r>
          </w:p>
        </w:tc>
        <w:tc>
          <w:tcPr>
            <w:tcW w:w="3620" w:type="dxa"/>
            <w:vAlign w:val="bottom"/>
            <w:gridSpan w:val="4"/>
          </w:tcPr>
          <w:p>
            <w:pPr>
              <w:spacing w:after="0"/>
              <w:rPr>
                <w:sz w:val="20"/>
                <w:szCs w:val="20"/>
                <w:color w:val="auto"/>
              </w:rPr>
            </w:pPr>
            <w:r>
              <w:rPr>
                <w:rFonts w:ascii="Courier New" w:cs="Courier New" w:eastAsia="Courier New" w:hAnsi="Courier New"/>
                <w:sz w:val="16"/>
                <w:szCs w:val="16"/>
                <w:color w:val="auto"/>
              </w:rPr>
              <w:t>FINANCIAL COVENANTS OF THE BORROWER.</w:t>
            </w:r>
          </w:p>
        </w:tc>
        <w:tc>
          <w:tcPr>
            <w:tcW w:w="43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9.1.</w:t>
            </w:r>
          </w:p>
        </w:tc>
        <w:tc>
          <w:tcPr>
            <w:tcW w:w="10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w w:val="99"/>
              </w:rPr>
              <w:t>Interest Coverage Ratio.</w:t>
            </w:r>
          </w:p>
        </w:tc>
        <w:tc>
          <w:tcPr>
            <w:tcW w:w="340" w:type="dxa"/>
            <w:vAlign w:val="bottom"/>
          </w:tcPr>
          <w:p>
            <w:pPr>
              <w:spacing w:after="0"/>
              <w:rPr>
                <w:sz w:val="15"/>
                <w:szCs w:val="15"/>
                <w:color w:val="auto"/>
              </w:rPr>
            </w:pPr>
          </w:p>
        </w:tc>
        <w:tc>
          <w:tcPr>
            <w:tcW w:w="50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9"/>
              </w:rPr>
              <w:t>.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9.2.</w:t>
            </w:r>
          </w:p>
        </w:tc>
        <w:tc>
          <w:tcPr>
            <w:tcW w:w="100" w:type="dxa"/>
            <w:vAlign w:val="bottom"/>
          </w:tcPr>
          <w:p>
            <w:pPr>
              <w:spacing w:after="0"/>
              <w:rPr>
                <w:sz w:val="15"/>
                <w:szCs w:val="15"/>
                <w:color w:val="auto"/>
              </w:rPr>
            </w:pP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Debt to EBITDA Ratio.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Section 9.3.</w:t>
            </w:r>
          </w:p>
        </w:tc>
        <w:tc>
          <w:tcPr>
            <w:tcW w:w="100" w:type="dxa"/>
            <w:vAlign w:val="bottom"/>
          </w:tcPr>
          <w:p>
            <w:pPr>
              <w:spacing w:after="0"/>
              <w:rPr>
                <w:sz w:val="15"/>
                <w:szCs w:val="15"/>
                <w:color w:val="auto"/>
              </w:rPr>
            </w:pP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Debt to Total Capitalization.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10.</w:t>
            </w:r>
          </w:p>
        </w:tc>
        <w:tc>
          <w:tcPr>
            <w:tcW w:w="100" w:type="dxa"/>
            <w:vAlign w:val="bottom"/>
          </w:tcPr>
          <w:p>
            <w:pPr>
              <w:spacing w:after="0"/>
              <w:rPr>
                <w:sz w:val="15"/>
                <w:szCs w:val="15"/>
                <w:color w:val="auto"/>
              </w:rPr>
            </w:pPr>
          </w:p>
        </w:tc>
        <w:tc>
          <w:tcPr>
            <w:tcW w:w="78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9"/>
              </w:rPr>
              <w:t>CONDITIONS TO EFFECTIVENESS.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w w:val="97"/>
              </w:rPr>
              <w:t>Section 10.1.</w:t>
            </w: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Corporate Action.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w w:val="97"/>
              </w:rPr>
              <w:t>Section 10.2.</w:t>
            </w: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Loan Documents, Etc.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w w:val="97"/>
              </w:rPr>
              <w:t>Section 10.3.</w:t>
            </w: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Certified Copies of Charter Documents.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w w:val="97"/>
              </w:rPr>
              <w:t>Section 10.4.</w:t>
            </w: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Incumbency Certificate.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w w:val="97"/>
              </w:rPr>
              <w:t>Section 10.5.</w:t>
            </w:r>
          </w:p>
        </w:tc>
        <w:tc>
          <w:tcPr>
            <w:tcW w:w="78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Certificates of Insurance.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bl>
    <w:p>
      <w:pPr>
        <w:sectPr>
          <w:pgSz w:w="11900" w:h="16838" w:orient="portrait"/>
          <w:cols w:equalWidth="0" w:num="1">
            <w:col w:w="10219"/>
          </w:cols>
          <w:pgMar w:left="240" w:top="298"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vi</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17"/>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10.6.</w:t>
            </w:r>
          </w:p>
        </w:tc>
        <w:tc>
          <w:tcPr>
            <w:tcW w:w="448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Opinions of Counsel and Permit Certificate.</w:t>
            </w:r>
          </w:p>
        </w:tc>
        <w:tc>
          <w:tcPr>
            <w:tcW w:w="33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10.7.</w:t>
            </w:r>
          </w:p>
        </w:tc>
        <w:tc>
          <w:tcPr>
            <w:tcW w:w="24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Western Waste Merger.</w:t>
            </w:r>
          </w:p>
        </w:tc>
        <w:tc>
          <w:tcPr>
            <w:tcW w:w="5400" w:type="dxa"/>
            <w:vAlign w:val="bottom"/>
            <w:gridSpan w:val="5"/>
          </w:tcPr>
          <w:p>
            <w:pPr>
              <w:jc w:val="right"/>
              <w:ind w:right="301"/>
              <w:spacing w:after="0"/>
              <w:rPr>
                <w:sz w:val="20"/>
                <w:szCs w:val="20"/>
                <w:color w:val="auto"/>
              </w:rPr>
            </w:pPr>
            <w:r>
              <w:rPr>
                <w:rFonts w:ascii="Courier New" w:cs="Courier New" w:eastAsia="Courier New" w:hAnsi="Courier New"/>
                <w:sz w:val="16"/>
                <w:szCs w:val="16"/>
                <w:color w:val="auto"/>
              </w:rPr>
              <w:t>.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10.8.</w:t>
            </w:r>
          </w:p>
        </w:tc>
        <w:tc>
          <w:tcPr>
            <w:tcW w:w="7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Existing Debt.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10.9.</w:t>
            </w:r>
          </w:p>
        </w:tc>
        <w:tc>
          <w:tcPr>
            <w:tcW w:w="362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Satisfactory Financial Condition.</w:t>
            </w:r>
          </w:p>
        </w:tc>
        <w:tc>
          <w:tcPr>
            <w:tcW w:w="42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9060" w:type="dxa"/>
            <w:vAlign w:val="bottom"/>
            <w:gridSpan w:val="8"/>
          </w:tcPr>
          <w:p>
            <w:pPr>
              <w:spacing w:after="0"/>
              <w:rPr>
                <w:sz w:val="20"/>
                <w:szCs w:val="20"/>
                <w:color w:val="auto"/>
              </w:rPr>
            </w:pPr>
            <w:r>
              <w:rPr>
                <w:rFonts w:ascii="Courier New" w:cs="Courier New" w:eastAsia="Courier New" w:hAnsi="Courier New"/>
                <w:sz w:val="16"/>
                <w:szCs w:val="16"/>
                <w:color w:val="auto"/>
              </w:rPr>
              <w:t>Section 10.10. Environmental Reports.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9060" w:type="dxa"/>
            <w:vAlign w:val="bottom"/>
            <w:gridSpan w:val="8"/>
          </w:tcPr>
          <w:p>
            <w:pPr>
              <w:spacing w:after="0"/>
              <w:rPr>
                <w:sz w:val="20"/>
                <w:szCs w:val="20"/>
                <w:color w:val="auto"/>
              </w:rPr>
            </w:pPr>
            <w:r>
              <w:rPr>
                <w:rFonts w:ascii="Courier New" w:cs="Courier New" w:eastAsia="Courier New" w:hAnsi="Courier New"/>
                <w:sz w:val="16"/>
                <w:szCs w:val="16"/>
                <w:color w:val="auto"/>
              </w:rPr>
              <w:t>Section 10.11. Payment of Closing Fees.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Section 11.</w:t>
            </w:r>
          </w:p>
        </w:tc>
        <w:tc>
          <w:tcPr>
            <w:tcW w:w="7820" w:type="dxa"/>
            <w:vAlign w:val="bottom"/>
            <w:gridSpan w:val="7"/>
          </w:tcPr>
          <w:p>
            <w:pPr>
              <w:spacing w:after="0"/>
              <w:rPr>
                <w:sz w:val="20"/>
                <w:szCs w:val="20"/>
                <w:color w:val="auto"/>
              </w:rPr>
            </w:pPr>
            <w:r>
              <w:rPr>
                <w:rFonts w:ascii="Courier New" w:cs="Courier New" w:eastAsia="Courier New" w:hAnsi="Courier New"/>
                <w:sz w:val="16"/>
                <w:szCs w:val="16"/>
                <w:color w:val="auto"/>
              </w:rPr>
              <w:t>CONDITIONS TO ALL LOANS.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11.1.</w:t>
            </w:r>
          </w:p>
        </w:tc>
        <w:tc>
          <w:tcPr>
            <w:tcW w:w="24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Representations True.</w:t>
            </w:r>
          </w:p>
        </w:tc>
        <w:tc>
          <w:tcPr>
            <w:tcW w:w="5400" w:type="dxa"/>
            <w:vAlign w:val="bottom"/>
            <w:gridSpan w:val="5"/>
          </w:tcPr>
          <w:p>
            <w:pPr>
              <w:jc w:val="right"/>
              <w:ind w:right="301"/>
              <w:spacing w:after="0"/>
              <w:rPr>
                <w:sz w:val="20"/>
                <w:szCs w:val="20"/>
                <w:color w:val="auto"/>
              </w:rPr>
            </w:pPr>
            <w:r>
              <w:rPr>
                <w:rFonts w:ascii="Courier New" w:cs="Courier New" w:eastAsia="Courier New" w:hAnsi="Courier New"/>
                <w:sz w:val="16"/>
                <w:szCs w:val="16"/>
                <w:color w:val="auto"/>
              </w:rPr>
              <w:t>.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11.2.</w:t>
            </w:r>
          </w:p>
        </w:tc>
        <w:tc>
          <w:tcPr>
            <w:tcW w:w="362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Performance; No Event of Default.</w:t>
            </w:r>
          </w:p>
        </w:tc>
        <w:tc>
          <w:tcPr>
            <w:tcW w:w="42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11.3.</w:t>
            </w:r>
          </w:p>
        </w:tc>
        <w:tc>
          <w:tcPr>
            <w:tcW w:w="7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No Legal Impediment.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11.4.</w:t>
            </w:r>
          </w:p>
        </w:tc>
        <w:tc>
          <w:tcPr>
            <w:tcW w:w="7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Governmental Regulation.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11.5.</w:t>
            </w:r>
          </w:p>
        </w:tc>
        <w:tc>
          <w:tcPr>
            <w:tcW w:w="7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Proceedings and Documents.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Section 12.</w:t>
            </w:r>
          </w:p>
        </w:tc>
        <w:tc>
          <w:tcPr>
            <w:tcW w:w="5820" w:type="dxa"/>
            <w:vAlign w:val="bottom"/>
            <w:gridSpan w:val="6"/>
          </w:tcPr>
          <w:p>
            <w:pPr>
              <w:spacing w:after="0"/>
              <w:rPr>
                <w:sz w:val="20"/>
                <w:szCs w:val="20"/>
                <w:color w:val="auto"/>
              </w:rPr>
            </w:pPr>
            <w:r>
              <w:rPr>
                <w:rFonts w:ascii="Courier New" w:cs="Courier New" w:eastAsia="Courier New" w:hAnsi="Courier New"/>
                <w:sz w:val="16"/>
                <w:szCs w:val="16"/>
                <w:color w:val="auto"/>
              </w:rPr>
              <w:t>EVENTS OF DEFAULT; ACCELERATION; TERMINATION OF COMMITMENT.</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12.1.</w:t>
            </w:r>
          </w:p>
        </w:tc>
        <w:tc>
          <w:tcPr>
            <w:tcW w:w="362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Events of Default and Acceleration.</w:t>
            </w:r>
          </w:p>
        </w:tc>
        <w:tc>
          <w:tcPr>
            <w:tcW w:w="42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12.2.</w:t>
            </w: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Termination of Commitments.</w:t>
            </w:r>
          </w:p>
        </w:tc>
        <w:tc>
          <w:tcPr>
            <w:tcW w:w="506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rPr>
              <w:t>.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12.3.</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w w:val="97"/>
              </w:rPr>
              <w:t>Remedies.</w:t>
            </w:r>
          </w:p>
        </w:tc>
        <w:tc>
          <w:tcPr>
            <w:tcW w:w="6780" w:type="dxa"/>
            <w:vAlign w:val="bottom"/>
            <w:gridSpan w:val="6"/>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Section 13.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SETOFF.</w:t>
            </w:r>
          </w:p>
        </w:tc>
        <w:tc>
          <w:tcPr>
            <w:tcW w:w="6780" w:type="dxa"/>
            <w:vAlign w:val="bottom"/>
            <w:gridSpan w:val="6"/>
          </w:tcPr>
          <w:p>
            <w:pPr>
              <w:jc w:val="right"/>
              <w:ind w:right="301"/>
              <w:spacing w:after="0"/>
              <w:rPr>
                <w:sz w:val="20"/>
                <w:szCs w:val="20"/>
                <w:color w:val="auto"/>
              </w:rPr>
            </w:pPr>
            <w:r>
              <w:rPr>
                <w:rFonts w:ascii="Courier New" w:cs="Courier New" w:eastAsia="Courier New" w:hAnsi="Courier New"/>
                <w:sz w:val="16"/>
                <w:szCs w:val="16"/>
                <w:color w:val="auto"/>
                <w:w w:val="99"/>
              </w:rPr>
              <w:t>. . .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Section 14.</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6780" w:type="dxa"/>
            <w:vAlign w:val="bottom"/>
            <w:gridSpan w:val="6"/>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Section 15.</w:t>
            </w:r>
          </w:p>
        </w:tc>
        <w:tc>
          <w:tcPr>
            <w:tcW w:w="7820" w:type="dxa"/>
            <w:vAlign w:val="bottom"/>
            <w:gridSpan w:val="7"/>
          </w:tcPr>
          <w:p>
            <w:pPr>
              <w:spacing w:after="0"/>
              <w:rPr>
                <w:sz w:val="20"/>
                <w:szCs w:val="20"/>
                <w:color w:val="auto"/>
              </w:rPr>
            </w:pPr>
            <w:r>
              <w:rPr>
                <w:rFonts w:ascii="Courier New" w:cs="Courier New" w:eastAsia="Courier New" w:hAnsi="Courier New"/>
                <w:sz w:val="16"/>
                <w:szCs w:val="16"/>
                <w:color w:val="auto"/>
              </w:rPr>
              <w:t>THE BANK AGENTS.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15.1.</w:t>
            </w:r>
          </w:p>
        </w:tc>
        <w:tc>
          <w:tcPr>
            <w:tcW w:w="362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Appointment, Powers and Immunities.</w:t>
            </w:r>
          </w:p>
        </w:tc>
        <w:tc>
          <w:tcPr>
            <w:tcW w:w="42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15.2.</w:t>
            </w:r>
          </w:p>
        </w:tc>
        <w:tc>
          <w:tcPr>
            <w:tcW w:w="24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Actions By Bank Agents.</w:t>
            </w:r>
          </w:p>
        </w:tc>
        <w:tc>
          <w:tcPr>
            <w:tcW w:w="340" w:type="dxa"/>
            <w:vAlign w:val="bottom"/>
          </w:tcPr>
          <w:p>
            <w:pPr>
              <w:spacing w:after="0"/>
              <w:rPr>
                <w:sz w:val="15"/>
                <w:szCs w:val="15"/>
                <w:color w:val="auto"/>
              </w:rPr>
            </w:pPr>
          </w:p>
        </w:tc>
        <w:tc>
          <w:tcPr>
            <w:tcW w:w="506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9"/>
              </w:rPr>
              <w:t>.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Section 15.3.</w:t>
            </w:r>
          </w:p>
        </w:tc>
        <w:tc>
          <w:tcPr>
            <w:tcW w:w="7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Indemnification.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bl>
    <w:p>
      <w:pPr>
        <w:sectPr>
          <w:pgSz w:w="11900" w:h="16838" w:orient="portrait"/>
          <w:cols w:equalWidth="0" w:num="1">
            <w:col w:w="10219"/>
          </w:cols>
          <w:pgMar w:left="240" w:top="298"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vii</w:t>
            </w:r>
          </w:p>
        </w:tc>
        <w:tc>
          <w:tcPr>
            <w:tcW w:w="4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17"/>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15.4.</w:t>
            </w:r>
          </w:p>
        </w:tc>
        <w:tc>
          <w:tcPr>
            <w:tcW w:w="15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Reimbursement.</w:t>
            </w:r>
          </w:p>
        </w:tc>
        <w:tc>
          <w:tcPr>
            <w:tcW w:w="63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15.5.</w:t>
            </w:r>
          </w:p>
        </w:tc>
        <w:tc>
          <w:tcPr>
            <w:tcW w:w="790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Documents.   . . .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15.6.</w:t>
            </w:r>
          </w:p>
        </w:tc>
        <w:tc>
          <w:tcPr>
            <w:tcW w:w="790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Non-Reliance on Bank Agents and Other Banks.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15.7.</w:t>
            </w:r>
          </w:p>
        </w:tc>
        <w:tc>
          <w:tcPr>
            <w:tcW w:w="304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Resignation of Bank Agents.</w:t>
            </w:r>
          </w:p>
        </w:tc>
        <w:tc>
          <w:tcPr>
            <w:tcW w:w="4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15.8.</w:t>
            </w:r>
          </w:p>
        </w:tc>
        <w:tc>
          <w:tcPr>
            <w:tcW w:w="1000" w:type="dxa"/>
            <w:vAlign w:val="bottom"/>
          </w:tcPr>
          <w:p>
            <w:pPr>
              <w:ind w:left="80"/>
              <w:spacing w:after="0"/>
              <w:rPr>
                <w:sz w:val="20"/>
                <w:szCs w:val="20"/>
                <w:color w:val="auto"/>
              </w:rPr>
            </w:pPr>
            <w:r>
              <w:rPr>
                <w:rFonts w:ascii="Courier New" w:cs="Courier New" w:eastAsia="Courier New" w:hAnsi="Courier New"/>
                <w:sz w:val="16"/>
                <w:szCs w:val="16"/>
                <w:color w:val="auto"/>
              </w:rPr>
              <w:t>Action by</w:t>
            </w:r>
          </w:p>
        </w:tc>
        <w:tc>
          <w:tcPr>
            <w:tcW w:w="6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the Banks, Consents, Amendments, Waivers, Etc.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16.</w:t>
            </w:r>
          </w:p>
        </w:tc>
        <w:tc>
          <w:tcPr>
            <w:tcW w:w="790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INDEMNIFICATION.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17.</w:t>
            </w:r>
          </w:p>
        </w:tc>
        <w:tc>
          <w:tcPr>
            <w:tcW w:w="304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SURVIVAL OF COVENANTS, ETC.</w:t>
            </w:r>
          </w:p>
        </w:tc>
        <w:tc>
          <w:tcPr>
            <w:tcW w:w="4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18.</w:t>
            </w:r>
          </w:p>
        </w:tc>
        <w:tc>
          <w:tcPr>
            <w:tcW w:w="304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ASSIGNMENT AND PARTICIPATION.</w:t>
            </w:r>
          </w:p>
        </w:tc>
        <w:tc>
          <w:tcPr>
            <w:tcW w:w="4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19.</w:t>
            </w:r>
          </w:p>
        </w:tc>
        <w:tc>
          <w:tcPr>
            <w:tcW w:w="21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PARTIES IN INTEREST.</w:t>
            </w:r>
          </w:p>
        </w:tc>
        <w:tc>
          <w:tcPr>
            <w:tcW w:w="57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20.</w:t>
            </w:r>
          </w:p>
        </w:tc>
        <w:tc>
          <w:tcPr>
            <w:tcW w:w="15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NOTICES, ETC.</w:t>
            </w:r>
          </w:p>
        </w:tc>
        <w:tc>
          <w:tcPr>
            <w:tcW w:w="63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21.</w:t>
            </w:r>
          </w:p>
        </w:tc>
        <w:tc>
          <w:tcPr>
            <w:tcW w:w="15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MISCELLANEOUS.</w:t>
            </w:r>
          </w:p>
        </w:tc>
        <w:tc>
          <w:tcPr>
            <w:tcW w:w="63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22.</w:t>
            </w:r>
          </w:p>
        </w:tc>
        <w:tc>
          <w:tcPr>
            <w:tcW w:w="1000" w:type="dxa"/>
            <w:vAlign w:val="bottom"/>
          </w:tcPr>
          <w:p>
            <w:pPr>
              <w:ind w:left="80"/>
              <w:spacing w:after="0"/>
              <w:rPr>
                <w:sz w:val="20"/>
                <w:szCs w:val="20"/>
                <w:color w:val="auto"/>
              </w:rPr>
            </w:pPr>
            <w:r>
              <w:rPr>
                <w:rFonts w:ascii="Courier New" w:cs="Courier New" w:eastAsia="Courier New" w:hAnsi="Courier New"/>
                <w:sz w:val="16"/>
                <w:szCs w:val="16"/>
                <w:color w:val="auto"/>
              </w:rPr>
              <w:t>CONSENTS,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ETC.</w:t>
            </w:r>
          </w:p>
        </w:tc>
        <w:tc>
          <w:tcPr>
            <w:tcW w:w="63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23.</w:t>
            </w:r>
          </w:p>
        </w:tc>
        <w:tc>
          <w:tcPr>
            <w:tcW w:w="1000" w:type="dxa"/>
            <w:vAlign w:val="bottom"/>
          </w:tcPr>
          <w:p>
            <w:pPr>
              <w:ind w:left="80"/>
              <w:spacing w:after="0"/>
              <w:rPr>
                <w:sz w:val="20"/>
                <w:szCs w:val="20"/>
                <w:color w:val="auto"/>
              </w:rPr>
            </w:pPr>
            <w:r>
              <w:rPr>
                <w:rFonts w:ascii="Courier New" w:cs="Courier New" w:eastAsia="Courier New" w:hAnsi="Courier New"/>
                <w:sz w:val="16"/>
                <w:szCs w:val="16"/>
                <w:color w:val="auto"/>
              </w:rPr>
              <w:t>WAIVER OF</w:t>
            </w:r>
          </w:p>
        </w:tc>
        <w:tc>
          <w:tcPr>
            <w:tcW w:w="1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JURY TRIAL.</w:t>
            </w:r>
          </w:p>
        </w:tc>
        <w:tc>
          <w:tcPr>
            <w:tcW w:w="57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24.</w:t>
            </w:r>
          </w:p>
        </w:tc>
        <w:tc>
          <w:tcPr>
            <w:tcW w:w="1000" w:type="dxa"/>
            <w:vAlign w:val="bottom"/>
          </w:tcPr>
          <w:p>
            <w:pPr>
              <w:ind w:left="80"/>
              <w:spacing w:after="0"/>
              <w:rPr>
                <w:sz w:val="20"/>
                <w:szCs w:val="20"/>
                <w:color w:val="auto"/>
              </w:rPr>
            </w:pPr>
            <w:r>
              <w:rPr>
                <w:rFonts w:ascii="Courier New" w:cs="Courier New" w:eastAsia="Courier New" w:hAnsi="Courier New"/>
                <w:sz w:val="16"/>
                <w:szCs w:val="16"/>
                <w:color w:val="auto"/>
              </w:rPr>
              <w:t>GOVERNING</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LAW.</w:t>
            </w:r>
          </w:p>
        </w:tc>
        <w:tc>
          <w:tcPr>
            <w:tcW w:w="63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25.</w:t>
            </w:r>
          </w:p>
        </w:tc>
        <w:tc>
          <w:tcPr>
            <w:tcW w:w="15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SEVERABILITY.</w:t>
            </w:r>
          </w:p>
        </w:tc>
        <w:tc>
          <w:tcPr>
            <w:tcW w:w="63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Section 26.</w:t>
            </w:r>
          </w:p>
        </w:tc>
        <w:tc>
          <w:tcPr>
            <w:tcW w:w="790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FINAL AGREEMENT.   . . . . . . . . . . . . . . . . . . . . . . . . . . . . .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917"/>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2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Syndicated Note</w:t>
            </w:r>
          </w:p>
        </w:tc>
        <w:tc>
          <w:tcPr>
            <w:tcW w:w="4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2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Competitive Bid Note</w:t>
            </w:r>
          </w:p>
        </w:tc>
        <w:tc>
          <w:tcPr>
            <w:tcW w:w="4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C-1</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6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Syndicated Loan Request</w:t>
            </w:r>
          </w:p>
        </w:tc>
        <w:tc>
          <w:tcPr>
            <w:tcW w:w="580" w:type="dxa"/>
            <w:vAlign w:val="bottom"/>
          </w:tcPr>
          <w:p>
            <w:pPr>
              <w:spacing w:after="0"/>
              <w:rPr>
                <w:sz w:val="15"/>
                <w:szCs w:val="15"/>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C-2</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6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Letter of Credit Request</w:t>
            </w:r>
          </w:p>
        </w:tc>
        <w:tc>
          <w:tcPr>
            <w:tcW w:w="580" w:type="dxa"/>
            <w:vAlign w:val="bottom"/>
          </w:tcPr>
          <w:p>
            <w:pPr>
              <w:spacing w:after="0"/>
              <w:rPr>
                <w:sz w:val="15"/>
                <w:szCs w:val="15"/>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6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Compliance Certificate</w:t>
            </w:r>
          </w:p>
        </w:tc>
        <w:tc>
          <w:tcPr>
            <w:tcW w:w="580" w:type="dxa"/>
            <w:vAlign w:val="bottom"/>
          </w:tcPr>
          <w:p>
            <w:pPr>
              <w:spacing w:after="0"/>
              <w:rPr>
                <w:sz w:val="15"/>
                <w:szCs w:val="15"/>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6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Assignment and Acceptance</w:t>
            </w:r>
          </w:p>
        </w:tc>
        <w:tc>
          <w:tcPr>
            <w:tcW w:w="580" w:type="dxa"/>
            <w:vAlign w:val="bottom"/>
          </w:tcPr>
          <w:p>
            <w:pPr>
              <w:spacing w:after="0"/>
              <w:rPr>
                <w:sz w:val="15"/>
                <w:szCs w:val="15"/>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F</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6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Competitive Bid Quote Request</w:t>
            </w:r>
          </w:p>
        </w:tc>
        <w:tc>
          <w:tcPr>
            <w:tcW w:w="580" w:type="dxa"/>
            <w:vAlign w:val="bottom"/>
          </w:tcPr>
          <w:p>
            <w:pPr>
              <w:spacing w:after="0"/>
              <w:rPr>
                <w:sz w:val="15"/>
                <w:szCs w:val="15"/>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G</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6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Invitation for Competitive Bid Quotes</w:t>
            </w:r>
          </w:p>
        </w:tc>
        <w:tc>
          <w:tcPr>
            <w:tcW w:w="580" w:type="dxa"/>
            <w:vAlign w:val="bottom"/>
          </w:tcPr>
          <w:p>
            <w:pPr>
              <w:spacing w:after="0"/>
              <w:rPr>
                <w:sz w:val="15"/>
                <w:szCs w:val="15"/>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H</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204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Competitive Bid Quote</w:t>
            </w:r>
          </w:p>
        </w:tc>
        <w:tc>
          <w:tcPr>
            <w:tcW w:w="4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I</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6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Notice of Competitive Bid Quote(s)</w:t>
            </w:r>
          </w:p>
        </w:tc>
        <w:tc>
          <w:tcPr>
            <w:tcW w:w="580" w:type="dxa"/>
            <w:vAlign w:val="bottom"/>
          </w:tcPr>
          <w:p>
            <w:pPr>
              <w:spacing w:after="0"/>
              <w:rPr>
                <w:sz w:val="15"/>
                <w:szCs w:val="15"/>
                <w:color w:val="auto"/>
              </w:rPr>
            </w:pPr>
          </w:p>
        </w:tc>
      </w:tr>
      <w:tr>
        <w:trPr>
          <w:trHeight w:val="367"/>
        </w:trPr>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gridSpan w:val="2"/>
          </w:tcPr>
          <w:p>
            <w:pPr>
              <w:jc w:val="center"/>
              <w:ind w:left="181"/>
              <w:spacing w:after="0"/>
              <w:rPr>
                <w:sz w:val="20"/>
                <w:szCs w:val="20"/>
                <w:color w:val="auto"/>
              </w:rPr>
            </w:pPr>
            <w:r>
              <w:rPr>
                <w:rFonts w:ascii="Courier New" w:cs="Courier New" w:eastAsia="Courier New" w:hAnsi="Courier New"/>
                <w:sz w:val="16"/>
                <w:szCs w:val="16"/>
                <w:color w:val="auto"/>
                <w:w w:val="99"/>
              </w:rPr>
              <w:t>Schedules</w:t>
            </w:r>
          </w:p>
        </w:tc>
        <w:tc>
          <w:tcPr>
            <w:tcW w:w="4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Schedule 1</w:t>
            </w:r>
          </w:p>
        </w:tc>
        <w:tc>
          <w:tcPr>
            <w:tcW w:w="3040" w:type="dxa"/>
            <w:vAlign w:val="bottom"/>
            <w:gridSpan w:val="4"/>
          </w:tcPr>
          <w:p>
            <w:pPr>
              <w:ind w:left="280"/>
              <w:spacing w:after="0"/>
              <w:rPr>
                <w:sz w:val="20"/>
                <w:szCs w:val="20"/>
                <w:color w:val="auto"/>
              </w:rPr>
            </w:pPr>
            <w:r>
              <w:rPr>
                <w:rFonts w:ascii="Courier New" w:cs="Courier New" w:eastAsia="Courier New" w:hAnsi="Courier New"/>
                <w:sz w:val="16"/>
                <w:szCs w:val="16"/>
                <w:color w:val="auto"/>
                <w:w w:val="98"/>
              </w:rPr>
              <w:t>Banks; Commitment Percentages</w:t>
            </w:r>
          </w:p>
        </w:tc>
        <w:tc>
          <w:tcPr>
            <w:tcW w:w="48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298"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-viii-</w:t>
      </w:r>
    </w:p>
    <w:p>
      <w:pPr>
        <w:spacing w:after="0" w:line="36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Schedule 3.1(a)</w:t>
      </w:r>
      <w:r>
        <w:rPr>
          <w:sz w:val="20"/>
          <w:szCs w:val="20"/>
          <w:color w:val="auto"/>
        </w:rPr>
        <w:tab/>
      </w:r>
      <w:r>
        <w:rPr>
          <w:rFonts w:ascii="Courier New" w:cs="Courier New" w:eastAsia="Courier New" w:hAnsi="Courier New"/>
          <w:sz w:val="15"/>
          <w:szCs w:val="15"/>
          <w:color w:val="auto"/>
        </w:rPr>
        <w:t>Existing Letters of Credit</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Schedule 6.7</w:t>
      </w:r>
      <w:r>
        <w:rPr>
          <w:sz w:val="20"/>
          <w:szCs w:val="20"/>
          <w:color w:val="auto"/>
        </w:rPr>
        <w:tab/>
      </w:r>
      <w:r>
        <w:rPr>
          <w:rFonts w:ascii="Courier New" w:cs="Courier New" w:eastAsia="Courier New" w:hAnsi="Courier New"/>
          <w:sz w:val="16"/>
          <w:szCs w:val="16"/>
          <w:color w:val="auto"/>
        </w:rPr>
        <w:t>Litigation</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Schedule 6.16</w:t>
      </w:r>
      <w:r>
        <w:rPr>
          <w:sz w:val="20"/>
          <w:szCs w:val="20"/>
          <w:color w:val="auto"/>
        </w:rPr>
        <w:tab/>
      </w:r>
      <w:r>
        <w:rPr>
          <w:rFonts w:ascii="Courier New" w:cs="Courier New" w:eastAsia="Courier New" w:hAnsi="Courier New"/>
          <w:sz w:val="15"/>
          <w:szCs w:val="15"/>
          <w:color w:val="auto"/>
        </w:rPr>
        <w:t>Environmental Compliance</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Schedule 8.1(b)</w:t>
      </w:r>
      <w:r>
        <w:rPr>
          <w:sz w:val="20"/>
          <w:szCs w:val="20"/>
          <w:color w:val="auto"/>
        </w:rPr>
        <w:tab/>
      </w:r>
      <w:r>
        <w:rPr>
          <w:rFonts w:ascii="Courier New" w:cs="Courier New" w:eastAsia="Courier New" w:hAnsi="Courier New"/>
          <w:sz w:val="15"/>
          <w:szCs w:val="15"/>
          <w:color w:val="auto"/>
        </w:rPr>
        <w:t>Existing Indebtedness</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Schedule 8.2(a)</w:t>
      </w:r>
      <w:r>
        <w:rPr>
          <w:sz w:val="20"/>
          <w:szCs w:val="20"/>
          <w:color w:val="auto"/>
        </w:rPr>
        <w:tab/>
      </w:r>
      <w:r>
        <w:rPr>
          <w:rFonts w:ascii="Courier New" w:cs="Courier New" w:eastAsia="Courier New" w:hAnsi="Courier New"/>
          <w:sz w:val="15"/>
          <w:szCs w:val="15"/>
          <w:color w:val="auto"/>
        </w:rPr>
        <w:t>Existing Liens</w:t>
      </w:r>
    </w:p>
    <w:p>
      <w:pPr>
        <w:sectPr>
          <w:pgSz w:w="11900" w:h="16838" w:orient="portrait"/>
          <w:cols w:equalWidth="0" w:num="1">
            <w:col w:w="10219"/>
          </w:cols>
          <w:pgMar w:left="240" w:top="298"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REVOLVING CREDIT AGREEMENT</w:t>
      </w:r>
    </w:p>
    <w:p>
      <w:pPr>
        <w:spacing w:after="0" w:line="188" w:lineRule="exact"/>
        <w:rPr>
          <w:sz w:val="20"/>
          <w:szCs w:val="20"/>
          <w:color w:val="auto"/>
        </w:rPr>
      </w:pPr>
    </w:p>
    <w:p>
      <w:pPr>
        <w:ind w:right="2679" w:firstLine="763"/>
        <w:spacing w:after="0" w:line="242" w:lineRule="auto"/>
        <w:rPr>
          <w:sz w:val="20"/>
          <w:szCs w:val="20"/>
          <w:color w:val="auto"/>
        </w:rPr>
      </w:pPr>
      <w:r>
        <w:rPr>
          <w:rFonts w:ascii="Courier New" w:cs="Courier New" w:eastAsia="Courier New" w:hAnsi="Courier New"/>
          <w:sz w:val="16"/>
          <w:szCs w:val="16"/>
          <w:color w:val="auto"/>
        </w:rPr>
        <w:t>This REVOLVING CREDIT AGREEMENT is made as of the 7th day of May, 1996, by and among USA WASTE SERVICES, INC., a Delaware corporation (the "Borrower"), having its chief executive office at 5400 LBJ Freeway, Suite 300, Dallas, Texas 75240, and THE FIRST NATIONAL BANK OF BOSTON, a national banking association having its principal place of business at 100 Federal Street, Boston, Massachusetts 02110 ("FNBB"), BANK OF AMERICA ILLINOIS, an Illinois banking corporation having its principal place of business at 231 South LaSalle Street Chicago, IL 60697 ("BAI"), MORGAN GUARANTY TRUST COMPANY OF NEW YORK, a New York state banking association having its principal place of business at 60 Wall Street, New York, New York 10260 ("MGT") and other financial institutions party hereto (collectively, the "Banks"), and MGT as the Administrative Agent (the "Administrative Agent") and FNBB as Documentation Agent (the "Documentation Agent", and together with the Administrative Agent, the "Bank Agents").</w:t>
      </w:r>
    </w:p>
    <w:p>
      <w:pPr>
        <w:spacing w:after="0" w:line="190" w:lineRule="exact"/>
        <w:rPr>
          <w:sz w:val="20"/>
          <w:szCs w:val="20"/>
          <w:color w:val="auto"/>
        </w:rPr>
      </w:pPr>
    </w:p>
    <w:p>
      <w:pPr>
        <w:ind w:left="760"/>
        <w:spacing w:after="0"/>
        <w:tabs>
          <w:tab w:leader="none" w:pos="178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5"/>
          <w:szCs w:val="15"/>
          <w:color w:val="auto"/>
        </w:rPr>
        <w:t>DEFINITIONS AND RULES OF INTERPRETATION.</w:t>
      </w:r>
    </w:p>
    <w:p>
      <w:pPr>
        <w:spacing w:after="0" w:line="188" w:lineRule="exact"/>
        <w:rPr>
          <w:sz w:val="20"/>
          <w:szCs w:val="20"/>
          <w:color w:val="auto"/>
        </w:rPr>
      </w:pPr>
    </w:p>
    <w:p>
      <w:pPr>
        <w:ind w:right="2779" w:firstLine="763"/>
        <w:spacing w:after="0"/>
        <w:rPr>
          <w:sz w:val="20"/>
          <w:szCs w:val="20"/>
          <w:color w:val="auto"/>
        </w:rPr>
      </w:pPr>
      <w:r>
        <w:rPr>
          <w:rFonts w:ascii="Courier New" w:cs="Courier New" w:eastAsia="Courier New" w:hAnsi="Courier New"/>
          <w:sz w:val="16"/>
          <w:szCs w:val="16"/>
          <w:color w:val="auto"/>
        </w:rPr>
        <w:t>Section 1.1 Definitions. The following terms shall have the meanings set forth in this Section 1 or elsewhere in the provisions of this Agreement referred to below:</w:t>
      </w:r>
    </w:p>
    <w:p>
      <w:pPr>
        <w:spacing w:after="0" w:line="187" w:lineRule="exact"/>
        <w:rPr>
          <w:sz w:val="20"/>
          <w:szCs w:val="20"/>
          <w:color w:val="auto"/>
        </w:rPr>
      </w:pPr>
    </w:p>
    <w:p>
      <w:pPr>
        <w:ind w:left="760"/>
        <w:spacing w:after="0"/>
        <w:tabs>
          <w:tab w:leader="none" w:pos="4080" w:val="left"/>
        </w:tabs>
        <w:rPr>
          <w:sz w:val="20"/>
          <w:szCs w:val="20"/>
          <w:color w:val="auto"/>
        </w:rPr>
      </w:pPr>
      <w:r>
        <w:rPr>
          <w:rFonts w:ascii="Courier New" w:cs="Courier New" w:eastAsia="Courier New" w:hAnsi="Courier New"/>
          <w:sz w:val="16"/>
          <w:szCs w:val="16"/>
          <w:color w:val="auto"/>
        </w:rPr>
        <w:t>Absolute Competitive Bid Loan(s).</w:t>
      </w:r>
      <w:r>
        <w:rPr>
          <w:sz w:val="20"/>
          <w:szCs w:val="20"/>
          <w:color w:val="auto"/>
        </w:rPr>
        <w:tab/>
      </w:r>
      <w:r>
        <w:rPr>
          <w:rFonts w:ascii="Courier New" w:cs="Courier New" w:eastAsia="Courier New" w:hAnsi="Courier New"/>
          <w:sz w:val="15"/>
          <w:szCs w:val="15"/>
          <w:color w:val="auto"/>
        </w:rPr>
        <w:t>See Section 4.3(a).</w:t>
      </w:r>
    </w:p>
    <w:p>
      <w:pPr>
        <w:spacing w:after="0" w:line="186" w:lineRule="exact"/>
        <w:rPr>
          <w:sz w:val="20"/>
          <w:szCs w:val="20"/>
          <w:color w:val="auto"/>
        </w:rPr>
      </w:pPr>
    </w:p>
    <w:p>
      <w:pPr>
        <w:ind w:left="760"/>
        <w:spacing w:after="0"/>
        <w:tabs>
          <w:tab w:leader="none" w:pos="2080" w:val="left"/>
        </w:tabs>
        <w:rPr>
          <w:sz w:val="20"/>
          <w:szCs w:val="20"/>
          <w:color w:val="auto"/>
        </w:rPr>
      </w:pPr>
      <w:r>
        <w:rPr>
          <w:rFonts w:ascii="Courier New" w:cs="Courier New" w:eastAsia="Courier New" w:hAnsi="Courier New"/>
          <w:sz w:val="16"/>
          <w:szCs w:val="16"/>
          <w:color w:val="auto"/>
        </w:rPr>
        <w:t>Accountants.</w:t>
        <w:tab/>
        <w:t>See Section 7.4(a).</w:t>
      </w:r>
    </w:p>
    <w:p>
      <w:pPr>
        <w:spacing w:after="0" w:line="186" w:lineRule="exact"/>
        <w:rPr>
          <w:sz w:val="20"/>
          <w:szCs w:val="20"/>
          <w:color w:val="auto"/>
        </w:rPr>
      </w:pPr>
    </w:p>
    <w:p>
      <w:pPr>
        <w:ind w:left="760"/>
        <w:spacing w:after="0"/>
        <w:tabs>
          <w:tab w:leader="none" w:pos="2940" w:val="left"/>
        </w:tabs>
        <w:rPr>
          <w:sz w:val="20"/>
          <w:szCs w:val="20"/>
          <w:color w:val="auto"/>
        </w:rPr>
      </w:pPr>
      <w:r>
        <w:rPr>
          <w:rFonts w:ascii="Courier New" w:cs="Courier New" w:eastAsia="Courier New" w:hAnsi="Courier New"/>
          <w:sz w:val="16"/>
          <w:szCs w:val="16"/>
          <w:color w:val="auto"/>
        </w:rPr>
        <w:t>Administrative Agent.</w:t>
      </w:r>
      <w:r>
        <w:rPr>
          <w:sz w:val="20"/>
          <w:szCs w:val="20"/>
          <w:color w:val="auto"/>
        </w:rPr>
        <w:tab/>
      </w:r>
      <w:r>
        <w:rPr>
          <w:rFonts w:ascii="Courier New" w:cs="Courier New" w:eastAsia="Courier New" w:hAnsi="Courier New"/>
          <w:sz w:val="15"/>
          <w:szCs w:val="15"/>
          <w:color w:val="auto"/>
        </w:rPr>
        <w:t>See Preamble.</w:t>
      </w:r>
    </w:p>
    <w:p>
      <w:pPr>
        <w:spacing w:after="0" w:line="186" w:lineRule="exact"/>
        <w:rPr>
          <w:sz w:val="20"/>
          <w:szCs w:val="20"/>
          <w:color w:val="auto"/>
        </w:rPr>
      </w:pPr>
    </w:p>
    <w:p>
      <w:pPr>
        <w:ind w:left="760"/>
        <w:spacing w:after="0"/>
        <w:tabs>
          <w:tab w:leader="none" w:pos="2260" w:val="left"/>
        </w:tabs>
        <w:rPr>
          <w:sz w:val="20"/>
          <w:szCs w:val="20"/>
          <w:color w:val="auto"/>
        </w:rPr>
      </w:pPr>
      <w:r>
        <w:rPr>
          <w:rFonts w:ascii="Courier New" w:cs="Courier New" w:eastAsia="Courier New" w:hAnsi="Courier New"/>
          <w:sz w:val="16"/>
          <w:szCs w:val="16"/>
          <w:color w:val="auto"/>
        </w:rPr>
        <w:t>Affected Bank.</w:t>
      </w:r>
      <w:r>
        <w:rPr>
          <w:sz w:val="20"/>
          <w:szCs w:val="20"/>
          <w:color w:val="auto"/>
        </w:rPr>
        <w:tab/>
      </w:r>
      <w:r>
        <w:rPr>
          <w:rFonts w:ascii="Courier New" w:cs="Courier New" w:eastAsia="Courier New" w:hAnsi="Courier New"/>
          <w:sz w:val="15"/>
          <w:szCs w:val="15"/>
          <w:color w:val="auto"/>
        </w:rPr>
        <w:t>See Section 5.12.</w:t>
      </w:r>
    </w:p>
    <w:p>
      <w:pPr>
        <w:sectPr>
          <w:pgSz w:w="11900" w:h="16838" w:orient="portrait"/>
          <w:cols w:equalWidth="0" w:num="1">
            <w:col w:w="10219"/>
          </w:cols>
          <w:pgMar w:left="240" w:top="298"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52" w:lineRule="exact"/>
        <w:rPr>
          <w:sz w:val="20"/>
          <w:szCs w:val="20"/>
          <w:color w:val="auto"/>
        </w:rPr>
      </w:pPr>
    </w:p>
    <w:p>
      <w:pPr>
        <w:ind w:left="760"/>
        <w:spacing w:after="0"/>
        <w:tabs>
          <w:tab w:leader="none" w:pos="1600" w:val="left"/>
        </w:tabs>
        <w:rPr>
          <w:sz w:val="20"/>
          <w:szCs w:val="20"/>
          <w:color w:val="auto"/>
        </w:rPr>
      </w:pPr>
      <w:r>
        <w:rPr>
          <w:rFonts w:ascii="Courier New" w:cs="Courier New" w:eastAsia="Courier New" w:hAnsi="Courier New"/>
          <w:sz w:val="16"/>
          <w:szCs w:val="16"/>
          <w:color w:val="auto"/>
        </w:rPr>
        <w:t>Agents.</w:t>
        <w:tab/>
        <w:t>FNBB, BAI, and J.P. Morgan Securities Inc.</w:t>
      </w:r>
    </w:p>
    <w:p>
      <w:pPr>
        <w:spacing w:after="0" w:line="188" w:lineRule="exact"/>
        <w:rPr>
          <w:sz w:val="20"/>
          <w:szCs w:val="20"/>
          <w:color w:val="auto"/>
        </w:rPr>
      </w:pPr>
    </w:p>
    <w:p>
      <w:pPr>
        <w:ind w:right="2979" w:firstLine="763"/>
        <w:spacing w:after="0"/>
        <w:rPr>
          <w:sz w:val="20"/>
          <w:szCs w:val="20"/>
          <w:color w:val="auto"/>
        </w:rPr>
      </w:pPr>
      <w:r>
        <w:rPr>
          <w:rFonts w:ascii="Courier New" w:cs="Courier New" w:eastAsia="Courier New" w:hAnsi="Courier New"/>
          <w:sz w:val="16"/>
          <w:szCs w:val="16"/>
          <w:color w:val="auto"/>
        </w:rPr>
        <w:t>Agreement. This Revolving Credit Agreement, including the Schedules and Exhibits hereto, as from time to time amended and supplemented in accordance with the terms hereof.</w:t>
      </w:r>
    </w:p>
    <w:p>
      <w:pPr>
        <w:spacing w:after="0" w:line="190" w:lineRule="exact"/>
        <w:rPr>
          <w:sz w:val="20"/>
          <w:szCs w:val="20"/>
          <w:color w:val="auto"/>
        </w:rPr>
      </w:pPr>
    </w:p>
    <w:p>
      <w:pPr>
        <w:ind w:right="2779" w:firstLine="763"/>
        <w:spacing w:after="0"/>
        <w:rPr>
          <w:sz w:val="20"/>
          <w:szCs w:val="20"/>
          <w:color w:val="auto"/>
        </w:rPr>
      </w:pPr>
      <w:r>
        <w:rPr>
          <w:rFonts w:ascii="Courier New" w:cs="Courier New" w:eastAsia="Courier New" w:hAnsi="Courier New"/>
          <w:sz w:val="16"/>
          <w:szCs w:val="16"/>
          <w:color w:val="auto"/>
        </w:rPr>
        <w:t>Applicable Facility Rate. The applicable rate per annum with respect to the Facility Fee shall be (a) 0.2200% per annum from the Closing Date until May 31, 1996, and (b) thereafter, as set forth in the Pricing Table.</w:t>
      </w:r>
    </w:p>
    <w:p>
      <w:pPr>
        <w:spacing w:after="0" w:line="373" w:lineRule="exact"/>
        <w:rPr>
          <w:sz w:val="20"/>
          <w:szCs w:val="20"/>
          <w:color w:val="auto"/>
        </w:rPr>
      </w:pPr>
    </w:p>
    <w:p>
      <w:pPr>
        <w:ind w:right="2879" w:firstLine="763"/>
        <w:spacing w:after="0"/>
        <w:rPr>
          <w:sz w:val="20"/>
          <w:szCs w:val="20"/>
          <w:color w:val="auto"/>
        </w:rPr>
      </w:pPr>
      <w:r>
        <w:rPr>
          <w:rFonts w:ascii="Courier New" w:cs="Courier New" w:eastAsia="Courier New" w:hAnsi="Courier New"/>
          <w:sz w:val="16"/>
          <w:szCs w:val="16"/>
          <w:color w:val="auto"/>
        </w:rPr>
        <w:t>Applicable L/C Rate. The applicable rate per annum on the Maximum Drawing Amount shall be (a) 0.4050% per annum from the Closing Date until May 31, 1996, and (b) thereafter, as set forth in the Pricing Table.</w:t>
      </w:r>
    </w:p>
    <w:p>
      <w:pPr>
        <w:spacing w:after="0" w:line="190" w:lineRule="exact"/>
        <w:rPr>
          <w:sz w:val="20"/>
          <w:szCs w:val="20"/>
          <w:color w:val="auto"/>
        </w:rPr>
      </w:pPr>
    </w:p>
    <w:p>
      <w:pPr>
        <w:ind w:right="2679" w:firstLine="763"/>
        <w:spacing w:after="0" w:line="241" w:lineRule="auto"/>
        <w:rPr>
          <w:sz w:val="20"/>
          <w:szCs w:val="20"/>
          <w:color w:val="auto"/>
        </w:rPr>
      </w:pPr>
      <w:r>
        <w:rPr>
          <w:rFonts w:ascii="Courier New" w:cs="Courier New" w:eastAsia="Courier New" w:hAnsi="Courier New"/>
          <w:sz w:val="16"/>
          <w:szCs w:val="16"/>
          <w:color w:val="auto"/>
        </w:rPr>
        <w:t>Applicable Eurodollar Rate. The applicable rate per annum of interest on the Eurodollar Loans shall be (a) the Eurodollar Rate plus 0.4050% per annum from the Closing Date until May 31, 1996, and (b) thereafter, as set forth in the Pricing Table.</w:t>
      </w:r>
    </w:p>
    <w:p>
      <w:pPr>
        <w:spacing w:after="0" w:line="186" w:lineRule="exact"/>
        <w:rPr>
          <w:sz w:val="20"/>
          <w:szCs w:val="20"/>
          <w:color w:val="auto"/>
        </w:rPr>
      </w:pPr>
    </w:p>
    <w:p>
      <w:pPr>
        <w:ind w:left="760"/>
        <w:spacing w:after="0"/>
        <w:tabs>
          <w:tab w:leader="none" w:pos="3220" w:val="left"/>
        </w:tabs>
        <w:rPr>
          <w:sz w:val="20"/>
          <w:szCs w:val="20"/>
          <w:color w:val="auto"/>
        </w:rPr>
      </w:pPr>
      <w:r>
        <w:rPr>
          <w:rFonts w:ascii="Courier New" w:cs="Courier New" w:eastAsia="Courier New" w:hAnsi="Courier New"/>
          <w:sz w:val="16"/>
          <w:szCs w:val="16"/>
          <w:color w:val="auto"/>
        </w:rPr>
        <w:t>Applicable Requirements.</w:t>
      </w:r>
      <w:r>
        <w:rPr>
          <w:sz w:val="20"/>
          <w:szCs w:val="20"/>
          <w:color w:val="auto"/>
        </w:rPr>
        <w:tab/>
      </w:r>
      <w:r>
        <w:rPr>
          <w:rFonts w:ascii="Courier New" w:cs="Courier New" w:eastAsia="Courier New" w:hAnsi="Courier New"/>
          <w:sz w:val="15"/>
          <w:szCs w:val="15"/>
          <w:color w:val="auto"/>
        </w:rPr>
        <w:t>See Section 7.10.</w:t>
      </w:r>
    </w:p>
    <w:p>
      <w:pPr>
        <w:spacing w:after="0" w:line="186" w:lineRule="exact"/>
        <w:rPr>
          <w:sz w:val="20"/>
          <w:szCs w:val="20"/>
          <w:color w:val="auto"/>
        </w:rPr>
      </w:pPr>
    </w:p>
    <w:p>
      <w:pPr>
        <w:ind w:left="760"/>
        <w:spacing w:after="0"/>
        <w:tabs>
          <w:tab w:leader="none" w:pos="3420" w:val="left"/>
        </w:tabs>
        <w:rPr>
          <w:sz w:val="20"/>
          <w:szCs w:val="20"/>
          <w:color w:val="auto"/>
        </w:rPr>
      </w:pPr>
      <w:r>
        <w:rPr>
          <w:rFonts w:ascii="Courier New" w:cs="Courier New" w:eastAsia="Courier New" w:hAnsi="Courier New"/>
          <w:sz w:val="16"/>
          <w:szCs w:val="16"/>
          <w:color w:val="auto"/>
        </w:rPr>
        <w:t>Assignment and Acceptance.</w:t>
      </w:r>
      <w:r>
        <w:rPr>
          <w:sz w:val="20"/>
          <w:szCs w:val="20"/>
          <w:color w:val="auto"/>
        </w:rPr>
        <w:tab/>
      </w:r>
      <w:r>
        <w:rPr>
          <w:rFonts w:ascii="Courier New" w:cs="Courier New" w:eastAsia="Courier New" w:hAnsi="Courier New"/>
          <w:sz w:val="15"/>
          <w:szCs w:val="15"/>
          <w:color w:val="auto"/>
        </w:rPr>
        <w:t>See Section 18.</w:t>
      </w:r>
    </w:p>
    <w:p>
      <w:pPr>
        <w:spacing w:after="0" w:line="186" w:lineRule="exact"/>
        <w:rPr>
          <w:sz w:val="20"/>
          <w:szCs w:val="20"/>
          <w:color w:val="auto"/>
        </w:rPr>
      </w:pPr>
    </w:p>
    <w:p>
      <w:pPr>
        <w:ind w:left="760"/>
        <w:spacing w:after="0"/>
        <w:tabs>
          <w:tab w:leader="none" w:pos="2740" w:val="left"/>
        </w:tabs>
        <w:rPr>
          <w:sz w:val="20"/>
          <w:szCs w:val="20"/>
          <w:color w:val="auto"/>
        </w:rPr>
      </w:pPr>
      <w:r>
        <w:rPr>
          <w:rFonts w:ascii="Courier New" w:cs="Courier New" w:eastAsia="Courier New" w:hAnsi="Courier New"/>
          <w:sz w:val="16"/>
          <w:szCs w:val="16"/>
          <w:color w:val="auto"/>
        </w:rPr>
        <w:t>Balance Sheet Date.</w:t>
      </w:r>
      <w:r>
        <w:rPr>
          <w:sz w:val="20"/>
          <w:szCs w:val="20"/>
          <w:color w:val="auto"/>
        </w:rPr>
        <w:tab/>
      </w:r>
      <w:r>
        <w:rPr>
          <w:rFonts w:ascii="Courier New" w:cs="Courier New" w:eastAsia="Courier New" w:hAnsi="Courier New"/>
          <w:sz w:val="15"/>
          <w:szCs w:val="15"/>
          <w:color w:val="auto"/>
        </w:rPr>
        <w:t>December 31, 1995.</w:t>
      </w:r>
    </w:p>
    <w:p>
      <w:pPr>
        <w:spacing w:after="0" w:line="186" w:lineRule="exact"/>
        <w:rPr>
          <w:sz w:val="20"/>
          <w:szCs w:val="20"/>
          <w:color w:val="auto"/>
        </w:rPr>
      </w:pPr>
    </w:p>
    <w:p>
      <w:pPr>
        <w:ind w:left="760"/>
        <w:spacing w:after="0"/>
        <w:tabs>
          <w:tab w:leader="none" w:pos="2080" w:val="left"/>
        </w:tabs>
        <w:rPr>
          <w:sz w:val="20"/>
          <w:szCs w:val="20"/>
          <w:color w:val="auto"/>
        </w:rPr>
      </w:pPr>
      <w:r>
        <w:rPr>
          <w:rFonts w:ascii="Courier New" w:cs="Courier New" w:eastAsia="Courier New" w:hAnsi="Courier New"/>
          <w:sz w:val="16"/>
          <w:szCs w:val="16"/>
          <w:color w:val="auto"/>
        </w:rPr>
        <w:t>Bank Agents.</w:t>
      </w:r>
      <w:r>
        <w:rPr>
          <w:sz w:val="20"/>
          <w:szCs w:val="20"/>
          <w:color w:val="auto"/>
        </w:rPr>
        <w:tab/>
      </w:r>
      <w:r>
        <w:rPr>
          <w:rFonts w:ascii="Courier New" w:cs="Courier New" w:eastAsia="Courier New" w:hAnsi="Courier New"/>
          <w:sz w:val="15"/>
          <w:szCs w:val="15"/>
          <w:color w:val="auto"/>
        </w:rPr>
        <w:t>See Preamble.</w:t>
      </w:r>
    </w:p>
    <w:p>
      <w:pPr>
        <w:spacing w:after="0" w:line="186" w:lineRule="exact"/>
        <w:rPr>
          <w:sz w:val="20"/>
          <w:szCs w:val="20"/>
          <w:color w:val="auto"/>
        </w:rPr>
      </w:pPr>
    </w:p>
    <w:p>
      <w:pPr>
        <w:ind w:left="760"/>
        <w:spacing w:after="0"/>
        <w:tabs>
          <w:tab w:leader="none" w:pos="1500" w:val="left"/>
        </w:tabs>
        <w:rPr>
          <w:sz w:val="20"/>
          <w:szCs w:val="20"/>
          <w:color w:val="auto"/>
        </w:rPr>
      </w:pPr>
      <w:r>
        <w:rPr>
          <w:rFonts w:ascii="Courier New" w:cs="Courier New" w:eastAsia="Courier New" w:hAnsi="Courier New"/>
          <w:sz w:val="16"/>
          <w:szCs w:val="16"/>
          <w:color w:val="auto"/>
        </w:rPr>
        <w:t>Banks.</w:t>
        <w:tab/>
        <w:t>See Preamble.</w:t>
      </w:r>
    </w:p>
    <w:p>
      <w:pPr>
        <w:spacing w:after="0" w:line="188" w:lineRule="exact"/>
        <w:rPr>
          <w:sz w:val="20"/>
          <w:szCs w:val="20"/>
          <w:color w:val="auto"/>
        </w:rPr>
      </w:pPr>
    </w:p>
    <w:p>
      <w:pPr>
        <w:ind w:right="2679" w:firstLine="763"/>
        <w:spacing w:after="0" w:line="241" w:lineRule="auto"/>
        <w:rPr>
          <w:sz w:val="20"/>
          <w:szCs w:val="20"/>
          <w:color w:val="auto"/>
        </w:rPr>
      </w:pPr>
      <w:r>
        <w:rPr>
          <w:rFonts w:ascii="Courier New" w:cs="Courier New" w:eastAsia="Courier New" w:hAnsi="Courier New"/>
          <w:sz w:val="16"/>
          <w:szCs w:val="16"/>
          <w:color w:val="auto"/>
        </w:rPr>
        <w:t>Base Rate. The higher of (a) the annual rate of interest announced from time to time by the Administrative Agent at its Head Office as its "prime rate" (it being understood that such rate is a reference rate and not necessarily the lowest rate of interest charged by the Administrative Agent) or (b) one percent (1%) above the Overnight Federal Funds Effective Rate.</w:t>
      </w:r>
    </w:p>
    <w:p>
      <w:pPr>
        <w:spacing w:after="0" w:line="190" w:lineRule="exact"/>
        <w:rPr>
          <w:sz w:val="20"/>
          <w:szCs w:val="20"/>
          <w:color w:val="auto"/>
        </w:rPr>
      </w:pPr>
    </w:p>
    <w:p>
      <w:pPr>
        <w:ind w:right="3259" w:firstLine="763"/>
        <w:spacing w:after="0" w:line="239" w:lineRule="auto"/>
        <w:rPr>
          <w:sz w:val="20"/>
          <w:szCs w:val="20"/>
          <w:color w:val="auto"/>
        </w:rPr>
      </w:pPr>
      <w:r>
        <w:rPr>
          <w:rFonts w:ascii="Courier New" w:cs="Courier New" w:eastAsia="Courier New" w:hAnsi="Courier New"/>
          <w:sz w:val="16"/>
          <w:szCs w:val="16"/>
          <w:color w:val="auto"/>
        </w:rPr>
        <w:t>Base Rate Loans. Syndicated Loans bearing interest calculated by reference to the Base Rate.</w:t>
      </w:r>
    </w:p>
    <w:p>
      <w:pPr>
        <w:sectPr>
          <w:pgSz w:w="11900" w:h="16838" w:orient="portrait"/>
          <w:cols w:equalWidth="0" w:num="1">
            <w:col w:w="10219"/>
          </w:cols>
          <w:pgMar w:left="240" w:top="298"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pacing w:after="0" w:line="369" w:lineRule="exact"/>
        <w:rPr>
          <w:sz w:val="20"/>
          <w:szCs w:val="20"/>
          <w:color w:val="auto"/>
        </w:rPr>
      </w:pPr>
    </w:p>
    <w:p>
      <w:pPr>
        <w:ind w:left="760"/>
        <w:spacing w:after="0"/>
        <w:tabs>
          <w:tab w:leader="none" w:pos="1780" w:val="left"/>
        </w:tabs>
        <w:rPr>
          <w:sz w:val="20"/>
          <w:szCs w:val="20"/>
          <w:color w:val="auto"/>
        </w:rPr>
      </w:pPr>
      <w:r>
        <w:rPr>
          <w:rFonts w:ascii="Courier New" w:cs="Courier New" w:eastAsia="Courier New" w:hAnsi="Courier New"/>
          <w:sz w:val="16"/>
          <w:szCs w:val="16"/>
          <w:color w:val="auto"/>
        </w:rPr>
        <w:t>Borrower.</w:t>
      </w:r>
      <w:r>
        <w:rPr>
          <w:sz w:val="20"/>
          <w:szCs w:val="20"/>
          <w:color w:val="auto"/>
        </w:rPr>
        <w:tab/>
      </w:r>
      <w:r>
        <w:rPr>
          <w:rFonts w:ascii="Courier New" w:cs="Courier New" w:eastAsia="Courier New" w:hAnsi="Courier New"/>
          <w:sz w:val="15"/>
          <w:szCs w:val="15"/>
          <w:color w:val="auto"/>
        </w:rPr>
        <w:t>See Preamble.</w:t>
      </w:r>
    </w:p>
    <w:p>
      <w:pPr>
        <w:spacing w:after="0" w:line="188" w:lineRule="exact"/>
        <w:rPr>
          <w:sz w:val="20"/>
          <w:szCs w:val="20"/>
          <w:color w:val="auto"/>
        </w:rPr>
      </w:pPr>
    </w:p>
    <w:p>
      <w:pPr>
        <w:ind w:right="3059" w:firstLine="763"/>
        <w:spacing w:after="0" w:line="241" w:lineRule="auto"/>
        <w:rPr>
          <w:sz w:val="20"/>
          <w:szCs w:val="20"/>
          <w:color w:val="auto"/>
        </w:rPr>
      </w:pPr>
      <w:r>
        <w:rPr>
          <w:rFonts w:ascii="Courier New" w:cs="Courier New" w:eastAsia="Courier New" w:hAnsi="Courier New"/>
          <w:sz w:val="16"/>
          <w:szCs w:val="16"/>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89" w:lineRule="exact"/>
        <w:rPr>
          <w:sz w:val="20"/>
          <w:szCs w:val="20"/>
          <w:color w:val="auto"/>
        </w:rPr>
      </w:pPr>
    </w:p>
    <w:p>
      <w:pPr>
        <w:ind w:right="2979" w:firstLine="763"/>
        <w:spacing w:after="0" w:line="241" w:lineRule="auto"/>
        <w:rPr>
          <w:sz w:val="20"/>
          <w:szCs w:val="20"/>
          <w:color w:val="auto"/>
        </w:rPr>
      </w:pPr>
      <w:r>
        <w:rPr>
          <w:rFonts w:ascii="Courier New" w:cs="Courier New" w:eastAsia="Courier New" w:hAnsi="Courier New"/>
          <w:sz w:val="16"/>
          <w:szCs w:val="16"/>
          <w:color w:val="auto"/>
        </w:rPr>
        <w:t>Capitalized Leases. Leases under which the Borrower or any of its Subsidiaries (including Western Waste and its Subsidiaries) is the lessee or obligor, the discounted future rental payment obligations under which are required to be capitalized on the balance sheet of the lessee or obligor in accordance with GAAP.</w:t>
      </w:r>
    </w:p>
    <w:p>
      <w:pPr>
        <w:spacing w:after="0" w:line="188" w:lineRule="exact"/>
        <w:rPr>
          <w:sz w:val="20"/>
          <w:szCs w:val="20"/>
          <w:color w:val="auto"/>
        </w:rPr>
      </w:pPr>
    </w:p>
    <w:p>
      <w:pPr>
        <w:ind w:left="760"/>
        <w:spacing w:after="0"/>
        <w:tabs>
          <w:tab w:leader="none" w:pos="1600" w:val="left"/>
        </w:tabs>
        <w:rPr>
          <w:sz w:val="20"/>
          <w:szCs w:val="20"/>
          <w:color w:val="auto"/>
        </w:rPr>
      </w:pPr>
      <w:r>
        <w:rPr>
          <w:rFonts w:ascii="Courier New" w:cs="Courier New" w:eastAsia="Courier New" w:hAnsi="Courier New"/>
          <w:sz w:val="16"/>
          <w:szCs w:val="16"/>
          <w:color w:val="auto"/>
        </w:rPr>
        <w:t>CERCLA.</w:t>
        <w:tab/>
        <w:t>See Section 6.16(a).</w:t>
      </w:r>
    </w:p>
    <w:p>
      <w:pPr>
        <w:spacing w:after="0" w:line="188" w:lineRule="exact"/>
        <w:rPr>
          <w:sz w:val="20"/>
          <w:szCs w:val="20"/>
          <w:color w:val="auto"/>
        </w:rPr>
      </w:pPr>
    </w:p>
    <w:p>
      <w:pPr>
        <w:ind w:right="2679" w:firstLine="763"/>
        <w:spacing w:after="0" w:line="241" w:lineRule="auto"/>
        <w:rPr>
          <w:sz w:val="20"/>
          <w:szCs w:val="20"/>
          <w:color w:val="auto"/>
        </w:rPr>
      </w:pPr>
      <w:r>
        <w:rPr>
          <w:rFonts w:ascii="Courier New" w:cs="Courier New" w:eastAsia="Courier New" w:hAnsi="Courier New"/>
          <w:sz w:val="16"/>
          <w:szCs w:val="16"/>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86" w:lineRule="exact"/>
        <w:rPr>
          <w:sz w:val="20"/>
          <w:szCs w:val="20"/>
          <w:color w:val="auto"/>
        </w:rPr>
      </w:pPr>
    </w:p>
    <w:p>
      <w:pPr>
        <w:ind w:left="760"/>
        <w:spacing w:after="0"/>
        <w:tabs>
          <w:tab w:leader="none" w:pos="2360" w:val="left"/>
        </w:tabs>
        <w:rPr>
          <w:sz w:val="20"/>
          <w:szCs w:val="20"/>
          <w:color w:val="auto"/>
        </w:rPr>
      </w:pPr>
      <w:r>
        <w:rPr>
          <w:rFonts w:ascii="Courier New" w:cs="Courier New" w:eastAsia="Courier New" w:hAnsi="Courier New"/>
          <w:sz w:val="16"/>
          <w:szCs w:val="16"/>
          <w:color w:val="auto"/>
        </w:rPr>
        <w:t>CFO or the CAO.</w:t>
      </w:r>
      <w:r>
        <w:rPr>
          <w:sz w:val="20"/>
          <w:szCs w:val="20"/>
          <w:color w:val="auto"/>
        </w:rPr>
        <w:tab/>
      </w:r>
      <w:r>
        <w:rPr>
          <w:rFonts w:ascii="Courier New" w:cs="Courier New" w:eastAsia="Courier New" w:hAnsi="Courier New"/>
          <w:sz w:val="15"/>
          <w:szCs w:val="15"/>
          <w:color w:val="auto"/>
        </w:rPr>
        <w:t>See Section 7.4(b).</w:t>
      </w:r>
    </w:p>
    <w:p>
      <w:pPr>
        <w:spacing w:after="0" w:line="186" w:lineRule="exact"/>
        <w:rPr>
          <w:sz w:val="20"/>
          <w:szCs w:val="20"/>
          <w:color w:val="auto"/>
        </w:rPr>
      </w:pPr>
    </w:p>
    <w:p>
      <w:pPr>
        <w:ind w:left="760"/>
        <w:spacing w:after="0"/>
        <w:tabs>
          <w:tab w:leader="none" w:pos="1780" w:val="left"/>
        </w:tabs>
        <w:rPr>
          <w:sz w:val="20"/>
          <w:szCs w:val="20"/>
          <w:color w:val="auto"/>
        </w:rPr>
      </w:pPr>
      <w:r>
        <w:rPr>
          <w:rFonts w:ascii="Courier New" w:cs="Courier New" w:eastAsia="Courier New" w:hAnsi="Courier New"/>
          <w:sz w:val="16"/>
          <w:szCs w:val="16"/>
          <w:color w:val="auto"/>
        </w:rPr>
        <w:t>Chambers.</w:t>
      </w:r>
      <w:r>
        <w:rPr>
          <w:sz w:val="20"/>
          <w:szCs w:val="20"/>
          <w:color w:val="auto"/>
        </w:rPr>
        <w:tab/>
      </w:r>
      <w:r>
        <w:rPr>
          <w:rFonts w:ascii="Courier New" w:cs="Courier New" w:eastAsia="Courier New" w:hAnsi="Courier New"/>
          <w:sz w:val="15"/>
          <w:szCs w:val="15"/>
          <w:color w:val="auto"/>
        </w:rPr>
        <w:t>Chambers Development Company, Inc.</w:t>
      </w:r>
    </w:p>
    <w:p>
      <w:pPr>
        <w:spacing w:after="0" w:line="188" w:lineRule="exact"/>
        <w:rPr>
          <w:sz w:val="20"/>
          <w:szCs w:val="20"/>
          <w:color w:val="auto"/>
        </w:rPr>
      </w:pPr>
    </w:p>
    <w:p>
      <w:pPr>
        <w:ind w:right="3259" w:firstLine="763"/>
        <w:spacing w:after="0" w:line="239" w:lineRule="auto"/>
        <w:rPr>
          <w:sz w:val="20"/>
          <w:szCs w:val="20"/>
          <w:color w:val="auto"/>
        </w:rPr>
      </w:pPr>
      <w:r>
        <w:rPr>
          <w:rFonts w:ascii="Courier New" w:cs="Courier New" w:eastAsia="Courier New" w:hAnsi="Courier New"/>
          <w:sz w:val="16"/>
          <w:szCs w:val="16"/>
          <w:color w:val="auto"/>
        </w:rPr>
        <w:t>Chambers Merger. The merger of Chambers and Chambers Acquisition Corporation pursuant to the terms of the Chambers Merger Agreement.</w:t>
      </w:r>
    </w:p>
    <w:p>
      <w:pPr>
        <w:spacing w:after="0" w:line="189" w:lineRule="exact"/>
        <w:rPr>
          <w:sz w:val="20"/>
          <w:szCs w:val="20"/>
          <w:color w:val="auto"/>
        </w:rPr>
      </w:pPr>
    </w:p>
    <w:p>
      <w:pPr>
        <w:ind w:right="2779" w:firstLine="763"/>
        <w:spacing w:after="0"/>
        <w:rPr>
          <w:sz w:val="20"/>
          <w:szCs w:val="20"/>
          <w:color w:val="auto"/>
        </w:rPr>
      </w:pPr>
      <w:r>
        <w:rPr>
          <w:rFonts w:ascii="Courier New" w:cs="Courier New" w:eastAsia="Courier New" w:hAnsi="Courier New"/>
          <w:sz w:val="16"/>
          <w:szCs w:val="16"/>
          <w:color w:val="auto"/>
        </w:rPr>
        <w:t>Chambers Merger Agreement. Amended and Restated Agreement and Plan of Merger dated as of November 28, 1994, as amended June 27, 1995, between the Borrower, Chambers Acquisition Corporation, and Chambers.</w:t>
      </w:r>
    </w:p>
    <w:p>
      <w:pPr>
        <w:spacing w:after="0" w:line="190" w:lineRule="exact"/>
        <w:rPr>
          <w:sz w:val="20"/>
          <w:szCs w:val="20"/>
          <w:color w:val="auto"/>
        </w:rPr>
      </w:pPr>
    </w:p>
    <w:p>
      <w:pPr>
        <w:ind w:right="2779" w:firstLine="763"/>
        <w:spacing w:after="0" w:line="239" w:lineRule="auto"/>
        <w:rPr>
          <w:sz w:val="20"/>
          <w:szCs w:val="20"/>
          <w:color w:val="auto"/>
        </w:rPr>
      </w:pPr>
      <w:r>
        <w:rPr>
          <w:rFonts w:ascii="Courier New" w:cs="Courier New" w:eastAsia="Courier New" w:hAnsi="Courier New"/>
          <w:sz w:val="16"/>
          <w:szCs w:val="16"/>
          <w:color w:val="auto"/>
        </w:rPr>
        <w:t>Closing Date. The date on which the conditions precedent set forth in Section 10 hereof are satisfied.</w:t>
      </w:r>
    </w:p>
    <w:p>
      <w:pPr>
        <w:spacing w:after="0" w:line="189" w:lineRule="exact"/>
        <w:rPr>
          <w:sz w:val="20"/>
          <w:szCs w:val="20"/>
          <w:color w:val="auto"/>
        </w:rPr>
      </w:pPr>
    </w:p>
    <w:p>
      <w:pPr>
        <w:ind w:right="2679" w:firstLine="763"/>
        <w:spacing w:after="0" w:line="239" w:lineRule="auto"/>
        <w:rPr>
          <w:sz w:val="20"/>
          <w:szCs w:val="20"/>
          <w:color w:val="auto"/>
        </w:rPr>
      </w:pPr>
      <w:r>
        <w:rPr>
          <w:rFonts w:ascii="Courier New" w:cs="Courier New" w:eastAsia="Courier New" w:hAnsi="Courier New"/>
          <w:sz w:val="16"/>
          <w:szCs w:val="16"/>
          <w:color w:val="auto"/>
        </w:rPr>
        <w:t>Code. The Internal Revenue Code of 1986, as amended and in effect from time to time.</w:t>
      </w:r>
    </w:p>
    <w:p>
      <w:pPr>
        <w:sectPr>
          <w:pgSz w:w="11900" w:h="16838" w:orient="portrait"/>
          <w:cols w:equalWidth="0" w:num="1">
            <w:col w:w="10219"/>
          </w:cols>
          <w:pgMar w:left="240" w:top="298"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13</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55" w:lineRule="exact"/>
        <w:rPr>
          <w:sz w:val="20"/>
          <w:szCs w:val="20"/>
          <w:color w:val="auto"/>
        </w:rPr>
      </w:pPr>
    </w:p>
    <w:p>
      <w:pPr>
        <w:ind w:right="2979" w:firstLine="763"/>
        <w:spacing w:after="0" w:line="241" w:lineRule="auto"/>
        <w:rPr>
          <w:sz w:val="20"/>
          <w:szCs w:val="20"/>
          <w:color w:val="auto"/>
        </w:rPr>
      </w:pPr>
      <w:r>
        <w:rPr>
          <w:rFonts w:ascii="Courier New" w:cs="Courier New" w:eastAsia="Courier New" w:hAnsi="Courier New"/>
          <w:sz w:val="16"/>
          <w:szCs w:val="16"/>
          <w:color w:val="auto"/>
        </w:rPr>
        <w:t>Commitment. With respect to each Bank, the amount determined by multiplying such Bank's Commitment Percentage by the aggregate amount of the Total Commitment specified in Section 2.1 hereof, as the same may be reduced from time to time.</w:t>
      </w:r>
    </w:p>
    <w:p>
      <w:pPr>
        <w:spacing w:after="0" w:line="189" w:lineRule="exact"/>
        <w:rPr>
          <w:sz w:val="20"/>
          <w:szCs w:val="20"/>
          <w:color w:val="auto"/>
        </w:rPr>
      </w:pPr>
    </w:p>
    <w:p>
      <w:pPr>
        <w:ind w:right="2879" w:firstLine="763"/>
        <w:spacing w:after="0" w:line="239" w:lineRule="auto"/>
        <w:rPr>
          <w:sz w:val="20"/>
          <w:szCs w:val="20"/>
          <w:color w:val="auto"/>
        </w:rPr>
      </w:pPr>
      <w:r>
        <w:rPr>
          <w:rFonts w:ascii="Courier New" w:cs="Courier New" w:eastAsia="Courier New" w:hAnsi="Courier New"/>
          <w:sz w:val="16"/>
          <w:szCs w:val="16"/>
          <w:color w:val="auto"/>
        </w:rPr>
        <w:t>Commitment Percentage. With respect to each Bank, the percentage set forth on Schedule 1.</w:t>
      </w:r>
    </w:p>
    <w:p>
      <w:pPr>
        <w:spacing w:after="0" w:line="189" w:lineRule="exact"/>
        <w:rPr>
          <w:sz w:val="20"/>
          <w:szCs w:val="20"/>
          <w:color w:val="auto"/>
        </w:rPr>
      </w:pPr>
    </w:p>
    <w:p>
      <w:pPr>
        <w:ind w:right="2979" w:firstLine="763"/>
        <w:spacing w:after="0" w:line="241" w:lineRule="auto"/>
        <w:rPr>
          <w:sz w:val="20"/>
          <w:szCs w:val="20"/>
          <w:color w:val="auto"/>
        </w:rPr>
      </w:pPr>
      <w:r>
        <w:rPr>
          <w:rFonts w:ascii="Courier New" w:cs="Courier New" w:eastAsia="Courier New" w:hAnsi="Courier New"/>
          <w:sz w:val="16"/>
          <w:szCs w:val="16"/>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pacing w:after="0" w:line="186" w:lineRule="exact"/>
        <w:rPr>
          <w:sz w:val="20"/>
          <w:szCs w:val="20"/>
          <w:color w:val="auto"/>
        </w:rPr>
      </w:pPr>
    </w:p>
    <w:p>
      <w:pPr>
        <w:ind w:left="760"/>
        <w:spacing w:after="0"/>
        <w:tabs>
          <w:tab w:leader="none" w:pos="3800" w:val="left"/>
        </w:tabs>
        <w:rPr>
          <w:sz w:val="20"/>
          <w:szCs w:val="20"/>
          <w:color w:val="auto"/>
        </w:rPr>
      </w:pPr>
      <w:r>
        <w:rPr>
          <w:rFonts w:ascii="Courier New" w:cs="Courier New" w:eastAsia="Courier New" w:hAnsi="Courier New"/>
          <w:sz w:val="16"/>
          <w:szCs w:val="16"/>
          <w:color w:val="auto"/>
        </w:rPr>
        <w:t>Competitive Bid Loan Accounts.</w:t>
      </w:r>
      <w:r>
        <w:rPr>
          <w:sz w:val="20"/>
          <w:szCs w:val="20"/>
          <w:color w:val="auto"/>
        </w:rPr>
        <w:tab/>
      </w:r>
      <w:r>
        <w:rPr>
          <w:rFonts w:ascii="Courier New" w:cs="Courier New" w:eastAsia="Courier New" w:hAnsi="Courier New"/>
          <w:sz w:val="15"/>
          <w:szCs w:val="15"/>
          <w:color w:val="auto"/>
        </w:rPr>
        <w:t>See Section 4.2(a).</w:t>
      </w:r>
    </w:p>
    <w:p>
      <w:pPr>
        <w:spacing w:after="0" w:line="186" w:lineRule="exact"/>
        <w:rPr>
          <w:sz w:val="20"/>
          <w:szCs w:val="20"/>
          <w:color w:val="auto"/>
        </w:rPr>
      </w:pPr>
    </w:p>
    <w:p>
      <w:pPr>
        <w:ind w:left="760"/>
        <w:spacing w:after="0"/>
        <w:tabs>
          <w:tab w:leader="none" w:pos="3120" w:val="left"/>
        </w:tabs>
        <w:rPr>
          <w:sz w:val="20"/>
          <w:szCs w:val="20"/>
          <w:color w:val="auto"/>
        </w:rPr>
      </w:pPr>
      <w:r>
        <w:rPr>
          <w:rFonts w:ascii="Courier New" w:cs="Courier New" w:eastAsia="Courier New" w:hAnsi="Courier New"/>
          <w:sz w:val="16"/>
          <w:szCs w:val="16"/>
          <w:color w:val="auto"/>
        </w:rPr>
        <w:t>Competitive Bid Margin.</w:t>
      </w:r>
      <w:r>
        <w:rPr>
          <w:sz w:val="20"/>
          <w:szCs w:val="20"/>
          <w:color w:val="auto"/>
        </w:rPr>
        <w:tab/>
      </w:r>
      <w:r>
        <w:rPr>
          <w:rFonts w:ascii="Courier New" w:cs="Courier New" w:eastAsia="Courier New" w:hAnsi="Courier New"/>
          <w:sz w:val="15"/>
          <w:szCs w:val="15"/>
          <w:color w:val="auto"/>
        </w:rPr>
        <w:t>See Section 4.5(b)(iv).</w:t>
      </w:r>
    </w:p>
    <w:p>
      <w:pPr>
        <w:spacing w:after="0" w:line="186" w:lineRule="exact"/>
        <w:rPr>
          <w:sz w:val="20"/>
          <w:szCs w:val="20"/>
          <w:color w:val="auto"/>
        </w:rPr>
      </w:pPr>
    </w:p>
    <w:p>
      <w:pPr>
        <w:ind w:left="760"/>
        <w:spacing w:after="0"/>
        <w:tabs>
          <w:tab w:leader="none" w:pos="3020" w:val="left"/>
        </w:tabs>
        <w:rPr>
          <w:sz w:val="20"/>
          <w:szCs w:val="20"/>
          <w:color w:val="auto"/>
        </w:rPr>
      </w:pPr>
      <w:r>
        <w:rPr>
          <w:rFonts w:ascii="Courier New" w:cs="Courier New" w:eastAsia="Courier New" w:hAnsi="Courier New"/>
          <w:sz w:val="16"/>
          <w:szCs w:val="16"/>
          <w:color w:val="auto"/>
        </w:rPr>
        <w:t>Competitive Bid Notes.</w:t>
      </w:r>
      <w:r>
        <w:rPr>
          <w:sz w:val="20"/>
          <w:szCs w:val="20"/>
          <w:color w:val="auto"/>
        </w:rPr>
        <w:tab/>
      </w:r>
      <w:r>
        <w:rPr>
          <w:rFonts w:ascii="Courier New" w:cs="Courier New" w:eastAsia="Courier New" w:hAnsi="Courier New"/>
          <w:sz w:val="15"/>
          <w:szCs w:val="15"/>
          <w:color w:val="auto"/>
        </w:rPr>
        <w:t>See Section 4.2(b).</w:t>
      </w:r>
    </w:p>
    <w:p>
      <w:pPr>
        <w:spacing w:after="0" w:line="188" w:lineRule="exact"/>
        <w:rPr>
          <w:sz w:val="20"/>
          <w:szCs w:val="20"/>
          <w:color w:val="auto"/>
        </w:rPr>
      </w:pPr>
    </w:p>
    <w:p>
      <w:pPr>
        <w:ind w:right="2979" w:firstLine="763"/>
        <w:spacing w:after="0" w:line="239" w:lineRule="auto"/>
        <w:rPr>
          <w:sz w:val="20"/>
          <w:szCs w:val="20"/>
          <w:color w:val="auto"/>
        </w:rPr>
      </w:pPr>
      <w:r>
        <w:rPr>
          <w:rFonts w:ascii="Courier New" w:cs="Courier New" w:eastAsia="Courier New" w:hAnsi="Courier New"/>
          <w:sz w:val="16"/>
          <w:szCs w:val="16"/>
          <w:color w:val="auto"/>
        </w:rPr>
        <w:t>Competitive Bid Quote. An offer by a Bank to make a Competitive Bid Loan in accordance with Section 4.5 hereof.</w:t>
      </w:r>
    </w:p>
    <w:p>
      <w:pPr>
        <w:spacing w:after="0" w:line="186" w:lineRule="exact"/>
        <w:rPr>
          <w:sz w:val="20"/>
          <w:szCs w:val="20"/>
          <w:color w:val="auto"/>
        </w:rPr>
      </w:pPr>
    </w:p>
    <w:p>
      <w:pPr>
        <w:ind w:left="760"/>
        <w:spacing w:after="0"/>
        <w:tabs>
          <w:tab w:leader="none" w:pos="3800" w:val="left"/>
        </w:tabs>
        <w:rPr>
          <w:sz w:val="20"/>
          <w:szCs w:val="20"/>
          <w:color w:val="auto"/>
        </w:rPr>
      </w:pPr>
      <w:r>
        <w:rPr>
          <w:rFonts w:ascii="Courier New" w:cs="Courier New" w:eastAsia="Courier New" w:hAnsi="Courier New"/>
          <w:sz w:val="16"/>
          <w:szCs w:val="16"/>
          <w:color w:val="auto"/>
        </w:rPr>
        <w:t>Competitive Bid Quote Request.</w:t>
      </w:r>
      <w:r>
        <w:rPr>
          <w:sz w:val="20"/>
          <w:szCs w:val="20"/>
          <w:color w:val="auto"/>
        </w:rPr>
        <w:tab/>
      </w:r>
      <w:r>
        <w:rPr>
          <w:rFonts w:ascii="Courier New" w:cs="Courier New" w:eastAsia="Courier New" w:hAnsi="Courier New"/>
          <w:sz w:val="15"/>
          <w:szCs w:val="15"/>
          <w:color w:val="auto"/>
        </w:rPr>
        <w:t>See Section 4.3.</w:t>
      </w:r>
    </w:p>
    <w:p>
      <w:pPr>
        <w:spacing w:after="0" w:line="186" w:lineRule="exact"/>
        <w:rPr>
          <w:sz w:val="20"/>
          <w:szCs w:val="20"/>
          <w:color w:val="auto"/>
        </w:rPr>
      </w:pPr>
    </w:p>
    <w:p>
      <w:pPr>
        <w:ind w:left="760"/>
        <w:spacing w:after="0"/>
        <w:tabs>
          <w:tab w:leader="none" w:pos="2940" w:val="left"/>
        </w:tabs>
        <w:rPr>
          <w:sz w:val="20"/>
          <w:szCs w:val="20"/>
          <w:color w:val="auto"/>
        </w:rPr>
      </w:pPr>
      <w:r>
        <w:rPr>
          <w:rFonts w:ascii="Courier New" w:cs="Courier New" w:eastAsia="Courier New" w:hAnsi="Courier New"/>
          <w:sz w:val="16"/>
          <w:szCs w:val="16"/>
          <w:color w:val="auto"/>
        </w:rPr>
        <w:t>Competitive Bid Rate.</w:t>
      </w:r>
      <w:r>
        <w:rPr>
          <w:sz w:val="20"/>
          <w:szCs w:val="20"/>
          <w:color w:val="auto"/>
        </w:rPr>
        <w:tab/>
      </w:r>
      <w:r>
        <w:rPr>
          <w:rFonts w:ascii="Courier New" w:cs="Courier New" w:eastAsia="Courier New" w:hAnsi="Courier New"/>
          <w:sz w:val="15"/>
          <w:szCs w:val="15"/>
          <w:color w:val="auto"/>
        </w:rPr>
        <w:t>See Section 4.5(b)(v).</w:t>
      </w:r>
    </w:p>
    <w:p>
      <w:pPr>
        <w:spacing w:after="0" w:line="186" w:lineRule="exact"/>
        <w:rPr>
          <w:sz w:val="20"/>
          <w:szCs w:val="20"/>
          <w:color w:val="auto"/>
        </w:rPr>
      </w:pPr>
    </w:p>
    <w:p>
      <w:pPr>
        <w:ind w:left="760"/>
        <w:spacing w:after="0"/>
        <w:tabs>
          <w:tab w:leader="none" w:pos="3120" w:val="left"/>
        </w:tabs>
        <w:rPr>
          <w:sz w:val="20"/>
          <w:szCs w:val="20"/>
          <w:color w:val="auto"/>
        </w:rPr>
      </w:pPr>
      <w:r>
        <w:rPr>
          <w:rFonts w:ascii="Courier New" w:cs="Courier New" w:eastAsia="Courier New" w:hAnsi="Courier New"/>
          <w:sz w:val="16"/>
          <w:szCs w:val="16"/>
          <w:color w:val="auto"/>
        </w:rPr>
        <w:t>Compliance Certificate.</w:t>
      </w:r>
      <w:r>
        <w:rPr>
          <w:sz w:val="20"/>
          <w:szCs w:val="20"/>
          <w:color w:val="auto"/>
        </w:rPr>
        <w:tab/>
      </w:r>
      <w:r>
        <w:rPr>
          <w:rFonts w:ascii="Courier New" w:cs="Courier New" w:eastAsia="Courier New" w:hAnsi="Courier New"/>
          <w:sz w:val="15"/>
          <w:szCs w:val="15"/>
          <w:color w:val="auto"/>
        </w:rPr>
        <w:t>See Section 7.4(c).</w:t>
      </w:r>
    </w:p>
    <w:p>
      <w:pPr>
        <w:spacing w:after="0" w:line="188" w:lineRule="exact"/>
        <w:rPr>
          <w:sz w:val="20"/>
          <w:szCs w:val="20"/>
          <w:color w:val="auto"/>
        </w:rPr>
      </w:pPr>
    </w:p>
    <w:p>
      <w:pPr>
        <w:ind w:right="2679" w:firstLine="763"/>
        <w:spacing w:after="0"/>
        <w:rPr>
          <w:sz w:val="20"/>
          <w:szCs w:val="20"/>
          <w:color w:val="auto"/>
        </w:rPr>
      </w:pPr>
      <w:r>
        <w:rPr>
          <w:rFonts w:ascii="Courier New" w:cs="Courier New" w:eastAsia="Courier New" w:hAnsi="Courier New"/>
          <w:sz w:val="16"/>
          <w:szCs w:val="16"/>
          <w:color w:val="auto"/>
        </w:rPr>
        <w:t>Consolidated or consolidated. With reference to any term defined herein, shall mean that term as applied to the accounts of the Borrower and its Subsidiaries consolidated in accordance with GAAP.</w:t>
      </w:r>
    </w:p>
    <w:p>
      <w:pPr>
        <w:spacing w:after="0" w:line="190" w:lineRule="exact"/>
        <w:rPr>
          <w:sz w:val="20"/>
          <w:szCs w:val="20"/>
          <w:color w:val="auto"/>
        </w:rPr>
      </w:pPr>
    </w:p>
    <w:p>
      <w:pPr>
        <w:ind w:right="2679" w:firstLine="763"/>
        <w:spacing w:after="0" w:line="242" w:lineRule="auto"/>
        <w:rPr>
          <w:sz w:val="20"/>
          <w:szCs w:val="20"/>
          <w:color w:val="auto"/>
        </w:rPr>
      </w:pPr>
      <w:r>
        <w:rPr>
          <w:rFonts w:ascii="Courier New" w:cs="Courier New" w:eastAsia="Courier New" w:hAnsi="Courier New"/>
          <w:sz w:val="16"/>
          <w:szCs w:val="16"/>
          <w:color w:val="auto"/>
        </w:rPr>
        <w:t>Consolidated Earnings Before Interest and Taxes, or EBIT. For any period, the Consolidated Net Income (or Deficit) of the Borrower and its Subsidiaries on a consolidated basis plus (1) interest expense, (2) income taxes, (3) up to $25,000,000 of merger expenses with respect to the Chambers Merger taken as a special charge in the quarter ending June 30, 1995 and (4) up to</w:t>
      </w:r>
    </w:p>
    <w:p>
      <w:pPr>
        <w:sectPr>
          <w:pgSz w:w="11900" w:h="16838" w:orient="portrait"/>
          <w:cols w:equalWidth="0" w:num="1">
            <w:col w:w="10219"/>
          </w:cols>
          <w:pgMar w:left="240" w:top="298"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14</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pacing w:after="0" w:line="372"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$25,000,000 in merger expenses with respect to the Western Waste Merger taken as a special charge in the quarter in which the Western Waste Merger is consummated, to the extent that each was deducted in determining Consolidated Net Income.</w:t>
      </w:r>
    </w:p>
    <w:p>
      <w:pPr>
        <w:spacing w:after="0" w:line="189" w:lineRule="exact"/>
        <w:rPr>
          <w:sz w:val="20"/>
          <w:szCs w:val="20"/>
          <w:color w:val="auto"/>
        </w:rPr>
      </w:pPr>
    </w:p>
    <w:p>
      <w:pPr>
        <w:ind w:right="2979" w:firstLine="763"/>
        <w:spacing w:after="0" w:line="263" w:lineRule="auto"/>
        <w:rPr>
          <w:sz w:val="20"/>
          <w:szCs w:val="20"/>
          <w:color w:val="auto"/>
        </w:rPr>
      </w:pPr>
      <w:r>
        <w:rPr>
          <w:rFonts w:ascii="Courier New" w:cs="Courier New" w:eastAsia="Courier New" w:hAnsi="Courier New"/>
          <w:sz w:val="15"/>
          <w:szCs w:val="15"/>
          <w:color w:val="auto"/>
        </w:rPr>
        <w:t>Consolidated Earnings Before Interest, Taxes, Depreciation and Amortization or EBITDA. For any period, EBIT plus (a) depreciation expense, and (b) amortization expense to the extent the same would be included in the calculation of EBIT for such period, determined in accordance with GAAP.</w:t>
      </w:r>
    </w:p>
    <w:p>
      <w:pPr>
        <w:spacing w:after="0" w:line="172" w:lineRule="exact"/>
        <w:rPr>
          <w:sz w:val="20"/>
          <w:szCs w:val="20"/>
          <w:color w:val="auto"/>
        </w:rPr>
      </w:pPr>
    </w:p>
    <w:p>
      <w:pPr>
        <w:ind w:right="2779" w:firstLine="763"/>
        <w:spacing w:after="0" w:line="241" w:lineRule="auto"/>
        <w:rPr>
          <w:sz w:val="20"/>
          <w:szCs w:val="20"/>
          <w:color w:val="auto"/>
        </w:rPr>
      </w:pPr>
      <w:r>
        <w:rPr>
          <w:rFonts w:ascii="Courier New" w:cs="Courier New" w:eastAsia="Courier New" w:hAnsi="Courier New"/>
          <w:sz w:val="16"/>
          <w:szCs w:val="16"/>
          <w:color w:val="auto"/>
        </w:rPr>
        <w:t>Consolidated Net Income (or Deficit) or Net Income (or Deficit). The consolidated net income (or deficit) of the Borrower and its Subsidiaries on a consolidated basis, or the net income (or deficit) of the Borrower, after deduction of all expenses, taxes, and other proper charges, determined in accordance with GAAP.</w:t>
      </w:r>
    </w:p>
    <w:p>
      <w:pPr>
        <w:spacing w:after="0" w:line="190" w:lineRule="exact"/>
        <w:rPr>
          <w:sz w:val="20"/>
          <w:szCs w:val="20"/>
          <w:color w:val="auto"/>
        </w:rPr>
      </w:pPr>
    </w:p>
    <w:p>
      <w:pPr>
        <w:ind w:right="2679" w:firstLine="763"/>
        <w:spacing w:after="0" w:line="260" w:lineRule="auto"/>
        <w:rPr>
          <w:sz w:val="20"/>
          <w:szCs w:val="20"/>
          <w:color w:val="auto"/>
        </w:rPr>
      </w:pPr>
      <w:r>
        <w:rPr>
          <w:rFonts w:ascii="Courier New" w:cs="Courier New" w:eastAsia="Courier New" w:hAnsi="Courier New"/>
          <w:sz w:val="15"/>
          <w:szCs w:val="15"/>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75" w:lineRule="exact"/>
        <w:rPr>
          <w:sz w:val="20"/>
          <w:szCs w:val="20"/>
          <w:color w:val="auto"/>
        </w:rPr>
      </w:pPr>
    </w:p>
    <w:p>
      <w:pPr>
        <w:ind w:left="760"/>
        <w:spacing w:after="0"/>
        <w:tabs>
          <w:tab w:leader="none" w:pos="3700" w:val="left"/>
        </w:tabs>
        <w:rPr>
          <w:sz w:val="20"/>
          <w:szCs w:val="20"/>
          <w:color w:val="auto"/>
        </w:rPr>
      </w:pPr>
      <w:r>
        <w:rPr>
          <w:rFonts w:ascii="Courier New" w:cs="Courier New" w:eastAsia="Courier New" w:hAnsi="Courier New"/>
          <w:sz w:val="16"/>
          <w:szCs w:val="16"/>
          <w:color w:val="auto"/>
        </w:rPr>
        <w:t>Consolidated Tangible Assets.</w:t>
      </w:r>
      <w:r>
        <w:rPr>
          <w:sz w:val="20"/>
          <w:szCs w:val="20"/>
          <w:color w:val="auto"/>
        </w:rPr>
        <w:tab/>
      </w:r>
      <w:r>
        <w:rPr>
          <w:rFonts w:ascii="Courier New" w:cs="Courier New" w:eastAsia="Courier New" w:hAnsi="Courier New"/>
          <w:sz w:val="15"/>
          <w:szCs w:val="15"/>
          <w:color w:val="auto"/>
        </w:rPr>
        <w:t>Consolidated Total Assets less the sum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188" w:lineRule="exact"/>
        <w:rPr>
          <w:sz w:val="20"/>
          <w:szCs w:val="20"/>
          <w:color w:val="auto"/>
        </w:rPr>
      </w:pPr>
    </w:p>
    <w:p>
      <w:pPr>
        <w:ind w:left="760" w:right="2679" w:firstLine="859"/>
        <w:spacing w:after="0" w:line="242" w:lineRule="auto"/>
        <w:tabs>
          <w:tab w:leader="none" w:pos="2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87" w:lineRule="exact"/>
        <w:rPr>
          <w:rFonts w:ascii="Courier New" w:cs="Courier New" w:eastAsia="Courier New" w:hAnsi="Courier New"/>
          <w:sz w:val="16"/>
          <w:szCs w:val="16"/>
          <w:color w:val="auto"/>
        </w:rPr>
      </w:pPr>
    </w:p>
    <w:p>
      <w:pPr>
        <w:ind w:left="760" w:right="2779" w:firstLine="859"/>
        <w:spacing w:after="0"/>
        <w:tabs>
          <w:tab w:leader="none" w:pos="2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representing any write-up in the book value of any assets of the Borrower or its Subsidiaries resulting from a revaluation thereof subsequent to the Balance Sheet Date.</w:t>
      </w:r>
    </w:p>
    <w:p>
      <w:pPr>
        <w:spacing w:after="0" w:line="190" w:lineRule="exact"/>
        <w:rPr>
          <w:sz w:val="20"/>
          <w:szCs w:val="20"/>
          <w:color w:val="auto"/>
        </w:rPr>
      </w:pPr>
    </w:p>
    <w:p>
      <w:pPr>
        <w:ind w:right="3359" w:firstLine="763"/>
        <w:spacing w:after="0" w:line="271" w:lineRule="auto"/>
        <w:rPr>
          <w:sz w:val="20"/>
          <w:szCs w:val="20"/>
          <w:color w:val="auto"/>
        </w:rPr>
      </w:pPr>
      <w:r>
        <w:rPr>
          <w:rFonts w:ascii="Courier New" w:cs="Courier New" w:eastAsia="Courier New" w:hAnsi="Courier New"/>
          <w:sz w:val="15"/>
          <w:szCs w:val="15"/>
          <w:color w:val="auto"/>
        </w:rPr>
        <w:t>Consolidated Total Assets. All assets of the Borrower and its Subsidiaries determined on a consolidated basis in accordance with GAAP.</w:t>
      </w:r>
    </w:p>
    <w:p>
      <w:pPr>
        <w:spacing w:after="0" w:line="166" w:lineRule="exact"/>
        <w:rPr>
          <w:sz w:val="20"/>
          <w:szCs w:val="20"/>
          <w:color w:val="auto"/>
        </w:rPr>
      </w:pPr>
    </w:p>
    <w:p>
      <w:pPr>
        <w:ind w:right="3459" w:firstLine="763"/>
        <w:spacing w:after="0" w:line="239" w:lineRule="auto"/>
        <w:rPr>
          <w:sz w:val="20"/>
          <w:szCs w:val="20"/>
          <w:color w:val="auto"/>
        </w:rPr>
      </w:pPr>
      <w:r>
        <w:rPr>
          <w:rFonts w:ascii="Courier New" w:cs="Courier New" w:eastAsia="Courier New" w:hAnsi="Courier New"/>
          <w:sz w:val="16"/>
          <w:szCs w:val="16"/>
          <w:color w:val="auto"/>
        </w:rPr>
        <w:t>Consolidated Total Capitalization. The sum of Funded Debt plus Consolidated Net Worth.</w:t>
      </w:r>
    </w:p>
    <w:p>
      <w:pPr>
        <w:sectPr>
          <w:pgSz w:w="11900" w:h="16838" w:orient="portrait"/>
          <w:cols w:equalWidth="0" w:num="1">
            <w:col w:w="10219"/>
          </w:cols>
          <w:pgMar w:left="240" w:top="298"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pacing w:after="0" w:line="372"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188" w:lineRule="exact"/>
        <w:rPr>
          <w:sz w:val="20"/>
          <w:szCs w:val="20"/>
          <w:color w:val="auto"/>
        </w:rPr>
      </w:pPr>
    </w:p>
    <w:p>
      <w:pPr>
        <w:ind w:left="380"/>
        <w:spacing w:after="0"/>
        <w:tabs>
          <w:tab w:leader="none" w:pos="1320" w:val="left"/>
        </w:tabs>
        <w:rPr>
          <w:sz w:val="20"/>
          <w:szCs w:val="20"/>
          <w:color w:val="auto"/>
        </w:rPr>
      </w:pPr>
      <w:r>
        <w:rPr>
          <w:rFonts w:ascii="Courier New" w:cs="Courier New" w:eastAsia="Courier New" w:hAnsi="Courier New"/>
          <w:sz w:val="16"/>
          <w:szCs w:val="16"/>
          <w:color w:val="auto"/>
        </w:rPr>
        <w:t>Default.</w:t>
        <w:tab/>
        <w:t>See Section 12.</w:t>
      </w:r>
    </w:p>
    <w:p>
      <w:pPr>
        <w:spacing w:after="0" w:line="186" w:lineRule="exact"/>
        <w:rPr>
          <w:sz w:val="20"/>
          <w:szCs w:val="20"/>
          <w:color w:val="auto"/>
        </w:rPr>
      </w:pPr>
    </w:p>
    <w:p>
      <w:pPr>
        <w:ind w:left="380"/>
        <w:spacing w:after="0"/>
        <w:tabs>
          <w:tab w:leader="none" w:pos="2080" w:val="left"/>
        </w:tabs>
        <w:rPr>
          <w:sz w:val="20"/>
          <w:szCs w:val="20"/>
          <w:color w:val="auto"/>
        </w:rPr>
      </w:pPr>
      <w:r>
        <w:rPr>
          <w:rFonts w:ascii="Courier New" w:cs="Courier New" w:eastAsia="Courier New" w:hAnsi="Courier New"/>
          <w:sz w:val="16"/>
          <w:szCs w:val="16"/>
          <w:color w:val="auto"/>
        </w:rPr>
        <w:t>Defaulting Bank.</w:t>
      </w:r>
      <w:r>
        <w:rPr>
          <w:sz w:val="20"/>
          <w:szCs w:val="20"/>
          <w:color w:val="auto"/>
        </w:rPr>
        <w:tab/>
      </w:r>
      <w:r>
        <w:rPr>
          <w:rFonts w:ascii="Courier New" w:cs="Courier New" w:eastAsia="Courier New" w:hAnsi="Courier New"/>
          <w:sz w:val="15"/>
          <w:szCs w:val="15"/>
          <w:color w:val="auto"/>
        </w:rPr>
        <w:t>See Section 5.12.</w:t>
      </w:r>
    </w:p>
    <w:p>
      <w:pPr>
        <w:spacing w:after="0" w:line="186" w:lineRule="exact"/>
        <w:rPr>
          <w:sz w:val="20"/>
          <w:szCs w:val="20"/>
          <w:color w:val="auto"/>
        </w:rPr>
      </w:pPr>
    </w:p>
    <w:p>
      <w:pPr>
        <w:ind w:left="380"/>
        <w:spacing w:after="0"/>
        <w:tabs>
          <w:tab w:leader="none" w:pos="1400" w:val="left"/>
        </w:tabs>
        <w:rPr>
          <w:sz w:val="20"/>
          <w:szCs w:val="20"/>
          <w:color w:val="auto"/>
        </w:rPr>
      </w:pPr>
      <w:r>
        <w:rPr>
          <w:rFonts w:ascii="Courier New" w:cs="Courier New" w:eastAsia="Courier New" w:hAnsi="Courier New"/>
          <w:sz w:val="16"/>
          <w:szCs w:val="16"/>
          <w:color w:val="auto"/>
        </w:rPr>
        <w:t>Disposal.</w:t>
        <w:tab/>
        <w:t>See "Release".</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Distribution. The declaration or payment of any dividend on or in respect of any shares of any class of capital stock of any Person, other than dividends payable solely in shares of common stock of such Person; the purchase, redemption, or other retirement of any shares of any class of capital stock of such Person, directly or indirectly through a Subsidiary or otherwise; the return of equity capital by any Person to its shareholders as such; or any other distribution on or in respect of any shares of any class of capital stock of such Person.</w:t>
      </w:r>
    </w:p>
    <w:p>
      <w:pPr>
        <w:spacing w:after="0" w:line="186" w:lineRule="exact"/>
        <w:rPr>
          <w:sz w:val="20"/>
          <w:szCs w:val="20"/>
          <w:color w:val="auto"/>
        </w:rPr>
      </w:pPr>
    </w:p>
    <w:p>
      <w:pPr>
        <w:ind w:left="380"/>
        <w:spacing w:after="0"/>
        <w:tabs>
          <w:tab w:leader="none" w:pos="2460" w:val="left"/>
        </w:tabs>
        <w:rPr>
          <w:sz w:val="20"/>
          <w:szCs w:val="20"/>
          <w:color w:val="auto"/>
        </w:rPr>
      </w:pPr>
      <w:r>
        <w:rPr>
          <w:rFonts w:ascii="Courier New" w:cs="Courier New" w:eastAsia="Courier New" w:hAnsi="Courier New"/>
          <w:sz w:val="16"/>
          <w:szCs w:val="16"/>
          <w:color w:val="auto"/>
        </w:rPr>
        <w:t>Documentation Agent.</w:t>
      </w:r>
      <w:r>
        <w:rPr>
          <w:sz w:val="20"/>
          <w:szCs w:val="20"/>
          <w:color w:val="auto"/>
        </w:rPr>
        <w:tab/>
      </w:r>
      <w:r>
        <w:rPr>
          <w:rFonts w:ascii="Courier New" w:cs="Courier New" w:eastAsia="Courier New" w:hAnsi="Courier New"/>
          <w:sz w:val="15"/>
          <w:szCs w:val="15"/>
          <w:color w:val="auto"/>
        </w:rPr>
        <w:t>See Preamble.</w:t>
      </w:r>
    </w:p>
    <w:p>
      <w:pPr>
        <w:spacing w:after="0" w:line="186" w:lineRule="exact"/>
        <w:rPr>
          <w:sz w:val="20"/>
          <w:szCs w:val="20"/>
          <w:color w:val="auto"/>
        </w:rPr>
      </w:pPr>
    </w:p>
    <w:p>
      <w:pPr>
        <w:ind w:left="380"/>
        <w:spacing w:after="0"/>
        <w:tabs>
          <w:tab w:leader="none" w:pos="1780" w:val="left"/>
        </w:tabs>
        <w:rPr>
          <w:sz w:val="20"/>
          <w:szCs w:val="20"/>
          <w:color w:val="auto"/>
        </w:rPr>
      </w:pPr>
      <w:r>
        <w:rPr>
          <w:rFonts w:ascii="Courier New" w:cs="Courier New" w:eastAsia="Courier New" w:hAnsi="Courier New"/>
          <w:sz w:val="16"/>
          <w:szCs w:val="16"/>
          <w:color w:val="auto"/>
        </w:rPr>
        <w:t>Dollars or $.</w:t>
      </w:r>
      <w:r>
        <w:rPr>
          <w:sz w:val="20"/>
          <w:szCs w:val="20"/>
          <w:color w:val="auto"/>
        </w:rPr>
        <w:tab/>
      </w:r>
      <w:r>
        <w:rPr>
          <w:rFonts w:ascii="Courier New" w:cs="Courier New" w:eastAsia="Courier New" w:hAnsi="Courier New"/>
          <w:sz w:val="15"/>
          <w:szCs w:val="15"/>
          <w:color w:val="auto"/>
        </w:rPr>
        <w:t>Dollars in lawful currency of the United States of America.</w:t>
      </w:r>
    </w:p>
    <w:p>
      <w:pPr>
        <w:spacing w:after="0" w:line="186" w:lineRule="exact"/>
        <w:rPr>
          <w:sz w:val="20"/>
          <w:szCs w:val="20"/>
          <w:color w:val="auto"/>
        </w:rPr>
      </w:pPr>
    </w:p>
    <w:p>
      <w:pPr>
        <w:ind w:left="380"/>
        <w:spacing w:after="0"/>
        <w:tabs>
          <w:tab w:leader="none" w:pos="1880" w:val="left"/>
        </w:tabs>
        <w:rPr>
          <w:sz w:val="20"/>
          <w:szCs w:val="20"/>
          <w:color w:val="auto"/>
        </w:rPr>
      </w:pPr>
      <w:r>
        <w:rPr>
          <w:rFonts w:ascii="Courier New" w:cs="Courier New" w:eastAsia="Courier New" w:hAnsi="Courier New"/>
          <w:sz w:val="16"/>
          <w:szCs w:val="16"/>
          <w:color w:val="auto"/>
        </w:rPr>
        <w:t>Drawdown Date.</w:t>
      </w:r>
      <w:r>
        <w:rPr>
          <w:sz w:val="20"/>
          <w:szCs w:val="20"/>
          <w:color w:val="auto"/>
        </w:rPr>
        <w:tab/>
      </w:r>
      <w:r>
        <w:rPr>
          <w:rFonts w:ascii="Courier New" w:cs="Courier New" w:eastAsia="Courier New" w:hAnsi="Courier New"/>
          <w:sz w:val="15"/>
          <w:szCs w:val="15"/>
          <w:color w:val="auto"/>
        </w:rPr>
        <w:t>The date on which any Loan is made or is to be made.</w:t>
      </w:r>
    </w:p>
    <w:p>
      <w:pPr>
        <w:spacing w:after="0" w:line="186" w:lineRule="exact"/>
        <w:rPr>
          <w:sz w:val="20"/>
          <w:szCs w:val="20"/>
          <w:color w:val="auto"/>
        </w:rPr>
      </w:pPr>
    </w:p>
    <w:p>
      <w:pPr>
        <w:ind w:left="380"/>
        <w:spacing w:after="0"/>
        <w:tabs>
          <w:tab w:leader="none" w:pos="1020" w:val="left"/>
        </w:tabs>
        <w:rPr>
          <w:sz w:val="20"/>
          <w:szCs w:val="20"/>
          <w:color w:val="auto"/>
        </w:rPr>
      </w:pPr>
      <w:r>
        <w:rPr>
          <w:rFonts w:ascii="Courier New" w:cs="Courier New" w:eastAsia="Courier New" w:hAnsi="Courier New"/>
          <w:sz w:val="16"/>
          <w:szCs w:val="16"/>
          <w:color w:val="auto"/>
        </w:rPr>
        <w:t>EBIT.</w:t>
        <w:tab/>
        <w:t>See definition of Consolidated Earnings Before Interest and Taxes.</w:t>
      </w:r>
    </w:p>
    <w:p>
      <w:pPr>
        <w:spacing w:after="0" w:line="188" w:lineRule="exact"/>
        <w:rPr>
          <w:sz w:val="20"/>
          <w:szCs w:val="20"/>
          <w:color w:val="auto"/>
        </w:rPr>
      </w:pPr>
    </w:p>
    <w:p>
      <w:pPr>
        <w:ind w:right="2979" w:firstLine="382"/>
        <w:spacing w:after="0" w:line="239" w:lineRule="auto"/>
        <w:rPr>
          <w:sz w:val="20"/>
          <w:szCs w:val="20"/>
          <w:color w:val="auto"/>
        </w:rPr>
      </w:pPr>
      <w:r>
        <w:rPr>
          <w:rFonts w:ascii="Courier New" w:cs="Courier New" w:eastAsia="Courier New" w:hAnsi="Courier New"/>
          <w:sz w:val="16"/>
          <w:szCs w:val="16"/>
          <w:color w:val="auto"/>
        </w:rPr>
        <w:t>EBITDA. See definition of Consolidated Earnings Before Interest, Taxes, Depreciation, and Amortization.</w:t>
      </w:r>
    </w:p>
    <w:p>
      <w:pPr>
        <w:spacing w:after="0" w:line="189"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Employee Benefit Plan. Any employee benefit plan within the meaning of Section 3(3) of ERISA maintained or contributed to by the Borrower, any of its Subsidiaries, or any ERISA Affiliate, other than a Multiemployer Plan.</w:t>
      </w:r>
    </w:p>
    <w:p>
      <w:pPr>
        <w:spacing w:after="0" w:line="187" w:lineRule="exact"/>
        <w:rPr>
          <w:sz w:val="20"/>
          <w:szCs w:val="20"/>
          <w:color w:val="auto"/>
        </w:rPr>
      </w:pPr>
    </w:p>
    <w:p>
      <w:pPr>
        <w:ind w:left="380"/>
        <w:spacing w:after="0"/>
        <w:tabs>
          <w:tab w:leader="none" w:pos="2360" w:val="left"/>
        </w:tabs>
        <w:rPr>
          <w:sz w:val="20"/>
          <w:szCs w:val="20"/>
          <w:color w:val="auto"/>
        </w:rPr>
      </w:pPr>
      <w:r>
        <w:rPr>
          <w:rFonts w:ascii="Courier New" w:cs="Courier New" w:eastAsia="Courier New" w:hAnsi="Courier New"/>
          <w:sz w:val="16"/>
          <w:szCs w:val="16"/>
          <w:color w:val="auto"/>
        </w:rPr>
        <w:t>Environmental Laws.</w:t>
      </w:r>
      <w:r>
        <w:rPr>
          <w:sz w:val="20"/>
          <w:szCs w:val="20"/>
          <w:color w:val="auto"/>
        </w:rPr>
        <w:tab/>
      </w:r>
      <w:r>
        <w:rPr>
          <w:rFonts w:ascii="Courier New" w:cs="Courier New" w:eastAsia="Courier New" w:hAnsi="Courier New"/>
          <w:sz w:val="15"/>
          <w:szCs w:val="15"/>
          <w:color w:val="auto"/>
        </w:rPr>
        <w:t>See Section 6.16(a).</w:t>
      </w:r>
    </w:p>
    <w:p>
      <w:pPr>
        <w:sectPr>
          <w:pgSz w:w="11900" w:h="16838" w:orient="portrait"/>
          <w:cols w:equalWidth="0" w:num="1">
            <w:col w:w="10219"/>
          </w:cols>
          <w:pgMar w:left="240" w:top="298"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16</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0"/>
        <w:spacing w:after="0"/>
        <w:tabs>
          <w:tab w:leader="none" w:pos="940" w:val="left"/>
        </w:tabs>
        <w:rPr>
          <w:sz w:val="20"/>
          <w:szCs w:val="20"/>
          <w:color w:val="auto"/>
        </w:rPr>
      </w:pPr>
      <w:r>
        <w:rPr>
          <w:rFonts w:ascii="Courier New" w:cs="Courier New" w:eastAsia="Courier New" w:hAnsi="Courier New"/>
          <w:sz w:val="16"/>
          <w:szCs w:val="16"/>
          <w:color w:val="auto"/>
        </w:rPr>
        <w:t>EPA.</w:t>
        <w:tab/>
        <w:t>See Section 6.16(b).</w:t>
      </w:r>
    </w:p>
    <w:p>
      <w:pPr>
        <w:spacing w:after="0" w:line="188"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ERISA. The Employee Retirement Income Security Act of 1974, as amended and in effect from time to time.</w:t>
      </w:r>
    </w:p>
    <w:p>
      <w:pPr>
        <w:spacing w:after="0" w:line="189"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ERISA Affiliate. Any Person which is treated as a single employer with the Borrower or any of its Subsidiaries under Section 414 of the Code.</w:t>
      </w:r>
    </w:p>
    <w:p>
      <w:pPr>
        <w:spacing w:after="0" w:line="189" w:lineRule="exact"/>
        <w:rPr>
          <w:sz w:val="20"/>
          <w:szCs w:val="20"/>
          <w:color w:val="auto"/>
        </w:rPr>
      </w:pPr>
    </w:p>
    <w:p>
      <w:pPr>
        <w:ind w:right="2979" w:firstLine="382"/>
        <w:spacing w:after="0" w:line="241" w:lineRule="auto"/>
        <w:rPr>
          <w:sz w:val="20"/>
          <w:szCs w:val="20"/>
          <w:color w:val="auto"/>
        </w:rPr>
      </w:pPr>
      <w:r>
        <w:rPr>
          <w:rFonts w:ascii="Courier New" w:cs="Courier New" w:eastAsia="Courier New" w:hAnsi="Courier New"/>
          <w:sz w:val="16"/>
          <w:szCs w:val="16"/>
          <w:color w:val="auto"/>
        </w:rPr>
        <w:t>ERISA Reportable Event. A reportable event with respect to a Guaranteed Pension Plan within the meaning of Section 4043 of ERISA and the regulations promulgated thereunder as to which the requirement of notice has not been waived.</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89"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Eurodollar Interest Determination Date. For any Interest Period, the date two Eurodollar Business Days prior to the first day of such Interest Period.</w:t>
      </w:r>
    </w:p>
    <w:p>
      <w:pPr>
        <w:spacing w:after="0" w:line="189"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Eurodollar Lending Office. Initially, the office of each Bank designated as such in Schedule 1 hereto; thereafter, upon notice to the Administrative Agent, such other office of such Bank that shall be making or maintaining Eurodollar Loans.</w:t>
      </w:r>
    </w:p>
    <w:p>
      <w:pPr>
        <w:spacing w:after="0" w:line="189" w:lineRule="exact"/>
        <w:rPr>
          <w:sz w:val="20"/>
          <w:szCs w:val="20"/>
          <w:color w:val="auto"/>
        </w:rPr>
      </w:pPr>
    </w:p>
    <w:p>
      <w:pPr>
        <w:ind w:right="3539" w:firstLine="382"/>
        <w:spacing w:after="0" w:line="239" w:lineRule="auto"/>
        <w:rPr>
          <w:sz w:val="20"/>
          <w:szCs w:val="20"/>
          <w:color w:val="auto"/>
        </w:rPr>
      </w:pPr>
      <w:r>
        <w:rPr>
          <w:rFonts w:ascii="Courier New" w:cs="Courier New" w:eastAsia="Courier New" w:hAnsi="Courier New"/>
          <w:sz w:val="16"/>
          <w:szCs w:val="16"/>
          <w:color w:val="auto"/>
        </w:rPr>
        <w:t>Eurodollar Loans. Syndicated Loans bearing interest calculated by reference to the Eurodollar Rate.</w:t>
      </w:r>
    </w:p>
    <w:p>
      <w:pPr>
        <w:sectPr>
          <w:pgSz w:w="11900" w:h="16838" w:orient="portrait"/>
          <w:cols w:equalWidth="0" w:num="1">
            <w:col w:w="10219"/>
          </w:cols>
          <w:pgMar w:left="240" w:top="298"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17</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pacing w:after="0" w:line="372" w:lineRule="exact"/>
        <w:rPr>
          <w:sz w:val="20"/>
          <w:szCs w:val="20"/>
          <w:color w:val="auto"/>
        </w:rPr>
      </w:pPr>
    </w:p>
    <w:p>
      <w:pPr>
        <w:ind w:right="2679" w:firstLine="382"/>
        <w:spacing w:after="0" w:line="260" w:lineRule="auto"/>
        <w:rPr>
          <w:sz w:val="20"/>
          <w:szCs w:val="20"/>
          <w:color w:val="auto"/>
        </w:rPr>
      </w:pPr>
      <w:r>
        <w:rPr>
          <w:rFonts w:ascii="Courier New" w:cs="Courier New" w:eastAsia="Courier New" w:hAnsi="Courier New"/>
          <w:sz w:val="15"/>
          <w:szCs w:val="15"/>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two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pacing w:after="0" w:line="173" w:lineRule="exact"/>
        <w:rPr>
          <w:sz w:val="20"/>
          <w:szCs w:val="20"/>
          <w:color w:val="auto"/>
        </w:rPr>
      </w:pPr>
    </w:p>
    <w:p>
      <w:pPr>
        <w:ind w:left="380"/>
        <w:spacing w:after="0"/>
        <w:tabs>
          <w:tab w:leader="none" w:pos="2180" w:val="left"/>
        </w:tabs>
        <w:rPr>
          <w:sz w:val="20"/>
          <w:szCs w:val="20"/>
          <w:color w:val="auto"/>
        </w:rPr>
      </w:pPr>
      <w:r>
        <w:rPr>
          <w:rFonts w:ascii="Courier New" w:cs="Courier New" w:eastAsia="Courier New" w:hAnsi="Courier New"/>
          <w:sz w:val="16"/>
          <w:szCs w:val="16"/>
          <w:color w:val="auto"/>
        </w:rPr>
        <w:t>Event of Default.</w:t>
      </w:r>
      <w:r>
        <w:rPr>
          <w:sz w:val="20"/>
          <w:szCs w:val="20"/>
          <w:color w:val="auto"/>
        </w:rPr>
        <w:tab/>
      </w:r>
      <w:r>
        <w:rPr>
          <w:rFonts w:ascii="Courier New" w:cs="Courier New" w:eastAsia="Courier New" w:hAnsi="Courier New"/>
          <w:sz w:val="15"/>
          <w:szCs w:val="15"/>
          <w:color w:val="auto"/>
        </w:rPr>
        <w:t>See Section 12.</w:t>
      </w:r>
    </w:p>
    <w:p>
      <w:pPr>
        <w:spacing w:after="0" w:line="186" w:lineRule="exact"/>
        <w:rPr>
          <w:sz w:val="20"/>
          <w:szCs w:val="20"/>
          <w:color w:val="auto"/>
        </w:rPr>
      </w:pPr>
    </w:p>
    <w:p>
      <w:pPr>
        <w:ind w:left="380"/>
        <w:spacing w:after="0"/>
        <w:tabs>
          <w:tab w:leader="none" w:pos="1780" w:val="left"/>
        </w:tabs>
        <w:rPr>
          <w:sz w:val="20"/>
          <w:szCs w:val="20"/>
          <w:color w:val="auto"/>
        </w:rPr>
      </w:pPr>
      <w:r>
        <w:rPr>
          <w:rFonts w:ascii="Courier New" w:cs="Courier New" w:eastAsia="Courier New" w:hAnsi="Courier New"/>
          <w:sz w:val="16"/>
          <w:szCs w:val="16"/>
          <w:color w:val="auto"/>
        </w:rPr>
        <w:t>Facility Fee.</w:t>
        <w:tab/>
        <w:t>See Section 2.2.</w:t>
      </w:r>
    </w:p>
    <w:p>
      <w:pPr>
        <w:spacing w:after="0" w:line="188" w:lineRule="exact"/>
        <w:rPr>
          <w:sz w:val="20"/>
          <w:szCs w:val="20"/>
          <w:color w:val="auto"/>
        </w:rPr>
      </w:pPr>
    </w:p>
    <w:p>
      <w:pPr>
        <w:ind w:right="3259" w:firstLine="382"/>
        <w:spacing w:after="0" w:line="241" w:lineRule="auto"/>
        <w:rPr>
          <w:sz w:val="20"/>
          <w:szCs w:val="20"/>
          <w:color w:val="auto"/>
        </w:rPr>
      </w:pPr>
      <w:r>
        <w:rPr>
          <w:rFonts w:ascii="Courier New" w:cs="Courier New" w:eastAsia="Courier New" w:hAnsi="Courier New"/>
          <w:sz w:val="16"/>
          <w:szCs w:val="16"/>
          <w:color w:val="auto"/>
        </w:rPr>
        <w:t>Funded Debt. Consolidated Indebtedness of the Borrower and its Subsidiaries for borrowed money and guarantees of debt for borrowed money recorded on the Consolidated balance sheet, including the amount of any Indebtedness of such Persons for Capitalized Leases which corresponds to principal.</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generally accepted accounting principles, or GAAP. (i) When used in Section 9,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195"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188" w:lineRule="exact"/>
        <w:rPr>
          <w:sz w:val="20"/>
          <w:szCs w:val="20"/>
          <w:color w:val="auto"/>
        </w:rPr>
      </w:pPr>
    </w:p>
    <w:p>
      <w:pPr>
        <w:ind w:left="380"/>
        <w:spacing w:after="0"/>
        <w:tabs>
          <w:tab w:leader="none" w:pos="2560" w:val="left"/>
        </w:tabs>
        <w:rPr>
          <w:sz w:val="20"/>
          <w:szCs w:val="20"/>
          <w:color w:val="auto"/>
        </w:rPr>
      </w:pPr>
      <w:r>
        <w:rPr>
          <w:rFonts w:ascii="Courier New" w:cs="Courier New" w:eastAsia="Courier New" w:hAnsi="Courier New"/>
          <w:sz w:val="16"/>
          <w:szCs w:val="16"/>
          <w:color w:val="auto"/>
        </w:rPr>
        <w:t>Hazardous Substances.</w:t>
      </w:r>
      <w:r>
        <w:rPr>
          <w:sz w:val="20"/>
          <w:szCs w:val="20"/>
          <w:color w:val="auto"/>
        </w:rPr>
        <w:tab/>
      </w:r>
      <w:r>
        <w:rPr>
          <w:rFonts w:ascii="Courier New" w:cs="Courier New" w:eastAsia="Courier New" w:hAnsi="Courier New"/>
          <w:sz w:val="15"/>
          <w:szCs w:val="15"/>
          <w:color w:val="auto"/>
        </w:rPr>
        <w:t>See Section 6.16(b).</w:t>
      </w:r>
    </w:p>
    <w:p>
      <w:pPr>
        <w:sectPr>
          <w:pgSz w:w="11900" w:h="16838" w:orient="portrait"/>
          <w:cols w:equalWidth="0" w:num="1">
            <w:col w:w="10219"/>
          </w:cols>
          <w:pgMar w:left="240" w:top="298" w:right="1440" w:bottom="1440" w:gutter="0" w:footer="0" w:header="0"/>
        </w:sectPr>
      </w:pPr>
    </w:p>
    <w:bookmarkStart w:id="24" w:name="page25"/>
    <w:bookmarkEnd w:id="24"/>
    <w:p>
      <w:pPr>
        <w:ind w:left="282"/>
        <w:spacing w:after="0"/>
        <w:rPr>
          <w:sz w:val="20"/>
          <w:szCs w:val="20"/>
          <w:color w:val="auto"/>
        </w:rPr>
      </w:pPr>
      <w:r>
        <w:rPr>
          <w:rFonts w:ascii="Courier New" w:cs="Courier New" w:eastAsia="Courier New" w:hAnsi="Courier New"/>
          <w:sz w:val="16"/>
          <w:szCs w:val="16"/>
          <w:color w:val="auto"/>
        </w:rPr>
        <w:t>18</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-9-</w:t>
      </w:r>
    </w:p>
    <w:p>
      <w:pPr>
        <w:spacing w:after="0" w:line="372" w:lineRule="exact"/>
        <w:rPr>
          <w:sz w:val="20"/>
          <w:szCs w:val="20"/>
          <w:color w:val="auto"/>
        </w:rPr>
      </w:pPr>
    </w:p>
    <w:p>
      <w:pPr>
        <w:jc w:val="both"/>
        <w:ind w:left="2" w:right="2879" w:firstLine="382"/>
        <w:spacing w:after="0"/>
        <w:rPr>
          <w:sz w:val="20"/>
          <w:szCs w:val="20"/>
          <w:color w:val="auto"/>
        </w:rPr>
      </w:pPr>
      <w:r>
        <w:rPr>
          <w:rFonts w:ascii="Courier New" w:cs="Courier New" w:eastAsia="Courier New" w:hAnsi="Courier New"/>
          <w:sz w:val="16"/>
          <w:szCs w:val="16"/>
          <w:color w:val="auto"/>
        </w:rPr>
        <w:t>Head Office. The Administrative Agent's head office located in New York, New York, or at such other location as the Administrative Agent may designate from time to time.</w:t>
      </w:r>
    </w:p>
    <w:p>
      <w:pPr>
        <w:spacing w:after="0" w:line="190" w:lineRule="exact"/>
        <w:rPr>
          <w:sz w:val="20"/>
          <w:szCs w:val="20"/>
          <w:color w:val="auto"/>
        </w:rPr>
      </w:pPr>
    </w:p>
    <w:p>
      <w:pPr>
        <w:ind w:left="2" w:right="2679" w:firstLine="382"/>
        <w:spacing w:after="0" w:line="259" w:lineRule="auto"/>
        <w:rPr>
          <w:sz w:val="20"/>
          <w:szCs w:val="20"/>
          <w:color w:val="auto"/>
        </w:rPr>
      </w:pPr>
      <w:r>
        <w:rPr>
          <w:rFonts w:ascii="Courier New" w:cs="Courier New" w:eastAsia="Courier New" w:hAnsi="Courier New"/>
          <w:sz w:val="15"/>
          <w:szCs w:val="15"/>
          <w:color w:val="auto"/>
        </w:rPr>
        <w:t>Indebtedness. Collectively without duplication, whether classified as Indebtedness, an Investment or otherwise on the obligor's balance sheet, (a) all indebtedness for borrowed money, (b) all obligations for the deferred purchased price of property or services (other than trade payables not overdue by more than ninety (90) days incurred in the ordinary course of business),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 referred to in clauses (a) through (f) above which is guaranteed, or in effect guaranteed,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w:t>
      </w:r>
    </w:p>
    <w:p>
      <w:pPr>
        <w:spacing w:after="0" w:line="1" w:lineRule="exact"/>
        <w:rPr>
          <w:sz w:val="20"/>
          <w:szCs w:val="20"/>
          <w:color w:val="auto"/>
        </w:rPr>
      </w:pPr>
    </w:p>
    <w:p>
      <w:pPr>
        <w:ind w:left="2" w:right="2779" w:hanging="2"/>
        <w:spacing w:after="0" w:line="260" w:lineRule="auto"/>
        <w:tabs>
          <w:tab w:leader="none" w:pos="38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 supported by (or for which the holder of such Indebtedness has an existing right, contingent or otherwise, to be secured or supported by) any lien or encumbrance on (or other right of recourse to or against) property (including, without limitation, accounts and contract rights), even though the owner of the property has not assumed or become liable, contractually or otherwise, for the payment of such Indebtedness.</w:t>
      </w:r>
    </w:p>
    <w:p>
      <w:pPr>
        <w:spacing w:after="0" w:line="177"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the last day of the month; (ii) 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it shall be deemed to end on the next preceding Business Day; and provided further that no Interest Period shall extend beyond the Maturity Date.</w:t>
      </w:r>
    </w:p>
    <w:p>
      <w:pPr>
        <w:spacing w:after="0" w:line="194"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Investments. All expenditures made by a Person and all liabilities incurred (contingently or otherwise) by a Person for the acquisition of stock (other than the stock of wholly-owned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w:t>
      </w:r>
    </w:p>
    <w:p>
      <w:pPr>
        <w:sectPr>
          <w:pgSz w:w="11900" w:h="16838" w:orient="portrait"/>
          <w:cols w:equalWidth="0" w:num="1">
            <w:col w:w="10221"/>
          </w:cols>
          <w:pgMar w:left="238" w:top="298" w:right="1440" w:bottom="1440" w:gutter="0" w:footer="0" w:header="0"/>
        </w:sectPr>
      </w:pPr>
    </w:p>
    <w:bookmarkStart w:id="25" w:name="page26"/>
    <w:bookmarkEnd w:id="25"/>
    <w:p>
      <w:pPr>
        <w:ind w:left="282"/>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-10-</w:t>
      </w:r>
    </w:p>
    <w:p>
      <w:pPr>
        <w:spacing w:after="0" w:line="372"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funding of any captive insurance company.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w:t>
      </w:r>
    </w:p>
    <w:p>
      <w:pPr>
        <w:ind w:left="2" w:right="2879" w:hanging="2"/>
        <w:spacing w:after="0" w:line="260" w:lineRule="auto"/>
        <w:tabs>
          <w:tab w:leader="none" w:pos="38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78" w:lineRule="exact"/>
        <w:rPr>
          <w:sz w:val="20"/>
          <w:szCs w:val="20"/>
          <w:color w:val="auto"/>
        </w:rPr>
      </w:pPr>
    </w:p>
    <w:p>
      <w:pPr>
        <w:ind w:left="2" w:right="2679" w:firstLine="382"/>
        <w:spacing w:after="0" w:line="271" w:lineRule="auto"/>
        <w:rPr>
          <w:sz w:val="20"/>
          <w:szCs w:val="20"/>
          <w:color w:val="auto"/>
        </w:rPr>
      </w:pPr>
      <w:r>
        <w:rPr>
          <w:rFonts w:ascii="Courier New" w:cs="Courier New" w:eastAsia="Courier New" w:hAnsi="Courier New"/>
          <w:sz w:val="15"/>
          <w:szCs w:val="15"/>
          <w:color w:val="auto"/>
        </w:rPr>
        <w:t>Issuing Bank. The Bank(s) issuing Letters of Credit which shall be FNBB, MGT, BAI and such other Banks as agreed to by the Borrower and the Bank Agents.</w:t>
      </w:r>
    </w:p>
    <w:p>
      <w:pPr>
        <w:spacing w:after="0" w:line="166"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Letter of Credit Applications. Letter of Credit Applications in such form as may be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85" w:lineRule="exact"/>
        <w:rPr>
          <w:sz w:val="20"/>
          <w:szCs w:val="20"/>
          <w:color w:val="auto"/>
        </w:rPr>
      </w:pPr>
    </w:p>
    <w:p>
      <w:pPr>
        <w:ind w:left="382"/>
        <w:spacing w:after="0"/>
        <w:tabs>
          <w:tab w:leader="none" w:pos="2562" w:val="left"/>
        </w:tabs>
        <w:rPr>
          <w:sz w:val="20"/>
          <w:szCs w:val="20"/>
          <w:color w:val="auto"/>
        </w:rPr>
      </w:pPr>
      <w:r>
        <w:rPr>
          <w:rFonts w:ascii="Courier New" w:cs="Courier New" w:eastAsia="Courier New" w:hAnsi="Courier New"/>
          <w:sz w:val="16"/>
          <w:szCs w:val="16"/>
          <w:color w:val="auto"/>
        </w:rPr>
        <w:t>Letter of Credit Fee.</w:t>
      </w:r>
      <w:r>
        <w:rPr>
          <w:sz w:val="20"/>
          <w:szCs w:val="20"/>
          <w:color w:val="auto"/>
        </w:rPr>
        <w:tab/>
      </w:r>
      <w:r>
        <w:rPr>
          <w:rFonts w:ascii="Courier New" w:cs="Courier New" w:eastAsia="Courier New" w:hAnsi="Courier New"/>
          <w:sz w:val="15"/>
          <w:szCs w:val="15"/>
          <w:color w:val="auto"/>
        </w:rPr>
        <w:t>See Section 3.6.</w:t>
      </w:r>
    </w:p>
    <w:p>
      <w:pPr>
        <w:spacing w:after="0" w:line="188" w:lineRule="exact"/>
        <w:rPr>
          <w:sz w:val="20"/>
          <w:szCs w:val="20"/>
          <w:color w:val="auto"/>
        </w:rPr>
      </w:pPr>
    </w:p>
    <w:p>
      <w:pPr>
        <w:ind w:left="2" w:right="2679" w:firstLine="382"/>
        <w:spacing w:after="0"/>
        <w:rPr>
          <w:sz w:val="20"/>
          <w:szCs w:val="20"/>
          <w:color w:val="auto"/>
        </w:rPr>
      </w:pPr>
      <w:r>
        <w:rPr>
          <w:rFonts w:ascii="Courier New" w:cs="Courier New" w:eastAsia="Courier New" w:hAnsi="Courier New"/>
          <w:sz w:val="16"/>
          <w:szCs w:val="16"/>
          <w:color w:val="auto"/>
        </w:rPr>
        <w:t>Letters of Credit. Standby or direct pay Letters of Credit issued or to be issued by the Issuing Bank under Section 3 hereof for the account of the Borrower.</w:t>
      </w:r>
    </w:p>
    <w:p>
      <w:pPr>
        <w:spacing w:after="0" w:line="187" w:lineRule="exact"/>
        <w:rPr>
          <w:sz w:val="20"/>
          <w:szCs w:val="20"/>
          <w:color w:val="auto"/>
        </w:rPr>
      </w:pPr>
    </w:p>
    <w:p>
      <w:pPr>
        <w:ind w:left="382"/>
        <w:spacing w:after="0"/>
        <w:tabs>
          <w:tab w:leader="none" w:pos="3422" w:val="left"/>
        </w:tabs>
        <w:rPr>
          <w:sz w:val="20"/>
          <w:szCs w:val="20"/>
          <w:color w:val="auto"/>
        </w:rPr>
      </w:pPr>
      <w:r>
        <w:rPr>
          <w:rFonts w:ascii="Courier New" w:cs="Courier New" w:eastAsia="Courier New" w:hAnsi="Courier New"/>
          <w:sz w:val="16"/>
          <w:szCs w:val="16"/>
          <w:color w:val="auto"/>
        </w:rPr>
        <w:t>LIBOR Competitive Bid Loan(s).</w:t>
      </w:r>
      <w:r>
        <w:rPr>
          <w:sz w:val="20"/>
          <w:szCs w:val="20"/>
          <w:color w:val="auto"/>
        </w:rPr>
        <w:tab/>
      </w:r>
      <w:r>
        <w:rPr>
          <w:rFonts w:ascii="Courier New" w:cs="Courier New" w:eastAsia="Courier New" w:hAnsi="Courier New"/>
          <w:sz w:val="15"/>
          <w:szCs w:val="15"/>
          <w:color w:val="auto"/>
        </w:rPr>
        <w:t>See Section 4.3(a).</w:t>
      </w:r>
    </w:p>
    <w:p>
      <w:pPr>
        <w:spacing w:after="0" w:line="188"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ectPr>
          <w:pgSz w:w="11900" w:h="16838" w:orient="portrait"/>
          <w:cols w:equalWidth="0" w:num="1">
            <w:col w:w="10221"/>
          </w:cols>
          <w:pgMar w:left="238" w:top="298"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20</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55"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Loan Documents. This Agreement, the Notes, the Letter of Credit Applications, the Letters of Credit, and any documents, instruments or agreements executed in connection with any of the foregoing, each as amended, modified, supplemented, or replaced from time to time.</w:t>
      </w:r>
    </w:p>
    <w:p>
      <w:pPr>
        <w:spacing w:after="0" w:line="189" w:lineRule="exact"/>
        <w:rPr>
          <w:sz w:val="20"/>
          <w:szCs w:val="20"/>
          <w:color w:val="auto"/>
        </w:rPr>
      </w:pPr>
    </w:p>
    <w:p>
      <w:pPr>
        <w:ind w:right="2879" w:firstLine="382"/>
        <w:spacing w:after="0"/>
        <w:rPr>
          <w:sz w:val="20"/>
          <w:szCs w:val="20"/>
          <w:color w:val="auto"/>
        </w:rPr>
      </w:pPr>
      <w:r>
        <w:rPr>
          <w:rFonts w:ascii="Courier New" w:cs="Courier New" w:eastAsia="Courier New" w:hAnsi="Courier New"/>
          <w:sz w:val="16"/>
          <w:szCs w:val="16"/>
          <w:color w:val="auto"/>
        </w:rPr>
        <w:t>Loans. Collectively, the Syndicated Loans to be made by the Banks to the Borrower pursuant to Section 2 and the Competitive Bid Loans made by Banks selected pursuant to Section 4.</w:t>
      </w:r>
    </w:p>
    <w:p>
      <w:pPr>
        <w:spacing w:after="0" w:line="190"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Majority Banks. The Banks holding fifty-one percent (51%) of the outstanding principal amount of the Syndicated Loans on such date; or to the extent no Syndicated Loans are outstanding, the Banks with fifty-one percent (51%) of the Total Commitment; provided that in the event that the Total Commitment has been terminated by the Banks and no Syndicated Loans or Letters of Credit are outstanding, the Majority Banks shall be the Banks holding fifty-one percent (51%) of the outstanding principal amount of the Competitive Bid Loans on such date.</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Material Subsidiary. Any Subsidiary which, at the time such determination is made, (a) has assets, revenues, or liabilities equal to at least $8,000,000, or (b) is the holder of or the applicant for a permit to operate a solid waste facility pursuant to RCRA or any analogous state law.</w:t>
      </w:r>
    </w:p>
    <w:p>
      <w:pPr>
        <w:spacing w:after="0" w:line="186" w:lineRule="exact"/>
        <w:rPr>
          <w:sz w:val="20"/>
          <w:szCs w:val="20"/>
          <w:color w:val="auto"/>
        </w:rPr>
      </w:pPr>
    </w:p>
    <w:p>
      <w:pPr>
        <w:ind w:left="380"/>
        <w:spacing w:after="0"/>
        <w:tabs>
          <w:tab w:leader="none" w:pos="1880" w:val="left"/>
        </w:tabs>
        <w:rPr>
          <w:sz w:val="20"/>
          <w:szCs w:val="20"/>
          <w:color w:val="auto"/>
        </w:rPr>
      </w:pPr>
      <w:r>
        <w:rPr>
          <w:rFonts w:ascii="Courier New" w:cs="Courier New" w:eastAsia="Courier New" w:hAnsi="Courier New"/>
          <w:sz w:val="16"/>
          <w:szCs w:val="16"/>
          <w:color w:val="auto"/>
        </w:rPr>
        <w:t>Maturity Date.</w:t>
      </w:r>
      <w:r>
        <w:rPr>
          <w:sz w:val="20"/>
          <w:szCs w:val="20"/>
          <w:color w:val="auto"/>
        </w:rPr>
        <w:tab/>
      </w:r>
      <w:r>
        <w:rPr>
          <w:rFonts w:ascii="Courier New" w:cs="Courier New" w:eastAsia="Courier New" w:hAnsi="Courier New"/>
          <w:sz w:val="15"/>
          <w:szCs w:val="15"/>
          <w:color w:val="auto"/>
        </w:rPr>
        <w:t>May 7, 2001.</w:t>
      </w:r>
    </w:p>
    <w:p>
      <w:pPr>
        <w:spacing w:after="0" w:line="188" w:lineRule="exact"/>
        <w:rPr>
          <w:sz w:val="20"/>
          <w:szCs w:val="20"/>
          <w:color w:val="auto"/>
        </w:rPr>
      </w:pPr>
    </w:p>
    <w:p>
      <w:pPr>
        <w:ind w:right="3059" w:firstLine="382"/>
        <w:spacing w:after="0" w:line="239" w:lineRule="auto"/>
        <w:rPr>
          <w:sz w:val="20"/>
          <w:szCs w:val="20"/>
          <w:color w:val="auto"/>
        </w:rPr>
      </w:pPr>
      <w:r>
        <w:rPr>
          <w:rFonts w:ascii="Courier New" w:cs="Courier New" w:eastAsia="Courier New" w:hAnsi="Courier New"/>
          <w:sz w:val="16"/>
          <w:szCs w:val="16"/>
          <w:color w:val="auto"/>
        </w:rPr>
        <w:t>Maximum Drawing Amount. The maximum aggregate amount from time to time that the beneficiaries may draw under outstanding Letters of Credit.</w:t>
      </w:r>
    </w:p>
    <w:p>
      <w:pPr>
        <w:spacing w:after="0" w:line="186" w:lineRule="exact"/>
        <w:rPr>
          <w:sz w:val="20"/>
          <w:szCs w:val="20"/>
          <w:color w:val="auto"/>
        </w:rPr>
      </w:pPr>
    </w:p>
    <w:p>
      <w:pPr>
        <w:ind w:left="380"/>
        <w:spacing w:after="0"/>
        <w:tabs>
          <w:tab w:leader="none" w:pos="1320" w:val="left"/>
        </w:tabs>
        <w:rPr>
          <w:sz w:val="20"/>
          <w:szCs w:val="20"/>
          <w:color w:val="auto"/>
        </w:rPr>
      </w:pPr>
      <w:r>
        <w:rPr>
          <w:rFonts w:ascii="Courier New" w:cs="Courier New" w:eastAsia="Courier New" w:hAnsi="Courier New"/>
          <w:sz w:val="16"/>
          <w:szCs w:val="16"/>
          <w:color w:val="auto"/>
        </w:rPr>
        <w:t>Moody's.</w:t>
        <w:tab/>
        <w:t>Moody's Investors Service, Inc.</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Multiemployer Plan. Any multiemployer plan within the meaning of Section 3(37) of ERISA maintained or contributed to by the Borrower, any Subsidiary, or any ERISA Affiliate.</w:t>
      </w:r>
    </w:p>
    <w:p>
      <w:pPr>
        <w:spacing w:after="0" w:line="187" w:lineRule="exact"/>
        <w:rPr>
          <w:sz w:val="20"/>
          <w:szCs w:val="20"/>
          <w:color w:val="auto"/>
        </w:rPr>
      </w:pPr>
    </w:p>
    <w:p>
      <w:pPr>
        <w:ind w:left="380"/>
        <w:spacing w:after="0"/>
        <w:tabs>
          <w:tab w:leader="none" w:pos="2360" w:val="left"/>
        </w:tabs>
        <w:rPr>
          <w:sz w:val="20"/>
          <w:szCs w:val="20"/>
          <w:color w:val="auto"/>
        </w:rPr>
      </w:pPr>
      <w:r>
        <w:rPr>
          <w:rFonts w:ascii="Courier New" w:cs="Courier New" w:eastAsia="Courier New" w:hAnsi="Courier New"/>
          <w:sz w:val="16"/>
          <w:szCs w:val="16"/>
          <w:color w:val="auto"/>
        </w:rPr>
        <w:t>New Lending Office.</w:t>
      </w:r>
      <w:r>
        <w:rPr>
          <w:sz w:val="20"/>
          <w:szCs w:val="20"/>
          <w:color w:val="auto"/>
        </w:rPr>
        <w:tab/>
      </w:r>
      <w:r>
        <w:rPr>
          <w:rFonts w:ascii="Courier New" w:cs="Courier New" w:eastAsia="Courier New" w:hAnsi="Courier New"/>
          <w:sz w:val="15"/>
          <w:szCs w:val="15"/>
          <w:color w:val="auto"/>
        </w:rPr>
        <w:t>See Section 5.1(d).</w:t>
      </w:r>
    </w:p>
    <w:p>
      <w:pPr>
        <w:sectPr>
          <w:pgSz w:w="11900" w:h="16838" w:orient="portrait"/>
          <w:cols w:equalWidth="0" w:num="1">
            <w:col w:w="10219"/>
          </w:cols>
          <w:pgMar w:left="240" w:top="298"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21</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pacing w:after="0" w:line="369" w:lineRule="exact"/>
        <w:rPr>
          <w:sz w:val="20"/>
          <w:szCs w:val="20"/>
          <w:color w:val="auto"/>
        </w:rPr>
      </w:pPr>
    </w:p>
    <w:p>
      <w:pPr>
        <w:ind w:left="380"/>
        <w:spacing w:after="0"/>
        <w:tabs>
          <w:tab w:leader="none" w:pos="1880" w:val="left"/>
        </w:tabs>
        <w:rPr>
          <w:sz w:val="20"/>
          <w:szCs w:val="20"/>
          <w:color w:val="auto"/>
        </w:rPr>
      </w:pPr>
      <w:r>
        <w:rPr>
          <w:rFonts w:ascii="Courier New" w:cs="Courier New" w:eastAsia="Courier New" w:hAnsi="Courier New"/>
          <w:sz w:val="16"/>
          <w:szCs w:val="16"/>
          <w:color w:val="auto"/>
        </w:rPr>
        <w:t>Non-U.S. Bank.</w:t>
      </w:r>
      <w:r>
        <w:rPr>
          <w:sz w:val="20"/>
          <w:szCs w:val="20"/>
          <w:color w:val="auto"/>
        </w:rPr>
        <w:tab/>
      </w:r>
      <w:r>
        <w:rPr>
          <w:rFonts w:ascii="Courier New" w:cs="Courier New" w:eastAsia="Courier New" w:hAnsi="Courier New"/>
          <w:sz w:val="15"/>
          <w:szCs w:val="15"/>
          <w:color w:val="auto"/>
        </w:rPr>
        <w:t>See Section 5.1(c).</w:t>
      </w:r>
    </w:p>
    <w:p>
      <w:pPr>
        <w:spacing w:after="0" w:line="186" w:lineRule="exact"/>
        <w:rPr>
          <w:sz w:val="20"/>
          <w:szCs w:val="20"/>
          <w:color w:val="auto"/>
        </w:rPr>
      </w:pPr>
    </w:p>
    <w:p>
      <w:pPr>
        <w:ind w:left="380"/>
        <w:spacing w:after="0"/>
        <w:tabs>
          <w:tab w:leader="none" w:pos="112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5"/>
          <w:szCs w:val="15"/>
          <w:color w:val="auto"/>
        </w:rPr>
        <w:t>The Competitive Bid Notes and the Syndicated Notes.</w:t>
      </w:r>
    </w:p>
    <w:p>
      <w:pPr>
        <w:spacing w:after="0" w:line="188" w:lineRule="exact"/>
        <w:rPr>
          <w:sz w:val="20"/>
          <w:szCs w:val="20"/>
          <w:color w:val="auto"/>
        </w:rPr>
      </w:pPr>
    </w:p>
    <w:p>
      <w:pPr>
        <w:ind w:right="3340" w:firstLine="382"/>
        <w:spacing w:after="0" w:line="242" w:lineRule="auto"/>
        <w:rPr>
          <w:sz w:val="20"/>
          <w:szCs w:val="20"/>
          <w:color w:val="auto"/>
        </w:rPr>
      </w:pPr>
      <w:r>
        <w:rPr>
          <w:rFonts w:ascii="Courier New" w:cs="Courier New" w:eastAsia="Courier New" w:hAnsi="Courier New"/>
          <w:sz w:val="16"/>
          <w:szCs w:val="16"/>
          <w:color w:val="auto"/>
        </w:rPr>
        <w:t>Obligations. All indebtedness, obligations and liabilities of the Borrower to any of the Banks and the Bank Agents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89" w:lineRule="exact"/>
        <w:rPr>
          <w:sz w:val="20"/>
          <w:szCs w:val="20"/>
          <w:color w:val="auto"/>
        </w:rPr>
      </w:pPr>
    </w:p>
    <w:p>
      <w:pPr>
        <w:ind w:right="3640" w:firstLine="382"/>
        <w:spacing w:after="0"/>
        <w:rPr>
          <w:sz w:val="20"/>
          <w:szCs w:val="20"/>
          <w:color w:val="auto"/>
        </w:rPr>
      </w:pPr>
      <w:r>
        <w:rPr>
          <w:rFonts w:ascii="Courier New" w:cs="Courier New" w:eastAsia="Courier New" w:hAnsi="Courier New"/>
          <w:sz w:val="16"/>
          <w:szCs w:val="16"/>
          <w:color w:val="auto"/>
        </w:rPr>
        <w:t>Overnight Federal Funds Effective Rate. The overnight federal funds effective rate as published by the Board of Governors of the Federal Reserve System, as in effect from time to time.</w:t>
      </w:r>
    </w:p>
    <w:p>
      <w:pPr>
        <w:spacing w:after="0" w:line="190" w:lineRule="exact"/>
        <w:rPr>
          <w:sz w:val="20"/>
          <w:szCs w:val="20"/>
          <w:color w:val="auto"/>
        </w:rPr>
      </w:pPr>
    </w:p>
    <w:p>
      <w:pPr>
        <w:ind w:right="3440" w:firstLine="382"/>
        <w:spacing w:after="0" w:line="239" w:lineRule="auto"/>
        <w:rPr>
          <w:sz w:val="20"/>
          <w:szCs w:val="20"/>
          <w:color w:val="auto"/>
        </w:rPr>
      </w:pPr>
      <w:r>
        <w:rPr>
          <w:rFonts w:ascii="Courier New" w:cs="Courier New" w:eastAsia="Courier New" w:hAnsi="Courier New"/>
          <w:sz w:val="16"/>
          <w:szCs w:val="16"/>
          <w:color w:val="auto"/>
        </w:rPr>
        <w:t>PBGC. The Pension Benefit Guaranty Corporation created by Section 4002 of ERISA and any successor entity or entities having similar responsibilities.</w:t>
      </w:r>
    </w:p>
    <w:p>
      <w:pPr>
        <w:spacing w:after="0" w:line="186" w:lineRule="exact"/>
        <w:rPr>
          <w:sz w:val="20"/>
          <w:szCs w:val="20"/>
          <w:color w:val="auto"/>
        </w:rPr>
      </w:pPr>
    </w:p>
    <w:p>
      <w:pPr>
        <w:ind w:left="380"/>
        <w:spacing w:after="0"/>
        <w:tabs>
          <w:tab w:leader="none" w:pos="2080" w:val="left"/>
        </w:tabs>
        <w:rPr>
          <w:sz w:val="20"/>
          <w:szCs w:val="20"/>
          <w:color w:val="auto"/>
        </w:rPr>
      </w:pPr>
      <w:r>
        <w:rPr>
          <w:rFonts w:ascii="Courier New" w:cs="Courier New" w:eastAsia="Courier New" w:hAnsi="Courier New"/>
          <w:sz w:val="16"/>
          <w:szCs w:val="16"/>
          <w:color w:val="auto"/>
        </w:rPr>
        <w:t>Permitted Liens.</w:t>
      </w:r>
      <w:r>
        <w:rPr>
          <w:sz w:val="20"/>
          <w:szCs w:val="20"/>
          <w:color w:val="auto"/>
        </w:rPr>
        <w:tab/>
      </w:r>
      <w:r>
        <w:rPr>
          <w:rFonts w:ascii="Courier New" w:cs="Courier New" w:eastAsia="Courier New" w:hAnsi="Courier New"/>
          <w:sz w:val="15"/>
          <w:szCs w:val="15"/>
          <w:color w:val="auto"/>
        </w:rPr>
        <w:t>See Section 8.2.</w:t>
      </w:r>
    </w:p>
    <w:p>
      <w:pPr>
        <w:spacing w:after="0" w:line="188" w:lineRule="exact"/>
        <w:rPr>
          <w:sz w:val="20"/>
          <w:szCs w:val="20"/>
          <w:color w:val="auto"/>
        </w:rPr>
      </w:pPr>
    </w:p>
    <w:p>
      <w:pPr>
        <w:ind w:right="3340" w:firstLine="382"/>
        <w:spacing w:after="0" w:line="265" w:lineRule="auto"/>
        <w:rPr>
          <w:sz w:val="20"/>
          <w:szCs w:val="20"/>
          <w:color w:val="auto"/>
        </w:rPr>
      </w:pPr>
      <w:r>
        <w:rPr>
          <w:rFonts w:ascii="Courier New" w:cs="Courier New" w:eastAsia="Courier New" w:hAnsi="Courier New"/>
          <w:sz w:val="15"/>
          <w:szCs w:val="15"/>
          <w:color w:val="auto"/>
        </w:rPr>
        <w:t>Person. Any individual, corporation, partnership, limited liability company, trust, unincorporated association, business, or other legal entity, and any government or any governmental agency or political subdivision thereof.</w:t>
      </w:r>
    </w:p>
    <w:p>
      <w:pPr>
        <w:spacing w:after="0" w:line="16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Pricing Table: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5240"/>
        <w:spacing w:after="0"/>
        <w:tabs>
          <w:tab w:leader="none" w:pos="8840" w:val="left"/>
        </w:tabs>
        <w:rPr>
          <w:sz w:val="20"/>
          <w:szCs w:val="20"/>
          <w:color w:val="auto"/>
        </w:rPr>
      </w:pPr>
      <w:r>
        <w:rPr>
          <w:rFonts w:ascii="Courier New" w:cs="Courier New" w:eastAsia="Courier New" w:hAnsi="Courier New"/>
          <w:sz w:val="16"/>
          <w:szCs w:val="16"/>
          <w:color w:val="auto"/>
        </w:rPr>
        <w:t>Applicable</w:t>
      </w:r>
      <w:r>
        <w:rPr>
          <w:sz w:val="20"/>
          <w:szCs w:val="20"/>
          <w:color w:val="auto"/>
        </w:rPr>
        <w:tab/>
      </w:r>
      <w:r>
        <w:rPr>
          <w:rFonts w:ascii="Courier New" w:cs="Courier New" w:eastAsia="Courier New" w:hAnsi="Courier New"/>
          <w:sz w:val="16"/>
          <w:szCs w:val="16"/>
          <w:color w:val="auto"/>
        </w:rPr>
        <w:t>Applicable</w:t>
      </w:r>
    </w:p>
    <w:p>
      <w:pPr>
        <w:spacing w:after="0" w:line="2" w:lineRule="exact"/>
        <w:rPr>
          <w:sz w:val="20"/>
          <w:szCs w:val="20"/>
          <w:color w:val="auto"/>
        </w:rPr>
      </w:pPr>
    </w:p>
    <w:p>
      <w:pPr>
        <w:ind w:left="2200"/>
        <w:spacing w:after="0"/>
        <w:tabs>
          <w:tab w:leader="none" w:pos="5040" w:val="left"/>
          <w:tab w:leader="none" w:pos="7040" w:val="left"/>
          <w:tab w:leader="none" w:pos="8840" w:val="left"/>
        </w:tabs>
        <w:rPr>
          <w:sz w:val="20"/>
          <w:szCs w:val="20"/>
          <w:color w:val="auto"/>
        </w:rPr>
      </w:pPr>
      <w:r>
        <w:rPr>
          <w:rFonts w:ascii="Courier New" w:cs="Courier New" w:eastAsia="Courier New" w:hAnsi="Courier New"/>
          <w:sz w:val="16"/>
          <w:szCs w:val="16"/>
          <w:color w:val="auto"/>
        </w:rPr>
        <w:t>Senior Public</w:t>
      </w:r>
      <w:r>
        <w:rPr>
          <w:sz w:val="20"/>
          <w:szCs w:val="20"/>
          <w:color w:val="auto"/>
        </w:rPr>
        <w:tab/>
      </w:r>
      <w:r>
        <w:rPr>
          <w:rFonts w:ascii="Courier New" w:cs="Courier New" w:eastAsia="Courier New" w:hAnsi="Courier New"/>
          <w:sz w:val="16"/>
          <w:szCs w:val="16"/>
          <w:color w:val="auto"/>
        </w:rPr>
        <w:t>Facility Rate</w:t>
      </w:r>
      <w:r>
        <w:rPr>
          <w:sz w:val="20"/>
          <w:szCs w:val="20"/>
          <w:color w:val="auto"/>
        </w:rPr>
        <w:tab/>
      </w:r>
      <w:r>
        <w:rPr>
          <w:rFonts w:ascii="Courier New" w:cs="Courier New" w:eastAsia="Courier New" w:hAnsi="Courier New"/>
          <w:sz w:val="16"/>
          <w:szCs w:val="16"/>
          <w:color w:val="auto"/>
        </w:rPr>
        <w:t>Applicable</w:t>
      </w:r>
      <w:r>
        <w:rPr>
          <w:sz w:val="20"/>
          <w:szCs w:val="20"/>
          <w:color w:val="auto"/>
        </w:rPr>
        <w:tab/>
      </w:r>
      <w:r>
        <w:rPr>
          <w:rFonts w:ascii="Courier New" w:cs="Courier New" w:eastAsia="Courier New" w:hAnsi="Courier New"/>
          <w:sz w:val="16"/>
          <w:szCs w:val="16"/>
          <w:color w:val="auto"/>
        </w:rPr>
        <w:t>Eurodollar</w:t>
      </w:r>
    </w:p>
    <w:p>
      <w:pPr>
        <w:spacing w:after="0" w:line="5" w:lineRule="exact"/>
        <w:rPr>
          <w:sz w:val="20"/>
          <w:szCs w:val="20"/>
          <w:color w:val="auto"/>
        </w:rPr>
      </w:pPr>
    </w:p>
    <w:p>
      <w:pPr>
        <w:ind w:left="100"/>
        <w:spacing w:after="0"/>
        <w:tabs>
          <w:tab w:leader="none" w:pos="2260" w:val="left"/>
          <w:tab w:leader="none" w:pos="7140" w:val="left"/>
          <w:tab w:leader="none" w:pos="9140" w:val="left"/>
        </w:tabs>
        <w:rPr>
          <w:sz w:val="20"/>
          <w:szCs w:val="20"/>
          <w:color w:val="auto"/>
        </w:rPr>
      </w:pPr>
      <w:r>
        <w:rPr>
          <w:rFonts w:ascii="Courier New" w:cs="Courier New" w:eastAsia="Courier New" w:hAnsi="Courier New"/>
          <w:sz w:val="16"/>
          <w:szCs w:val="16"/>
          <w:color w:val="auto"/>
        </w:rPr>
        <w:t>Level</w:t>
      </w:r>
      <w:r>
        <w:rPr>
          <w:sz w:val="20"/>
          <w:szCs w:val="20"/>
          <w:color w:val="auto"/>
        </w:rPr>
        <w:tab/>
      </w:r>
      <w:r>
        <w:rPr>
          <w:rFonts w:ascii="Courier New" w:cs="Courier New" w:eastAsia="Courier New" w:hAnsi="Courier New"/>
          <w:sz w:val="16"/>
          <w:szCs w:val="16"/>
          <w:color w:val="auto"/>
        </w:rPr>
        <w:t>Debt Rating</w:t>
      </w:r>
      <w:r>
        <w:rPr>
          <w:sz w:val="20"/>
          <w:szCs w:val="20"/>
          <w:color w:val="auto"/>
        </w:rPr>
        <w:tab/>
      </w:r>
      <w:r>
        <w:rPr>
          <w:rFonts w:ascii="Courier New" w:cs="Courier New" w:eastAsia="Courier New" w:hAnsi="Courier New"/>
          <w:sz w:val="16"/>
          <w:szCs w:val="16"/>
          <w:color w:val="auto"/>
        </w:rPr>
        <w:t>L/C Rate</w:t>
      </w:r>
      <w:r>
        <w:rPr>
          <w:sz w:val="20"/>
          <w:szCs w:val="20"/>
          <w:color w:val="auto"/>
        </w:rPr>
        <w:tab/>
      </w:r>
      <w:r>
        <w:rPr>
          <w:rFonts w:ascii="Courier New" w:cs="Courier New" w:eastAsia="Courier New" w:hAnsi="Courier New"/>
          <w:sz w:val="15"/>
          <w:szCs w:val="15"/>
          <w:color w:val="auto"/>
        </w:rPr>
        <w:t>Rate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280"/>
        <w:spacing w:after="0"/>
        <w:tabs>
          <w:tab w:leader="none" w:pos="1020" w:val="left"/>
          <w:tab w:leader="none" w:pos="2460" w:val="left"/>
          <w:tab w:leader="none" w:pos="5420" w:val="left"/>
          <w:tab w:leader="none" w:pos="7220" w:val="left"/>
          <w:tab w:leader="none" w:pos="85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At least BBB+</w:t>
        <w:tab/>
        <w:t>by Standard &amp; Poor's or</w:t>
      </w:r>
      <w:r>
        <w:rPr>
          <w:sz w:val="20"/>
          <w:szCs w:val="20"/>
          <w:color w:val="auto"/>
        </w:rPr>
        <w:tab/>
      </w:r>
      <w:r>
        <w:rPr>
          <w:rFonts w:ascii="Courier New" w:cs="Courier New" w:eastAsia="Courier New" w:hAnsi="Courier New"/>
          <w:sz w:val="16"/>
          <w:szCs w:val="16"/>
          <w:color w:val="auto"/>
        </w:rPr>
        <w:t>0.1250%</w:t>
      </w:r>
      <w:r>
        <w:rPr>
          <w:sz w:val="20"/>
          <w:szCs w:val="20"/>
          <w:color w:val="auto"/>
        </w:rPr>
        <w:tab/>
      </w:r>
      <w:r>
        <w:rPr>
          <w:rFonts w:ascii="Courier New" w:cs="Courier New" w:eastAsia="Courier New" w:hAnsi="Courier New"/>
          <w:sz w:val="16"/>
          <w:szCs w:val="16"/>
          <w:color w:val="auto"/>
        </w:rPr>
        <w:t>0.2500%</w:t>
      </w:r>
      <w:r>
        <w:rPr>
          <w:sz w:val="20"/>
          <w:szCs w:val="20"/>
          <w:color w:val="auto"/>
        </w:rPr>
        <w:tab/>
      </w:r>
      <w:r>
        <w:rPr>
          <w:rFonts w:ascii="Courier New" w:cs="Courier New" w:eastAsia="Courier New" w:hAnsi="Courier New"/>
          <w:sz w:val="15"/>
          <w:szCs w:val="15"/>
          <w:color w:val="auto"/>
        </w:rPr>
        <w:t>Eurodollar Rate</w:t>
      </w:r>
    </w:p>
    <w:p>
      <w:pPr>
        <w:spacing w:after="0" w:line="2" w:lineRule="exact"/>
        <w:rPr>
          <w:sz w:val="20"/>
          <w:szCs w:val="20"/>
          <w:color w:val="auto"/>
        </w:rPr>
      </w:pPr>
    </w:p>
    <w:p>
      <w:pPr>
        <w:ind w:left="1040"/>
        <w:spacing w:after="0"/>
        <w:tabs>
          <w:tab w:leader="none" w:pos="5220" w:val="left"/>
          <w:tab w:leader="none" w:pos="7140" w:val="left"/>
          <w:tab w:leader="none" w:pos="8660" w:val="left"/>
        </w:tabs>
        <w:rPr>
          <w:sz w:val="20"/>
          <w:szCs w:val="20"/>
          <w:color w:val="auto"/>
        </w:rPr>
      </w:pPr>
      <w:r>
        <w:rPr>
          <w:rFonts w:ascii="Courier New" w:cs="Courier New" w:eastAsia="Courier New" w:hAnsi="Courier New"/>
          <w:sz w:val="16"/>
          <w:szCs w:val="16"/>
          <w:color w:val="auto"/>
        </w:rPr>
        <w:t>at least Baa1 by Moody's</w:t>
      </w:r>
      <w:r>
        <w:rPr>
          <w:sz w:val="20"/>
          <w:szCs w:val="20"/>
          <w:color w:val="auto"/>
        </w:rPr>
        <w:tab/>
      </w:r>
      <w:r>
        <w:rPr>
          <w:rFonts w:ascii="Courier New" w:cs="Courier New" w:eastAsia="Courier New" w:hAnsi="Courier New"/>
          <w:sz w:val="16"/>
          <w:szCs w:val="16"/>
          <w:color w:val="auto"/>
        </w:rPr>
        <w:t>per annum</w:t>
      </w:r>
      <w:r>
        <w:rPr>
          <w:sz w:val="20"/>
          <w:szCs w:val="20"/>
          <w:color w:val="auto"/>
        </w:rPr>
        <w:tab/>
      </w:r>
      <w:r>
        <w:rPr>
          <w:rFonts w:ascii="Courier New" w:cs="Courier New" w:eastAsia="Courier New" w:hAnsi="Courier New"/>
          <w:sz w:val="16"/>
          <w:szCs w:val="16"/>
          <w:color w:val="auto"/>
        </w:rPr>
        <w:t>per annum</w:t>
      </w:r>
      <w:r>
        <w:rPr>
          <w:sz w:val="20"/>
          <w:szCs w:val="20"/>
          <w:color w:val="auto"/>
        </w:rPr>
        <w:tab/>
      </w:r>
      <w:r>
        <w:rPr>
          <w:rFonts w:ascii="Courier New" w:cs="Courier New" w:eastAsia="Courier New" w:hAnsi="Courier New"/>
          <w:sz w:val="15"/>
          <w:szCs w:val="15"/>
          <w:color w:val="auto"/>
        </w:rPr>
        <w:t>plus 0.2500%</w:t>
      </w:r>
    </w:p>
    <w:p>
      <w:pPr>
        <w:spacing w:after="0" w:line="2" w:lineRule="exact"/>
        <w:rPr>
          <w:sz w:val="20"/>
          <w:szCs w:val="20"/>
          <w:color w:val="auto"/>
        </w:rPr>
      </w:pPr>
    </w:p>
    <w:p>
      <w:pPr>
        <w:ind w:left="8860"/>
        <w:spacing w:after="0"/>
        <w:rPr>
          <w:sz w:val="20"/>
          <w:szCs w:val="20"/>
          <w:color w:val="auto"/>
        </w:rPr>
      </w:pPr>
      <w:r>
        <w:rPr>
          <w:rFonts w:ascii="Courier New" w:cs="Courier New" w:eastAsia="Courier New" w:hAnsi="Courier New"/>
          <w:sz w:val="16"/>
          <w:szCs w:val="16"/>
          <w:color w:val="auto"/>
        </w:rPr>
        <w:t>per annum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880"/>
          </w:cols>
          <w:pgMar w:left="240" w:top="298" w:right="779"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4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2"/>
              </w:rPr>
              <w:t>2</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At</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least</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BBB  by</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Standard &amp;  Poor's or</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0.1500%</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0.3000%</w:t>
            </w:r>
          </w:p>
        </w:tc>
        <w:tc>
          <w:tcPr>
            <w:tcW w:w="172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Eurodollar Rate</w:t>
            </w:r>
          </w:p>
        </w:tc>
      </w:tr>
      <w:tr>
        <w:trPr>
          <w:trHeight w:val="183"/>
        </w:trPr>
        <w:tc>
          <w:tcPr>
            <w:tcW w:w="440" w:type="dxa"/>
            <w:vAlign w:val="bottom"/>
          </w:tcPr>
          <w:p>
            <w:pPr>
              <w:spacing w:after="0"/>
              <w:rPr>
                <w:sz w:val="15"/>
                <w:szCs w:val="15"/>
                <w:color w:val="auto"/>
              </w:rPr>
            </w:pP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at</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least</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Baa2 by</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Moody's</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per annum</w:t>
            </w:r>
          </w:p>
        </w:tc>
        <w:tc>
          <w:tcPr>
            <w:tcW w:w="16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per annum</w:t>
            </w:r>
          </w:p>
        </w:tc>
        <w:tc>
          <w:tcPr>
            <w:tcW w:w="1720" w:type="dxa"/>
            <w:vAlign w:val="bottom"/>
          </w:tcPr>
          <w:p>
            <w:pPr>
              <w:ind w:left="380"/>
              <w:spacing w:after="0"/>
              <w:rPr>
                <w:sz w:val="20"/>
                <w:szCs w:val="20"/>
                <w:color w:val="auto"/>
              </w:rPr>
            </w:pPr>
            <w:r>
              <w:rPr>
                <w:rFonts w:ascii="Courier New" w:cs="Courier New" w:eastAsia="Courier New" w:hAnsi="Courier New"/>
                <w:sz w:val="16"/>
                <w:szCs w:val="16"/>
                <w:color w:val="auto"/>
              </w:rPr>
              <w:t>plus 0.3000%</w:t>
            </w:r>
          </w:p>
        </w:tc>
      </w:tr>
      <w:tr>
        <w:trPr>
          <w:trHeight w:val="183"/>
        </w:trPr>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9"/>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4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2"/>
              </w:rPr>
              <w:t>3</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At</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least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BBB-</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Standard &amp; Poor's and</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0.1875%</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0.3625%</w:t>
            </w:r>
          </w:p>
        </w:tc>
        <w:tc>
          <w:tcPr>
            <w:tcW w:w="172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Eurodollar Rate</w:t>
            </w:r>
          </w:p>
        </w:tc>
      </w:tr>
      <w:tr>
        <w:trPr>
          <w:trHeight w:val="183"/>
        </w:trPr>
        <w:tc>
          <w:tcPr>
            <w:tcW w:w="440" w:type="dxa"/>
            <w:vAlign w:val="bottom"/>
          </w:tcPr>
          <w:p>
            <w:pPr>
              <w:spacing w:after="0"/>
              <w:rPr>
                <w:sz w:val="15"/>
                <w:szCs w:val="15"/>
                <w:color w:val="auto"/>
              </w:rPr>
            </w:pP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at</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least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Baa3</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Moody's</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per annum</w:t>
            </w:r>
          </w:p>
        </w:tc>
        <w:tc>
          <w:tcPr>
            <w:tcW w:w="16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per annum</w:t>
            </w:r>
          </w:p>
        </w:tc>
        <w:tc>
          <w:tcPr>
            <w:tcW w:w="1720" w:type="dxa"/>
            <w:vAlign w:val="bottom"/>
          </w:tcPr>
          <w:p>
            <w:pPr>
              <w:ind w:left="380"/>
              <w:spacing w:after="0"/>
              <w:rPr>
                <w:sz w:val="20"/>
                <w:szCs w:val="20"/>
                <w:color w:val="auto"/>
              </w:rPr>
            </w:pPr>
            <w:r>
              <w:rPr>
                <w:rFonts w:ascii="Courier New" w:cs="Courier New" w:eastAsia="Courier New" w:hAnsi="Courier New"/>
                <w:sz w:val="16"/>
                <w:szCs w:val="16"/>
                <w:color w:val="auto"/>
              </w:rPr>
              <w:t>plus 0.3625%</w:t>
            </w:r>
          </w:p>
        </w:tc>
      </w:tr>
      <w:tr>
        <w:trPr>
          <w:trHeight w:val="183"/>
        </w:trPr>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9"/>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4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2"/>
              </w:rPr>
              <w:t>4</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At</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least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BBB-</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Standard  &amp; Poor's or</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0.2200%</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0.4050%</w:t>
            </w:r>
          </w:p>
        </w:tc>
        <w:tc>
          <w:tcPr>
            <w:tcW w:w="172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Eurodollar Rate</w:t>
            </w:r>
          </w:p>
        </w:tc>
      </w:tr>
      <w:tr>
        <w:trPr>
          <w:trHeight w:val="183"/>
        </w:trPr>
        <w:tc>
          <w:tcPr>
            <w:tcW w:w="440" w:type="dxa"/>
            <w:vAlign w:val="bottom"/>
          </w:tcPr>
          <w:p>
            <w:pPr>
              <w:spacing w:after="0"/>
              <w:rPr>
                <w:sz w:val="15"/>
                <w:szCs w:val="15"/>
                <w:color w:val="auto"/>
              </w:rPr>
            </w:pP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at</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least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Baa3</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Moody's</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per annum</w:t>
            </w:r>
          </w:p>
        </w:tc>
        <w:tc>
          <w:tcPr>
            <w:tcW w:w="16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per annum</w:t>
            </w:r>
          </w:p>
        </w:tc>
        <w:tc>
          <w:tcPr>
            <w:tcW w:w="1720" w:type="dxa"/>
            <w:vAlign w:val="bottom"/>
          </w:tcPr>
          <w:p>
            <w:pPr>
              <w:ind w:left="380"/>
              <w:spacing w:after="0"/>
              <w:rPr>
                <w:sz w:val="20"/>
                <w:szCs w:val="20"/>
                <w:color w:val="auto"/>
              </w:rPr>
            </w:pPr>
            <w:r>
              <w:rPr>
                <w:rFonts w:ascii="Courier New" w:cs="Courier New" w:eastAsia="Courier New" w:hAnsi="Courier New"/>
                <w:sz w:val="16"/>
                <w:szCs w:val="16"/>
                <w:color w:val="auto"/>
              </w:rPr>
              <w:t>plus 0.4050%</w:t>
            </w:r>
          </w:p>
        </w:tc>
      </w:tr>
      <w:tr>
        <w:trPr>
          <w:trHeight w:val="183"/>
        </w:trPr>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9"/>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4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2"/>
              </w:rPr>
              <w:t>5</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At</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least</w:t>
            </w:r>
          </w:p>
        </w:tc>
        <w:tc>
          <w:tcPr>
            <w:tcW w:w="3100" w:type="dxa"/>
            <w:vAlign w:val="bottom"/>
          </w:tcPr>
          <w:p>
            <w:pPr>
              <w:ind w:left="140"/>
              <w:spacing w:after="0"/>
              <w:rPr>
                <w:sz w:val="20"/>
                <w:szCs w:val="20"/>
                <w:color w:val="auto"/>
              </w:rPr>
            </w:pPr>
            <w:r>
              <w:rPr>
                <w:rFonts w:ascii="Courier New" w:cs="Courier New" w:eastAsia="Courier New" w:hAnsi="Courier New"/>
                <w:sz w:val="16"/>
                <w:szCs w:val="16"/>
                <w:color w:val="auto"/>
              </w:rPr>
              <w:t>BB+ by Standard  &amp; Poor's or</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0.2750%</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0.6000%</w:t>
            </w:r>
          </w:p>
        </w:tc>
        <w:tc>
          <w:tcPr>
            <w:tcW w:w="172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Eurodollar Rate</w:t>
            </w:r>
          </w:p>
        </w:tc>
      </w:tr>
      <w:tr>
        <w:trPr>
          <w:trHeight w:val="183"/>
        </w:trPr>
        <w:tc>
          <w:tcPr>
            <w:tcW w:w="440" w:type="dxa"/>
            <w:vAlign w:val="bottom"/>
          </w:tcPr>
          <w:p>
            <w:pPr>
              <w:spacing w:after="0"/>
              <w:rPr>
                <w:sz w:val="15"/>
                <w:szCs w:val="15"/>
                <w:color w:val="auto"/>
              </w:rPr>
            </w:pP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at</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least</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Ba1 by Moody's</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per annum</w:t>
            </w:r>
          </w:p>
        </w:tc>
        <w:tc>
          <w:tcPr>
            <w:tcW w:w="16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per annum</w:t>
            </w:r>
          </w:p>
        </w:tc>
        <w:tc>
          <w:tcPr>
            <w:tcW w:w="1720" w:type="dxa"/>
            <w:vAlign w:val="bottom"/>
          </w:tcPr>
          <w:p>
            <w:pPr>
              <w:ind w:left="380"/>
              <w:spacing w:after="0"/>
              <w:rPr>
                <w:sz w:val="20"/>
                <w:szCs w:val="20"/>
                <w:color w:val="auto"/>
              </w:rPr>
            </w:pPr>
            <w:r>
              <w:rPr>
                <w:rFonts w:ascii="Courier New" w:cs="Courier New" w:eastAsia="Courier New" w:hAnsi="Courier New"/>
                <w:sz w:val="16"/>
                <w:szCs w:val="16"/>
                <w:color w:val="auto"/>
              </w:rPr>
              <w:t>plus 0.6000%</w:t>
            </w:r>
          </w:p>
        </w:tc>
      </w:tr>
      <w:tr>
        <w:trPr>
          <w:trHeight w:val="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9"/>
              </w:rPr>
              <w:t>per annum</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77" w:lineRule="exact"/>
        <w:rPr>
          <w:sz w:val="20"/>
          <w:szCs w:val="20"/>
          <w:color w:val="auto"/>
        </w:rPr>
      </w:pPr>
    </w:p>
    <w:p>
      <w:pPr>
        <w:ind w:left="280"/>
        <w:spacing w:after="0"/>
        <w:tabs>
          <w:tab w:leader="none" w:pos="1020" w:val="left"/>
          <w:tab w:leader="none" w:pos="5420" w:val="left"/>
          <w:tab w:leader="none" w:pos="7220" w:val="left"/>
          <w:tab w:leader="none" w:pos="856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If no other level applies</w:t>
      </w:r>
      <w:r>
        <w:rPr>
          <w:sz w:val="20"/>
          <w:szCs w:val="20"/>
          <w:color w:val="auto"/>
        </w:rPr>
        <w:tab/>
      </w:r>
      <w:r>
        <w:rPr>
          <w:rFonts w:ascii="Courier New" w:cs="Courier New" w:eastAsia="Courier New" w:hAnsi="Courier New"/>
          <w:sz w:val="16"/>
          <w:szCs w:val="16"/>
          <w:color w:val="auto"/>
        </w:rPr>
        <w:t>0.3750%</w:t>
      </w:r>
      <w:r>
        <w:rPr>
          <w:sz w:val="20"/>
          <w:szCs w:val="20"/>
          <w:color w:val="auto"/>
        </w:rPr>
        <w:tab/>
      </w:r>
      <w:r>
        <w:rPr>
          <w:rFonts w:ascii="Courier New" w:cs="Courier New" w:eastAsia="Courier New" w:hAnsi="Courier New"/>
          <w:sz w:val="16"/>
          <w:szCs w:val="16"/>
          <w:color w:val="auto"/>
        </w:rPr>
        <w:t>0.7500%</w:t>
      </w:r>
      <w:r>
        <w:rPr>
          <w:sz w:val="20"/>
          <w:szCs w:val="20"/>
          <w:color w:val="auto"/>
        </w:rPr>
        <w:tab/>
      </w:r>
      <w:r>
        <w:rPr>
          <w:rFonts w:ascii="Courier New" w:cs="Courier New" w:eastAsia="Courier New" w:hAnsi="Courier New"/>
          <w:sz w:val="15"/>
          <w:szCs w:val="15"/>
          <w:color w:val="auto"/>
        </w:rPr>
        <w:t>Eurodollar Rate</w:t>
      </w:r>
    </w:p>
    <w:p>
      <w:pPr>
        <w:spacing w:after="0" w:line="2" w:lineRule="exact"/>
        <w:rPr>
          <w:sz w:val="20"/>
          <w:szCs w:val="20"/>
          <w:color w:val="auto"/>
        </w:rPr>
      </w:pPr>
    </w:p>
    <w:p>
      <w:pPr>
        <w:ind w:left="5240"/>
        <w:spacing w:after="0"/>
        <w:tabs>
          <w:tab w:leader="none" w:pos="7140" w:val="left"/>
          <w:tab w:leader="none" w:pos="8660" w:val="left"/>
        </w:tabs>
        <w:rPr>
          <w:sz w:val="20"/>
          <w:szCs w:val="20"/>
          <w:color w:val="auto"/>
        </w:rPr>
      </w:pPr>
      <w:r>
        <w:rPr>
          <w:rFonts w:ascii="Courier New" w:cs="Courier New" w:eastAsia="Courier New" w:hAnsi="Courier New"/>
          <w:sz w:val="16"/>
          <w:szCs w:val="16"/>
          <w:color w:val="auto"/>
        </w:rPr>
        <w:t>per annum</w:t>
      </w:r>
      <w:r>
        <w:rPr>
          <w:sz w:val="20"/>
          <w:szCs w:val="20"/>
          <w:color w:val="auto"/>
        </w:rPr>
        <w:tab/>
      </w:r>
      <w:r>
        <w:rPr>
          <w:rFonts w:ascii="Courier New" w:cs="Courier New" w:eastAsia="Courier New" w:hAnsi="Courier New"/>
          <w:sz w:val="16"/>
          <w:szCs w:val="16"/>
          <w:color w:val="auto"/>
        </w:rPr>
        <w:t>per annum</w:t>
      </w:r>
      <w:r>
        <w:rPr>
          <w:sz w:val="20"/>
          <w:szCs w:val="20"/>
          <w:color w:val="auto"/>
        </w:rPr>
        <w:tab/>
      </w:r>
      <w:r>
        <w:rPr>
          <w:rFonts w:ascii="Courier New" w:cs="Courier New" w:eastAsia="Courier New" w:hAnsi="Courier New"/>
          <w:sz w:val="15"/>
          <w:szCs w:val="15"/>
          <w:color w:val="auto"/>
        </w:rPr>
        <w:t>plus 0.7500%</w:t>
      </w:r>
    </w:p>
    <w:p>
      <w:pPr>
        <w:spacing w:after="0" w:line="2" w:lineRule="exact"/>
        <w:rPr>
          <w:sz w:val="20"/>
          <w:szCs w:val="20"/>
          <w:color w:val="auto"/>
        </w:rPr>
      </w:pPr>
    </w:p>
    <w:p>
      <w:pPr>
        <w:ind w:left="8860"/>
        <w:spacing w:after="0"/>
        <w:rPr>
          <w:sz w:val="20"/>
          <w:szCs w:val="20"/>
          <w:color w:val="auto"/>
        </w:rPr>
      </w:pPr>
      <w:r>
        <w:rPr>
          <w:rFonts w:ascii="Courier New" w:cs="Courier New" w:eastAsia="Courier New" w:hAnsi="Courier New"/>
          <w:sz w:val="16"/>
          <w:szCs w:val="16"/>
          <w:color w:val="auto"/>
        </w:rPr>
        <w:t>per annum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right="3720" w:firstLine="763"/>
        <w:spacing w:after="0" w:line="239" w:lineRule="auto"/>
        <w:rPr>
          <w:sz w:val="20"/>
          <w:szCs w:val="20"/>
          <w:color w:val="auto"/>
        </w:rPr>
      </w:pPr>
      <w:r>
        <w:rPr>
          <w:rFonts w:ascii="Courier New" w:cs="Courier New" w:eastAsia="Courier New" w:hAnsi="Courier New"/>
          <w:sz w:val="16"/>
          <w:szCs w:val="16"/>
          <w:color w:val="auto"/>
        </w:rPr>
        <w:t>The applicable rates charged for any day shall be determined by the Senior Public Debt Rating in effect as of that day.</w:t>
      </w:r>
    </w:p>
    <w:p>
      <w:pPr>
        <w:spacing w:after="0" w:line="186"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RCRA.</w:t>
        <w:tab/>
        <w:t>See Section 6.16(a).</w:t>
      </w:r>
    </w:p>
    <w:p>
      <w:pPr>
        <w:spacing w:after="0" w:line="188" w:lineRule="exact"/>
        <w:rPr>
          <w:sz w:val="20"/>
          <w:szCs w:val="20"/>
          <w:color w:val="auto"/>
        </w:rPr>
      </w:pPr>
    </w:p>
    <w:p>
      <w:pPr>
        <w:ind w:right="3440" w:firstLine="763"/>
        <w:spacing w:after="0" w:line="239" w:lineRule="auto"/>
        <w:rPr>
          <w:sz w:val="20"/>
          <w:szCs w:val="20"/>
          <w:color w:val="auto"/>
        </w:rPr>
      </w:pPr>
      <w:r>
        <w:rPr>
          <w:rFonts w:ascii="Courier New" w:cs="Courier New" w:eastAsia="Courier New" w:hAnsi="Courier New"/>
          <w:sz w:val="16"/>
          <w:szCs w:val="16"/>
          <w:color w:val="auto"/>
        </w:rPr>
        <w:t>Real Property. All real property heretofore, now, or hereafter owned, operated, or leased by the Borrower or any of its Subsidiaries.</w:t>
      </w:r>
    </w:p>
    <w:p>
      <w:pPr>
        <w:spacing w:after="0" w:line="186" w:lineRule="exact"/>
        <w:rPr>
          <w:sz w:val="20"/>
          <w:szCs w:val="20"/>
          <w:color w:val="auto"/>
        </w:rPr>
      </w:pPr>
    </w:p>
    <w:p>
      <w:pPr>
        <w:ind w:left="760"/>
        <w:spacing w:after="0"/>
        <w:tabs>
          <w:tab w:leader="none" w:pos="2460" w:val="left"/>
        </w:tabs>
        <w:rPr>
          <w:sz w:val="20"/>
          <w:szCs w:val="20"/>
          <w:color w:val="auto"/>
        </w:rPr>
      </w:pPr>
      <w:r>
        <w:rPr>
          <w:rFonts w:ascii="Courier New" w:cs="Courier New" w:eastAsia="Courier New" w:hAnsi="Courier New"/>
          <w:sz w:val="16"/>
          <w:szCs w:val="16"/>
          <w:color w:val="auto"/>
        </w:rPr>
        <w:t>Reference Banks.</w:t>
      </w:r>
      <w:r>
        <w:rPr>
          <w:sz w:val="20"/>
          <w:szCs w:val="20"/>
          <w:color w:val="auto"/>
        </w:rPr>
        <w:tab/>
      </w:r>
      <w:r>
        <w:rPr>
          <w:rFonts w:ascii="Courier New" w:cs="Courier New" w:eastAsia="Courier New" w:hAnsi="Courier New"/>
          <w:sz w:val="15"/>
          <w:szCs w:val="15"/>
          <w:color w:val="auto"/>
        </w:rPr>
        <w:t>FNBB, BAI and MGT.</w:t>
      </w:r>
    </w:p>
    <w:p>
      <w:pPr>
        <w:spacing w:after="0" w:line="188" w:lineRule="exact"/>
        <w:rPr>
          <w:sz w:val="20"/>
          <w:szCs w:val="20"/>
          <w:color w:val="auto"/>
        </w:rPr>
      </w:pPr>
    </w:p>
    <w:p>
      <w:pPr>
        <w:ind w:right="3340" w:firstLine="763"/>
        <w:spacing w:after="0"/>
        <w:rPr>
          <w:sz w:val="20"/>
          <w:szCs w:val="20"/>
          <w:color w:val="auto"/>
        </w:rPr>
      </w:pPr>
      <w:r>
        <w:rPr>
          <w:rFonts w:ascii="Courier New" w:cs="Courier New" w:eastAsia="Courier New" w:hAnsi="Courier New"/>
          <w:sz w:val="16"/>
          <w:szCs w:val="16"/>
          <w:color w:val="auto"/>
        </w:rPr>
        <w:t>Reimbursement Obligation. The Borrower's obligation to reimburse the Issuing Bank and the Banks on account of any drawing under any Letter of Credit as provided in Section 3.2.</w:t>
      </w:r>
    </w:p>
    <w:p>
      <w:pPr>
        <w:spacing w:after="0" w:line="190" w:lineRule="exact"/>
        <w:rPr>
          <w:sz w:val="20"/>
          <w:szCs w:val="20"/>
          <w:color w:val="auto"/>
        </w:rPr>
      </w:pPr>
    </w:p>
    <w:p>
      <w:pPr>
        <w:ind w:right="3440" w:firstLine="763"/>
        <w:spacing w:after="0" w:line="241" w:lineRule="auto"/>
        <w:rPr>
          <w:sz w:val="20"/>
          <w:szCs w:val="20"/>
          <w:color w:val="auto"/>
        </w:rPr>
      </w:pPr>
      <w:r>
        <w:rPr>
          <w:rFonts w:ascii="Courier New" w:cs="Courier New" w:eastAsia="Courier New" w:hAnsi="Courier New"/>
          <w:sz w:val="16"/>
          <w:szCs w:val="16"/>
          <w:color w:val="auto"/>
        </w:rPr>
        <w:t>Release. Shall have the meaning specified in the Comprehensive Environmental Response, Compensation and Liability Act of 1980, 42 U.S.C. Sections 9601 et seq. ("CERCLA") and the term "Disposal" (or "Disposed") shall have the meaning specified in</w:t>
      </w:r>
    </w:p>
    <w:p>
      <w:pPr>
        <w:sectPr>
          <w:pgSz w:w="11900" w:h="16838" w:orient="portrait"/>
          <w:cols w:equalWidth="0" w:num="1">
            <w:col w:w="10880"/>
          </w:cols>
          <w:pgMar w:left="240" w:top="298" w:right="779"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23</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pacing w:after="0" w:line="372"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a state wherein the property lies establish a meaning for "Release" or "Disposal" which is broader than specified in either CERCLA, or RCRA, such broader meaning shall apply to the Borrower's or any of its Subsidiaries activities in that state.</w:t>
      </w:r>
    </w:p>
    <w:p>
      <w:pPr>
        <w:spacing w:after="0" w:line="175" w:lineRule="exact"/>
        <w:rPr>
          <w:sz w:val="20"/>
          <w:szCs w:val="20"/>
          <w:color w:val="auto"/>
        </w:rPr>
      </w:pPr>
    </w:p>
    <w:p>
      <w:pPr>
        <w:ind w:left="760"/>
        <w:spacing w:after="0"/>
        <w:tabs>
          <w:tab w:leader="none" w:pos="2560" w:val="left"/>
        </w:tabs>
        <w:rPr>
          <w:sz w:val="20"/>
          <w:szCs w:val="20"/>
          <w:color w:val="auto"/>
        </w:rPr>
      </w:pPr>
      <w:r>
        <w:rPr>
          <w:rFonts w:ascii="Courier New" w:cs="Courier New" w:eastAsia="Courier New" w:hAnsi="Courier New"/>
          <w:sz w:val="16"/>
          <w:szCs w:val="16"/>
          <w:color w:val="auto"/>
        </w:rPr>
        <w:t>Replacement Bank.</w:t>
      </w:r>
      <w:r>
        <w:rPr>
          <w:sz w:val="20"/>
          <w:szCs w:val="20"/>
          <w:color w:val="auto"/>
        </w:rPr>
        <w:tab/>
      </w:r>
      <w:r>
        <w:rPr>
          <w:rFonts w:ascii="Courier New" w:cs="Courier New" w:eastAsia="Courier New" w:hAnsi="Courier New"/>
          <w:sz w:val="15"/>
          <w:szCs w:val="15"/>
          <w:color w:val="auto"/>
        </w:rPr>
        <w:t>See Section 5.12.</w:t>
      </w:r>
    </w:p>
    <w:p>
      <w:pPr>
        <w:spacing w:after="0" w:line="186" w:lineRule="exact"/>
        <w:rPr>
          <w:sz w:val="20"/>
          <w:szCs w:val="20"/>
          <w:color w:val="auto"/>
        </w:rPr>
      </w:pPr>
    </w:p>
    <w:p>
      <w:pPr>
        <w:ind w:left="760"/>
        <w:spacing w:after="0"/>
        <w:tabs>
          <w:tab w:leader="none" w:pos="2740" w:val="left"/>
        </w:tabs>
        <w:rPr>
          <w:sz w:val="20"/>
          <w:szCs w:val="20"/>
          <w:color w:val="auto"/>
        </w:rPr>
      </w:pPr>
      <w:r>
        <w:rPr>
          <w:rFonts w:ascii="Courier New" w:cs="Courier New" w:eastAsia="Courier New" w:hAnsi="Courier New"/>
          <w:sz w:val="16"/>
          <w:szCs w:val="16"/>
          <w:color w:val="auto"/>
        </w:rPr>
        <w:t>Replacement Notice.</w:t>
      </w:r>
      <w:r>
        <w:rPr>
          <w:sz w:val="20"/>
          <w:szCs w:val="20"/>
          <w:color w:val="auto"/>
        </w:rPr>
        <w:tab/>
      </w:r>
      <w:r>
        <w:rPr>
          <w:rFonts w:ascii="Courier New" w:cs="Courier New" w:eastAsia="Courier New" w:hAnsi="Courier New"/>
          <w:sz w:val="15"/>
          <w:szCs w:val="15"/>
          <w:color w:val="auto"/>
        </w:rPr>
        <w:t>See Section 5.12.</w:t>
      </w:r>
    </w:p>
    <w:p>
      <w:pPr>
        <w:spacing w:after="0" w:line="188" w:lineRule="exact"/>
        <w:rPr>
          <w:sz w:val="20"/>
          <w:szCs w:val="20"/>
          <w:color w:val="auto"/>
        </w:rPr>
      </w:pPr>
    </w:p>
    <w:p>
      <w:pPr>
        <w:ind w:right="2679" w:firstLine="763"/>
        <w:spacing w:after="0" w:line="242" w:lineRule="auto"/>
        <w:rPr>
          <w:sz w:val="20"/>
          <w:szCs w:val="20"/>
          <w:color w:val="auto"/>
        </w:rPr>
      </w:pPr>
      <w:r>
        <w:rPr>
          <w:rFonts w:ascii="Courier New" w:cs="Courier New" w:eastAsia="Courier New" w:hAnsi="Courier New"/>
          <w:sz w:val="16"/>
          <w:szCs w:val="16"/>
          <w:color w:val="auto"/>
        </w:rPr>
        <w:t>Senior Public Debt Rating. The rating(s) of the Borrower's public unsecured long-term senior debt, without third party credit enhancement, issued by Moody's and/or Standard &amp; Poor's; or in the event no public unsecured long-term senior debt is outstanding, the rating(s) of this credit facility issued by Moody's and/or Standard &amp; Poor's upon the request of the Borrower; provided that until such time as the Borrower receives such rating(s) on such public unsecured long-term senior debt or this credit facility, the Borrower's corporate credit rating by Standard &amp; Poor's shall apply; provided further that in the event that both Moody's and Standard &amp; Poor's have issued such ratings, the Senior Public Debt Rating (except with respect to Level 3 of the Pricing Table which by its terms requires equivalent ratings from both agencies) will be the higher of such ratings unless such ratings by Moody's and Standard &amp; Poor's are more than one rank apart, as set forth in the table below, in which case the Senior Public Debt Rating will be set at one rank above the lower of the two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900"/>
        <w:spacing w:after="0"/>
        <w:tabs>
          <w:tab w:leader="none" w:pos="3220" w:val="left"/>
          <w:tab w:leader="none" w:pos="5900" w:val="left"/>
        </w:tabs>
        <w:rPr>
          <w:sz w:val="20"/>
          <w:szCs w:val="20"/>
          <w:color w:val="auto"/>
        </w:rPr>
      </w:pPr>
      <w:r>
        <w:rPr>
          <w:rFonts w:ascii="Courier New" w:cs="Courier New" w:eastAsia="Courier New" w:hAnsi="Courier New"/>
          <w:sz w:val="16"/>
          <w:szCs w:val="16"/>
          <w:color w:val="auto"/>
        </w:rPr>
        <w:t>Rank</w:t>
      </w:r>
      <w:r>
        <w:rPr>
          <w:sz w:val="20"/>
          <w:szCs w:val="20"/>
          <w:color w:val="auto"/>
        </w:rPr>
        <w:tab/>
      </w:r>
      <w:r>
        <w:rPr>
          <w:rFonts w:ascii="Courier New" w:cs="Courier New" w:eastAsia="Courier New" w:hAnsi="Courier New"/>
          <w:sz w:val="16"/>
          <w:szCs w:val="16"/>
          <w:color w:val="auto"/>
        </w:rPr>
        <w:t>Standard &amp; Poor's</w:t>
      </w:r>
      <w:r>
        <w:rPr>
          <w:sz w:val="20"/>
          <w:szCs w:val="20"/>
          <w:color w:val="auto"/>
        </w:rPr>
        <w:tab/>
      </w:r>
      <w:r>
        <w:rPr>
          <w:rFonts w:ascii="Courier New" w:cs="Courier New" w:eastAsia="Courier New" w:hAnsi="Courier New"/>
          <w:sz w:val="15"/>
          <w:szCs w:val="15"/>
          <w:color w:val="auto"/>
        </w:rPr>
        <w:t>Moody's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8"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24</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2100"/>
        <w:spacing w:after="0"/>
        <w:tabs>
          <w:tab w:leader="none" w:pos="4080" w:val="left"/>
          <w:tab w:leader="none" w:pos="62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5"/>
          <w:szCs w:val="15"/>
          <w:color w:val="auto"/>
        </w:rPr>
        <w:t>A2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2100"/>
        <w:spacing w:after="0"/>
        <w:tabs>
          <w:tab w:leader="none" w:pos="4080" w:val="left"/>
          <w:tab w:leader="none" w:pos="628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5"/>
          <w:szCs w:val="15"/>
          <w:color w:val="auto"/>
        </w:rPr>
        <w:t>A3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2100"/>
        <w:spacing w:after="0"/>
        <w:tabs>
          <w:tab w:leader="none" w:pos="4080" w:val="left"/>
          <w:tab w:leader="none" w:pos="628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BBB+</w:t>
      </w:r>
      <w:r>
        <w:rPr>
          <w:sz w:val="20"/>
          <w:szCs w:val="20"/>
          <w:color w:val="auto"/>
        </w:rPr>
        <w:tab/>
      </w:r>
      <w:r>
        <w:rPr>
          <w:rFonts w:ascii="Courier New" w:cs="Courier New" w:eastAsia="Courier New" w:hAnsi="Courier New"/>
          <w:sz w:val="15"/>
          <w:szCs w:val="15"/>
          <w:color w:val="auto"/>
        </w:rPr>
        <w:t>Baa1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2100"/>
        <w:spacing w:after="0"/>
        <w:tabs>
          <w:tab w:leader="none" w:pos="4080" w:val="left"/>
          <w:tab w:leader="none" w:pos="628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BBB</w:t>
      </w:r>
      <w:r>
        <w:rPr>
          <w:sz w:val="20"/>
          <w:szCs w:val="20"/>
          <w:color w:val="auto"/>
        </w:rPr>
        <w:tab/>
      </w:r>
      <w:r>
        <w:rPr>
          <w:rFonts w:ascii="Courier New" w:cs="Courier New" w:eastAsia="Courier New" w:hAnsi="Courier New"/>
          <w:sz w:val="15"/>
          <w:szCs w:val="15"/>
          <w:color w:val="auto"/>
        </w:rPr>
        <w:t>Baa2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8"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25</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2100"/>
        <w:spacing w:after="0"/>
        <w:tabs>
          <w:tab w:leader="none" w:pos="3980" w:val="left"/>
          <w:tab w:leader="none" w:pos="618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BBB-</w:t>
      </w:r>
      <w:r>
        <w:rPr>
          <w:sz w:val="20"/>
          <w:szCs w:val="20"/>
          <w:color w:val="auto"/>
        </w:rPr>
        <w:tab/>
      </w:r>
      <w:r>
        <w:rPr>
          <w:rFonts w:ascii="Courier New" w:cs="Courier New" w:eastAsia="Courier New" w:hAnsi="Courier New"/>
          <w:sz w:val="15"/>
          <w:szCs w:val="15"/>
          <w:color w:val="auto"/>
        </w:rPr>
        <w:t>Baa3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8" w:right="1440" w:bottom="1440" w:gutter="0" w:footer="0" w:header="0"/>
        </w:sectPr>
      </w:pPr>
    </w:p>
    <w:p>
      <w:pPr>
        <w:spacing w:after="0" w:line="377"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BB+</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Ba1</w:t>
      </w:r>
    </w:p>
    <w:p>
      <w:pPr>
        <w:spacing w:after="0" w:line="208" w:lineRule="exact"/>
        <w:rPr>
          <w:sz w:val="20"/>
          <w:szCs w:val="20"/>
          <w:color w:val="auto"/>
        </w:rPr>
      </w:pPr>
    </w:p>
    <w:p>
      <w:pPr>
        <w:sectPr>
          <w:pgSz w:w="11900" w:h="16838" w:orient="portrait"/>
          <w:cols w:equalWidth="0" w:num="3">
            <w:col w:w="3280" w:space="720"/>
            <w:col w:w="1480" w:space="720"/>
            <w:col w:w="4019"/>
          </w:cols>
          <w:pgMar w:left="240" w:top="298"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8" w:right="1440" w:bottom="1440" w:gutter="0" w:footer="0" w:header="0"/>
          <w:type w:val="continuous"/>
        </w:sectPr>
      </w:pPr>
    </w:p>
    <w:p>
      <w:pPr>
        <w:spacing w:after="0" w:line="377"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BB</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Ba2</w:t>
      </w:r>
    </w:p>
    <w:p>
      <w:pPr>
        <w:spacing w:after="0" w:line="196" w:lineRule="exact"/>
        <w:rPr>
          <w:sz w:val="20"/>
          <w:szCs w:val="20"/>
          <w:color w:val="auto"/>
        </w:rPr>
      </w:pPr>
    </w:p>
    <w:p>
      <w:pPr>
        <w:sectPr>
          <w:pgSz w:w="11900" w:h="16838" w:orient="portrait"/>
          <w:cols w:equalWidth="0" w:num="3">
            <w:col w:w="3280" w:space="720"/>
            <w:col w:w="1480" w:space="720"/>
            <w:col w:w="4019"/>
          </w:cols>
          <w:pgMar w:left="240" w:top="29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8" w:right="1440"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ind w:right="3159" w:firstLine="763"/>
        <w:spacing w:after="0" w:line="239" w:lineRule="auto"/>
        <w:rPr>
          <w:sz w:val="20"/>
          <w:szCs w:val="20"/>
          <w:color w:val="auto"/>
        </w:rPr>
      </w:pPr>
      <w:r>
        <w:rPr>
          <w:rFonts w:ascii="Courier New" w:cs="Courier New" w:eastAsia="Courier New" w:hAnsi="Courier New"/>
          <w:sz w:val="16"/>
          <w:szCs w:val="16"/>
          <w:color w:val="auto"/>
        </w:rPr>
        <w:t>Standard &amp; Poor's. Standard &amp; Poor's Ratings Group, a division of McGraw Hill, Inc.</w:t>
      </w:r>
    </w:p>
    <w:p>
      <w:pPr>
        <w:spacing w:after="0" w:line="189" w:lineRule="exact"/>
        <w:rPr>
          <w:sz w:val="20"/>
          <w:szCs w:val="20"/>
          <w:color w:val="auto"/>
        </w:rPr>
      </w:pPr>
    </w:p>
    <w:p>
      <w:pPr>
        <w:ind w:right="3059" w:firstLine="763"/>
        <w:spacing w:after="0" w:line="241" w:lineRule="auto"/>
        <w:rPr>
          <w:sz w:val="20"/>
          <w:szCs w:val="20"/>
          <w:color w:val="auto"/>
        </w:rPr>
      </w:pPr>
      <w:r>
        <w:rPr>
          <w:rFonts w:ascii="Courier New" w:cs="Courier New" w:eastAsia="Courier New" w:hAnsi="Courier New"/>
          <w:sz w:val="16"/>
          <w:szCs w:val="16"/>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86" w:lineRule="exact"/>
        <w:rPr>
          <w:sz w:val="20"/>
          <w:szCs w:val="20"/>
          <w:color w:val="auto"/>
        </w:rPr>
      </w:pPr>
    </w:p>
    <w:p>
      <w:pPr>
        <w:ind w:left="760"/>
        <w:spacing w:after="0"/>
        <w:tabs>
          <w:tab w:leader="none" w:pos="5220" w:val="left"/>
        </w:tabs>
        <w:rPr>
          <w:sz w:val="20"/>
          <w:szCs w:val="20"/>
          <w:color w:val="auto"/>
        </w:rPr>
      </w:pPr>
      <w:r>
        <w:rPr>
          <w:rFonts w:ascii="Courier New" w:cs="Courier New" w:eastAsia="Courier New" w:hAnsi="Courier New"/>
          <w:sz w:val="16"/>
          <w:szCs w:val="16"/>
          <w:color w:val="auto"/>
        </w:rPr>
        <w:t>Syndicated Loan and Letter of Credit Request.</w:t>
      </w:r>
      <w:r>
        <w:rPr>
          <w:sz w:val="20"/>
          <w:szCs w:val="20"/>
          <w:color w:val="auto"/>
        </w:rPr>
        <w:tab/>
      </w:r>
      <w:r>
        <w:rPr>
          <w:rFonts w:ascii="Courier New" w:cs="Courier New" w:eastAsia="Courier New" w:hAnsi="Courier New"/>
          <w:sz w:val="15"/>
          <w:szCs w:val="15"/>
          <w:color w:val="auto"/>
        </w:rPr>
        <w:t>See Section 2.6.</w:t>
      </w:r>
    </w:p>
    <w:p>
      <w:pPr>
        <w:spacing w:after="0" w:line="186" w:lineRule="exact"/>
        <w:rPr>
          <w:sz w:val="20"/>
          <w:szCs w:val="20"/>
          <w:color w:val="auto"/>
        </w:rPr>
      </w:pPr>
    </w:p>
    <w:p>
      <w:pPr>
        <w:ind w:left="760"/>
        <w:spacing w:after="0"/>
        <w:tabs>
          <w:tab w:leader="none" w:pos="2560" w:val="left"/>
        </w:tabs>
        <w:rPr>
          <w:sz w:val="20"/>
          <w:szCs w:val="20"/>
          <w:color w:val="auto"/>
        </w:rPr>
      </w:pPr>
      <w:r>
        <w:rPr>
          <w:rFonts w:ascii="Courier New" w:cs="Courier New" w:eastAsia="Courier New" w:hAnsi="Courier New"/>
          <w:sz w:val="16"/>
          <w:szCs w:val="16"/>
          <w:color w:val="auto"/>
        </w:rPr>
        <w:t>Syndicated Loans.</w:t>
      </w:r>
      <w:r>
        <w:rPr>
          <w:sz w:val="20"/>
          <w:szCs w:val="20"/>
          <w:color w:val="auto"/>
        </w:rPr>
        <w:tab/>
      </w:r>
      <w:r>
        <w:rPr>
          <w:rFonts w:ascii="Courier New" w:cs="Courier New" w:eastAsia="Courier New" w:hAnsi="Courier New"/>
          <w:sz w:val="15"/>
          <w:szCs w:val="15"/>
          <w:color w:val="auto"/>
        </w:rPr>
        <w:t>Loans advanced pursuant to Section 2.1.</w:t>
      </w:r>
    </w:p>
    <w:p>
      <w:pPr>
        <w:spacing w:after="0" w:line="186" w:lineRule="exact"/>
        <w:rPr>
          <w:sz w:val="20"/>
          <w:szCs w:val="20"/>
          <w:color w:val="auto"/>
        </w:rPr>
      </w:pPr>
    </w:p>
    <w:p>
      <w:pPr>
        <w:ind w:left="760"/>
        <w:spacing w:after="0"/>
        <w:tabs>
          <w:tab w:leader="none" w:pos="2560" w:val="left"/>
        </w:tabs>
        <w:rPr>
          <w:sz w:val="20"/>
          <w:szCs w:val="20"/>
          <w:color w:val="auto"/>
        </w:rPr>
      </w:pPr>
      <w:r>
        <w:rPr>
          <w:rFonts w:ascii="Courier New" w:cs="Courier New" w:eastAsia="Courier New" w:hAnsi="Courier New"/>
          <w:sz w:val="16"/>
          <w:szCs w:val="16"/>
          <w:color w:val="auto"/>
        </w:rPr>
        <w:t>Syndicated Notes.</w:t>
      </w:r>
      <w:r>
        <w:rPr>
          <w:sz w:val="20"/>
          <w:szCs w:val="20"/>
          <w:color w:val="auto"/>
        </w:rPr>
        <w:tab/>
      </w:r>
      <w:r>
        <w:rPr>
          <w:rFonts w:ascii="Courier New" w:cs="Courier New" w:eastAsia="Courier New" w:hAnsi="Courier New"/>
          <w:sz w:val="15"/>
          <w:szCs w:val="15"/>
          <w:color w:val="auto"/>
        </w:rPr>
        <w:t>See Section 2.4.</w:t>
      </w:r>
    </w:p>
    <w:p>
      <w:pPr>
        <w:sectPr>
          <w:pgSz w:w="11900" w:h="16838" w:orient="portrait"/>
          <w:cols w:equalWidth="0" w:num="1">
            <w:col w:w="10219"/>
          </w:cols>
          <w:pgMar w:left="240" w:top="298"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26</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pacing w:after="0" w:line="369" w:lineRule="exact"/>
        <w:rPr>
          <w:sz w:val="20"/>
          <w:szCs w:val="20"/>
          <w:color w:val="auto"/>
        </w:rPr>
      </w:pPr>
    </w:p>
    <w:p>
      <w:pPr>
        <w:ind w:left="760"/>
        <w:spacing w:after="0"/>
        <w:tabs>
          <w:tab w:leader="none" w:pos="2560" w:val="left"/>
        </w:tabs>
        <w:rPr>
          <w:sz w:val="20"/>
          <w:szCs w:val="20"/>
          <w:color w:val="auto"/>
        </w:rPr>
      </w:pPr>
      <w:r>
        <w:rPr>
          <w:rFonts w:ascii="Courier New" w:cs="Courier New" w:eastAsia="Courier New" w:hAnsi="Courier New"/>
          <w:sz w:val="16"/>
          <w:szCs w:val="16"/>
          <w:color w:val="auto"/>
        </w:rPr>
        <w:t>Total Commitment.</w:t>
      </w:r>
      <w:r>
        <w:rPr>
          <w:sz w:val="20"/>
          <w:szCs w:val="20"/>
          <w:color w:val="auto"/>
        </w:rPr>
        <w:tab/>
      </w:r>
      <w:r>
        <w:rPr>
          <w:rFonts w:ascii="Courier New" w:cs="Courier New" w:eastAsia="Courier New" w:hAnsi="Courier New"/>
          <w:sz w:val="15"/>
          <w:szCs w:val="15"/>
          <w:color w:val="auto"/>
        </w:rPr>
        <w:t>See Section 2.1.</w:t>
      </w:r>
    </w:p>
    <w:p>
      <w:pPr>
        <w:spacing w:after="0" w:line="188" w:lineRule="exact"/>
        <w:rPr>
          <w:sz w:val="20"/>
          <w:szCs w:val="20"/>
          <w:color w:val="auto"/>
        </w:rPr>
      </w:pPr>
    </w:p>
    <w:p>
      <w:pPr>
        <w:ind w:right="3739" w:firstLine="763"/>
        <w:spacing w:after="0" w:line="239" w:lineRule="auto"/>
        <w:rPr>
          <w:sz w:val="20"/>
          <w:szCs w:val="20"/>
          <w:color w:val="auto"/>
        </w:rPr>
      </w:pPr>
      <w:r>
        <w:rPr>
          <w:rFonts w:ascii="Courier New" w:cs="Courier New" w:eastAsia="Courier New" w:hAnsi="Courier New"/>
          <w:sz w:val="16"/>
          <w:szCs w:val="16"/>
          <w:color w:val="auto"/>
        </w:rPr>
        <w:t>Western Waste. Western Waste Industries, Inc., a California corporation.</w:t>
      </w:r>
    </w:p>
    <w:p>
      <w:pPr>
        <w:spacing w:after="0" w:line="189" w:lineRule="exact"/>
        <w:rPr>
          <w:sz w:val="20"/>
          <w:szCs w:val="20"/>
          <w:color w:val="auto"/>
        </w:rPr>
      </w:pPr>
    </w:p>
    <w:p>
      <w:pPr>
        <w:ind w:right="2679" w:firstLine="763"/>
        <w:spacing w:after="0"/>
        <w:rPr>
          <w:sz w:val="20"/>
          <w:szCs w:val="20"/>
          <w:color w:val="auto"/>
        </w:rPr>
      </w:pPr>
      <w:r>
        <w:rPr>
          <w:rFonts w:ascii="Courier New" w:cs="Courier New" w:eastAsia="Courier New" w:hAnsi="Courier New"/>
          <w:sz w:val="16"/>
          <w:szCs w:val="16"/>
          <w:color w:val="auto"/>
        </w:rPr>
        <w:t>Western Waste Merger. The merger of Western Waste and Riviera Acquisition Corporation, a Subsidiary of the Borrower, pursuant to the terms of the Western Waste Merger Agreement.</w:t>
      </w:r>
    </w:p>
    <w:p>
      <w:pPr>
        <w:spacing w:after="0" w:line="190" w:lineRule="exact"/>
        <w:rPr>
          <w:sz w:val="20"/>
          <w:szCs w:val="20"/>
          <w:color w:val="auto"/>
        </w:rPr>
      </w:pPr>
    </w:p>
    <w:p>
      <w:pPr>
        <w:ind w:right="2679" w:firstLine="763"/>
        <w:spacing w:after="0"/>
        <w:rPr>
          <w:sz w:val="20"/>
          <w:szCs w:val="20"/>
          <w:color w:val="auto"/>
        </w:rPr>
      </w:pPr>
      <w:r>
        <w:rPr>
          <w:rFonts w:ascii="Courier New" w:cs="Courier New" w:eastAsia="Courier New" w:hAnsi="Courier New"/>
          <w:sz w:val="16"/>
          <w:szCs w:val="16"/>
          <w:color w:val="auto"/>
        </w:rPr>
        <w:t>Western Waste Merger Agreement. The Agreement and Plan of Merger dated as of December 18, 1995 between Western Waste, the Borrower and Riviera Acquisition Corporation.</w:t>
      </w:r>
    </w:p>
    <w:p>
      <w:pPr>
        <w:spacing w:after="0" w:line="187" w:lineRule="exact"/>
        <w:rPr>
          <w:sz w:val="20"/>
          <w:szCs w:val="20"/>
          <w:color w:val="auto"/>
        </w:rPr>
      </w:pPr>
    </w:p>
    <w:p>
      <w:pPr>
        <w:ind w:left="760"/>
        <w:spacing w:after="0"/>
        <w:tabs>
          <w:tab w:leader="none" w:pos="1980" w:val="left"/>
        </w:tabs>
        <w:rPr>
          <w:sz w:val="20"/>
          <w:szCs w:val="20"/>
          <w:color w:val="auto"/>
        </w:rPr>
      </w:pPr>
      <w:r>
        <w:rPr>
          <w:rFonts w:ascii="Courier New" w:cs="Courier New" w:eastAsia="Courier New" w:hAnsi="Courier New"/>
          <w:sz w:val="16"/>
          <w:szCs w:val="16"/>
          <w:color w:val="auto"/>
        </w:rPr>
        <w:t>Section 1.2</w:t>
      </w:r>
      <w:r>
        <w:rPr>
          <w:sz w:val="20"/>
          <w:szCs w:val="20"/>
          <w:color w:val="auto"/>
        </w:rPr>
        <w:tab/>
      </w:r>
      <w:r>
        <w:rPr>
          <w:rFonts w:ascii="Courier New" w:cs="Courier New" w:eastAsia="Courier New" w:hAnsi="Courier New"/>
          <w:sz w:val="15"/>
          <w:szCs w:val="15"/>
          <w:color w:val="auto"/>
        </w:rPr>
        <w:t>Rules of Interpretation.</w:t>
      </w:r>
    </w:p>
    <w:p>
      <w:pPr>
        <w:spacing w:after="0" w:line="188" w:lineRule="exact"/>
        <w:rPr>
          <w:sz w:val="20"/>
          <w:szCs w:val="20"/>
          <w:color w:val="auto"/>
        </w:rPr>
      </w:pPr>
    </w:p>
    <w:p>
      <w:pPr>
        <w:jc w:val="both"/>
        <w:ind w:left="760" w:right="2679" w:firstLine="859"/>
        <w:spacing w:after="0" w:line="241" w:lineRule="auto"/>
        <w:tabs>
          <w:tab w:leader="none" w:pos="2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89" w:lineRule="exact"/>
        <w:rPr>
          <w:rFonts w:ascii="Courier New" w:cs="Courier New" w:eastAsia="Courier New" w:hAnsi="Courier New"/>
          <w:sz w:val="16"/>
          <w:szCs w:val="16"/>
          <w:color w:val="auto"/>
        </w:rPr>
      </w:pPr>
    </w:p>
    <w:p>
      <w:pPr>
        <w:ind w:left="760" w:right="3359" w:firstLine="859"/>
        <w:spacing w:after="0" w:line="239" w:lineRule="auto"/>
        <w:tabs>
          <w:tab w:leader="none" w:pos="2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singular includes the plural and the plural includes the singular.</w:t>
      </w:r>
    </w:p>
    <w:p>
      <w:pPr>
        <w:spacing w:after="0" w:line="189" w:lineRule="exact"/>
        <w:rPr>
          <w:rFonts w:ascii="Courier New" w:cs="Courier New" w:eastAsia="Courier New" w:hAnsi="Courier New"/>
          <w:sz w:val="16"/>
          <w:szCs w:val="16"/>
          <w:color w:val="auto"/>
        </w:rPr>
      </w:pPr>
    </w:p>
    <w:p>
      <w:pPr>
        <w:ind w:left="760" w:right="3259" w:firstLine="859"/>
        <w:spacing w:after="0" w:line="239" w:lineRule="auto"/>
        <w:tabs>
          <w:tab w:leader="none" w:pos="2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any law includes any amendment or modification to such law.</w:t>
      </w:r>
    </w:p>
    <w:p>
      <w:pPr>
        <w:spacing w:after="0" w:line="189" w:lineRule="exact"/>
        <w:rPr>
          <w:rFonts w:ascii="Courier New" w:cs="Courier New" w:eastAsia="Courier New" w:hAnsi="Courier New"/>
          <w:sz w:val="16"/>
          <w:szCs w:val="16"/>
          <w:color w:val="auto"/>
        </w:rPr>
      </w:pPr>
    </w:p>
    <w:p>
      <w:pPr>
        <w:ind w:left="760" w:right="3259" w:firstLine="859"/>
        <w:spacing w:after="0" w:line="239" w:lineRule="auto"/>
        <w:tabs>
          <w:tab w:leader="none" w:pos="2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any Person includes its permitted successors and permitted assigns.</w:t>
      </w:r>
    </w:p>
    <w:p>
      <w:pPr>
        <w:spacing w:after="0" w:line="189" w:lineRule="exact"/>
        <w:rPr>
          <w:rFonts w:ascii="Courier New" w:cs="Courier New" w:eastAsia="Courier New" w:hAnsi="Courier New"/>
          <w:sz w:val="16"/>
          <w:szCs w:val="16"/>
          <w:color w:val="auto"/>
        </w:rPr>
      </w:pPr>
    </w:p>
    <w:p>
      <w:pPr>
        <w:ind w:left="760" w:right="2679" w:firstLine="859"/>
        <w:spacing w:after="0" w:line="241" w:lineRule="auto"/>
        <w:tabs>
          <w:tab w:leader="none" w:pos="2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terms capitalized but not otherwise defined herein have the meanings assigned to them by generally accepted accounting principles applied on a consistent basis by the accounting entity to which they refer.</w:t>
      </w:r>
    </w:p>
    <w:p>
      <w:pPr>
        <w:spacing w:after="0" w:line="186" w:lineRule="exact"/>
        <w:rPr>
          <w:rFonts w:ascii="Courier New" w:cs="Courier New" w:eastAsia="Courier New" w:hAnsi="Courier New"/>
          <w:sz w:val="16"/>
          <w:szCs w:val="16"/>
          <w:color w:val="auto"/>
        </w:rPr>
      </w:pPr>
    </w:p>
    <w:p>
      <w:pPr>
        <w:ind w:left="2380" w:hanging="761"/>
        <w:spacing w:after="0"/>
        <w:tabs>
          <w:tab w:leader="none" w:pos="2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"include", "includes" and "including" are</w:t>
      </w:r>
    </w:p>
    <w:p>
      <w:pPr>
        <w:spacing w:after="0" w:line="2"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 limiting.</w:t>
      </w:r>
    </w:p>
    <w:p>
      <w:pPr>
        <w:spacing w:after="0" w:line="188" w:lineRule="exact"/>
        <w:rPr>
          <w:rFonts w:ascii="Courier New" w:cs="Courier New" w:eastAsia="Courier New" w:hAnsi="Courier New"/>
          <w:sz w:val="16"/>
          <w:szCs w:val="16"/>
          <w:color w:val="auto"/>
        </w:rPr>
      </w:pPr>
    </w:p>
    <w:p>
      <w:pPr>
        <w:ind w:left="760" w:right="2979" w:firstLine="859"/>
        <w:spacing w:after="0" w:line="241" w:lineRule="auto"/>
        <w:tabs>
          <w:tab w:leader="none" w:pos="2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terms not specifically defined herein or by generally accepted accounting principles, which terms are defined in the Uniform Commercial Code as in effect in the Commonwealth of Massachusetts, have the meanings assigned to them therein.</w:t>
      </w:r>
    </w:p>
    <w:p>
      <w:pPr>
        <w:sectPr>
          <w:pgSz w:w="11900" w:h="16838" w:orient="portrait"/>
          <w:cols w:equalWidth="0" w:num="1">
            <w:col w:w="10219"/>
          </w:cols>
          <w:pgMar w:left="240" w:top="298"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27</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55" w:lineRule="exact"/>
        <w:rPr>
          <w:sz w:val="20"/>
          <w:szCs w:val="20"/>
          <w:color w:val="auto"/>
        </w:rPr>
      </w:pPr>
    </w:p>
    <w:p>
      <w:pPr>
        <w:ind w:left="760" w:right="2979" w:firstLine="859"/>
        <w:spacing w:after="0" w:line="239" w:lineRule="auto"/>
        <w:tabs>
          <w:tab w:leader="none" w:pos="2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to a particular "Section " refers to that section of this Agreement unless otherwise indicated.</w:t>
      </w:r>
    </w:p>
    <w:p>
      <w:pPr>
        <w:spacing w:after="0" w:line="189" w:lineRule="exact"/>
        <w:rPr>
          <w:rFonts w:ascii="Courier New" w:cs="Courier New" w:eastAsia="Courier New" w:hAnsi="Courier New"/>
          <w:sz w:val="16"/>
          <w:szCs w:val="16"/>
          <w:color w:val="auto"/>
        </w:rPr>
      </w:pPr>
    </w:p>
    <w:p>
      <w:pPr>
        <w:ind w:left="760" w:right="2679" w:firstLine="859"/>
        <w:spacing w:after="0"/>
        <w:tabs>
          <w:tab w:leader="none" w:pos="2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"hereunder" and words of like import shall refer to this Agreement as a whole and not to any particular section or subdivision of this Agreement.</w:t>
      </w:r>
    </w:p>
    <w:p>
      <w:pPr>
        <w:spacing w:after="0" w:line="187" w:lineRule="exact"/>
        <w:rPr>
          <w:sz w:val="20"/>
          <w:szCs w:val="20"/>
          <w:color w:val="auto"/>
        </w:rPr>
      </w:pPr>
    </w:p>
    <w:p>
      <w:pPr>
        <w:ind w:left="760"/>
        <w:spacing w:after="0"/>
        <w:tabs>
          <w:tab w:leader="none" w:pos="198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5"/>
          <w:szCs w:val="15"/>
          <w:color w:val="auto"/>
        </w:rPr>
        <w:t>THE SYNDICATED FACILITY.</w:t>
      </w:r>
    </w:p>
    <w:p>
      <w:pPr>
        <w:spacing w:after="0" w:line="186" w:lineRule="exact"/>
        <w:rPr>
          <w:sz w:val="20"/>
          <w:szCs w:val="20"/>
          <w:color w:val="auto"/>
        </w:rPr>
      </w:pPr>
    </w:p>
    <w:p>
      <w:pPr>
        <w:ind w:left="760"/>
        <w:spacing w:after="0"/>
        <w:tabs>
          <w:tab w:leader="none" w:pos="1980" w:val="left"/>
          <w:tab w:leader="none" w:pos="5600" w:val="left"/>
        </w:tabs>
        <w:rPr>
          <w:sz w:val="20"/>
          <w:szCs w:val="20"/>
          <w:color w:val="auto"/>
        </w:rPr>
      </w:pPr>
      <w:r>
        <w:rPr>
          <w:rFonts w:ascii="Courier New" w:cs="Courier New" w:eastAsia="Courier New" w:hAnsi="Courier New"/>
          <w:sz w:val="16"/>
          <w:szCs w:val="16"/>
          <w:color w:val="auto"/>
        </w:rPr>
        <w:t>Section 2.1</w:t>
        <w:tab/>
        <w:t>Commitment to Lend Syndicated Loans.</w:t>
      </w:r>
      <w:r>
        <w:rPr>
          <w:sz w:val="20"/>
          <w:szCs w:val="20"/>
          <w:color w:val="auto"/>
        </w:rPr>
        <w:tab/>
      </w:r>
      <w:r>
        <w:rPr>
          <w:rFonts w:ascii="Courier New" w:cs="Courier New" w:eastAsia="Courier New" w:hAnsi="Courier New"/>
          <w:sz w:val="15"/>
          <w:szCs w:val="15"/>
          <w:color w:val="auto"/>
        </w:rPr>
        <w:t>Subject to the terms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conditions set forth in this Agreement, each of the Banks severally agrees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lend to the Borrower and the Borrower may borrow, repay, and reborrow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to time between the Closing Date and the Maturity Date, upon notice by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to the Administrative Agent given in accordance with this Section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Bank's Commitment Percentage of the Syndicated Loans as are requested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Borrower; provided that the sum of the outstanding principal amount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Syndicated Loans and the Maximum Drawing Amount of outstanding Letters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shall not exceed a maximum aggregate amount outstanding of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$750,000,000, as such amount may be reduced pursuant to Section 2.3 hereof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Commitment") minus (ii) the aggregate amount of Competitive Bid Loans</w:t>
      </w:r>
    </w:p>
    <w:p>
      <w:pPr>
        <w:spacing w:after="0" w:line="2"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6"/>
          <w:szCs w:val="16"/>
          <w:color w:val="auto"/>
        </w:rPr>
        <w:t>outstanding at such time.</w:t>
      </w:r>
      <w:r>
        <w:rPr>
          <w:sz w:val="20"/>
          <w:szCs w:val="20"/>
          <w:color w:val="auto"/>
        </w:rPr>
        <w:tab/>
      </w:r>
      <w:r>
        <w:rPr>
          <w:rFonts w:ascii="Courier New" w:cs="Courier New" w:eastAsia="Courier New" w:hAnsi="Courier New"/>
          <w:sz w:val="15"/>
          <w:szCs w:val="15"/>
          <w:color w:val="auto"/>
        </w:rPr>
        <w:t>Each request for a Syndicated Loan or Letter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hereunder shall constitute a representation and warranty by the Borrower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conditions set forth in Section 10 and Section 11, as the case may be,</w:t>
      </w:r>
    </w:p>
    <w:p>
      <w:pPr>
        <w:spacing w:after="0" w:line="11"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6"/>
          <w:szCs w:val="16"/>
          <w:color w:val="auto"/>
        </w:rPr>
        <w:t>have been satisfied on the date of such request.</w:t>
      </w:r>
      <w:r>
        <w:rPr>
          <w:sz w:val="20"/>
          <w:szCs w:val="20"/>
          <w:color w:val="auto"/>
        </w:rPr>
        <w:tab/>
      </w:r>
      <w:r>
        <w:rPr>
          <w:rFonts w:ascii="Courier New" w:cs="Courier New" w:eastAsia="Courier New" w:hAnsi="Courier New"/>
          <w:sz w:val="15"/>
          <w:szCs w:val="15"/>
          <w:color w:val="auto"/>
        </w:rPr>
        <w:t>Any unpaid Reimbursement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 with respect to any Letter of Credit shall be a Base Rate Loan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hereunder.</w:t>
      </w:r>
    </w:p>
    <w:p>
      <w:pPr>
        <w:spacing w:after="0" w:line="188" w:lineRule="exact"/>
        <w:rPr>
          <w:sz w:val="20"/>
          <w:szCs w:val="20"/>
          <w:color w:val="auto"/>
        </w:rPr>
      </w:pPr>
    </w:p>
    <w:p>
      <w:pPr>
        <w:ind w:right="2679" w:firstLine="763"/>
        <w:spacing w:after="0" w:line="242" w:lineRule="auto"/>
        <w:rPr>
          <w:sz w:val="20"/>
          <w:szCs w:val="20"/>
          <w:color w:val="auto"/>
        </w:rPr>
      </w:pPr>
      <w:r>
        <w:rPr>
          <w:rFonts w:ascii="Courier New" w:cs="Courier New" w:eastAsia="Courier New" w:hAnsi="Courier New"/>
          <w:sz w:val="16"/>
          <w:szCs w:val="16"/>
          <w:color w:val="auto"/>
        </w:rPr>
        <w:t>Section 2.2 Facility Fee. The Borrower agrees to pay to the Administrative Agent for the account of the Banks a fee (the "Facility Fee") on the Total Commitment equal to the Applicable Facility Rate. The Facility Fee shall be payable quarterly in arrears on the first day of each calendar quarter for the immediately preceding calendar quarter commencing on July 1, 1996 with a final payment on the Maturity Date (or on the date of termination in full of the Total Commitment, if earlier).</w:t>
      </w:r>
    </w:p>
    <w:p>
      <w:pPr>
        <w:spacing w:after="0" w:line="185" w:lineRule="exact"/>
        <w:rPr>
          <w:sz w:val="20"/>
          <w:szCs w:val="20"/>
          <w:color w:val="auto"/>
        </w:rPr>
      </w:pPr>
    </w:p>
    <w:p>
      <w:pPr>
        <w:ind w:left="760"/>
        <w:spacing w:after="0"/>
        <w:tabs>
          <w:tab w:leader="none" w:pos="1980" w:val="left"/>
        </w:tabs>
        <w:rPr>
          <w:sz w:val="20"/>
          <w:szCs w:val="20"/>
          <w:color w:val="auto"/>
        </w:rPr>
      </w:pPr>
      <w:r>
        <w:rPr>
          <w:rFonts w:ascii="Courier New" w:cs="Courier New" w:eastAsia="Courier New" w:hAnsi="Courier New"/>
          <w:sz w:val="16"/>
          <w:szCs w:val="16"/>
          <w:color w:val="auto"/>
        </w:rPr>
        <w:t>Section 2.3</w:t>
      </w:r>
      <w:r>
        <w:rPr>
          <w:sz w:val="20"/>
          <w:szCs w:val="20"/>
          <w:color w:val="auto"/>
        </w:rPr>
        <w:tab/>
      </w:r>
      <w:r>
        <w:rPr>
          <w:rFonts w:ascii="Courier New" w:cs="Courier New" w:eastAsia="Courier New" w:hAnsi="Courier New"/>
          <w:sz w:val="15"/>
          <w:szCs w:val="15"/>
          <w:color w:val="auto"/>
        </w:rPr>
        <w:t>Reduction of Total Commitment.</w:t>
      </w:r>
    </w:p>
    <w:p>
      <w:pPr>
        <w:spacing w:after="0" w:line="188" w:lineRule="exact"/>
        <w:rPr>
          <w:sz w:val="20"/>
          <w:szCs w:val="20"/>
          <w:color w:val="auto"/>
        </w:rPr>
      </w:pPr>
    </w:p>
    <w:p>
      <w:pPr>
        <w:ind w:left="760" w:right="2679" w:firstLine="859"/>
        <w:spacing w:after="0" w:line="242" w:lineRule="auto"/>
        <w:tabs>
          <w:tab w:leader="none" w:pos="2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have the right at any time and from time to time upon three (3) Business Day's prior written notice to the Administrative Agent to reduce by $25,000,000 or greater amount or terminate entirely the Total Commitment, whereupon the Commitment of each Bank shall be reduced pro rata in accordance with such Bank's Commitment Percentage of the amount specified in such notice or, as the case may be, terminated. The Administrative Agent will notify the Banks promptly after receiving any notice delivered by the Borrower pursuant to this Section 2.3. Notwithstanding the foregoing, at no time may the Total Commitment be reduced to an amount less than the sum of (i) the Maximum Drawing Amount of all Letters of Credit and (ii) all Loans then outstanding.</w:t>
      </w:r>
    </w:p>
    <w:p>
      <w:pPr>
        <w:sectPr>
          <w:pgSz w:w="11900" w:h="16838" w:orient="portrait"/>
          <w:cols w:equalWidth="0" w:num="1">
            <w:col w:w="10219"/>
          </w:cols>
          <w:pgMar w:left="240" w:top="298" w:right="1440" w:bottom="1440" w:gutter="0" w:footer="0" w:header="0"/>
        </w:sectPr>
      </w:pPr>
    </w:p>
    <w:bookmarkStart w:id="34" w:name="page35"/>
    <w:bookmarkEnd w:id="34"/>
    <w:p>
      <w:pPr>
        <w:ind w:left="282"/>
        <w:spacing w:after="0"/>
        <w:rPr>
          <w:sz w:val="20"/>
          <w:szCs w:val="20"/>
          <w:color w:val="auto"/>
        </w:rPr>
      </w:pPr>
      <w:r>
        <w:rPr>
          <w:rFonts w:ascii="Courier New" w:cs="Courier New" w:eastAsia="Courier New" w:hAnsi="Courier New"/>
          <w:sz w:val="16"/>
          <w:szCs w:val="16"/>
          <w:color w:val="auto"/>
        </w:rPr>
        <w:t>28</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355" w:lineRule="exact"/>
        <w:rPr>
          <w:sz w:val="20"/>
          <w:szCs w:val="20"/>
          <w:color w:val="auto"/>
        </w:rPr>
      </w:pPr>
    </w:p>
    <w:p>
      <w:pPr>
        <w:ind w:left="762" w:right="2679" w:firstLine="859"/>
        <w:spacing w:after="0" w:line="242" w:lineRule="auto"/>
        <w:tabs>
          <w:tab w:leader="none" w:pos="2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30, 1999 and at the end of each fiscal quarter ending thereafter, the Total Commitment shall be automatically and irrevocably reduced by increments of $25,000,000, whereupon each Bank's Commitment shall be reduced pro rata in accordance with such Bank's Commitment Percentage, and any payments required by Section 5.2 shall be concurrently made on each such date.</w:t>
      </w:r>
    </w:p>
    <w:p>
      <w:pPr>
        <w:spacing w:after="0" w:line="187" w:lineRule="exact"/>
        <w:rPr>
          <w:rFonts w:ascii="Courier New" w:cs="Courier New" w:eastAsia="Courier New" w:hAnsi="Courier New"/>
          <w:sz w:val="16"/>
          <w:szCs w:val="16"/>
          <w:color w:val="auto"/>
        </w:rPr>
      </w:pPr>
    </w:p>
    <w:p>
      <w:pPr>
        <w:ind w:left="762" w:right="2879" w:firstLine="859"/>
        <w:spacing w:after="0" w:line="241" w:lineRule="auto"/>
        <w:tabs>
          <w:tab w:leader="none" w:pos="2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189" w:lineRule="exact"/>
        <w:rPr>
          <w:sz w:val="20"/>
          <w:szCs w:val="20"/>
          <w:color w:val="auto"/>
        </w:rPr>
      </w:pPr>
    </w:p>
    <w:p>
      <w:pPr>
        <w:ind w:left="2" w:right="2679" w:firstLine="763"/>
        <w:spacing w:after="0" w:line="259" w:lineRule="auto"/>
        <w:rPr>
          <w:sz w:val="20"/>
          <w:szCs w:val="20"/>
          <w:color w:val="auto"/>
        </w:rPr>
      </w:pPr>
      <w:r>
        <w:rPr>
          <w:rFonts w:ascii="Courier New" w:cs="Courier New" w:eastAsia="Courier New" w:hAnsi="Courier New"/>
          <w:sz w:val="15"/>
          <w:szCs w:val="15"/>
          <w:color w:val="auto"/>
        </w:rPr>
        <w:t>Section 2.4 The Syndicated Notes. The Syndicated Loans shall be evidenced by separate promissory notes of the Borrower in substantially the form of Exhibit A hereto (each, a "Syndicated Note"), dated as of the Closing Date and completed with appropriate insertions. One Syndicated Note shall be payable to the order of each Bank in an amount equal to such Bank's Commitment, and shall represent the obligation of the Borrower to pay such Bank such principal amounts or, if less, the outstanding principal amount of all Syndicated Loans made by such Bank, plus interest accrued thereon, as set forth below. The Borrower irrevocably authorizes each Bank to make or cause to be made, in connection with a Drawdown Date of any Syndicated Loan or at the time of receipt of any payment of principal on such Bank's Syndicated Note, an appropriate notation on such Bank's records or on the schedule attached to such Bank's Syndicated Note or a continuation of such schedule attached thereto reflecting the making of the Syndicated Loan or the receipt of such payment (as the case may be) and may, prior to any transfer of its Syndicated Note, endorse on the reverse side thereof the outstanding principal amount of Syndicated Loans evidenced thereby. The outstanding amount of the Syndicated Loans set forth on such Bank's record shall be prima facie evidence of the principal amount thereof owing and unpaid to such Bank, but the failure to record, or any error in so recording, any such amount shall not limit or otherwise affect the obligations of the Borrower hereunder or under the Syndicated Notes to make payments of principal of or interest on any Syndicated Note when due.</w:t>
      </w:r>
    </w:p>
    <w:p>
      <w:pPr>
        <w:spacing w:after="0" w:line="368" w:lineRule="exact"/>
        <w:rPr>
          <w:sz w:val="20"/>
          <w:szCs w:val="20"/>
          <w:color w:val="auto"/>
        </w:rPr>
      </w:pPr>
    </w:p>
    <w:p>
      <w:pPr>
        <w:ind w:left="2" w:right="2779" w:firstLine="763"/>
        <w:spacing w:after="0" w:line="259" w:lineRule="auto"/>
        <w:rPr>
          <w:sz w:val="20"/>
          <w:szCs w:val="20"/>
          <w:color w:val="auto"/>
        </w:rPr>
      </w:pPr>
      <w:r>
        <w:rPr>
          <w:rFonts w:ascii="Courier New" w:cs="Courier New" w:eastAsia="Courier New" w:hAnsi="Courier New"/>
          <w:sz w:val="15"/>
          <w:szCs w:val="15"/>
          <w:color w:val="auto"/>
        </w:rPr>
        <w:t>Section 2.5 Interest on Syndicated Loans. The outstanding principal amount of the Syndicated Loans shall bear interest at the rate per annum equal to the Base Rate on Base Rate Loans or the Applicable Eurodollar Rate on Eurodollar Loans. Interest shall be payable (a) monthly in arrears on the first Business Day of each month, commencing June 1, 1996, on Base Rate Loans,</w:t>
      </w:r>
    </w:p>
    <w:p>
      <w:pPr>
        <w:jc w:val="both"/>
        <w:ind w:left="2" w:right="2979" w:hanging="2"/>
        <w:spacing w:after="0" w:line="259" w:lineRule="auto"/>
        <w:tabs>
          <w:tab w:leader="none" w:pos="3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applicable Interest Period, and if such Interest Period is longer than three months, also on the last day of the third month following the commencement of such Interest Period, on Eurodollar Loans, and</w:t>
      </w:r>
    </w:p>
    <w:p>
      <w:pPr>
        <w:ind w:left="382" w:hanging="382"/>
        <w:spacing w:after="0"/>
        <w:tabs>
          <w:tab w:leader="none" w:pos="3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Maturity Date for all Loans.</w:t>
      </w:r>
    </w:p>
    <w:p>
      <w:pPr>
        <w:spacing w:after="0" w:line="188" w:lineRule="exact"/>
        <w:rPr>
          <w:sz w:val="20"/>
          <w:szCs w:val="20"/>
          <w:color w:val="auto"/>
        </w:rPr>
      </w:pPr>
    </w:p>
    <w:p>
      <w:pPr>
        <w:ind w:left="2" w:right="2679" w:firstLine="763"/>
        <w:spacing w:after="0" w:line="242" w:lineRule="auto"/>
        <w:rPr>
          <w:sz w:val="20"/>
          <w:szCs w:val="20"/>
          <w:color w:val="auto"/>
        </w:rPr>
      </w:pPr>
      <w:r>
        <w:rPr>
          <w:rFonts w:ascii="Courier New" w:cs="Courier New" w:eastAsia="Courier New" w:hAnsi="Courier New"/>
          <w:sz w:val="16"/>
          <w:szCs w:val="16"/>
          <w:color w:val="auto"/>
        </w:rPr>
        <w:t>Section 2.6 Requests for Syndicated Loans. The Borrower shall give to the Administrative Agent written notice in the form of Exhibit C-1 hereto (or telephonic notice confirmed in writing or a facsimile in the form of Exhibit C-1 hereto) of each Syndicated Loan requested hereunder (a "Syndicated Loan Request") not later than (a) 11:00 a.m. (New York time) on the proposed Drawdown Date of any Base Rate Loan, or (b) 11:00 a.m. (New York time) three</w:t>
      </w:r>
    </w:p>
    <w:p>
      <w:pPr>
        <w:spacing w:after="0" w:line="4" w:lineRule="exact"/>
        <w:rPr>
          <w:sz w:val="20"/>
          <w:szCs w:val="20"/>
          <w:color w:val="auto"/>
        </w:rPr>
      </w:pPr>
    </w:p>
    <w:p>
      <w:pPr>
        <w:ind w:left="2" w:right="2979" w:hanging="2"/>
        <w:spacing w:after="0" w:line="241"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Eurodollar Business Days prior to the proposed Drawdown Date of any Eurodollar Loan. Each such notice shall specify (A) the principal amount of the Syndicated Loan requested, (B) the proposed Drawdown Date of such Syndicated Loan, (C) whether such Syndicated Loan requested is to be a Base Rate Loan or a</w:t>
      </w:r>
    </w:p>
    <w:p>
      <w:pPr>
        <w:sectPr>
          <w:pgSz w:w="11900" w:h="16838" w:orient="portrait"/>
          <w:cols w:equalWidth="0" w:num="1">
            <w:col w:w="10221"/>
          </w:cols>
          <w:pgMar w:left="238" w:top="298" w:right="1440" w:bottom="1440" w:gutter="0" w:footer="0" w:header="0"/>
        </w:sectPr>
      </w:pPr>
    </w:p>
    <w:bookmarkStart w:id="35" w:name="page36"/>
    <w:bookmarkEnd w:id="35"/>
    <w:p>
      <w:pPr>
        <w:ind w:left="282"/>
        <w:spacing w:after="0"/>
        <w:rPr>
          <w:sz w:val="20"/>
          <w:szCs w:val="20"/>
          <w:color w:val="auto"/>
        </w:rPr>
      </w:pPr>
      <w:r>
        <w:rPr>
          <w:rFonts w:ascii="Courier New" w:cs="Courier New" w:eastAsia="Courier New" w:hAnsi="Courier New"/>
          <w:sz w:val="16"/>
          <w:szCs w:val="16"/>
          <w:color w:val="auto"/>
        </w:rPr>
        <w:t>29</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-20-</w:t>
      </w:r>
    </w:p>
    <w:p>
      <w:pPr>
        <w:spacing w:after="0" w:line="372"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Eurodollar Loan and (D) the Interest Period for such Syndicated Loan, if a Eurodollar Loan. Each Syndicated Loan requested shall be in a minimum amount of $10,000,000. Each such request shall specify the principal amount of the Syndicated Loan requested and shall reflect the Maximum Drawing Amount of all Letters of Credit outstanding and the amount of Loans outstanding (including Competitive Bid Loans). Syndicated Loan requests made hereunder shall be irrevocable and binding on the Borrower, and shall obligate the Borrower to accept the Syndicated Loan requested from the Banks on the proposed Drawdown Date. Each of the representations and warranties made by the Borrower to the Banks or the Bank Agents in this Agreement or any other Loan Document shall be true and correct in all material respects when made and shall, for all purposes of this Agreement, be deemed to be repeated on and as of the date of the submission of a Syndicated Loan and Letter of Credit Request and on and as of the Drawdown Date of such Syndicated Loan or the date of issuance of such Letter of Credit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its Subsidiaries as a whole, or</w:t>
      </w:r>
    </w:p>
    <w:p>
      <w:pPr>
        <w:spacing w:after="0" w:line="12" w:lineRule="exact"/>
        <w:rPr>
          <w:sz w:val="20"/>
          <w:szCs w:val="20"/>
          <w:color w:val="auto"/>
        </w:rPr>
      </w:pPr>
    </w:p>
    <w:p>
      <w:pPr>
        <w:ind w:left="2" w:right="3059" w:hanging="2"/>
        <w:spacing w:after="0" w:line="241" w:lineRule="auto"/>
        <w:tabs>
          <w:tab w:leader="none" w:pos="57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representations and warranties expressly relate only to an earlier date). The Administrative Agent shall promptly notify each Bank of each Syndicated Loan and Letter of Credit Request received by the Administrative Agent.</w:t>
      </w:r>
    </w:p>
    <w:p>
      <w:pPr>
        <w:spacing w:after="0" w:line="189" w:lineRule="exact"/>
        <w:rPr>
          <w:sz w:val="20"/>
          <w:szCs w:val="20"/>
          <w:color w:val="auto"/>
        </w:rPr>
      </w:pPr>
    </w:p>
    <w:p>
      <w:pPr>
        <w:ind w:left="2" w:right="3059" w:firstLine="382"/>
        <w:spacing w:after="0" w:line="239" w:lineRule="auto"/>
        <w:rPr>
          <w:sz w:val="20"/>
          <w:szCs w:val="20"/>
          <w:color w:val="auto"/>
        </w:rPr>
      </w:pPr>
      <w:r>
        <w:rPr>
          <w:rFonts w:ascii="Courier New" w:cs="Courier New" w:eastAsia="Courier New" w:hAnsi="Courier New"/>
          <w:sz w:val="16"/>
          <w:szCs w:val="16"/>
          <w:color w:val="auto"/>
        </w:rPr>
        <w:t>Section 2.7 Election of Eurodollar Rate; Notice of Election; Interest Periods; Minimum Amounts.</w:t>
      </w:r>
    </w:p>
    <w:p>
      <w:pPr>
        <w:spacing w:after="0" w:line="189" w:lineRule="exact"/>
        <w:rPr>
          <w:sz w:val="20"/>
          <w:szCs w:val="20"/>
          <w:color w:val="auto"/>
        </w:rPr>
      </w:pPr>
    </w:p>
    <w:p>
      <w:pPr>
        <w:ind w:left="382" w:right="2779" w:firstLine="858"/>
        <w:spacing w:after="0" w:line="259" w:lineRule="auto"/>
        <w:tabs>
          <w:tab w:leader="none" w:pos="2003"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Borrower's option, so long as no Default or Event of Default has occurred and is then continuing, the Borrower may (i) elect to convert any Base Rate Loan or a portion thereof to a Eurodollar Loan,</w:t>
      </w:r>
    </w:p>
    <w:p>
      <w:pPr>
        <w:ind w:left="862" w:hanging="481"/>
        <w:spacing w:after="0"/>
        <w:tabs>
          <w:tab w:leader="none" w:pos="86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any Syndicated Loan and Letter of Credit Request,</w:t>
      </w:r>
    </w:p>
    <w:p>
      <w:pPr>
        <w:spacing w:after="0" w:line="2"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specify that such requested Syndicated Loan shall be a Eurodollar Loan, or</w:t>
      </w:r>
    </w:p>
    <w:p>
      <w:pPr>
        <w:spacing w:after="0" w:line="4" w:lineRule="exact"/>
        <w:rPr>
          <w:rFonts w:ascii="Courier New" w:cs="Courier New" w:eastAsia="Courier New" w:hAnsi="Courier New"/>
          <w:sz w:val="16"/>
          <w:szCs w:val="16"/>
          <w:color w:val="auto"/>
        </w:rPr>
      </w:pPr>
    </w:p>
    <w:p>
      <w:pPr>
        <w:ind w:left="382" w:right="2679" w:hanging="1"/>
        <w:spacing w:after="0" w:line="242" w:lineRule="auto"/>
        <w:tabs>
          <w:tab w:leader="none" w:pos="95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expiration of the applicable Interest Period, elect to maintain an existing Eurodollar Loan as such, provided that the Borrower gives notice to the Administrative Agent pursuant to Section 2.7(b) hereof. Upon determining any Eurodollar Rate, the Administrative Agent shall forthwith provide notice thereof to the Borrower and each Bank, and each such notice to the Borrower shall be considered prima facie correct and binding, absent manifest error.</w:t>
      </w:r>
    </w:p>
    <w:p>
      <w:pPr>
        <w:spacing w:after="0" w:line="187" w:lineRule="exact"/>
        <w:rPr>
          <w:rFonts w:ascii="Courier New" w:cs="Courier New" w:eastAsia="Courier New" w:hAnsi="Courier New"/>
          <w:sz w:val="16"/>
          <w:szCs w:val="16"/>
          <w:color w:val="auto"/>
        </w:rPr>
      </w:pPr>
    </w:p>
    <w:p>
      <w:pPr>
        <w:ind w:left="382" w:right="2679" w:firstLine="858"/>
        <w:spacing w:after="0" w:line="259" w:lineRule="auto"/>
        <w:tabs>
          <w:tab w:leader="none" w:pos="200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each Bank in writing (or by telephone confirmed in writing or by facsimile) of such election.</w:t>
      </w:r>
    </w:p>
    <w:p>
      <w:pPr>
        <w:sectPr>
          <w:pgSz w:w="11900" w:h="16838" w:orient="portrait"/>
          <w:cols w:equalWidth="0" w:num="1">
            <w:col w:w="10221"/>
          </w:cols>
          <w:pgMar w:left="238" w:top="298"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30</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355" w:lineRule="exact"/>
        <w:rPr>
          <w:sz w:val="20"/>
          <w:szCs w:val="20"/>
          <w:color w:val="auto"/>
        </w:rPr>
      </w:pPr>
    </w:p>
    <w:p>
      <w:pPr>
        <w:ind w:left="100" w:right="2979" w:firstLine="858"/>
        <w:spacing w:after="0"/>
        <w:tabs>
          <w:tab w:leader="none" w:pos="17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the Borrower may not specify an Interest Period that would extend beyond the Maturity Date.</w:t>
      </w:r>
    </w:p>
    <w:p>
      <w:pPr>
        <w:spacing w:after="0" w:line="189" w:lineRule="exact"/>
        <w:rPr>
          <w:rFonts w:ascii="Courier New" w:cs="Courier New" w:eastAsia="Courier New" w:hAnsi="Courier New"/>
          <w:sz w:val="16"/>
          <w:szCs w:val="16"/>
          <w:color w:val="auto"/>
        </w:rPr>
      </w:pPr>
    </w:p>
    <w:p>
      <w:pPr>
        <w:ind w:left="100" w:right="2979" w:firstLine="858"/>
        <w:spacing w:after="0" w:line="241" w:lineRule="auto"/>
        <w:tabs>
          <w:tab w:leader="none" w:pos="17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conversion of Loans pursuant to this Section 2.7 may result in Eurodollar Loans that are less than $5,000,000. In no event shall the Borrower have more than eight (8) different maturities of borrowings of Eurodollar Loans outstanding at any time.</w:t>
      </w:r>
    </w:p>
    <w:p>
      <w:pPr>
        <w:spacing w:after="0" w:line="189" w:lineRule="exact"/>
        <w:rPr>
          <w:rFonts w:ascii="Courier New" w:cs="Courier New" w:eastAsia="Courier New" w:hAnsi="Courier New"/>
          <w:sz w:val="16"/>
          <w:szCs w:val="16"/>
          <w:color w:val="auto"/>
        </w:rPr>
      </w:pPr>
    </w:p>
    <w:p>
      <w:pPr>
        <w:ind w:left="100" w:right="2679" w:firstLine="858"/>
        <w:spacing w:after="0" w:line="259" w:lineRule="auto"/>
        <w:tabs>
          <w:tab w:leader="none" w:pos="172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Section 5.8 hereof, if any affected Bank demands compensation under Section 5.5(c) or (d) with respect to any Eurodollar Loan, the Borrower may at any time, upon at least three (3) Business Days' prior written notice to the Administrative Agent elect to convert such Eurodollar Loan into a Base Rate Loan (on which interest and principal shall be payable contemporaneously with the related Eurodollar Loans of the other Banks). Thereafter, and until such time as the affected Bank notifies the Borrower that the circumstances giving rise to the demand for compensation under Section 5.5(c) or (d) no longer exist, all requests for Eurodollar Loans from such affected Bank shall be deemed to be requests for Base Rate Loans, regardless of whether the Borrower has requested a Eurodollar Loan from the other Banks. Once the affected Bank notifies the Borrower that such circumstances no longer exist, the Borrower may elect that the principal amount of each such Bank's Loans again bear interest as Eurodollar Loans beginning on the first day of the next succeeding Interest Period applicable to the related Eurodollar Loans of the other Banks.</w:t>
      </w:r>
    </w:p>
    <w:p>
      <w:pPr>
        <w:sectPr>
          <w:pgSz w:w="11900" w:h="16838" w:orient="portrait"/>
          <w:cols w:equalWidth="0" w:num="1">
            <w:col w:w="9939"/>
          </w:cols>
          <w:pgMar w:left="520" w:top="298"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31</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pacing w:after="0" w:line="372"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Section 2.8 Funds for Syndicated Credit Loans. Not later than 1:00 p.m. (New York time) on the proposed Drawdown Date of any Syndicated Loan, each of the Banks will make available to the Administrative Agent, at its Head Office, in immediately available funds, the amount of such Bank's Commitment Percentage of the amount of the requested Syndicated Loan. Upon receipt from each Bank of such amount, and upon receipt of the documents required by Section 10 or Section 11, as the case may be, and the satisfaction of the other conditions set forth therein, to the extent applicable, the Administrative Agent will make available to the Borrower the aggregate amount of such Syndicated Loans made available to the Administrative Agent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any requested Syndicated Loan.</w:t>
      </w:r>
    </w:p>
    <w:p>
      <w:pPr>
        <w:spacing w:after="0" w:line="184" w:lineRule="exact"/>
        <w:rPr>
          <w:sz w:val="20"/>
          <w:szCs w:val="20"/>
          <w:color w:val="auto"/>
        </w:rPr>
      </w:pPr>
    </w:p>
    <w:p>
      <w:pPr>
        <w:ind w:right="2879" w:firstLine="382"/>
        <w:spacing w:after="0" w:line="242" w:lineRule="auto"/>
        <w:rPr>
          <w:sz w:val="20"/>
          <w:szCs w:val="20"/>
          <w:color w:val="auto"/>
        </w:rPr>
      </w:pPr>
      <w:r>
        <w:rPr>
          <w:rFonts w:ascii="Courier New" w:cs="Courier New" w:eastAsia="Courier New" w:hAnsi="Courier New"/>
          <w:sz w:val="16"/>
          <w:szCs w:val="16"/>
          <w:color w:val="auto"/>
        </w:rPr>
        <w:t>Section 2.9 Maturity of the Syndicated Loans and Reimbursement Obligations. The Syndicated Loans shall be due and payable on the Maturity Date. The Borrower promises to pay on the Maturity Date all Syndicated Loans and all unpaid Reimbursement Obligations outstanding on such date, together with any and all accrued and unpaid interest thereon and any fees and other amounts owing hereunder.</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2.10 Optional Prepayments or Repayments of Syndicated Loans. Subject to the terms and conditions of Section 5.8, the Borrower shall have the right, at its election, to repay or prepay the outstanding amount of the Syndicated Loans, as a whole or in part, at any time without penalty or premium. The Borrower shall give the Administrative Agent, no later than 11:00 a.m. (New York time) one (1) Business Day prior to the proposed date of prepayment or repayment, written notice (or telephonic notice confirmed in writing or by facsimile) of any proposed prepayment or repayment pursuant to this Section 2.10, specifying the proposed date of prepayment or repayment of Loans and the principal amount to be paid. The Administrative Agent shall promptly notify each Bank by written notice (or telephonic notice confirmed in writing or by facsimile) of such payment.</w:t>
      </w:r>
    </w:p>
    <w:p>
      <w:pPr>
        <w:spacing w:after="0" w:line="188"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5"/>
          <w:szCs w:val="15"/>
          <w:color w:val="auto"/>
        </w:rPr>
        <w:t>LETTERS OF CREDIT.</w:t>
      </w:r>
    </w:p>
    <w:p>
      <w:pPr>
        <w:spacing w:after="0" w:line="186"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3.1</w:t>
      </w:r>
      <w:r>
        <w:rPr>
          <w:sz w:val="20"/>
          <w:szCs w:val="20"/>
          <w:color w:val="auto"/>
        </w:rPr>
        <w:tab/>
      </w:r>
      <w:r>
        <w:rPr>
          <w:rFonts w:ascii="Courier New" w:cs="Courier New" w:eastAsia="Courier New" w:hAnsi="Courier New"/>
          <w:sz w:val="15"/>
          <w:szCs w:val="15"/>
          <w:color w:val="auto"/>
        </w:rPr>
        <w:t>Letter of Credit Commitments.</w:t>
      </w:r>
    </w:p>
    <w:p>
      <w:pPr>
        <w:spacing w:after="0" w:line="188" w:lineRule="exact"/>
        <w:rPr>
          <w:sz w:val="20"/>
          <w:szCs w:val="20"/>
          <w:color w:val="auto"/>
        </w:rPr>
      </w:pPr>
    </w:p>
    <w:p>
      <w:pPr>
        <w:ind w:left="380" w:right="2679" w:firstLine="858"/>
        <w:spacing w:after="0" w:line="242" w:lineRule="auto"/>
        <w:tabs>
          <w:tab w:leader="none" w:pos="200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hereof and the receipt of a Syndicated Loan and Letter of Credit Request by the Issuing Bank, with a copy to the Administrative Agent, reflecting the Maximum Drawing Amount of all Letters of Credit (including the requested Letter of Credit) and a Letter of Credit Application, the Issuing Bank, on behalf of the Banks and in reliance upon the representations and warranties of the Borrower contained herein and the agreement of the Banks contained in Section 3.1(b) hereof, agrees to issue letters of credit (which may incorporate automatic renewals for periods of up to twelve (12) months), in such form as may be requested from time to time by the Borrower and agreed to by the Issuing Bank; provided, however, that, (i) after giving effect to such request, the aggregate Maximum Drawing Amount of all letters of credit issued at any time under this Section 3.1(a)</w:t>
      </w:r>
    </w:p>
    <w:p>
      <w:pPr>
        <w:sectPr>
          <w:pgSz w:w="11900" w:h="16838" w:orient="portrait"/>
          <w:cols w:equalWidth="0" w:num="1">
            <w:col w:w="10219"/>
          </w:cols>
          <w:pgMar w:left="240" w:top="298"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pacing w:after="0" w:line="372" w:lineRule="exact"/>
        <w:rPr>
          <w:sz w:val="20"/>
          <w:szCs w:val="20"/>
          <w:color w:val="auto"/>
        </w:rPr>
      </w:pPr>
    </w:p>
    <w:p>
      <w:pPr>
        <w:ind w:left="380" w:right="2779"/>
        <w:spacing w:after="0" w:line="259" w:lineRule="auto"/>
        <w:rPr>
          <w:sz w:val="20"/>
          <w:szCs w:val="20"/>
          <w:color w:val="auto"/>
        </w:rPr>
      </w:pPr>
      <w:r>
        <w:rPr>
          <w:rFonts w:ascii="Courier New" w:cs="Courier New" w:eastAsia="Courier New" w:hAnsi="Courier New"/>
          <w:sz w:val="15"/>
          <w:szCs w:val="15"/>
          <w:color w:val="auto"/>
        </w:rPr>
        <w:t>(the "Letters of Credit") shall not exceed the lesser of (A) $300,000,000, or (B) the Total Commitment minus the outstanding amount of the Loans, and</w:t>
      </w:r>
    </w:p>
    <w:p>
      <w:pPr>
        <w:ind w:left="380" w:right="2679" w:hanging="1"/>
        <w:spacing w:after="0" w:line="259" w:lineRule="auto"/>
        <w:tabs>
          <w:tab w:leader="none" w:pos="85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Letter of Credit shall have an expiration date later than the earlier of (x) eighteen (18) months after the date of issuance (which may incorporate automatic renewals for periods of up to twelve (12) months), or</w:t>
      </w:r>
    </w:p>
    <w:p>
      <w:pPr>
        <w:jc w:val="both"/>
        <w:ind w:left="380" w:right="2879" w:hanging="1"/>
        <w:spacing w:after="0" w:line="241" w:lineRule="auto"/>
        <w:tabs>
          <w:tab w:leader="none" w:pos="7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five (5) Business Days prior to the Maturity Date. The letters of credit listed in Schedule 3.1(a) and issued by Issuing Banks under the previous credit facility of the Borrower shall be Letters of Credit under this Agreement.</w:t>
      </w:r>
    </w:p>
    <w:p>
      <w:pPr>
        <w:spacing w:after="0" w:line="189" w:lineRule="exact"/>
        <w:rPr>
          <w:rFonts w:ascii="Courier New" w:cs="Courier New" w:eastAsia="Courier New" w:hAnsi="Courier New"/>
          <w:sz w:val="16"/>
          <w:szCs w:val="16"/>
          <w:color w:val="auto"/>
        </w:rPr>
      </w:pPr>
    </w:p>
    <w:p>
      <w:pPr>
        <w:ind w:left="380" w:right="2779" w:firstLine="858"/>
        <w:spacing w:after="0" w:line="242" w:lineRule="auto"/>
        <w:tabs>
          <w:tab w:leader="none" w:pos="200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severally agrees that it shall be absolutely liable, without regard to the occurrence of any Default or Event of Default, the termination of the Total Commitment pursuant to Section 12.2, or any other condition precedent whatsoever, to the extent of such Bank's Commitment Percentage thereof,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pacing w:after="0" w:line="191" w:lineRule="exact"/>
        <w:rPr>
          <w:rFonts w:ascii="Courier New" w:cs="Courier New" w:eastAsia="Courier New" w:hAnsi="Courier New"/>
          <w:sz w:val="16"/>
          <w:szCs w:val="16"/>
          <w:color w:val="auto"/>
        </w:rPr>
      </w:pPr>
    </w:p>
    <w:p>
      <w:pPr>
        <w:ind w:left="380" w:right="2879" w:firstLine="858"/>
        <w:spacing w:after="0" w:line="242" w:lineRule="auto"/>
        <w:tabs>
          <w:tab w:leader="none" w:pos="200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reimbursement payment made by a Bank to the Issuing Bank shall be treated as the purchase by such Bank of a participating interest in the Borrower's Reimbursement Obligation under Section 3.2 in an amount equal to such payment. Each Bank shall share in accordance with its participating interest in any interest which accrues pursuant to Section 3.2.</w:t>
      </w:r>
    </w:p>
    <w:p>
      <w:pPr>
        <w:spacing w:after="0" w:line="187"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Section 3.2 Reimbursement Obligation of the Borrower. In order to induce the Issuing Bank to issue, extend and renew each Letter of Credit, the Borrower hereby agrees to reimburse or pay to the Issuing Bank, with respect to each Letter of Credit issued, extended or renewed by the Issuing Bank hereunder, as follows:</w:t>
      </w:r>
    </w:p>
    <w:p>
      <w:pPr>
        <w:spacing w:after="0" w:line="190" w:lineRule="exact"/>
        <w:rPr>
          <w:sz w:val="20"/>
          <w:szCs w:val="20"/>
          <w:color w:val="auto"/>
        </w:rPr>
      </w:pPr>
    </w:p>
    <w:p>
      <w:pPr>
        <w:ind w:left="380" w:right="2679" w:firstLine="858"/>
        <w:spacing w:after="0" w:line="242" w:lineRule="auto"/>
        <w:tabs>
          <w:tab w:leader="none" w:pos="20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draft presented under any Letter of Credit is honored by the Issuing Bank or the Issuing Bank otherwise makes payment with respect thereto, the sum of (i) the amount paid by the Issuing Bank under or with respect to such Letter of Credit, and (ii) the amount of any taxes, fees, charges or other costs and expenses whatsoever incurred by the Issuing Bank in connection with any payment made by the Issuing Bank under, or with respect to, such Letter of Credit, provided however, if the Borrower does not reimburse the Issuing Bank on the Drawdown Date, such amount shall become automatically a Syndicated Loan which is a Base Rate Loan advanced hereunder in an amount equal to such sum; and</w:t>
      </w:r>
    </w:p>
    <w:p>
      <w:pPr>
        <w:spacing w:after="0" w:line="189" w:lineRule="exact"/>
        <w:rPr>
          <w:rFonts w:ascii="Courier New" w:cs="Courier New" w:eastAsia="Courier New" w:hAnsi="Courier New"/>
          <w:sz w:val="16"/>
          <w:szCs w:val="16"/>
          <w:color w:val="auto"/>
        </w:rPr>
      </w:pPr>
    </w:p>
    <w:p>
      <w:pPr>
        <w:ind w:left="380" w:right="2979" w:firstLine="858"/>
        <w:spacing w:after="0" w:line="242" w:lineRule="auto"/>
        <w:tabs>
          <w:tab w:leader="none" w:pos="20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Maturity Date or the acceleration of the Reimbursement Obligations with respect to all Letters of Credit in accordance with Section 12, an amount equal to the then Maximum Drawing Amount of all Letters of Credit shall be paid by the Borrower to the Administrative Agent to be held as cash collateral for all Reimbursement Obligations.</w:t>
      </w:r>
    </w:p>
    <w:p>
      <w:pPr>
        <w:sectPr>
          <w:pgSz w:w="11900" w:h="16838" w:orient="portrait"/>
          <w:cols w:equalWidth="0" w:num="1">
            <w:col w:w="10219"/>
          </w:cols>
          <w:pgMar w:left="240" w:top="298"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33</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pacing w:after="0" w:line="200" w:lineRule="exact"/>
        <w:rPr>
          <w:sz w:val="20"/>
          <w:szCs w:val="20"/>
          <w:color w:val="auto"/>
        </w:rPr>
      </w:pPr>
    </w:p>
    <w:p>
      <w:pPr>
        <w:spacing w:after="0" w:line="355"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Section 3.3 Obligations Absolute. The Borrower's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the Issuing Bank, any Bank or any beneficiary of a Letter of Credit, and the Borrower expressly waives any such rights that it may have with respect thereto. The Borrower further agrees with the Issuing Bank and the Banks that the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the Issuing Bank or any other Banks),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the Issuing Bank or any Bank in good faith under or in connection with each Letter of Credit and the related drafts and documents shall be binding upon the Borrower and shall not result in any liability on the part of the Issuing Bank or any Bank (or their respective affiliates) to the Borrower. Nothing herein shall constitute a waiver by the Borrower of any of its rights against any beneficiary of a Letter of Credit.</w:t>
      </w:r>
    </w:p>
    <w:p>
      <w:pPr>
        <w:spacing w:after="0" w:line="36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3.4 Reliance by the Issuing Bank. To the extent not inconsistent with Section 3.3, the Issuing Bank shall be entitled to rely, and shall be fully protected in relying upon, any Letter of Credit, draft, writing, resolution, notice, consent, certificate, affidavit, letter, cablegram, telegram, facsimile, telex or teletype message, statement, order or other document believed by it in good faith to be genuine and correct and to have been signed, sent or made by the proper Person or Persons and upon advice and statements of legal counsel, independent accountants and other experts selected by the Issuing Bank.</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3.5 Notice Regarding Letters of Credit. One (1) Business Day prior to the issuance of any Letter of Credit or amendments or extensions thereof, the Issuing Bank shall notify the Administrative Agent of the terms of such Letter of Credit, amendment or extension. On the day of any drawing under any Letter of Credit, the Issuing Bank shall notify the Administrative Agent of such drawing under any Letter of Credit and amounts due from the Borrower pursuant to Section 3.2(a).</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3.6 Letter of Credit Fee. The Borrower shall pay a fee (the "Letter of Credit Fee") equal to the Applicable L/C Rate on the Maximum Drawing Amount of Letters of Credit issued hereunder to the Administrative Agent for the account of the Banks, to be shared pro-rata by each of the Banks in accordance with their respective Commitment Percentages. The Letter of Credit Fee shall be payable quarterly in arrears on the first day of each calendar quarter for the quarter just ended, commencing July 1, 1996, and on the Maturity Date. In addition, an issuing fee (the "Issuance Fee") to be agreed upon annually between the Borrower and each Issuing Bank shall be payable to the Issuing Bank for its account.</w:t>
      </w:r>
    </w:p>
    <w:p>
      <w:pPr>
        <w:spacing w:after="0" w:line="187" w:lineRule="exact"/>
        <w:rPr>
          <w:sz w:val="20"/>
          <w:szCs w:val="20"/>
          <w:color w:val="auto"/>
        </w:rPr>
      </w:pPr>
    </w:p>
    <w:p>
      <w:pPr>
        <w:ind w:left="380"/>
        <w:spacing w:after="0"/>
        <w:tabs>
          <w:tab w:leader="none" w:pos="160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5"/>
          <w:szCs w:val="15"/>
          <w:color w:val="auto"/>
        </w:rPr>
        <w:t>COMPETITIVE BID LOANS.</w:t>
      </w:r>
    </w:p>
    <w:p>
      <w:pPr>
        <w:sectPr>
          <w:pgSz w:w="11900" w:h="16838" w:orient="portrait"/>
          <w:cols w:equalWidth="0" w:num="1">
            <w:col w:w="10219"/>
          </w:cols>
          <w:pgMar w:left="240" w:top="298"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34</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pacing w:after="0" w:line="37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 4. Notwithstanding any other provision herein to the contrary, at no time shall the aggregate outstanding principal amount of Competitive Bid Loans outstanding at any time exceed the lesser of (i) the sum of the Total Commitment minus the aggregate outstanding principal amount of Syndicated Loans minus the Maximum Drawing Amount of Letters of Credit outstanding at such time, or (ii) $200,000,000.</w:t>
      </w:r>
    </w:p>
    <w:p>
      <w:pPr>
        <w:spacing w:after="0" w:line="188"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4.2</w:t>
      </w:r>
      <w:r>
        <w:rPr>
          <w:sz w:val="20"/>
          <w:szCs w:val="20"/>
          <w:color w:val="auto"/>
        </w:rPr>
        <w:tab/>
      </w:r>
      <w:r>
        <w:rPr>
          <w:rFonts w:ascii="Courier New" w:cs="Courier New" w:eastAsia="Courier New" w:hAnsi="Courier New"/>
          <w:sz w:val="15"/>
          <w:szCs w:val="15"/>
          <w:color w:val="auto"/>
        </w:rPr>
        <w:t>Competitive Bid Loan Accounts: Competitive Bid Notes.</w:t>
      </w:r>
    </w:p>
    <w:p>
      <w:pPr>
        <w:spacing w:after="0" w:line="188" w:lineRule="exact"/>
        <w:rPr>
          <w:sz w:val="20"/>
          <w:szCs w:val="20"/>
          <w:color w:val="auto"/>
        </w:rPr>
      </w:pPr>
    </w:p>
    <w:p>
      <w:pPr>
        <w:ind w:left="380" w:right="2679" w:firstLine="858"/>
        <w:spacing w:after="0" w:line="259" w:lineRule="auto"/>
        <w:tabs>
          <w:tab w:leader="none" w:pos="2001"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Borrower to repay the outstanding principal amount of any and all Competitive Bid Loans, plus interest at the applicable Competitive Bid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w:t>
      </w:r>
    </w:p>
    <w:p>
      <w:pPr>
        <w:ind w:left="380" w:right="2779" w:hanging="1"/>
        <w:spacing w:after="0"/>
        <w:tabs>
          <w:tab w:leader="none" w:pos="76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4.2, the Borrower's obligation with respect to Competitive Bid Loans are to be evidenced only as stated herein and not by separate promissory notes.</w:t>
      </w:r>
    </w:p>
    <w:p>
      <w:pPr>
        <w:spacing w:after="0" w:line="189"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may at any time, and from time to time, request that any Competitive Bid Loans outstanding to such Bank be evidenced by a promissory note of the Borrower in substantially the form of Exhibit B hereto (each, a "Competitive Bid Note"), dated as of the Closing Date and completed with appropriate insertions. One Competitive Bid Note shall be payable to the order of each Bank in an amount equal to $200,000,000, and representing the obligation of the Borrower to pay such Bank such principal amounts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192"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 records or on the schedule attached to such Bank's Competitive Bid Note or a continuation of such schedule attached thereto, or the Administrative Agent's records, as applicable, reflecting the making of the Competitive Bid Loan or the receipt of such payment (as the case may be) and may, prior to any transfer of a Competitive Bid Note, endorse on the reverse side thereof the outstanding principal amount of Competitive Bid Loans evidenced thereby. The outstanding amount of the Competitive Bid Loans set forth on such Bank's record or the</w:t>
      </w:r>
    </w:p>
    <w:p>
      <w:pPr>
        <w:sectPr>
          <w:pgSz w:w="11900" w:h="16838" w:orient="portrait"/>
          <w:cols w:equalWidth="0" w:num="1">
            <w:col w:w="10219"/>
          </w:cols>
          <w:pgMar w:left="240" w:top="298"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35</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pacing w:after="0" w:line="372" w:lineRule="exact"/>
        <w:rPr>
          <w:sz w:val="20"/>
          <w:szCs w:val="20"/>
          <w:color w:val="auto"/>
        </w:rPr>
      </w:pPr>
    </w:p>
    <w:p>
      <w:pPr>
        <w:ind w:left="380" w:right="2679"/>
        <w:spacing w:after="0" w:line="242" w:lineRule="auto"/>
        <w:rPr>
          <w:sz w:val="20"/>
          <w:szCs w:val="20"/>
          <w:color w:val="auto"/>
        </w:rPr>
      </w:pPr>
      <w:r>
        <w:rPr>
          <w:rFonts w:ascii="Courier New" w:cs="Courier New" w:eastAsia="Courier New" w:hAnsi="Courier New"/>
          <w:sz w:val="16"/>
          <w:szCs w:val="16"/>
          <w:color w:val="auto"/>
        </w:rPr>
        <w:t>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187"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Section 4.3 Competitive Bid Quote Request; Invitation for Competitive Bid Quotes.</w:t>
      </w:r>
    </w:p>
    <w:p>
      <w:pPr>
        <w:spacing w:after="0" w:line="189" w:lineRule="exact"/>
        <w:rPr>
          <w:sz w:val="20"/>
          <w:szCs w:val="20"/>
          <w:color w:val="auto"/>
        </w:rPr>
      </w:pPr>
    </w:p>
    <w:p>
      <w:pPr>
        <w:ind w:left="380" w:right="2779" w:firstLine="858"/>
        <w:spacing w:after="0" w:line="242" w:lineRule="auto"/>
        <w:tabs>
          <w:tab w:leader="none" w:pos="200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Borrower wishes to request offers to make Competitive Bid Loans under this Section 4, it shall transmit to the Administrative Agent by telex or facsimile a Competitive Bid Quote Request substantially in the form of Exhibit F hereto (a "Competitive Bid Quote Request") so as to be received no later than 1:00 p.m. (New York time) (x) five (5) Eurodollar Business Days prior to the requested Drawdown Date in the case of a LIBOR Competitive Bid Loan (a "LIBOR Competitive Bid Loan") or (y) one (1) Business Day prior to the requested Drawdown Date in the case of an Absolute Competitive Bid Loan (an "Absolute Competitive Bid Loan"), specifying:</w:t>
      </w:r>
    </w:p>
    <w:p>
      <w:pPr>
        <w:spacing w:after="0" w:line="189" w:lineRule="exact"/>
        <w:rPr>
          <w:rFonts w:ascii="Courier New" w:cs="Courier New" w:eastAsia="Courier New" w:hAnsi="Courier New"/>
          <w:sz w:val="16"/>
          <w:szCs w:val="16"/>
          <w:color w:val="auto"/>
        </w:rPr>
      </w:pPr>
    </w:p>
    <w:p>
      <w:pPr>
        <w:ind w:left="1240" w:right="2779" w:firstLine="761"/>
        <w:spacing w:after="0" w:line="241" w:lineRule="auto"/>
        <w:tabs>
          <w:tab w:leader="none" w:pos="28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requested Drawdown Date (which must be a Eurodollar Business Day in the case of a LIBOR Competitive Bid Loan or a Business Day in the case of an Absolute Competitive Bid Loan);</w:t>
      </w:r>
    </w:p>
    <w:p>
      <w:pPr>
        <w:spacing w:after="0" w:line="189" w:lineRule="exact"/>
        <w:rPr>
          <w:rFonts w:ascii="Courier New" w:cs="Courier New" w:eastAsia="Courier New" w:hAnsi="Courier New"/>
          <w:sz w:val="16"/>
          <w:szCs w:val="16"/>
          <w:color w:val="auto"/>
        </w:rPr>
      </w:pPr>
    </w:p>
    <w:p>
      <w:pPr>
        <w:ind w:left="1240" w:right="3159" w:firstLine="761"/>
        <w:spacing w:after="0"/>
        <w:tabs>
          <w:tab w:leader="none" w:pos="28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such Competitive Bid Loans, which shall be $10,000,000 or larger multiple of $1,000,000;</w:t>
      </w:r>
    </w:p>
    <w:p>
      <w:pPr>
        <w:spacing w:after="0" w:line="189" w:lineRule="exact"/>
        <w:rPr>
          <w:rFonts w:ascii="Courier New" w:cs="Courier New" w:eastAsia="Courier New" w:hAnsi="Courier New"/>
          <w:sz w:val="16"/>
          <w:szCs w:val="16"/>
          <w:color w:val="auto"/>
        </w:rPr>
      </w:pPr>
    </w:p>
    <w:p>
      <w:pPr>
        <w:ind w:left="1240" w:right="2679" w:firstLine="761"/>
        <w:spacing w:after="0"/>
        <w:tabs>
          <w:tab w:leader="none" w:pos="28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duration of the Interest Period(s) applicable thereto, subject to the provisions of the definition of Interest Period; and</w:t>
      </w:r>
    </w:p>
    <w:p>
      <w:pPr>
        <w:spacing w:after="0" w:line="189" w:lineRule="exact"/>
        <w:rPr>
          <w:rFonts w:ascii="Courier New" w:cs="Courier New" w:eastAsia="Courier New" w:hAnsi="Courier New"/>
          <w:sz w:val="16"/>
          <w:szCs w:val="16"/>
          <w:color w:val="auto"/>
        </w:rPr>
      </w:pPr>
    </w:p>
    <w:p>
      <w:pPr>
        <w:ind w:left="1240" w:right="2779" w:firstLine="761"/>
        <w:spacing w:after="0" w:line="271" w:lineRule="auto"/>
        <w:tabs>
          <w:tab w:leader="none" w:pos="286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Bid Quotes requested are LIBOR Competitive Bid Loans or Absolute Competitive Bid Loans.</w:t>
      </w:r>
    </w:p>
    <w:p>
      <w:pPr>
        <w:spacing w:after="0" w:line="166" w:lineRule="exact"/>
        <w:rPr>
          <w:sz w:val="20"/>
          <w:szCs w:val="20"/>
          <w:color w:val="auto"/>
        </w:rPr>
      </w:pPr>
    </w:p>
    <w:p>
      <w:pPr>
        <w:ind w:left="380" w:right="2779" w:firstLine="858"/>
        <w:spacing w:after="0" w:line="242" w:lineRule="auto"/>
        <w:rPr>
          <w:sz w:val="20"/>
          <w:szCs w:val="20"/>
          <w:color w:val="auto"/>
        </w:rPr>
      </w:pPr>
      <w:r>
        <w:rPr>
          <w:rFonts w:ascii="Courier New" w:cs="Courier New" w:eastAsia="Courier New" w:hAnsi="Courier New"/>
          <w:sz w:val="16"/>
          <w:szCs w:val="16"/>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ectPr>
          <w:pgSz w:w="11900" w:h="16838" w:orient="portrait"/>
          <w:cols w:equalWidth="0" w:num="1">
            <w:col w:w="10219"/>
          </w:cols>
          <w:pgMar w:left="240" w:top="298"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36</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pacing w:after="0" w:line="372" w:lineRule="exact"/>
        <w:rPr>
          <w:sz w:val="20"/>
          <w:szCs w:val="20"/>
          <w:color w:val="auto"/>
        </w:rPr>
      </w:pPr>
    </w:p>
    <w:p>
      <w:pPr>
        <w:ind w:left="380" w:right="2779" w:firstLine="858"/>
        <w:spacing w:after="0" w:line="242" w:lineRule="auto"/>
        <w:tabs>
          <w:tab w:leader="none" w:pos="200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receipt of a Competitive Bid Quote Request, the Administrative Agent shall send to the Banks by telecopy or facsimile transmission an Invitation for Competitive Bid Quotes substantially in the form of Exhibit G hereto, which shall constitute an invitation by the Borrower to each Bank to submit Competitive Bid Quotes in accordance with this Section 4.</w:t>
      </w:r>
    </w:p>
    <w:p>
      <w:pPr>
        <w:spacing w:after="0" w:line="187"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Sections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187"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4.5</w:t>
      </w:r>
      <w:r>
        <w:rPr>
          <w:sz w:val="20"/>
          <w:szCs w:val="20"/>
          <w:color w:val="auto"/>
        </w:rPr>
        <w:tab/>
      </w:r>
      <w:r>
        <w:rPr>
          <w:rFonts w:ascii="Courier New" w:cs="Courier New" w:eastAsia="Courier New" w:hAnsi="Courier New"/>
          <w:sz w:val="15"/>
          <w:szCs w:val="15"/>
          <w:color w:val="auto"/>
        </w:rPr>
        <w:t>Submission and Contents of Competitive Bid Quotes.</w:t>
      </w:r>
    </w:p>
    <w:p>
      <w:pPr>
        <w:spacing w:after="0" w:line="188" w:lineRule="exact"/>
        <w:rPr>
          <w:sz w:val="20"/>
          <w:szCs w:val="20"/>
          <w:color w:val="auto"/>
        </w:rPr>
      </w:pPr>
    </w:p>
    <w:p>
      <w:pPr>
        <w:ind w:left="380" w:right="2679" w:firstLine="858"/>
        <w:spacing w:after="0" w:line="242" w:lineRule="auto"/>
        <w:tabs>
          <w:tab w:leader="none" w:pos="20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20 not later than (x) 2:00 p.m. (New York time) on the fourth Eurodollar Business Day prior to the proposed Drawdown Date, in the case of a LIBOR Competitive Bid Loan or (y) 10:00 a.m. (New 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LIBOR Competitive Bid Loan or (y) 15 minutes prior to the deadline for the other Banks, in the case of an Absolute Competitive Bid Loan. Subject to the provisions of Sections 10 and 11 hereof, any Competitive Bid Quote so made shall be irrevocable except with the written consent of the Administrative Agent given on the instructions of the Borrower.</w:t>
      </w:r>
    </w:p>
    <w:p>
      <w:pPr>
        <w:spacing w:after="0" w:line="195" w:lineRule="exact"/>
        <w:rPr>
          <w:rFonts w:ascii="Courier New" w:cs="Courier New" w:eastAsia="Courier New" w:hAnsi="Courier New"/>
          <w:sz w:val="16"/>
          <w:szCs w:val="16"/>
          <w:color w:val="auto"/>
        </w:rPr>
      </w:pPr>
    </w:p>
    <w:p>
      <w:pPr>
        <w:ind w:left="380" w:right="2879" w:firstLine="858"/>
        <w:spacing w:after="0" w:line="239" w:lineRule="auto"/>
        <w:tabs>
          <w:tab w:leader="none" w:pos="20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Competitive Bid Quote shall be in substantially the form of Exhibit H hereto and shall in any case specify:</w:t>
      </w:r>
    </w:p>
    <w:p>
      <w:pPr>
        <w:spacing w:after="0" w:line="186" w:lineRule="exact"/>
        <w:rPr>
          <w:rFonts w:ascii="Courier New" w:cs="Courier New" w:eastAsia="Courier New" w:hAnsi="Courier New"/>
          <w:sz w:val="16"/>
          <w:szCs w:val="16"/>
          <w:color w:val="auto"/>
        </w:rPr>
      </w:pPr>
    </w:p>
    <w:p>
      <w:pPr>
        <w:ind w:left="2660" w:hanging="755"/>
        <w:spacing w:after="0"/>
        <w:tabs>
          <w:tab w:leader="none" w:pos="26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Drawdown Date;</w:t>
      </w:r>
    </w:p>
    <w:p>
      <w:pPr>
        <w:spacing w:after="0" w:line="188" w:lineRule="exact"/>
        <w:rPr>
          <w:rFonts w:ascii="Courier New" w:cs="Courier New" w:eastAsia="Courier New" w:hAnsi="Courier New"/>
          <w:sz w:val="16"/>
          <w:szCs w:val="16"/>
          <w:color w:val="auto"/>
        </w:rPr>
      </w:pPr>
    </w:p>
    <w:p>
      <w:pPr>
        <w:ind w:left="1240" w:right="2779" w:firstLine="665"/>
        <w:spacing w:after="0" w:line="259" w:lineRule="auto"/>
        <w:tabs>
          <w:tab w:leader="none" w:pos="267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Competitive Bid Loan for which each proposal is being made, which principal amount (w) may be greater than or less than the Commitment of the quoting Bank, (x) must be $5,000,000 or a larger multiple of $1,000,000,</w:t>
      </w:r>
    </w:p>
    <w:p>
      <w:pPr>
        <w:ind w:left="1240" w:right="2679" w:hanging="2"/>
        <w:spacing w:after="0" w:line="271" w:lineRule="auto"/>
        <w:tabs>
          <w:tab w:leader="none" w:pos="162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exceed aggregate principal amount of Competitive Bid Loans for which offers were requested and (z) may be subject to an</w:t>
      </w:r>
    </w:p>
    <w:p>
      <w:pPr>
        <w:sectPr>
          <w:pgSz w:w="11900" w:h="16838" w:orient="portrait"/>
          <w:cols w:equalWidth="0" w:num="1">
            <w:col w:w="10219"/>
          </w:cols>
          <w:pgMar w:left="240" w:top="298"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37</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pacing w:after="0" w:line="372" w:lineRule="exact"/>
        <w:rPr>
          <w:sz w:val="20"/>
          <w:szCs w:val="20"/>
          <w:color w:val="auto"/>
        </w:rPr>
      </w:pPr>
    </w:p>
    <w:p>
      <w:pPr>
        <w:ind w:left="1240" w:right="2679"/>
        <w:spacing w:after="0"/>
        <w:rPr>
          <w:sz w:val="20"/>
          <w:szCs w:val="20"/>
          <w:color w:val="auto"/>
        </w:rPr>
      </w:pPr>
      <w:r>
        <w:rPr>
          <w:rFonts w:ascii="Courier New" w:cs="Courier New" w:eastAsia="Courier New" w:hAnsi="Courier New"/>
          <w:sz w:val="16"/>
          <w:szCs w:val="16"/>
          <w:color w:val="auto"/>
        </w:rPr>
        <w:t>aggregate limitation as to the principal amount of Competitive Bid Loans for which offers being made by such quoting Bank may be accepted;</w:t>
      </w:r>
    </w:p>
    <w:p>
      <w:pPr>
        <w:spacing w:after="0" w:line="190" w:lineRule="exact"/>
        <w:rPr>
          <w:sz w:val="20"/>
          <w:szCs w:val="20"/>
          <w:color w:val="auto"/>
        </w:rPr>
      </w:pPr>
    </w:p>
    <w:p>
      <w:pPr>
        <w:ind w:left="1240" w:right="2779" w:firstLine="761"/>
        <w:spacing w:after="0" w:line="239" w:lineRule="auto"/>
        <w:tabs>
          <w:tab w:leader="none" w:pos="28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Period(s) for which Competitive Bid Quotes are being submitted;</w:t>
      </w:r>
    </w:p>
    <w:p>
      <w:pPr>
        <w:spacing w:after="0" w:line="189" w:lineRule="exact"/>
        <w:rPr>
          <w:rFonts w:ascii="Courier New" w:cs="Courier New" w:eastAsia="Courier New" w:hAnsi="Courier New"/>
          <w:sz w:val="16"/>
          <w:szCs w:val="16"/>
          <w:color w:val="auto"/>
        </w:rPr>
      </w:pPr>
    </w:p>
    <w:p>
      <w:pPr>
        <w:ind w:left="1240" w:right="2679" w:firstLine="761"/>
        <w:spacing w:after="0" w:line="241" w:lineRule="auto"/>
        <w:tabs>
          <w:tab w:leader="none" w:pos="28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LIBOR Competitive Bid Loan, the margin above or below the applicable LIBOR Rate (the "Competitive Bid Margin") offered for each such Competitive Bid Loan, expressed as a percentage (specified to the nearest 1/10,000th of 1%) to be added to or subtracted from such LIBOR Rate;</w:t>
      </w:r>
    </w:p>
    <w:p>
      <w:pPr>
        <w:spacing w:after="0" w:line="190" w:lineRule="exact"/>
        <w:rPr>
          <w:rFonts w:ascii="Courier New" w:cs="Courier New" w:eastAsia="Courier New" w:hAnsi="Courier New"/>
          <w:sz w:val="16"/>
          <w:szCs w:val="16"/>
          <w:color w:val="auto"/>
        </w:rPr>
      </w:pPr>
    </w:p>
    <w:p>
      <w:pPr>
        <w:ind w:left="1240" w:right="2779" w:firstLine="761"/>
        <w:spacing w:after="0" w:line="241" w:lineRule="auto"/>
        <w:tabs>
          <w:tab w:leader="none" w:pos="28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Absolute Competitive Bid Loan, the rate of interest per annum (specified to the nearest 1/10,000th of 1%) (the "Competitive Bid Rate") offered for each such Absolute Competitive Bid Loan; and</w:t>
      </w:r>
    </w:p>
    <w:p>
      <w:pPr>
        <w:spacing w:after="0" w:line="186" w:lineRule="exact"/>
        <w:rPr>
          <w:rFonts w:ascii="Courier New" w:cs="Courier New" w:eastAsia="Courier New" w:hAnsi="Courier New"/>
          <w:sz w:val="16"/>
          <w:szCs w:val="16"/>
          <w:color w:val="auto"/>
        </w:rPr>
      </w:pPr>
    </w:p>
    <w:p>
      <w:pPr>
        <w:ind w:left="2860" w:hanging="859"/>
        <w:spacing w:after="0"/>
        <w:tabs>
          <w:tab w:leader="none" w:pos="28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identity of the quoting Bank.</w:t>
      </w:r>
    </w:p>
    <w:p>
      <w:pPr>
        <w:spacing w:after="0" w:line="188" w:lineRule="exact"/>
        <w:rPr>
          <w:sz w:val="20"/>
          <w:szCs w:val="20"/>
          <w:color w:val="auto"/>
        </w:rPr>
      </w:pPr>
    </w:p>
    <w:p>
      <w:pPr>
        <w:ind w:left="380" w:right="2779"/>
        <w:spacing w:after="0"/>
        <w:rPr>
          <w:sz w:val="20"/>
          <w:szCs w:val="20"/>
          <w:color w:val="auto"/>
        </w:rPr>
      </w:pPr>
      <w:r>
        <w:rPr>
          <w:rFonts w:ascii="Courier New" w:cs="Courier New" w:eastAsia="Courier New" w:hAnsi="Courier New"/>
          <w:sz w:val="16"/>
          <w:szCs w:val="16"/>
          <w:color w:val="auto"/>
        </w:rPr>
        <w:t>A Competitive Bid Quote may include up to five separate offers by the quoting Bank with respect to each Interest Period specified in the related Invitation for Competitive Bid Quotes.</w:t>
      </w:r>
    </w:p>
    <w:p>
      <w:pPr>
        <w:spacing w:after="0" w:line="187" w:lineRule="exact"/>
        <w:rPr>
          <w:sz w:val="20"/>
          <w:szCs w:val="20"/>
          <w:color w:val="auto"/>
        </w:rPr>
      </w:pPr>
    </w:p>
    <w:p>
      <w:pPr>
        <w:ind w:left="2000" w:hanging="762"/>
        <w:spacing w:after="0"/>
        <w:tabs>
          <w:tab w:leader="none" w:pos="20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Competitive Bid Quote shall be disregarded if it:</w:t>
      </w:r>
    </w:p>
    <w:p>
      <w:pPr>
        <w:spacing w:after="0" w:line="185" w:lineRule="exact"/>
        <w:rPr>
          <w:rFonts w:ascii="Courier New" w:cs="Courier New" w:eastAsia="Courier New" w:hAnsi="Courier New"/>
          <w:sz w:val="16"/>
          <w:szCs w:val="16"/>
          <w:color w:val="auto"/>
        </w:rPr>
      </w:pPr>
    </w:p>
    <w:p>
      <w:pPr>
        <w:ind w:left="2860" w:hanging="859"/>
        <w:spacing w:after="0"/>
        <w:tabs>
          <w:tab w:leader="none" w:pos="28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substantially in the form of Exhibit H</w:t>
      </w:r>
    </w:p>
    <w:p>
      <w:pPr>
        <w:spacing w:after="0" w:line="2" w:lineRule="exact"/>
        <w:rPr>
          <w:rFonts w:ascii="Courier New" w:cs="Courier New" w:eastAsia="Courier New" w:hAnsi="Courier New"/>
          <w:sz w:val="16"/>
          <w:szCs w:val="16"/>
          <w:color w:val="auto"/>
        </w:rPr>
      </w:pPr>
    </w:p>
    <w:p>
      <w:pPr>
        <w:ind w:left="1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hereto;</w:t>
      </w:r>
    </w:p>
    <w:p>
      <w:pPr>
        <w:spacing w:after="0" w:line="185" w:lineRule="exact"/>
        <w:rPr>
          <w:rFonts w:ascii="Courier New" w:cs="Courier New" w:eastAsia="Courier New" w:hAnsi="Courier New"/>
          <w:sz w:val="16"/>
          <w:szCs w:val="16"/>
          <w:color w:val="auto"/>
        </w:rPr>
      </w:pPr>
    </w:p>
    <w:p>
      <w:pPr>
        <w:ind w:left="2860" w:hanging="859"/>
        <w:spacing w:after="0"/>
        <w:tabs>
          <w:tab w:leader="none" w:pos="28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contains qualifying, conditional or similar</w:t>
      </w:r>
    </w:p>
    <w:p>
      <w:pPr>
        <w:spacing w:after="0" w:line="2" w:lineRule="exact"/>
        <w:rPr>
          <w:rFonts w:ascii="Courier New" w:cs="Courier New" w:eastAsia="Courier New" w:hAnsi="Courier New"/>
          <w:sz w:val="16"/>
          <w:szCs w:val="16"/>
          <w:color w:val="auto"/>
        </w:rPr>
      </w:pPr>
    </w:p>
    <w:p>
      <w:pPr>
        <w:ind w:left="1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language;</w:t>
      </w:r>
    </w:p>
    <w:p>
      <w:pPr>
        <w:spacing w:after="0" w:line="188" w:lineRule="exact"/>
        <w:rPr>
          <w:rFonts w:ascii="Courier New" w:cs="Courier New" w:eastAsia="Courier New" w:hAnsi="Courier New"/>
          <w:sz w:val="16"/>
          <w:szCs w:val="16"/>
          <w:color w:val="auto"/>
        </w:rPr>
      </w:pPr>
    </w:p>
    <w:p>
      <w:pPr>
        <w:jc w:val="both"/>
        <w:ind w:left="1240" w:right="2679" w:firstLine="761"/>
        <w:spacing w:after="0"/>
        <w:tabs>
          <w:tab w:leader="none" w:pos="2861"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proposes terms other than or in addition to those set forth in the applicable Invitation for Competitive Bid Quotes; or</w:t>
      </w:r>
    </w:p>
    <w:p>
      <w:pPr>
        <w:spacing w:after="0" w:line="187" w:lineRule="exact"/>
        <w:rPr>
          <w:rFonts w:ascii="Courier New" w:cs="Courier New" w:eastAsia="Courier New" w:hAnsi="Courier New"/>
          <w:sz w:val="16"/>
          <w:szCs w:val="16"/>
          <w:color w:val="auto"/>
        </w:rPr>
      </w:pPr>
    </w:p>
    <w:p>
      <w:pPr>
        <w:ind w:left="2860" w:hanging="859"/>
        <w:spacing w:after="0"/>
        <w:tabs>
          <w:tab w:leader="none" w:pos="28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arrives after the time set forth in Section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4.5(a) hereof.</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4.6 Notice to Borrower. The Administrative Agent shall promptly notify the Borrower of the terms (x) of any Competitive Bid Quote submitted by a Bank that is in accordance with Section 4.5 and (y) of any Competitive Bid Quote that amends, modifies or is</w:t>
      </w:r>
    </w:p>
    <w:p>
      <w:pPr>
        <w:sectPr>
          <w:pgSz w:w="11900" w:h="16838" w:orient="portrait"/>
          <w:cols w:equalWidth="0" w:num="1">
            <w:col w:w="10219"/>
          </w:cols>
          <w:pgMar w:left="240" w:top="298"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38</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pacing w:after="0" w:line="372"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 aggregate principal amount of Competitive Bid Loans for which offers in any single Competitive Bid Quote may be accepted.</w:t>
      </w:r>
    </w:p>
    <w:p>
      <w:pPr>
        <w:spacing w:after="0" w:line="19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4.7 Acceptance and Notice by Company and Administrative Agent. Not later than 11:00 a.m. (New York time) on (x) the third Eurodollar Business Day prior to the proposed Drawdown Date, in the case of a LIBOR Competitive Bid Loan or (y) the proposed Drawdown Date, in the case of an Absolute Competitive Bid Loan, the Borrower shall notify the Administrative Agent of its acceptance or non-acceptance of each Competitive Bid Quote in substantially the form of Exhibit I hereto. The Borrower may accept any Competitive Bid Quote in whole or in part; provided that:</w:t>
      </w:r>
    </w:p>
    <w:p>
      <w:pPr>
        <w:spacing w:after="0" w:line="189" w:lineRule="exact"/>
        <w:rPr>
          <w:sz w:val="20"/>
          <w:szCs w:val="20"/>
          <w:color w:val="auto"/>
        </w:rPr>
      </w:pPr>
    </w:p>
    <w:p>
      <w:pPr>
        <w:ind w:left="380" w:right="3059" w:firstLine="858"/>
        <w:spacing w:after="0"/>
        <w:tabs>
          <w:tab w:leader="none" w:pos="200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each Competitive Bid Loan may not exceed the applicable amount set forth in the related Competitive Bid Quote Request;</w:t>
      </w:r>
    </w:p>
    <w:p>
      <w:pPr>
        <w:spacing w:after="0" w:line="189" w:lineRule="exact"/>
        <w:rPr>
          <w:rFonts w:ascii="Courier New" w:cs="Courier New" w:eastAsia="Courier New" w:hAnsi="Courier New"/>
          <w:sz w:val="16"/>
          <w:szCs w:val="16"/>
          <w:color w:val="auto"/>
        </w:rPr>
      </w:pPr>
    </w:p>
    <w:p>
      <w:pPr>
        <w:ind w:left="380" w:right="2679" w:firstLine="858"/>
        <w:spacing w:after="0"/>
        <w:tabs>
          <w:tab w:leader="none" w:pos="200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offers may only be made on the basis of ascending Competitive Bid Margins or Competitive Bid Rates, as the case may be, and</w:t>
      </w:r>
    </w:p>
    <w:p>
      <w:pPr>
        <w:spacing w:after="0" w:line="189" w:lineRule="exact"/>
        <w:rPr>
          <w:rFonts w:ascii="Courier New" w:cs="Courier New" w:eastAsia="Courier New" w:hAnsi="Courier New"/>
          <w:sz w:val="16"/>
          <w:szCs w:val="16"/>
          <w:color w:val="auto"/>
        </w:rPr>
      </w:pPr>
    </w:p>
    <w:p>
      <w:pPr>
        <w:ind w:left="380" w:right="2679" w:firstLine="858"/>
        <w:spacing w:after="0"/>
        <w:tabs>
          <w:tab w:leader="none" w:pos="200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not accept any offer that is described in subsection 4.5(c) or that otherwise fails to comply with the requirements of this Agreement.</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4.8 Allocation by Administrative Agent. If offers are made by two or more Banks with the same Competitive Bid Margin or Competitive Bid 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w:t>
      </w:r>
    </w:p>
    <w:p>
      <w:pPr>
        <w:sectPr>
          <w:pgSz w:w="11900" w:h="16838" w:orient="portrait"/>
          <w:cols w:equalWidth="0" w:num="1">
            <w:col w:w="10219"/>
          </w:cols>
          <w:pgMar w:left="240" w:top="298"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39</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-30-</w:t>
      </w:r>
    </w:p>
    <w:p>
      <w:pPr>
        <w:spacing w:after="0" w:line="372"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Section 4.9 Funding of Competitive Bid Loans. If, on or prior to the Drawdown Date of any Competitive Bid Loan, the Total Commitment has not terminated in full and if, on such Drawdown Date, the applicable conditions of Sections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4.10 Funding Losses. If after acceptance of any Competitive Bid Quote pursuant to Section 4, the Borrower (i) fails to borrow any Competitive Bid Loan so accepted on the date specified therefor, or (ii) repays or prepays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Loans, including, without limitation compensation as provided in Section 5.8.</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4.11 Repayment of Competitive Bid Loans; Interest. The principal of each Competitive Bid Loan shall become absolutely due and payable by 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Competitive Bid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374"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5"/>
          <w:szCs w:val="15"/>
          <w:color w:val="auto"/>
        </w:rPr>
        <w:t>PROVISIONS RELATING TO ALL LOANS AND LETTERS OF CREDIT.</w:t>
      </w:r>
    </w:p>
    <w:p>
      <w:pPr>
        <w:spacing w:after="0" w:line="186"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5.1</w:t>
      </w:r>
      <w:r>
        <w:rPr>
          <w:sz w:val="20"/>
          <w:szCs w:val="20"/>
          <w:color w:val="auto"/>
        </w:rPr>
        <w:tab/>
      </w:r>
      <w:r>
        <w:rPr>
          <w:rFonts w:ascii="Courier New" w:cs="Courier New" w:eastAsia="Courier New" w:hAnsi="Courier New"/>
          <w:sz w:val="15"/>
          <w:szCs w:val="15"/>
          <w:color w:val="auto"/>
        </w:rPr>
        <w:t>Payments.</w:t>
      </w:r>
    </w:p>
    <w:p>
      <w:pPr>
        <w:sectPr>
          <w:pgSz w:w="11900" w:h="16838" w:orient="portrait"/>
          <w:cols w:equalWidth="0" w:num="1">
            <w:col w:w="10219"/>
          </w:cols>
          <w:pgMar w:left="240" w:top="298"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40</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355" w:lineRule="exact"/>
        <w:rPr>
          <w:sz w:val="20"/>
          <w:szCs w:val="20"/>
          <w:color w:val="auto"/>
        </w:rPr>
      </w:pPr>
    </w:p>
    <w:p>
      <w:pPr>
        <w:ind w:left="100" w:right="2679" w:firstLine="858"/>
        <w:spacing w:after="0" w:line="242" w:lineRule="auto"/>
        <w:tabs>
          <w:tab w:leader="none" w:pos="17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of principal, interest, Reimbursement Obligations, fees (other than the Issuance Fee) and any other amounts due hereunder or under any of the other Loan Documents shall be made to the Administrative Agent, received at its Head Office in immediately available funds by 11:00 a.m. (New York time) on any due date. If a payment is received by the Administrative Agent from the Borrower at or before 1:00 p.m. (New York time) on any Business Day, the Administrative Agent shall on the same Business Day transfer in immediately available funds to (1) each of the Banks, their pro-rata portion of such payment in accordance with their respective Commitment Percentages, in the case of payments with respect to Syndicated Loans, and (2) the appropriate Bank(s), in the case of payments with respect to Competitive Bid Loans. If such payment is received by the Administrative Agent after 1:00 p.m. (New York time) on any Business Day, such transfer shall be made by the Administrative Agent to the Banks on the next Business Day. 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federal funds acquired by such Bank during each day included in such period, times (ii) the amount (A) equal to such Bank's Commitment Percentage of such payment in the case of payments with respect to Syndicated Loans, or (B) of such payment to which such Bank is entitled in the case of payments with respect to Competitive Bid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Administrative Agent with respect to any amounts owing under this paragraph shall be prima facie evidence of the amount due and owing to such Bank by the Administrative Agent.</w:t>
      </w:r>
    </w:p>
    <w:p>
      <w:pPr>
        <w:spacing w:after="0" w:line="203" w:lineRule="exact"/>
        <w:rPr>
          <w:rFonts w:ascii="Courier New" w:cs="Courier New" w:eastAsia="Courier New" w:hAnsi="Courier New"/>
          <w:sz w:val="16"/>
          <w:szCs w:val="16"/>
          <w:color w:val="auto"/>
        </w:rPr>
      </w:pPr>
    </w:p>
    <w:p>
      <w:pPr>
        <w:ind w:left="100" w:right="2679" w:firstLine="858"/>
        <w:spacing w:after="0" w:line="242" w:lineRule="auto"/>
        <w:tabs>
          <w:tab w:leader="none" w:pos="17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by the Borrower hereunder and under any of the other Loan Documents shall be made without setoff or counterclaim (and the Borrower hereby expressly waives any such rights)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is compelled by law to make such deduction or withholding. If any such obligation is imposed upon the Borrower with respect to any amount payable by it hereunder or under any of the other Loan Documents, the Borrower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The Borrower will deliver promptly to the Administrative Agent certificates or other valid vouchers for all taxes or other charges deducted from or paid with respect to payments made by the Borrower hereunder or under such other Loan Document.</w:t>
      </w:r>
    </w:p>
    <w:p>
      <w:pPr>
        <w:spacing w:after="0" w:line="196" w:lineRule="exact"/>
        <w:rPr>
          <w:rFonts w:ascii="Courier New" w:cs="Courier New" w:eastAsia="Courier New" w:hAnsi="Courier New"/>
          <w:sz w:val="16"/>
          <w:szCs w:val="16"/>
          <w:color w:val="auto"/>
        </w:rPr>
      </w:pPr>
    </w:p>
    <w:p>
      <w:pPr>
        <w:ind w:left="100" w:right="2679" w:firstLine="858"/>
        <w:spacing w:after="0" w:line="242" w:lineRule="auto"/>
        <w:tabs>
          <w:tab w:leader="none" w:pos="17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Documentation Agent two duly completed copies of United States Internal Revenue Service Form 1001 or 4224 or successor applicable form, as the case may be, certifying in each case that such Non-U.S. Bank is entitled to receive</w:t>
      </w:r>
    </w:p>
    <w:p>
      <w:pPr>
        <w:sectPr>
          <w:pgSz w:w="11900" w:h="16838" w:orient="portrait"/>
          <w:cols w:equalWidth="0" w:num="1">
            <w:col w:w="9939"/>
          </w:cols>
          <w:pgMar w:left="520" w:top="298"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41</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pacing w:after="0" w:line="372" w:lineRule="exact"/>
        <w:rPr>
          <w:sz w:val="20"/>
          <w:szCs w:val="20"/>
          <w:color w:val="auto"/>
        </w:rPr>
      </w:pPr>
    </w:p>
    <w:p>
      <w:pPr>
        <w:ind w:left="380" w:right="2679"/>
        <w:spacing w:after="0" w:line="259" w:lineRule="auto"/>
        <w:rPr>
          <w:sz w:val="20"/>
          <w:szCs w:val="20"/>
          <w:color w:val="auto"/>
        </w:rPr>
      </w:pPr>
      <w:r>
        <w:rPr>
          <w:rFonts w:ascii="Courier New" w:cs="Courier New" w:eastAsia="Courier New" w:hAnsi="Courier New"/>
          <w:sz w:val="15"/>
          <w:szCs w:val="15"/>
          <w:color w:val="auto"/>
        </w:rPr>
        <w:t>payments under this Agreement and the Notes payable to it, without deduction or withholding of any United States federal income taxes. Each Non-U.S. Bank that so delivers a Form 1001 or 4224 pursuant to the preceding sentence further undertakes to deliver to each of the Borrower and the Documentation Agent two further copies of Form 1001 or 4224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1001 or 4224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368" w:lineRule="exact"/>
        <w:rPr>
          <w:sz w:val="20"/>
          <w:szCs w:val="20"/>
          <w:color w:val="auto"/>
        </w:rPr>
      </w:pPr>
    </w:p>
    <w:p>
      <w:pPr>
        <w:ind w:left="380" w:right="2779" w:firstLine="858"/>
        <w:spacing w:after="0" w:line="259" w:lineRule="auto"/>
        <w:tabs>
          <w:tab w:leader="none" w:pos="171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not be required to pay any additional amounts to any Non-U.S. Bank in respect of United States Federal withholding tax pursuant to paragraph (b) above to the extent that (i) the obligation to withhold amounts with respect to United States Federal withholding tax existed on the date such Non-U.S. Bank became a party to this Credit Agreement or, with respect to payments to a different lending office designated by the Non-U.S. Bank as its applicable lending office (a "New Lending Office"), the date such Non-U.S. Bank designated such New Lending Office with respect to a Loan; provided, however, that this clause</w:t>
      </w:r>
    </w:p>
    <w:p>
      <w:pPr>
        <w:ind w:left="380" w:right="2679" w:hanging="1"/>
        <w:spacing w:after="0" w:line="242" w:lineRule="auto"/>
        <w:tabs>
          <w:tab w:leader="none" w:pos="7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(c) above.</w:t>
      </w:r>
    </w:p>
    <w:p>
      <w:pPr>
        <w:spacing w:after="0" w:line="191"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each Bank agrees to use reasonable efforts (consistent with legal and regulatory restrictions) to change its lending office to avoid or to minimize any amounts otherwise payable under paragraph (b) in each case solely if such change can be made in a manner so that such Bank, in its sole determination, suffers no legal, economic or regulatory disadvantage.</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5.2 Mandatory Repayments of the Loans. If at any time the outstanding amount of the Loans plus the Maximum Drawing Amount of all outstanding Letters of Credit exceeds the Total Commitment whether by reduction of the Total Commitment or otherwise, then the Borrower shall immediately pay the amount of such excess to the Administrative Agent (a) for application to the Loans (for application first to Syndicated Loans, then to Competitive Bid Loans, and subject to Section 5.8), or (b) if no Loans shall be outstanding, to be held by the Administrative Agent for the benefit of the Banks as collateral security for such excess Maximum Drawing Amount;</w:t>
      </w:r>
    </w:p>
    <w:p>
      <w:pPr>
        <w:sectPr>
          <w:pgSz w:w="11900" w:h="16838" w:orient="portrait"/>
          <w:cols w:equalWidth="0" w:num="1">
            <w:col w:w="10219"/>
          </w:cols>
          <w:pgMar w:left="240" w:top="298"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pacing w:after="0" w:line="372"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provided, however, that if the amount of cash collateral held by the Administrative Agent pursuant to this Section 5.2 exceeds the Maximum Drawing Amount required to be collateralized from time to time, the Administrative Agent shall return such excess to the Borrower.</w:t>
      </w:r>
    </w:p>
    <w:p>
      <w:pPr>
        <w:spacing w:after="0" w:line="189" w:lineRule="exact"/>
        <w:rPr>
          <w:sz w:val="20"/>
          <w:szCs w:val="20"/>
          <w:color w:val="auto"/>
        </w:rPr>
      </w:pPr>
    </w:p>
    <w:p>
      <w:pPr>
        <w:ind w:right="2779" w:firstLine="382"/>
        <w:spacing w:after="0" w:line="260" w:lineRule="auto"/>
        <w:rPr>
          <w:sz w:val="20"/>
          <w:szCs w:val="20"/>
          <w:color w:val="auto"/>
        </w:rPr>
      </w:pPr>
      <w:r>
        <w:rPr>
          <w:rFonts w:ascii="Courier New" w:cs="Courier New" w:eastAsia="Courier New" w:hAnsi="Courier New"/>
          <w:sz w:val="15"/>
          <w:szCs w:val="15"/>
          <w:color w:val="auto"/>
        </w:rPr>
        <w:t>Section 5.3 Computations. All computations of interest, Letter of Credit Fees or other fees shall be based on a 360-day year and paid for the actual number of days elapsed, except that computations of the Administrative Agent's "prime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176"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Section 5.4 Illegality; Inability to Determine Eurodollar Rate. Notwithstanding any other provision of this Agreement (other than Section 5.10)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such Bank or the Administrative Agent of obtaining or maintaining the applicable Eurodollar Loans during any Interest Period, then such Bank or the Administrative Agent shall promptly give telephonic, telex or cable notice of such determination to the Borrower (which notice shall be conclusive and binding upon the Borrower). Upon such notification by such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w:t>
      </w:r>
    </w:p>
    <w:p>
      <w:pPr>
        <w:spacing w:after="0" w:line="36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5.5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89" w:lineRule="exact"/>
        <w:rPr>
          <w:sz w:val="20"/>
          <w:szCs w:val="20"/>
          <w:color w:val="auto"/>
        </w:rPr>
      </w:pPr>
    </w:p>
    <w:p>
      <w:pPr>
        <w:ind w:left="380" w:right="2679" w:firstLine="858"/>
        <w:spacing w:after="0" w:line="242" w:lineRule="auto"/>
        <w:tabs>
          <w:tab w:leader="none" w:pos="200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ectPr>
          <w:pgSz w:w="11900" w:h="16838" w:orient="portrait"/>
          <w:cols w:equalWidth="0" w:num="1">
            <w:col w:w="10219"/>
          </w:cols>
          <w:pgMar w:left="240" w:top="298"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43</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pacing w:after="0" w:line="200" w:lineRule="exact"/>
        <w:rPr>
          <w:sz w:val="20"/>
          <w:szCs w:val="20"/>
          <w:color w:val="auto"/>
        </w:rPr>
      </w:pPr>
    </w:p>
    <w:p>
      <w:pPr>
        <w:spacing w:after="0" w:line="355" w:lineRule="exact"/>
        <w:rPr>
          <w:sz w:val="20"/>
          <w:szCs w:val="20"/>
          <w:color w:val="auto"/>
        </w:rPr>
      </w:pPr>
    </w:p>
    <w:p>
      <w:pPr>
        <w:ind w:left="380" w:right="2779" w:firstLine="858"/>
        <w:spacing w:after="0" w:line="242" w:lineRule="auto"/>
        <w:tabs>
          <w:tab w:leader="none" w:pos="20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87"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5.6 or as otherwise reflected in the Base Rate, the Eurodollar Rate, or the Competitive Bid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the Commitment, or the Loans; or</w:t>
      </w:r>
    </w:p>
    <w:p>
      <w:pPr>
        <w:spacing w:after="0" w:line="189" w:lineRule="exact"/>
        <w:rPr>
          <w:rFonts w:ascii="Courier New" w:cs="Courier New" w:eastAsia="Courier New" w:hAnsi="Courier New"/>
          <w:sz w:val="16"/>
          <w:szCs w:val="16"/>
          <w:color w:val="auto"/>
        </w:rPr>
      </w:pPr>
    </w:p>
    <w:p>
      <w:pPr>
        <w:ind w:left="380" w:right="2679" w:firstLine="858"/>
        <w:spacing w:after="0" w:line="241" w:lineRule="auto"/>
        <w:tabs>
          <w:tab w:leader="none" w:pos="20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90" w:lineRule="exact"/>
        <w:rPr>
          <w:rFonts w:ascii="Courier New" w:cs="Courier New" w:eastAsia="Courier New" w:hAnsi="Courier New"/>
          <w:sz w:val="16"/>
          <w:szCs w:val="16"/>
          <w:color w:val="auto"/>
        </w:rPr>
      </w:pPr>
    </w:p>
    <w:p>
      <w:pPr>
        <w:ind w:left="1240" w:right="2779" w:firstLine="761"/>
        <w:spacing w:after="0" w:line="241" w:lineRule="auto"/>
        <w:tabs>
          <w:tab w:leader="none" w:pos="286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increase the cost to such Bank of making, funding, issuing, renewing, extending or maintaining the Loans or such Bank's Commitment, or issuing or participating in Letters of Credit;</w:t>
      </w:r>
    </w:p>
    <w:p>
      <w:pPr>
        <w:spacing w:after="0" w:line="189" w:lineRule="exact"/>
        <w:rPr>
          <w:rFonts w:ascii="Courier New" w:cs="Courier New" w:eastAsia="Courier New" w:hAnsi="Courier New"/>
          <w:sz w:val="16"/>
          <w:szCs w:val="16"/>
          <w:color w:val="auto"/>
        </w:rPr>
      </w:pPr>
    </w:p>
    <w:p>
      <w:pPr>
        <w:ind w:left="1240" w:right="2979" w:firstLine="761"/>
        <w:spacing w:after="0"/>
        <w:tabs>
          <w:tab w:leader="none" w:pos="286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amount of principal, interest or other amount payable to such Bank hereunder on account of such Bank's Commitment or the Loans;</w:t>
      </w:r>
    </w:p>
    <w:p>
      <w:pPr>
        <w:spacing w:after="0" w:line="189" w:lineRule="exact"/>
        <w:rPr>
          <w:rFonts w:ascii="Courier New" w:cs="Courier New" w:eastAsia="Courier New" w:hAnsi="Courier New"/>
          <w:sz w:val="16"/>
          <w:szCs w:val="16"/>
          <w:color w:val="auto"/>
        </w:rPr>
      </w:pPr>
    </w:p>
    <w:p>
      <w:pPr>
        <w:ind w:left="1240" w:right="2779" w:firstLine="761"/>
        <w:spacing w:after="0" w:line="241" w:lineRule="auto"/>
        <w:tabs>
          <w:tab w:leader="none" w:pos="286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90" w:lineRule="exact"/>
        <w:rPr>
          <w:sz w:val="20"/>
          <w:szCs w:val="20"/>
          <w:color w:val="auto"/>
        </w:rPr>
      </w:pPr>
    </w:p>
    <w:p>
      <w:pPr>
        <w:ind w:left="380" w:right="2879" w:firstLine="858"/>
        <w:spacing w:after="0" w:line="242" w:lineRule="auto"/>
        <w:rPr>
          <w:sz w:val="20"/>
          <w:szCs w:val="20"/>
          <w:color w:val="auto"/>
        </w:rPr>
      </w:pPr>
      <w:r>
        <w:rPr>
          <w:rFonts w:ascii="Courier New" w:cs="Courier New" w:eastAsia="Courier New" w:hAnsi="Courier New"/>
          <w:sz w:val="16"/>
          <w:szCs w:val="16"/>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Section 5.6 Capital Adequacy. If any Bank shall have determined that, after the date hereof, the adoption of any applicable law, rule or regulation regarding capital adequacy, or any change in any such law, rule, or regulation, or any change in the interpretation or</w:t>
      </w:r>
    </w:p>
    <w:p>
      <w:pPr>
        <w:sectPr>
          <w:pgSz w:w="11900" w:h="16838" w:orient="portrait"/>
          <w:cols w:equalWidth="0" w:num="1">
            <w:col w:w="10219"/>
          </w:cols>
          <w:pgMar w:left="240" w:top="298"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44</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pacing w:after="0" w:line="372"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357" w:lineRule="exact"/>
        <w:rPr>
          <w:sz w:val="20"/>
          <w:szCs w:val="20"/>
          <w:color w:val="auto"/>
        </w:rPr>
      </w:pPr>
    </w:p>
    <w:p>
      <w:pPr>
        <w:ind w:right="2979" w:firstLine="382"/>
        <w:spacing w:after="0" w:line="241" w:lineRule="auto"/>
        <w:rPr>
          <w:sz w:val="20"/>
          <w:szCs w:val="20"/>
          <w:color w:val="auto"/>
        </w:rPr>
      </w:pPr>
      <w:r>
        <w:rPr>
          <w:rFonts w:ascii="Courier New" w:cs="Courier New" w:eastAsia="Courier New" w:hAnsi="Courier New"/>
          <w:sz w:val="16"/>
          <w:szCs w:val="16"/>
          <w:color w:val="auto"/>
        </w:rPr>
        <w:t>Section 5.7 Certificate. A certificate setting forth the additional amounts payable pursuant to Section 5.6 and a reasonable explanation of such amounts which are due, submitted by any Bank to the Borrower, shall be conclusive, absent manifest error, that such amounts are due and owing.</w:t>
      </w:r>
    </w:p>
    <w:p>
      <w:pPr>
        <w:spacing w:after="0" w:line="189"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Section 5.8 Eurodollar and Competitive Bid Indemnity. The Borrower agrees to indemnify each Bank and the Administrative Agent and to hold them harmless from and against any reasonable loss, cost or expense that any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other than on an Interest Payment Date after the Borrower has given (or is deemed to have given) a Syndicated Loan and Letter of Credit Request, a notice pursuant to Section 2.7, or a Notice of Acceptance of Competitive Bid Quote(s), or a notice pursuant to Section 2.10, as the case may be, and (c) the making of any payment of a Eurodollar Loan or Competitive Bid Loan, or the making of any conversion of any Eurodollar Loan to a Base Rate Loan on a day that is not the last day of the applicable Interest Period with respect thereto. Such loss or reasonable expense shall include an amount equal to the excess, if any, as reasonably determined by each Bank of (i) its cost of obtaining the funds for (A) the Eurodollar Loan being paid, prepaid, converted, not converted, or not borrowed, as the case may be (based on the Eurodollar Rate), or (B) the Competitive Bid Loan being paid, prepaid, or not borrowed, as the case may be (based on the Competitive Bid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36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Section 5.9 Interest on Overdue Amounts. Overdue principal and (to the extent permitted by applicable law) interest on the Loans and all other overdue amounts payable hereunder or under any of the other Loan Documents shall bear interest compounded monthly and</w:t>
      </w:r>
    </w:p>
    <w:p>
      <w:pPr>
        <w:sectPr>
          <w:pgSz w:w="11900" w:h="16838" w:orient="portrait"/>
          <w:cols w:equalWidth="0" w:num="1">
            <w:col w:w="10219"/>
          </w:cols>
          <w:pgMar w:left="240" w:top="298"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45</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-36-</w:t>
      </w:r>
    </w:p>
    <w:p>
      <w:pPr>
        <w:spacing w:after="0" w:line="372" w:lineRule="exact"/>
        <w:rPr>
          <w:sz w:val="20"/>
          <w:szCs w:val="20"/>
          <w:color w:val="auto"/>
        </w:rPr>
      </w:pPr>
    </w:p>
    <w:p>
      <w:pPr>
        <w:ind w:right="3059"/>
        <w:spacing w:after="0" w:line="271" w:lineRule="auto"/>
        <w:rPr>
          <w:sz w:val="20"/>
          <w:szCs w:val="20"/>
          <w:color w:val="auto"/>
        </w:rPr>
      </w:pPr>
      <w:r>
        <w:rPr>
          <w:rFonts w:ascii="Courier New" w:cs="Courier New" w:eastAsia="Courier New" w:hAnsi="Courier New"/>
          <w:sz w:val="15"/>
          <w:szCs w:val="15"/>
          <w:color w:val="auto"/>
        </w:rPr>
        <w:t>payable on demand at a rate per annum equal to the Base Rate plus 2%, until such amount shall be paid in full (after as well as before judgment).</w:t>
      </w:r>
    </w:p>
    <w:p>
      <w:pPr>
        <w:spacing w:after="0" w:line="166"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Section 5.10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12 U.S.C. Section 85, as amended).</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5.11 Reasonable Efforts to Mitigate. Each Bank agrees that as promptly as practicable after it becomes aware of the occurrence of an event or the existence of a condition that would cause it to be affected under Sections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subsections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such actions would not adversely affect such Loans or such Bank or otherwise be disadvantageous to such Bank.</w:t>
      </w:r>
    </w:p>
    <w:p>
      <w:pPr>
        <w:spacing w:after="0" w:line="193"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Section 5.12 Replacement of Banks. If any Bank (an "Affected Bank") (i) makes demand upon the Borrower for (or if Borrower is otherwise required to pay) amounts pursuant to Sections 5.5 or 5.6, (ii) is unable to make or maintain Eurodollar Loans as a result of a condition described in Section 5.4 or (iii) defaults in its obligation to make Loans in accordance with the terms of this Agreement (such Bank being referred to as a "Defaulting Bank"), the Borrower may, within 90 days of receipt of such demand, notice (or the occurrence of such other event causing the Borrower to be required to pay such compensation or causing Section 5.4 to be applicable), or default, as the case may be, by notice (a "Replacement Notice") in writing to the Bank Agents and such Affected Bank (A) request the Affected Bank to cooperate with the Borrower in obtaining a replacement bank satisfactory to the Bank Agents and the Borrower (the "Replacement Bank"); (B) request the non-Affected Banks to acquire and assume all of the Affected Bank's Loans and Commitment, as provided herein, but none of such Banks shall be under an obligation to do so; or (C) designate a Replacement Bank reasonably satisfactory to the Bank Agents. If any satisfactory Replacement Bank shall be obtained, and/or any of the non-Affected Banks shall agree to acquire and assume all of the Affected Bank's Loans and Commitment, then such Affected Bank shall, so long as no Event of Default shall have occurred and be continuing, assign, in accordance with Section 18, all of its Commitment, Loans, Notes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(i) such assignment shall be without recourse, representation or warranty and shall be on terms and conditions reasonably satisfactory to such Affected Bank and such Replacement Bank and/or non-Affected Banks, as the case may be, and (ii) prior to any such assignment, the Borrower shall have paid to such Affected Bank all amounts properly demanded and unreimbursed under Sections 5.5, 5.6 and 5.8. Upon the effective date of such assignment, the Borrower shall issue replacement Notes to such</w:t>
      </w:r>
    </w:p>
    <w:p>
      <w:pPr>
        <w:sectPr>
          <w:pgSz w:w="11900" w:h="16838" w:orient="portrait"/>
          <w:cols w:equalWidth="0" w:num="1">
            <w:col w:w="10219"/>
          </w:cols>
          <w:pgMar w:left="240" w:top="298"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46</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pacing w:after="0" w:line="372"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Replacement Bank and/or non-Affected Banks, as the case may be, and such institution shall become a "Bank" for all purposes under this Agreement and the other Loan Documents.</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5.13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Syndicated Loan (or, in the case of Competitive Bid Loans, the amount of such Bank's accepted offers of Competitive Bid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a Competitive Bid Loan, the amount of such Bank's accepted offer of such Competitive Bid Loan, if any), times (iii) a fraction, the numerator of which is the number of days that elapse from and including such Drawdown Date to but not including the date on which the amount equal to such Bank's Commitment Percentage of such Syndicated Loan, or the amount of such Bank's accepted offers of such Competitive Bid Loan,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debit the Borrower's accounts to recover such amount from the Borrower, with interest thereon at the applicable rate per annum.</w:t>
      </w:r>
    </w:p>
    <w:p>
      <w:pPr>
        <w:spacing w:after="0" w:line="203"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Section 6. REPRESENTATIONS AND WARRANTIES. The Borrower represents and warrants to the Banks that:</w:t>
      </w:r>
    </w:p>
    <w:p>
      <w:pPr>
        <w:spacing w:after="0" w:line="186"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6.1</w:t>
      </w:r>
      <w:r>
        <w:rPr>
          <w:sz w:val="20"/>
          <w:szCs w:val="20"/>
          <w:color w:val="auto"/>
        </w:rPr>
        <w:tab/>
      </w:r>
      <w:r>
        <w:rPr>
          <w:rFonts w:ascii="Courier New" w:cs="Courier New" w:eastAsia="Courier New" w:hAnsi="Courier New"/>
          <w:sz w:val="15"/>
          <w:szCs w:val="15"/>
          <w:color w:val="auto"/>
        </w:rPr>
        <w:t>Corporate Authority.</w:t>
      </w:r>
    </w:p>
    <w:p>
      <w:pPr>
        <w:spacing w:after="0" w:line="188" w:lineRule="exact"/>
        <w:rPr>
          <w:sz w:val="20"/>
          <w:szCs w:val="20"/>
          <w:color w:val="auto"/>
        </w:rPr>
      </w:pPr>
    </w:p>
    <w:p>
      <w:pPr>
        <w:ind w:left="380" w:right="2779" w:firstLine="858"/>
        <w:spacing w:after="0" w:line="242" w:lineRule="auto"/>
        <w:tabs>
          <w:tab w:leader="none" w:pos="200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Good Standing. The Borrower and each of its Subsidiaries (i) is a corporation duly organized, validly existing and in good standing under the laws of its respective jurisdiction of incorporation, (ii) has all requisite corporate power to own its property and conduct its business as now conducted and as presently contemplated, and (iii) is in good standing as a foreign corporation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its Subsidiaries as a whole.</w:t>
      </w:r>
    </w:p>
    <w:p>
      <w:pPr>
        <w:sectPr>
          <w:pgSz w:w="11900" w:h="16838" w:orient="portrait"/>
          <w:cols w:equalWidth="0" w:num="1">
            <w:col w:w="10219"/>
          </w:cols>
          <w:pgMar w:left="240" w:top="298"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47</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-38-</w:t>
      </w:r>
    </w:p>
    <w:p>
      <w:pPr>
        <w:spacing w:after="0" w:line="200" w:lineRule="exact"/>
        <w:rPr>
          <w:sz w:val="20"/>
          <w:szCs w:val="20"/>
          <w:color w:val="auto"/>
        </w:rPr>
      </w:pPr>
    </w:p>
    <w:p>
      <w:pPr>
        <w:spacing w:after="0" w:line="355" w:lineRule="exact"/>
        <w:rPr>
          <w:sz w:val="20"/>
          <w:szCs w:val="20"/>
          <w:color w:val="auto"/>
        </w:rPr>
      </w:pPr>
    </w:p>
    <w:p>
      <w:pPr>
        <w:ind w:left="380" w:right="2679" w:firstLine="858"/>
        <w:spacing w:after="0" w:line="242" w:lineRule="auto"/>
        <w:tabs>
          <w:tab w:leader="none" w:pos="20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The execution, delivery and performance of its Loan Documents and the transactions contemplated hereby and thereby (i) are within the corporate authority of the Borrower, (ii) have been duly authorized by all necessary corporate proceedings on the part of the Borrower, (iii) do not conflict with or result in any breach or contravention of any provision of law, statute, rule or regulation to which the Borrower or any Subsidiary is subject or any judgment, order, writ, injunction, license or permit applicable to the Borrower or any Subsidiary so as to materially adversely affect the assets, business or any activity of the Borrower and its Subsidiaries as a whole, and (iv) do not conflict with any provision of the corporate charter or bylaws of the Borrower or any Subsidiary or any agreement or other instrument binding upon the Borrower or any of its Subsidiaries.</w:t>
      </w:r>
    </w:p>
    <w:p>
      <w:pPr>
        <w:spacing w:after="0" w:line="191"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The execution, delivery and performance of the Loan Documents by the Borrower will result in valid and legally binding obligations of the Borrower enforceable against it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6.2 Governmental Approvals. The execution, delivery and performance of the Loan Documents by the Borrower and the consummation by the Borrower of the transactions contemplated hereby and thereby do not require any approval or consent of, or filing with, any governmental agency or authority other than those already obtained and those required after the date hereof in connection with the Borrower's and its Subsidiaries' performance of their covenants contained in Sections 7, 8 and 9 hereof.</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Section 6.3 Title to Properties; Leases. The Borrower and its Subsidiaries own all of the assets reflected in the consolidated balance sheet as at the Balance Sheet Date or acquired since that date (except property and assets operated under capital leases or sold or otherwise disposed of in the ordinary course of business since that date), subject to no mortgages, capitalized leases, conditional sales agreements, title retention agreements, liens or other encumbrances except Permitted Liens.</w:t>
      </w:r>
    </w:p>
    <w:p>
      <w:pPr>
        <w:spacing w:after="0" w:line="185" w:lineRule="exact"/>
        <w:rPr>
          <w:sz w:val="20"/>
          <w:szCs w:val="20"/>
          <w:color w:val="auto"/>
        </w:rPr>
      </w:pPr>
    </w:p>
    <w:p>
      <w:pPr>
        <w:ind w:left="380"/>
        <w:spacing w:after="0"/>
        <w:tabs>
          <w:tab w:leader="none" w:pos="1600" w:val="left"/>
        </w:tabs>
        <w:rPr>
          <w:sz w:val="20"/>
          <w:szCs w:val="20"/>
          <w:color w:val="auto"/>
        </w:rPr>
      </w:pPr>
      <w:r>
        <w:rPr>
          <w:rFonts w:ascii="Courier New" w:cs="Courier New" w:eastAsia="Courier New" w:hAnsi="Courier New"/>
          <w:sz w:val="16"/>
          <w:szCs w:val="16"/>
          <w:color w:val="auto"/>
        </w:rPr>
        <w:t>Section 6.4</w:t>
      </w:r>
      <w:r>
        <w:rPr>
          <w:sz w:val="20"/>
          <w:szCs w:val="20"/>
          <w:color w:val="auto"/>
        </w:rPr>
        <w:tab/>
      </w:r>
      <w:r>
        <w:rPr>
          <w:rFonts w:ascii="Courier New" w:cs="Courier New" w:eastAsia="Courier New" w:hAnsi="Courier New"/>
          <w:sz w:val="15"/>
          <w:szCs w:val="15"/>
          <w:color w:val="auto"/>
        </w:rPr>
        <w:t>Financial Statements; Solvency.</w:t>
      </w:r>
    </w:p>
    <w:p>
      <w:pPr>
        <w:spacing w:after="0" w:line="188" w:lineRule="exact"/>
        <w:rPr>
          <w:sz w:val="20"/>
          <w:szCs w:val="20"/>
          <w:color w:val="auto"/>
        </w:rPr>
      </w:pPr>
    </w:p>
    <w:p>
      <w:pPr>
        <w:ind w:left="380" w:right="2679" w:firstLine="858"/>
        <w:spacing w:after="0" w:line="242" w:lineRule="auto"/>
        <w:tabs>
          <w:tab w:leader="none" w:pos="20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furnished to the Banks consolidated balance sheets of the Borrower and its Subsidiaries dated the Balance Sheet Date and of Western Waste and its Subsidiaries dated June 30, 1995 and consolidated statements of operations for the fiscal years then ended, certified by the Accountants.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Borrower and its Subsidiaries or Western Waste and its Subsidiaries, on a consolidated basis, as at the close of business on the date thereof and the results of operations for the period then ended, subject, in the case of unaudited interim financial statements, to changes resulting from audit and normal year-end adjustments and to the absence of complete footnotes. There are</w:t>
      </w:r>
    </w:p>
    <w:p>
      <w:pPr>
        <w:sectPr>
          <w:pgSz w:w="11900" w:h="16838" w:orient="portrait"/>
          <w:cols w:equalWidth="0" w:num="1">
            <w:col w:w="10219"/>
          </w:cols>
          <w:pgMar w:left="240" w:top="298"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48</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-39-</w:t>
      </w:r>
    </w:p>
    <w:p>
      <w:pPr>
        <w:spacing w:after="0" w:line="372" w:lineRule="exact"/>
        <w:rPr>
          <w:sz w:val="20"/>
          <w:szCs w:val="20"/>
          <w:color w:val="auto"/>
        </w:rPr>
      </w:pPr>
    </w:p>
    <w:p>
      <w:pPr>
        <w:ind w:left="380" w:right="2779"/>
        <w:spacing w:after="0" w:line="263" w:lineRule="auto"/>
        <w:rPr>
          <w:sz w:val="20"/>
          <w:szCs w:val="20"/>
          <w:color w:val="auto"/>
        </w:rPr>
      </w:pPr>
      <w:r>
        <w:rPr>
          <w:rFonts w:ascii="Courier New" w:cs="Courier New" w:eastAsia="Courier New" w:hAnsi="Courier New"/>
          <w:sz w:val="15"/>
          <w:szCs w:val="15"/>
          <w:color w:val="auto"/>
        </w:rPr>
        <w:t>no contingent liabilities of the Borrower and its Subsidiaries or Western Waste and its Subsidiaries involving material amounts, known to the officers of the Borrower, which have not been disclosed in said balance sheets and the related notes thereto or otherwise in writing to the Banks.</w:t>
      </w:r>
    </w:p>
    <w:p>
      <w:pPr>
        <w:spacing w:after="0" w:line="172" w:lineRule="exact"/>
        <w:rPr>
          <w:sz w:val="20"/>
          <w:szCs w:val="20"/>
          <w:color w:val="auto"/>
        </w:rPr>
      </w:pPr>
    </w:p>
    <w:p>
      <w:pPr>
        <w:ind w:left="380" w:right="2779" w:firstLine="858"/>
        <w:spacing w:after="0" w:line="261" w:lineRule="auto"/>
        <w:tabs>
          <w:tab w:leader="none" w:pos="200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on a consolidated basis (both before and after giving effect to the transactions contemplated by this Agreement including the Western Waste Merger)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4"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6.5 No Material Changes, Etc. Since the Balance Sheet Date, in the case of the Borrower and its Subsidiaries, and since June 30, 1995, in the case of Western Waste and its Subsidiaries, there have occurred no material adverse changes in the consolidated financial condition, business or assets of the Borrower and its Subsidiaries, taken together, or Western Waste and its Subsidiaries, taken together, as shown on or reflected in the consolidated balance sheets of the Borrower and its Subsidiaries or Western Waste and its Subsidiaries as at the Balance Sheet Date or June 30, 1995, as applicable, or the consolidated statements of income for the period then ended other than changes in the ordinary course of business which have not had any material adverse effect either individually or in the aggregate on the financial condition, business or assets of the Borrower and its Subsidiaries, taken together, or Western Waste and its Subsidiaries, taken together. Since the Balance Sheet Date, in the case of the Borrower and its Subsidiaries, and since June 30, 1995, in the case of Western Waste and its Subsidiaries, there have not been any Distributions (including Distributions made by Western Waste) other than as permitted by Section 8.5 hereof.</w:t>
      </w:r>
    </w:p>
    <w:p>
      <w:pPr>
        <w:spacing w:after="0" w:line="194" w:lineRule="exact"/>
        <w:rPr>
          <w:sz w:val="20"/>
          <w:szCs w:val="20"/>
          <w:color w:val="auto"/>
        </w:rPr>
      </w:pPr>
    </w:p>
    <w:p>
      <w:pPr>
        <w:ind w:right="2679" w:firstLine="382"/>
        <w:spacing w:after="0" w:line="260" w:lineRule="auto"/>
        <w:rPr>
          <w:sz w:val="20"/>
          <w:szCs w:val="20"/>
          <w:color w:val="auto"/>
        </w:rPr>
      </w:pPr>
      <w:r>
        <w:rPr>
          <w:rFonts w:ascii="Courier New" w:cs="Courier New" w:eastAsia="Courier New" w:hAnsi="Courier New"/>
          <w:sz w:val="15"/>
          <w:szCs w:val="15"/>
          <w:color w:val="auto"/>
        </w:rPr>
        <w:t>Section 6.6 Franchises, Patents, Copyrights, Etc. The Borrower and each of its Subsidiaries possesses all franchises, patents, copyrights, trademarks, trade names, licenses and permits, and rights in respect of the foregoing, adequate for the conduct of its business substantially as now conducted (other than those the absence of which would not have a material adverse effect on the business, operations or financial condition of the Borrower and its Subsidiaries as a whole) without known conflict with any rights of others other than a conflict which would not have a material adverse effect on the financial condition, business or assets of the Borrower and its Subsidiaries as a whole.</w:t>
      </w:r>
    </w:p>
    <w:p>
      <w:pPr>
        <w:spacing w:after="0" w:line="175" w:lineRule="exact"/>
        <w:rPr>
          <w:sz w:val="20"/>
          <w:szCs w:val="20"/>
          <w:color w:val="auto"/>
        </w:rPr>
      </w:pPr>
    </w:p>
    <w:p>
      <w:pPr>
        <w:ind w:left="380"/>
        <w:spacing w:after="0"/>
        <w:tabs>
          <w:tab w:leader="none" w:pos="1600" w:val="left"/>
          <w:tab w:leader="none" w:pos="2840" w:val="left"/>
        </w:tabs>
        <w:rPr>
          <w:sz w:val="20"/>
          <w:szCs w:val="20"/>
          <w:color w:val="auto"/>
        </w:rPr>
      </w:pPr>
      <w:r>
        <w:rPr>
          <w:rFonts w:ascii="Courier New" w:cs="Courier New" w:eastAsia="Courier New" w:hAnsi="Courier New"/>
          <w:sz w:val="16"/>
          <w:szCs w:val="16"/>
          <w:color w:val="auto"/>
        </w:rPr>
        <w:t>Section 6.7</w:t>
        <w:tab/>
        <w:t>Litigation.</w:t>
      </w:r>
      <w:r>
        <w:rPr>
          <w:sz w:val="20"/>
          <w:szCs w:val="20"/>
          <w:color w:val="auto"/>
        </w:rPr>
        <w:tab/>
      </w:r>
      <w:r>
        <w:rPr>
          <w:rFonts w:ascii="Courier New" w:cs="Courier New" w:eastAsia="Courier New" w:hAnsi="Courier New"/>
          <w:sz w:val="15"/>
          <w:szCs w:val="15"/>
          <w:color w:val="auto"/>
        </w:rPr>
        <w:t>Except as set forth on Schedule 6.7, there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actions, suits, proceedings or investigations of any kind pending or, to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knowledge of the Borrower or any of its Subsidiaries, threatened against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or any of its Subsidiaries before any court, tribunal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agency or board which, either in any case or in the aggregate,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could reasonably be expected to have a material adverse effect on the financial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 business, or assets of the Borrower and its Subsidiaries, considered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whole, or materially impair the right of the Borrower and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considered as a whole, to carry on business substantially as now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conducted, or result in any substantial liability not adequately covered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or for which adequate reserves are not maintained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 or which question the validity of any of the Loan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Documents to which the Borrower or any of its Subsidiaries is a party, 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action taken or to be taken pursuant hereto or thereto.</w:t>
      </w:r>
    </w:p>
    <w:p>
      <w:pPr>
        <w:sectPr>
          <w:pgSz w:w="11900" w:h="16838" w:orient="portrait"/>
          <w:cols w:equalWidth="0" w:num="1">
            <w:col w:w="10219"/>
          </w:cols>
          <w:pgMar w:left="240" w:top="298"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49</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pacing w:after="0" w:line="37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6.8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materially adverse effect on the business, assets or financial condition of the Borrower and its Subsidiaries, considered as a whole. Neither the Borrower nor any of its Subsidiaries is a party to any contract or agreement which in the judgment of the Borrower's or such Subsidiary's officers has or could reasonably be expected to have any materially adverse effect on the financial condition, business or assets of the Borrower and its Subsidiaries, considered as a whole, except as otherwise reflected in adequate reserves as required by GAAP.</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6.9 Compliance With Other Instruments, Laws, Etc. Neither the Borrower nor any of its Subsidiaries is (a) violating any provision of its charter documents or by-laws or (b) any agreement or instrument by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the imposition of substantial penalties or materially and adversely affect the financial condition, business or assets of any of the Borrower and its Subsidiaries, considered as a whole.</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6.10 Tax Status. The Borrower and its Subsidiaries have filed all federal and state income and all other tax returns, 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foreign jurisdictions which in the aggregate are not material to the financial condition, business or assets of the Borrower or such Subsidiary on an individual basis or of the Borrower and Subsidiary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196" w:lineRule="exact"/>
        <w:rPr>
          <w:sz w:val="20"/>
          <w:szCs w:val="20"/>
          <w:color w:val="auto"/>
        </w:rPr>
      </w:pPr>
    </w:p>
    <w:p>
      <w:pPr>
        <w:ind w:right="3159" w:firstLine="382"/>
        <w:spacing w:after="0" w:line="239" w:lineRule="auto"/>
        <w:rPr>
          <w:sz w:val="20"/>
          <w:szCs w:val="20"/>
          <w:color w:val="auto"/>
        </w:rPr>
      </w:pPr>
      <w:r>
        <w:rPr>
          <w:rFonts w:ascii="Courier New" w:cs="Courier New" w:eastAsia="Courier New" w:hAnsi="Courier New"/>
          <w:sz w:val="16"/>
          <w:szCs w:val="16"/>
          <w:color w:val="auto"/>
        </w:rPr>
        <w:t>Section 6.11 No Event of Default. No Default or Event of Default has occurred and is continuing.</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6.12 Holding Company and Investment Company Acts. Neither the Borrower nor any of its Subsidiaries is a "holding company", or a "subsidiary company" of a "holding company",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 as amended.</w:t>
      </w:r>
    </w:p>
    <w:p>
      <w:pPr>
        <w:sectPr>
          <w:pgSz w:w="11900" w:h="16838" w:orient="portrait"/>
          <w:cols w:equalWidth="0" w:num="1">
            <w:col w:w="10219"/>
          </w:cols>
          <w:pgMar w:left="240" w:top="298"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50</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pacing w:after="0" w:line="37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6.13 Absence of Financing Statements, Etc. Except as permitted by Section 8.2 of this Agreement, there is no Indebtedness senior to the Obligations, and there is no effective financing statement, security agreement, chattel mortgage, real estate mortgage or other documents filed or recorded with any filing records, registry, or other public office, which purports to cover, affect or give notice of any present or possible future lien on, or security interests in, any assets or property of the Borrower or any of its Subsidiaries or right thereunder.</w:t>
      </w:r>
    </w:p>
    <w:p>
      <w:pPr>
        <w:spacing w:after="0" w:line="186"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6.14</w:t>
      </w:r>
      <w:r>
        <w:rPr>
          <w:sz w:val="20"/>
          <w:szCs w:val="20"/>
          <w:color w:val="auto"/>
        </w:rPr>
        <w:tab/>
      </w:r>
      <w:r>
        <w:rPr>
          <w:rFonts w:ascii="Courier New" w:cs="Courier New" w:eastAsia="Courier New" w:hAnsi="Courier New"/>
          <w:sz w:val="15"/>
          <w:szCs w:val="15"/>
          <w:color w:val="auto"/>
        </w:rPr>
        <w:t>Employee Benefit Plans.</w:t>
      </w:r>
    </w:p>
    <w:p>
      <w:pPr>
        <w:spacing w:after="0" w:line="188" w:lineRule="exact"/>
        <w:rPr>
          <w:sz w:val="20"/>
          <w:szCs w:val="20"/>
          <w:color w:val="auto"/>
        </w:rPr>
      </w:pPr>
    </w:p>
    <w:p>
      <w:pPr>
        <w:ind w:left="380" w:right="2779" w:firstLine="858"/>
        <w:spacing w:after="0" w:line="241" w:lineRule="auto"/>
        <w:tabs>
          <w:tab w:leader="none" w:pos="20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Each Employee Benefit Plan has been maintained and operated in compliance in all material respects with the provisions of ERISA and, to the extent applicable, the Code, including but not limited to the provisions thereunder respecting prohibited transactions.</w:t>
      </w:r>
    </w:p>
    <w:p>
      <w:pPr>
        <w:spacing w:after="0" w:line="190"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Terminability of Welfare Plans. Under each Employee Benefit Plan which is an employee welfare benefit plan within the meaning of Section 3(1) or Section 3(2)(B) of ERISA, no benefits are due unless the event giving rise to the benefit entitlement occurs prior to plan termination (except as required by Title I, part 6 of ERISA.) The Borrower, each of its Subsidiaries, or ERISA Affiliate, as appropriate, may terminate each such plan at any time (or at any time subsequent to the expiration of any applicable bargaining agreement) in the discretion of such Borrower, Subsidiary, or ERISA Affiliate without material liability to any Person.</w:t>
      </w:r>
    </w:p>
    <w:p>
      <w:pPr>
        <w:spacing w:after="0" w:line="189" w:lineRule="exact"/>
        <w:rPr>
          <w:rFonts w:ascii="Courier New" w:cs="Courier New" w:eastAsia="Courier New" w:hAnsi="Courier New"/>
          <w:sz w:val="16"/>
          <w:szCs w:val="16"/>
          <w:color w:val="auto"/>
        </w:rPr>
      </w:pPr>
    </w:p>
    <w:p>
      <w:pPr>
        <w:ind w:left="380" w:right="2679" w:firstLine="858"/>
        <w:spacing w:after="0"/>
        <w:tabs>
          <w:tab w:leader="none" w:pos="20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Guaranteed Pension Plans. Neither the Borrower nor any of its Subsidiaries is a sponsor of, or contributor to, a Guaranteed Pension Plan.</w:t>
      </w:r>
    </w:p>
    <w:p>
      <w:pPr>
        <w:spacing w:after="0" w:line="189"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Multiemployer Plans. None of the Borrower, any of its Subsidiaries,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None of the Borrower, any of its Subsidiaries, or any ERISA Affiliate has been notified that any Multiemployer Plan is in reorganization or is insolvent under and within the meaning of Section 4241 or Section 4245 of ERISA or that any Multiemployer Plan intends to terminate or has been terminated under Section 4041A of ERISA.</w:t>
      </w:r>
    </w:p>
    <w:p>
      <w:pPr>
        <w:spacing w:after="0" w:line="187"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6.15</w:t>
      </w:r>
      <w:r>
        <w:rPr>
          <w:sz w:val="20"/>
          <w:szCs w:val="20"/>
          <w:color w:val="auto"/>
        </w:rPr>
        <w:tab/>
      </w:r>
      <w:r>
        <w:rPr>
          <w:rFonts w:ascii="Courier New" w:cs="Courier New" w:eastAsia="Courier New" w:hAnsi="Courier New"/>
          <w:sz w:val="15"/>
          <w:szCs w:val="15"/>
          <w:color w:val="auto"/>
        </w:rPr>
        <w:t>[INTENTIONALLY LEFT BLANK.]</w:t>
      </w:r>
    </w:p>
    <w:p>
      <w:pPr>
        <w:sectPr>
          <w:pgSz w:w="11900" w:h="16838" w:orient="portrait"/>
          <w:cols w:equalWidth="0" w:num="1">
            <w:col w:w="10219"/>
          </w:cols>
          <w:pgMar w:left="240" w:top="298"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51</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-42-</w:t>
      </w:r>
    </w:p>
    <w:p>
      <w:pPr>
        <w:spacing w:after="0" w:line="372"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6.16 Environmental Compliance. The Borrower and its Subsidiaries have taken all necessary steps to investigate the past and present condition and usage of the Real Properties and the operations conducted by the Borrower and its Subsidiaries and, based upon such diligent investigation, have determined that, except as set forth on Schedule 6.16:</w:t>
      </w:r>
    </w:p>
    <w:p>
      <w:pPr>
        <w:spacing w:after="0" w:line="190" w:lineRule="exact"/>
        <w:rPr>
          <w:sz w:val="20"/>
          <w:szCs w:val="20"/>
          <w:color w:val="auto"/>
        </w:rPr>
      </w:pPr>
    </w:p>
    <w:p>
      <w:pPr>
        <w:ind w:left="380" w:right="2679" w:firstLine="858"/>
        <w:spacing w:after="0" w:line="260" w:lineRule="auto"/>
        <w:tabs>
          <w:tab w:leader="none" w:pos="200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Borrower, its Subsidiaries, 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state or local statute, regulation, ordinance, order or decree relating to health, safety, waste transportation or disposal, or the environment (the "Environmental Laws"), which violation would have a material adverse effect on the business, assets or financial condition of the Borrower and its Subsidiaries on a consolidated basis.</w:t>
      </w:r>
    </w:p>
    <w:p>
      <w:pPr>
        <w:spacing w:after="0" w:line="174" w:lineRule="exact"/>
        <w:rPr>
          <w:rFonts w:ascii="Courier New" w:cs="Courier New" w:eastAsia="Courier New" w:hAnsi="Courier New"/>
          <w:sz w:val="15"/>
          <w:szCs w:val="15"/>
          <w:color w:val="auto"/>
        </w:rPr>
      </w:pPr>
    </w:p>
    <w:p>
      <w:pPr>
        <w:ind w:left="380" w:right="2679" w:firstLine="858"/>
        <w:spacing w:after="0" w:line="242" w:lineRule="auto"/>
        <w:tabs>
          <w:tab w:leader="none" w:pos="200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on Schedule 6.16, neither the Borrower nor any of its Subsidiaries has received notice from any third party including, without limitation: any federal, state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and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or local agency or other third party has conducted or has ordered that the Borrower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96"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 portion of the Real Property or other assets of the Borrower or its Subsidiaries has been used for the handling, processing, storage or disposal of Hazardous Substances except in accordance with applicable Environmental Laws, except as would not reasonably be expected to have a material adverse effect on the business, assets or financial conditions of the Borrower and the Subsidiaries on a consolidated basis; and no underground tank or other underground storage receptacle for Hazardous Substances is located on such properties; (ii) in the course of any activities conducted by the Borrower, its Subsidiaries, or operators of the Real Property or other assets of the Borrower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Borrower and Subsidiaries on a consolidated basis; (iii) there have been no unpermitted Releases or threatened Releases of Hazardous Substances on, upon, into or from the Real Property or other assets of the Borrower or its Subsidiaries, which Releases would have a material adverse effect on the value of such properties; (iv) to the best of the</w:t>
      </w:r>
    </w:p>
    <w:p>
      <w:pPr>
        <w:sectPr>
          <w:pgSz w:w="11900" w:h="16838" w:orient="portrait"/>
          <w:cols w:equalWidth="0" w:num="1">
            <w:col w:w="10219"/>
          </w:cols>
          <w:pgMar w:left="240" w:top="298"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-43-</w:t>
      </w:r>
    </w:p>
    <w:p>
      <w:pPr>
        <w:spacing w:after="0" w:line="372" w:lineRule="exact"/>
        <w:rPr>
          <w:sz w:val="20"/>
          <w:szCs w:val="20"/>
          <w:color w:val="auto"/>
        </w:rPr>
      </w:pPr>
    </w:p>
    <w:p>
      <w:pPr>
        <w:ind w:left="380" w:right="2679"/>
        <w:spacing w:after="0" w:line="242" w:lineRule="auto"/>
        <w:rPr>
          <w:sz w:val="20"/>
          <w:szCs w:val="20"/>
          <w:color w:val="auto"/>
        </w:rPr>
      </w:pPr>
      <w:r>
        <w:rPr>
          <w:rFonts w:ascii="Courier New" w:cs="Courier New" w:eastAsia="Courier New" w:hAnsi="Courier New"/>
          <w:sz w:val="16"/>
          <w:szCs w:val="16"/>
          <w:color w:val="auto"/>
        </w:rPr>
        <w:t>Borrower's and its Subsidiaries' knowledge, there have been no Releases on, upon, from or into any real property in the vicinity of the Real Property or other assets of the Borrower or its Subsidiaries which, through soil or groundwater contamination, may have come to be located on, and which would reasonably be expected to have a material adverse effect on the value of, such properties; and (v) in addition, any Hazardous Substances that have been generated on the Real Property or other assets of the Borrower or its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Borrower's and its Subsidiaries' knowledge, operating in compliance with such permits and applicable Environmental Laws.</w:t>
      </w:r>
    </w:p>
    <w:p>
      <w:pPr>
        <w:spacing w:after="0" w:line="192" w:lineRule="exact"/>
        <w:rPr>
          <w:sz w:val="20"/>
          <w:szCs w:val="20"/>
          <w:color w:val="auto"/>
        </w:rPr>
      </w:pPr>
    </w:p>
    <w:p>
      <w:pPr>
        <w:ind w:left="380" w:right="2679" w:firstLine="858"/>
        <w:spacing w:after="0" w:line="242" w:lineRule="auto"/>
        <w:tabs>
          <w:tab w:leader="none" w:pos="200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Real Property or other assets of the Borrower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84"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6.17</w:t>
      </w:r>
      <w:r>
        <w:rPr>
          <w:sz w:val="20"/>
          <w:szCs w:val="20"/>
          <w:color w:val="auto"/>
        </w:rPr>
        <w:tab/>
      </w:r>
      <w:r>
        <w:rPr>
          <w:rFonts w:ascii="Courier New" w:cs="Courier New" w:eastAsia="Courier New" w:hAnsi="Courier New"/>
          <w:sz w:val="15"/>
          <w:szCs w:val="15"/>
          <w:color w:val="auto"/>
        </w:rPr>
        <w:t>[INTENTIONALLY LEFT BLANK.]</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Section 6.18 True Copies of Charter and Other Documents. The Borrower has furnished the Documentation Agent copies, in each case true and complete as of the Closing Date, of (a) all charter and other incorporation documents (together with any amendments thereto) and (b) by-laws (together with any amendments thereto).</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6.19 Disclosure. No representation or warranty made by the Borrower in this Agreement or in any agreement, instrument, document, certificate, statement or letter furnished to the Banks or the Bank Agents by or on behalf of or at the request of the Borrower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6.20 Permits and Governmental Authority. All permits (other than those the absence of which would not have a material adverse effect on the business, operations or financial condition of the Borrower and its Subsidiaries as a whole) required for the construction and operation of all landfills currently owned or operated by the Borrower or any of its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and its Subsidiaries, the holder of such permits is in violation of any such permits, except for any violation which would not have a material adverse effect on the business, operations or financial condition of the Borrower and its Subsidiaries as a whole.</w:t>
      </w:r>
    </w:p>
    <w:p>
      <w:pPr>
        <w:sectPr>
          <w:pgSz w:w="11900" w:h="16838" w:orient="portrait"/>
          <w:cols w:equalWidth="0" w:num="1">
            <w:col w:w="10219"/>
          </w:cols>
          <w:pgMar w:left="240" w:top="298"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53</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-44-</w:t>
      </w:r>
    </w:p>
    <w:p>
      <w:pPr>
        <w:spacing w:after="0" w:line="37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7. AFFIRMATIVE COVENANTS OF THE BORROWER. The Borrower agrees that, so long as any Obligation or any Letter of Credit is outstanding or the Banks have any obligation to make Loans or the Issuing Bank has any obligation to issue, extend or renew any Letters of Credit hereunder or the Banks have any obligations to reimburse the Issuing Bank for advances made under any Letter of Credit, it shall, and shall cause its Subsidiaries to comply with the following covenants:</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7.1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90"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7.2 Maintenance of Office. The Borrower will, and will cause each of its Subsidiaries to, maintain their chief executive offices at Dallas, Texas, or at such other place in the United States of America as the Borrower shall designate upon 30 days prior written notice to the Bank Agents.</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Section 7.3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88" w:lineRule="exact"/>
        <w:rPr>
          <w:sz w:val="20"/>
          <w:szCs w:val="20"/>
          <w:color w:val="auto"/>
        </w:rPr>
      </w:pPr>
    </w:p>
    <w:p>
      <w:pPr>
        <w:ind w:right="3259" w:firstLine="382"/>
        <w:spacing w:after="0" w:line="239" w:lineRule="auto"/>
        <w:rPr>
          <w:sz w:val="20"/>
          <w:szCs w:val="20"/>
          <w:color w:val="auto"/>
        </w:rPr>
      </w:pPr>
      <w:r>
        <w:rPr>
          <w:rFonts w:ascii="Courier New" w:cs="Courier New" w:eastAsia="Courier New" w:hAnsi="Courier New"/>
          <w:sz w:val="16"/>
          <w:szCs w:val="16"/>
          <w:color w:val="auto"/>
        </w:rPr>
        <w:t>Section 7.4 Financial Statements, Certificates and Information. The Borrower will deliver to the Banks:</w:t>
      </w:r>
    </w:p>
    <w:p>
      <w:pPr>
        <w:spacing w:after="0" w:line="189" w:lineRule="exact"/>
        <w:rPr>
          <w:sz w:val="20"/>
          <w:szCs w:val="20"/>
          <w:color w:val="auto"/>
        </w:rPr>
      </w:pPr>
    </w:p>
    <w:p>
      <w:pPr>
        <w:ind w:left="380" w:right="2679" w:firstLine="858"/>
        <w:spacing w:after="0" w:line="259" w:lineRule="auto"/>
        <w:tabs>
          <w:tab w:leader="none" w:pos="200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90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Coopers &amp; Lybrand LLP or by other independent auditors selected by the Borrower and reasonably satisfactory to the Banks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367" w:lineRule="exact"/>
        <w:rPr>
          <w:rFonts w:ascii="Courier New" w:cs="Courier New" w:eastAsia="Courier New" w:hAnsi="Courier New"/>
          <w:sz w:val="15"/>
          <w:szCs w:val="15"/>
          <w:color w:val="auto"/>
        </w:rPr>
      </w:pPr>
    </w:p>
    <w:p>
      <w:pPr>
        <w:ind w:left="380" w:right="2679" w:firstLine="858"/>
        <w:spacing w:after="0" w:line="241" w:lineRule="auto"/>
        <w:tabs>
          <w:tab w:leader="none" w:pos="200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but in any event not later than 45 days after the end of each of the first three fiscal quarters of each fiscal year of the Borrower, copies of the consolidated balance sheet and statement of operations of the Borrower and its</w:t>
      </w:r>
    </w:p>
    <w:p>
      <w:pPr>
        <w:sectPr>
          <w:pgSz w:w="11900" w:h="16838" w:orient="portrait"/>
          <w:cols w:equalWidth="0" w:num="1">
            <w:col w:w="10219"/>
          </w:cols>
          <w:pgMar w:left="240" w:top="298"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54</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-45-</w:t>
      </w:r>
    </w:p>
    <w:p>
      <w:pPr>
        <w:spacing w:after="0" w:line="372" w:lineRule="exact"/>
        <w:rPr>
          <w:sz w:val="20"/>
          <w:szCs w:val="20"/>
          <w:color w:val="auto"/>
        </w:rPr>
      </w:pPr>
    </w:p>
    <w:p>
      <w:pPr>
        <w:ind w:left="380" w:right="2679"/>
        <w:spacing w:after="0" w:line="242" w:lineRule="auto"/>
        <w:rPr>
          <w:sz w:val="20"/>
          <w:szCs w:val="20"/>
          <w:color w:val="auto"/>
        </w:rPr>
      </w:pPr>
      <w:r>
        <w:rPr>
          <w:rFonts w:ascii="Courier New" w:cs="Courier New" w:eastAsia="Courier New" w:hAnsi="Courier New"/>
          <w:sz w:val="16"/>
          <w:szCs w:val="16"/>
          <w:color w:val="auto"/>
        </w:rPr>
        <w:t>Subsidiaries as at the end of such quarter, subject to year 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the consolidated financial condition of the Borrower and its Subsidiaries on a consolidated basis as at the close of business on the date thereof and the results of operations for the period then ended, it being understood that no such statement need be accompanied by complete footnotes;</w:t>
      </w:r>
    </w:p>
    <w:p>
      <w:pPr>
        <w:spacing w:after="0" w:line="191" w:lineRule="exact"/>
        <w:rPr>
          <w:sz w:val="20"/>
          <w:szCs w:val="20"/>
          <w:color w:val="auto"/>
        </w:rPr>
      </w:pPr>
    </w:p>
    <w:p>
      <w:pPr>
        <w:ind w:left="380" w:right="2679" w:firstLine="858"/>
        <w:spacing w:after="0" w:line="259" w:lineRule="auto"/>
        <w:tabs>
          <w:tab w:leader="none" w:pos="200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the financial statements referred to in (a) and (b) above, a certificate in the form of Exhibit D hereto (the "Compliance Certificate") signed by the CFO or the CAO or corporate treasurer, stating that the Borrower and its Subsidiaries are in compliance with the covenants contained in Sections 7, 8 and 9 hereof as of the end of the applicable period setting forth in reasonable detail computations evidencing such compliance with respect to the covenants contained in Sections 8.1(e), 8.3, 8.4, 8.5, and 9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83" w:lineRule="exact"/>
        <w:rPr>
          <w:rFonts w:ascii="Courier New" w:cs="Courier New" w:eastAsia="Courier New" w:hAnsi="Courier New"/>
          <w:sz w:val="15"/>
          <w:szCs w:val="15"/>
          <w:color w:val="auto"/>
        </w:rPr>
      </w:pPr>
    </w:p>
    <w:p>
      <w:pPr>
        <w:ind w:left="380" w:right="2679" w:firstLine="858"/>
        <w:spacing w:after="0" w:line="241" w:lineRule="auto"/>
        <w:tabs>
          <w:tab w:leader="none" w:pos="200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contemporaneously with, or promptly following, the filing or mailing thereof, copies of all material of a financial nature filed with the Securities and Exchange Commission or sent to the Borrower's stockholders generally; and</w:t>
      </w:r>
    </w:p>
    <w:p>
      <w:pPr>
        <w:spacing w:after="0" w:line="189" w:lineRule="exact"/>
        <w:rPr>
          <w:rFonts w:ascii="Courier New" w:cs="Courier New" w:eastAsia="Courier New" w:hAnsi="Courier New"/>
          <w:sz w:val="16"/>
          <w:szCs w:val="16"/>
          <w:color w:val="auto"/>
        </w:rPr>
      </w:pPr>
    </w:p>
    <w:p>
      <w:pPr>
        <w:ind w:left="380" w:right="3159" w:firstLine="858"/>
        <w:spacing w:after="0" w:line="239" w:lineRule="auto"/>
        <w:tabs>
          <w:tab w:leader="none" w:pos="200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such other financial data and other information as the Banks may reasonably request.</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any Borrower has or may have under the federal Right to Financial Privacy Act of 1978, as in effect from time to time, except as to matters specifically permitted therein.</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7.5 Corporate Existence and Conduct of Business. The Borrower will, and will cause each Subsidiary to do or cause to be done all things necessary to preserve and keep in full force and effect its corporate existence, corporate rights and franchises; and effect and maintain its foreign qualifications (except where the failure of the Borrower or any Subsidiary to remain so qualified would not materially adversely impair the financial condition, business or assets of the Borrower and its Subsidiaries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Borrower and its Subsidiaries on a consolidated basis. The Borrower will not, and will cause its Subsidiaries not to, become obligated under any contract or binding arrangement which, at the time it was entered into, would materially adversely impair the financial condition, business or assets of the</w:t>
      </w:r>
    </w:p>
    <w:p>
      <w:pPr>
        <w:sectPr>
          <w:pgSz w:w="11900" w:h="16838" w:orient="portrait"/>
          <w:cols w:equalWidth="0" w:num="1">
            <w:col w:w="10219"/>
          </w:cols>
          <w:pgMar w:left="240" w:top="298"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55</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-46-</w:t>
      </w:r>
    </w:p>
    <w:p>
      <w:pPr>
        <w:spacing w:after="0" w:line="372"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Borrower and its Subsidiaries, on a consolidated basis. The Borrower will, and will cause each Subsidiary to, continue to engage primarily in the businesses now conducted by it and in related businesses.</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7.6 Maintenance of Properties. The Borrower will and will cause its Subsidiaries to, cause all material properties used or useful in the conduct of their businesses to be maintained and kept in good condition, repair and working order (ordinary wear and tear excepted) and supplied with all necessary equipment and will cause to be made all necessary repairs, renewals, replacements, betterments and improvements thereof, all as in the judgment of the Borrower and its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such Borrower or Subsidiary, desirable in the conduct of its or their business and which does not in the aggregate materially adversely affect the financial condition, business or assets of the Borrower and its Subsidiaries on a consolidated basis.</w:t>
      </w:r>
    </w:p>
    <w:p>
      <w:pPr>
        <w:spacing w:after="0" w:line="193"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7.7 Insurance. The Borrower will, and will cause its Subsidiaries to, maintain with financially sound and reputable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Documentation Agent. In addition, the Borrower will furnish from time to time, upon the Banks' request, a summary of the insurance coverage of the Borrower and its Subsidiaries, which summary shall be in form and substance satisfactory to the Banks and, if requested by any of the Banks, will furnish to the Documentation Agent and such Bank copies of the applicable policies.</w:t>
      </w:r>
    </w:p>
    <w:p>
      <w:pPr>
        <w:spacing w:after="0" w:line="190" w:lineRule="exact"/>
        <w:rPr>
          <w:sz w:val="20"/>
          <w:szCs w:val="20"/>
          <w:color w:val="auto"/>
        </w:rPr>
      </w:pPr>
    </w:p>
    <w:p>
      <w:pPr>
        <w:jc w:val="center"/>
        <w:ind w:right="2679"/>
        <w:spacing w:after="0"/>
        <w:tabs>
          <w:tab w:leader="none" w:pos="180" w:val="left"/>
          <w:tab w:leader="none" w:pos="160" w:val="left"/>
        </w:tabs>
        <w:rPr>
          <w:sz w:val="20"/>
          <w:szCs w:val="20"/>
          <w:color w:val="auto"/>
        </w:rPr>
      </w:pPr>
      <w:r>
        <w:rPr>
          <w:rFonts w:ascii="Courier New" w:cs="Courier New" w:eastAsia="Courier New" w:hAnsi="Courier New"/>
          <w:sz w:val="16"/>
          <w:szCs w:val="16"/>
          <w:color w:val="auto"/>
        </w:rPr>
        <w:t>Section 7.8</w:t>
        <w:tab/>
        <w:t>Taxes.</w:t>
      </w:r>
      <w:r>
        <w:rPr>
          <w:sz w:val="20"/>
          <w:szCs w:val="20"/>
          <w:color w:val="auto"/>
        </w:rPr>
        <w:tab/>
      </w:r>
      <w:r>
        <w:rPr>
          <w:rFonts w:ascii="Courier New" w:cs="Courier New" w:eastAsia="Courier New" w:hAnsi="Courier New"/>
          <w:sz w:val="15"/>
          <w:szCs w:val="15"/>
          <w:color w:val="auto"/>
        </w:rPr>
        <w:t>The Borrower will, and will cause its Subsidiaries</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to, duly pay and discharge, or cause to be paid and discharged, before the same shall become overdue, all taxes, assessments and other governmental charges (other than taxes, assessments and other governmental charges imposed by foreign jurisdictions which in the aggregate are not material to the business, financial conditions, or assets of the Borrower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such Borrower or Subsidiary shall have set aside on its books adequate reserves with respect thereto as required by GAAP; and provided, further, that such Borrower or Subsidiary will pay all such taxes, assessments, charges, levies or claims forthwith upon the commencement of proceedings to foreclose any lien which may have attached as security therefor.</w:t>
      </w:r>
    </w:p>
    <w:p>
      <w:pPr>
        <w:spacing w:after="0" w:line="184"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7.9 Inspection of Properties, Books and Contracts. The Borrower will, and will cause its Subsidiaries to, permit the Bank Agents or any Bank or any of their designated representatives, upon reasonable notice, to visit and inspect any of the properties of the Borrower and its Subsidiaries, to examine the books of account of the Borrower and its Subsidiaries, or contracts (and to make copies</w:t>
      </w:r>
    </w:p>
    <w:p>
      <w:pPr>
        <w:sectPr>
          <w:pgSz w:w="11900" w:h="16838" w:orient="portrait"/>
          <w:cols w:equalWidth="0" w:num="1">
            <w:col w:w="10219"/>
          </w:cols>
          <w:pgMar w:left="240" w:top="298"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56</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-47-</w:t>
      </w:r>
    </w:p>
    <w:p>
      <w:pPr>
        <w:spacing w:after="0" w:line="372"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thereof and extracts therefrom), and to discuss the affairs, finances and accounts of the Borrower and its Subsidiaries with, and to be advised as to the same by, their officers, all at such times and intervals as may be reasonably requested.</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7.10 Compliance with Laws, Contracts, Licenses and Permits; Maintenance of Material Licenses and Permits. The Borrower will, and will cause each Subsidiary to, (i) comply with the provisions of its charter documents and by-laws; (ii) comply in all material respects with all agreements and instruments by which it or any of its properties may be bound; (iii) comply with all applicable laws and regulations (including 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Borrower and its Subsidiaries; and (iv) maintain all material operating permits for all landfills now owned or hereafter acquired; and (v) dispose of hazardous waste only at licensed disposal facilities operating, to the best of such Borrower's or Subsidiary's knowledge after reasonable inquiry, in compliance with Environmental Laws. If at any time any authorization, consent, approval, permit or license from any officer, agency or instrumentality of any government shall become necessary or required in order that the Borrower or any Subsidiary may fulfill any of its obligations hereunder, the Borrower will immediately take or cause to be taken all reasonable steps within the power of such Borrower or Subsidiary to obtain such authorization, consent, approval, permit or license and furnish the Banks with evidence thereof.</w:t>
      </w:r>
    </w:p>
    <w:p>
      <w:pPr>
        <w:spacing w:after="0" w:line="198"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Section 7.11 Environmental Indemnification. The Borrower covenants and agrees that it will indemnify and hold the Banks and the Bank Agents and their respective affiliates, and each of the representatives, agents and officers of each of the foregoing, harmless from and against any and all claims, expense, damage, loss or liability incurred by the Banks or the Bank Agents (including all costs of legal representation incurred by the Banks or the Bank Agents)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shall inure to the benefit of the Banks, the Bank Agents and their affiliates, successors and assigns.</w:t>
      </w:r>
    </w:p>
    <w:p>
      <w:pPr>
        <w:spacing w:after="0" w:line="184"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Section 7.12 Further Assurances. The Borrower will cooperate with the Documentation Agent and execute such further instruments and documents as the Documentation Agent shall reasonably request to carry out to the Banks' satisfaction the transactions contemplated by this Agreement.</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7.13 Notice of Potential Claims or Litigation. The Borrower shall deliver to the Banks, within 30 days of receipt thereof, written notice of the initiation of any action, claim, complaint, or any other notice of dispute or potential litigation wherein the potential liability is in excess of $5,000,000 together with a copy of each such notice received by the Borrower or any of its Subsidiaries.</w:t>
      </w:r>
    </w:p>
    <w:p>
      <w:pPr>
        <w:sectPr>
          <w:pgSz w:w="11900" w:h="16838" w:orient="portrait"/>
          <w:cols w:equalWidth="0" w:num="1">
            <w:col w:w="10219"/>
          </w:cols>
          <w:pgMar w:left="240" w:top="298"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57</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-48-</w:t>
      </w:r>
    </w:p>
    <w:p>
      <w:pPr>
        <w:spacing w:after="0" w:line="200" w:lineRule="exact"/>
        <w:rPr>
          <w:sz w:val="20"/>
          <w:szCs w:val="20"/>
          <w:color w:val="auto"/>
        </w:rPr>
      </w:pPr>
    </w:p>
    <w:p>
      <w:pPr>
        <w:spacing w:after="0" w:line="355" w:lineRule="exact"/>
        <w:rPr>
          <w:sz w:val="20"/>
          <w:szCs w:val="20"/>
          <w:color w:val="auto"/>
        </w:rPr>
      </w:pPr>
    </w:p>
    <w:p>
      <w:pPr>
        <w:ind w:right="3839" w:firstLine="382"/>
        <w:spacing w:after="0" w:line="239" w:lineRule="auto"/>
        <w:rPr>
          <w:sz w:val="20"/>
          <w:szCs w:val="20"/>
          <w:color w:val="auto"/>
        </w:rPr>
      </w:pPr>
      <w:r>
        <w:rPr>
          <w:rFonts w:ascii="Courier New" w:cs="Courier New" w:eastAsia="Courier New" w:hAnsi="Courier New"/>
          <w:sz w:val="16"/>
          <w:szCs w:val="16"/>
          <w:color w:val="auto"/>
        </w:rPr>
        <w:t>Section 7.14 Notice of Certain Events Concerning Insurance and Environmental Claims.</w:t>
      </w:r>
    </w:p>
    <w:p>
      <w:pPr>
        <w:spacing w:after="0" w:line="189" w:lineRule="exact"/>
        <w:rPr>
          <w:sz w:val="20"/>
          <w:szCs w:val="20"/>
          <w:color w:val="auto"/>
        </w:rPr>
      </w:pPr>
    </w:p>
    <w:p>
      <w:pPr>
        <w:ind w:left="380" w:right="2679" w:firstLine="858"/>
        <w:spacing w:after="0" w:line="242" w:lineRule="auto"/>
        <w:tabs>
          <w:tab w:leader="none" w:pos="200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will provide the Banks with written notice as to any material cancellation or material adverse change in any insurance of the Borrower or any of its Subsidiaries within ten (10) Business Days after the Borrower's and any of its Subsidiary's receipt of any notice (whether formal or informal) of such material cancellation or material change by any of its insurers.</w:t>
      </w:r>
    </w:p>
    <w:p>
      <w:pPr>
        <w:spacing w:after="0" w:line="187" w:lineRule="exact"/>
        <w:rPr>
          <w:rFonts w:ascii="Courier New" w:cs="Courier New" w:eastAsia="Courier New" w:hAnsi="Courier New"/>
          <w:sz w:val="16"/>
          <w:szCs w:val="16"/>
          <w:color w:val="auto"/>
        </w:rPr>
      </w:pPr>
    </w:p>
    <w:p>
      <w:pPr>
        <w:ind w:left="380" w:right="2779" w:firstLine="858"/>
        <w:spacing w:after="0" w:line="239" w:lineRule="auto"/>
        <w:tabs>
          <w:tab w:leader="none" w:pos="200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will promptly notify the Banks in writing of any of the following events:</w:t>
      </w:r>
    </w:p>
    <w:p>
      <w:pPr>
        <w:spacing w:after="0" w:line="189" w:lineRule="exact"/>
        <w:rPr>
          <w:rFonts w:ascii="Courier New" w:cs="Courier New" w:eastAsia="Courier New" w:hAnsi="Courier New"/>
          <w:sz w:val="16"/>
          <w:szCs w:val="16"/>
          <w:color w:val="auto"/>
        </w:rPr>
      </w:pPr>
    </w:p>
    <w:p>
      <w:pPr>
        <w:ind w:left="1240" w:right="2679" w:firstLine="761"/>
        <w:spacing w:after="0" w:line="242" w:lineRule="auto"/>
        <w:tabs>
          <w:tab w:leader="none" w:pos="2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Subsidiary's obtaining knowledge of any violation of any Environmental Law regarding the Real Property or the Borrower's or any Subsidiary's operations which violation could have a material adverse effect on the business, financial conditions, or assets of the Borrower and its Subsidiaries on a consolidated basis;</w:t>
      </w:r>
    </w:p>
    <w:p>
      <w:pPr>
        <w:spacing w:after="0" w:line="187" w:lineRule="exact"/>
        <w:rPr>
          <w:rFonts w:ascii="Courier New" w:cs="Courier New" w:eastAsia="Courier New" w:hAnsi="Courier New"/>
          <w:sz w:val="16"/>
          <w:szCs w:val="16"/>
          <w:color w:val="auto"/>
        </w:rPr>
      </w:pPr>
    </w:p>
    <w:p>
      <w:pPr>
        <w:ind w:left="1240" w:right="2679" w:firstLine="761"/>
        <w:spacing w:after="0" w:line="242" w:lineRule="auto"/>
        <w:tabs>
          <w:tab w:leader="none" w:pos="2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Subsidiary's obtaining knowledge of any potential or known Release, or threat of Release, of any Hazardous Substance at, from, or into the Real Property which could materially affect the business, financial conditions, or assets of the Borrower and its Subsidiaries on a consolidated basis;</w:t>
      </w:r>
    </w:p>
    <w:p>
      <w:pPr>
        <w:spacing w:after="0" w:line="187" w:lineRule="exact"/>
        <w:rPr>
          <w:rFonts w:ascii="Courier New" w:cs="Courier New" w:eastAsia="Courier New" w:hAnsi="Courier New"/>
          <w:sz w:val="16"/>
          <w:szCs w:val="16"/>
          <w:color w:val="auto"/>
        </w:rPr>
      </w:pPr>
    </w:p>
    <w:p>
      <w:pPr>
        <w:ind w:left="1240" w:right="2779" w:firstLine="761"/>
        <w:spacing w:after="0" w:line="242" w:lineRule="auto"/>
        <w:tabs>
          <w:tab w:leader="none" w:pos="2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Subsidiary's receipt of any notice of any material violation of any Environmental Laws or of any Release or threatened Release of Hazardous Substances, including a notice or claim of liability or potential responsibility from any third party (including any federal, state or local governmental officials) and including notice of any formal inquiry, proceeding, demand, investigation or other action with regard to (A) the Borrower's, any Subsidiary's or any Person's operation of the Real Property, (B) contamination on, from, or into the Real Property, or (C) investigation or remediation of offsite locations at which the Borrower, any Subsidiary, or its predecessors are alleged to have directly or indirectly Disposed of Hazardous Substances, and with respect to which the liability associated therewith could be reasonably expected to exceed $5,000,000; or</w:t>
      </w:r>
    </w:p>
    <w:p>
      <w:pPr>
        <w:spacing w:after="0" w:line="193" w:lineRule="exact"/>
        <w:rPr>
          <w:rFonts w:ascii="Courier New" w:cs="Courier New" w:eastAsia="Courier New" w:hAnsi="Courier New"/>
          <w:sz w:val="16"/>
          <w:szCs w:val="16"/>
          <w:color w:val="auto"/>
        </w:rPr>
      </w:pPr>
    </w:p>
    <w:p>
      <w:pPr>
        <w:ind w:left="1240" w:right="2679" w:firstLine="761"/>
        <w:spacing w:after="0" w:line="242" w:lineRule="auto"/>
        <w:tabs>
          <w:tab w:leader="none" w:pos="2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Subsidiary's obtaining knowledge that any expense or loss which individually or in the aggregate exceed $5,000,000 has been incurred by such governmental authority in connection with the assessment, containment, removal or remediation of any Hazardous Substances with respect to which the Borrower or any Subsidiary may be liable or for which a lien may be imposed on the Real Property.</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7.15 Notice of Default. The Borrower will promptly notify the Banks in writing of the occurrence of any Default or Event of Default. If any Person shall give any notice or take any other action in respect of a claimed default (whether or not constituting an</w:t>
      </w:r>
    </w:p>
    <w:p>
      <w:pPr>
        <w:sectPr>
          <w:pgSz w:w="11900" w:h="16838" w:orient="portrait"/>
          <w:cols w:equalWidth="0" w:num="1">
            <w:col w:w="10219"/>
          </w:cols>
          <w:pgMar w:left="240" w:top="298"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58</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-49-</w:t>
      </w:r>
    </w:p>
    <w:p>
      <w:pPr>
        <w:spacing w:after="0" w:line="372"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Event of Default) under this Agreement or any other note, evidence of indebtedness, indenture or other obligation evidencing indebtedness in excess of $5,000,000 as to which the Borrower or any of its Subsidiaries is a party or obligor, whether as principal or surety, the Borrower shall forthwith upon obtaining actual knowledge thereof give written notice thereof to the Banks, describing the notice of action and the nature of the claimed default.</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7.16 Use of Proceeds. The proceeds of the Loans shall be used for general corporate purposes and in connection with the Western Waste Merger, including refinancing existing debt and letters of credit of Western Waste and the Borrower. No proceeds of the Loans shall be used in any way that will violate Regulations G, T, U or X of the Board of Governors of the Federal Reserve System.</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7.17 Certain Transactions. Except as disclosed in filings made by the Borrower under the Securities Exchange Act of 1934,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193"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8. CERTAIN NEGATIVE COVENANTS OF THE BORROWER. The Borrower agrees that, so long as any Obligation or Letter of Credit is outstanding or the Banks have any obligation to make Loans or the Issuing Bank has any obligation to issue, extend or renew any Letters of Credit hereunder or the Banks have any obligation to reimburse the Issuing Bank for advances made under any Letter of Credit, it shall, and shall cause its Subsidiaries to, comply with the following covenants: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8.1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pacing w:after="0" w:line="186" w:lineRule="exact"/>
        <w:rPr>
          <w:sz w:val="20"/>
          <w:szCs w:val="20"/>
          <w:color w:val="auto"/>
        </w:rPr>
      </w:pPr>
    </w:p>
    <w:p>
      <w:pPr>
        <w:ind w:left="2000" w:hanging="762"/>
        <w:spacing w:after="0"/>
        <w:tabs>
          <w:tab w:leader="none" w:pos="20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arising under this Agreement or the other</w:t>
      </w:r>
    </w:p>
    <w:p>
      <w:pPr>
        <w:spacing w:after="0" w:line="2"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Loan Documents;</w:t>
      </w:r>
    </w:p>
    <w:p>
      <w:pPr>
        <w:spacing w:after="0" w:line="188" w:lineRule="exact"/>
        <w:rPr>
          <w:rFonts w:ascii="Courier New" w:cs="Courier New" w:eastAsia="Courier New" w:hAnsi="Courier New"/>
          <w:sz w:val="16"/>
          <w:szCs w:val="16"/>
          <w:color w:val="auto"/>
        </w:rPr>
      </w:pPr>
    </w:p>
    <w:p>
      <w:pPr>
        <w:ind w:left="380" w:right="2679" w:firstLine="858"/>
        <w:spacing w:after="0" w:line="241" w:lineRule="auto"/>
        <w:tabs>
          <w:tab w:leader="none" w:pos="200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Indebtedness of the Borrower and its Subsidiaries listed on Schedule 8.1(b) hereto on the terms and conditions in effect as of the date hereof, including extensions, renewals and refinancing of such Indebtedness in amounts no greater than and on terms no more restrictive than exist on the Closing Date;</w:t>
      </w:r>
    </w:p>
    <w:p>
      <w:pPr>
        <w:sectPr>
          <w:pgSz w:w="11900" w:h="16838" w:orient="portrait"/>
          <w:cols w:equalWidth="0" w:num="1">
            <w:col w:w="10219"/>
          </w:cols>
          <w:pgMar w:left="240" w:top="298"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59</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-50-</w:t>
      </w:r>
    </w:p>
    <w:p>
      <w:pPr>
        <w:spacing w:after="0" w:line="200" w:lineRule="exact"/>
        <w:rPr>
          <w:sz w:val="20"/>
          <w:szCs w:val="20"/>
          <w:color w:val="auto"/>
        </w:rPr>
      </w:pPr>
    </w:p>
    <w:p>
      <w:pPr>
        <w:spacing w:after="0" w:line="355" w:lineRule="exact"/>
        <w:rPr>
          <w:sz w:val="20"/>
          <w:szCs w:val="20"/>
          <w:color w:val="auto"/>
        </w:rPr>
      </w:pPr>
    </w:p>
    <w:p>
      <w:pPr>
        <w:ind w:left="380" w:right="2679" w:firstLine="858"/>
        <w:spacing w:after="0"/>
        <w:tabs>
          <w:tab w:leader="none" w:pos="200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incurred by the Borrower or any Subsidiary with respect to any suretyship or performance bond incurred in the ordinary course of its business (other than landfill closure bonds);</w:t>
      </w:r>
    </w:p>
    <w:p>
      <w:pPr>
        <w:spacing w:after="0" w:line="189" w:lineRule="exact"/>
        <w:rPr>
          <w:rFonts w:ascii="Courier New" w:cs="Courier New" w:eastAsia="Courier New" w:hAnsi="Courier New"/>
          <w:sz w:val="16"/>
          <w:szCs w:val="16"/>
          <w:color w:val="auto"/>
        </w:rPr>
      </w:pPr>
    </w:p>
    <w:p>
      <w:pPr>
        <w:ind w:left="380" w:right="2679" w:firstLine="858"/>
        <w:spacing w:after="0" w:line="241" w:lineRule="auto"/>
        <w:tabs>
          <w:tab w:leader="none" w:pos="200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Indebtedness of the Borrower which is pari-passu or subordinated to the Obligations; provided that there does not exist a Default or Event of Default at the time of the incurrence of such Indebtedness and no Default or Event of Default would be created by incurrence of such Indebtedness; and</w:t>
      </w:r>
    </w:p>
    <w:p>
      <w:pPr>
        <w:spacing w:after="0" w:line="190" w:lineRule="exact"/>
        <w:rPr>
          <w:rFonts w:ascii="Courier New" w:cs="Courier New" w:eastAsia="Courier New" w:hAnsi="Courier New"/>
          <w:sz w:val="16"/>
          <w:szCs w:val="16"/>
          <w:color w:val="auto"/>
        </w:rPr>
      </w:pPr>
    </w:p>
    <w:p>
      <w:pPr>
        <w:ind w:left="380" w:right="2679" w:firstLine="858"/>
        <w:spacing w:after="0" w:line="241" w:lineRule="auto"/>
        <w:tabs>
          <w:tab w:leader="none" w:pos="200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Indebtedness of the Borrower's Subsidiaries, (ii) secured Indebtedness of the Borrower, and (iii) Indebtedness with respect to landfill closure bonds of the Borrower's Subsidiaries; provided that the aggregate amount of such Indebtedness in (i), (ii) and (iii) shall not exceed 5% of Consolidated Tangible Assets at any time.</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8.2 Restrictions on Liens. The Borrower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192" w:lineRule="exact"/>
        <w:rPr>
          <w:sz w:val="20"/>
          <w:szCs w:val="20"/>
          <w:color w:val="auto"/>
        </w:rPr>
      </w:pPr>
    </w:p>
    <w:p>
      <w:pPr>
        <w:ind w:left="2000" w:hanging="762"/>
        <w:spacing w:after="0"/>
        <w:tabs>
          <w:tab w:leader="none" w:pos="20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the Closing Date and listed on Schedule</w:t>
      </w:r>
    </w:p>
    <w:p>
      <w:pPr>
        <w:spacing w:after="0" w:line="2"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8.2(a) hereto;</w:t>
      </w:r>
    </w:p>
    <w:p>
      <w:pPr>
        <w:spacing w:after="0" w:line="188" w:lineRule="exact"/>
        <w:rPr>
          <w:rFonts w:ascii="Courier New" w:cs="Courier New" w:eastAsia="Courier New" w:hAnsi="Courier New"/>
          <w:sz w:val="16"/>
          <w:szCs w:val="16"/>
          <w:color w:val="auto"/>
        </w:rPr>
      </w:pPr>
    </w:p>
    <w:p>
      <w:pPr>
        <w:ind w:left="380" w:right="2779" w:firstLine="858"/>
        <w:spacing w:after="0" w:line="241" w:lineRule="auto"/>
        <w:tabs>
          <w:tab w:leader="none" w:pos="200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permitted by Section 8.1(c) hereof; provided that the assets subject to such liens and security interests shall be limited to those contracts to which such guaranty, suretyship or indemnification obligations relate and the rights to payment thereunder;</w:t>
      </w:r>
    </w:p>
    <w:p>
      <w:pPr>
        <w:spacing w:after="0" w:line="187" w:lineRule="exact"/>
        <w:rPr>
          <w:rFonts w:ascii="Courier New" w:cs="Courier New" w:eastAsia="Courier New" w:hAnsi="Courier New"/>
          <w:sz w:val="16"/>
          <w:szCs w:val="16"/>
          <w:color w:val="auto"/>
        </w:rPr>
      </w:pPr>
    </w:p>
    <w:p>
      <w:pPr>
        <w:ind w:left="2000" w:hanging="762"/>
        <w:spacing w:after="0"/>
        <w:tabs>
          <w:tab w:leader="none" w:pos="20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permitted under Section</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8.1(e);</w:t>
      </w:r>
    </w:p>
    <w:p>
      <w:pPr>
        <w:spacing w:after="0" w:line="188" w:lineRule="exact"/>
        <w:rPr>
          <w:sz w:val="20"/>
          <w:szCs w:val="20"/>
          <w:color w:val="auto"/>
        </w:rPr>
      </w:pPr>
    </w:p>
    <w:p>
      <w:pPr>
        <w:ind w:left="380" w:right="2979" w:firstLine="858"/>
        <w:spacing w:after="0" w:line="239" w:lineRule="auto"/>
        <w:tabs>
          <w:tab w:leader="none" w:pos="200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taxes, assessments and other government charges in respect of obligations not overdue;</w:t>
      </w:r>
    </w:p>
    <w:p>
      <w:pPr>
        <w:sectPr>
          <w:pgSz w:w="11900" w:h="16838" w:orient="portrait"/>
          <w:cols w:equalWidth="0" w:num="1">
            <w:col w:w="10219"/>
          </w:cols>
          <w:pgMar w:left="240" w:top="298"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60</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-51-</w:t>
      </w:r>
    </w:p>
    <w:p>
      <w:pPr>
        <w:spacing w:after="0" w:line="200" w:lineRule="exact"/>
        <w:rPr>
          <w:sz w:val="20"/>
          <w:szCs w:val="20"/>
          <w:color w:val="auto"/>
        </w:rPr>
      </w:pPr>
    </w:p>
    <w:p>
      <w:pPr>
        <w:spacing w:after="0" w:line="355" w:lineRule="exact"/>
        <w:rPr>
          <w:sz w:val="20"/>
          <w:szCs w:val="20"/>
          <w:color w:val="auto"/>
        </w:rPr>
      </w:pPr>
    </w:p>
    <w:p>
      <w:pPr>
        <w:ind w:left="380" w:right="2779" w:firstLine="858"/>
        <w:spacing w:after="0"/>
        <w:tabs>
          <w:tab w:leader="none" w:pos="200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or pledges made in connection with, or to secure payment of, workmen's compensation, unemployment insurance, old age pensions or other social security obligations;</w:t>
      </w:r>
    </w:p>
    <w:p>
      <w:pPr>
        <w:spacing w:after="0" w:line="189"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respect of judgments or awards which have been in force for less than the applicable period for taking an appeal so long as execution is not levied thereunder or in respect of which the Borrower shall at the time in good faith be prosecuting an appeal or proceedings for review and in respect of which a stay of execution shall have been obtained pending such appeal or review and in respect of which the Borrower has maintained adequate reserves;</w:t>
      </w:r>
    </w:p>
    <w:p>
      <w:pPr>
        <w:spacing w:after="0" w:line="187" w:lineRule="exact"/>
        <w:rPr>
          <w:rFonts w:ascii="Courier New" w:cs="Courier New" w:eastAsia="Courier New" w:hAnsi="Courier New"/>
          <w:sz w:val="16"/>
          <w:szCs w:val="16"/>
          <w:color w:val="auto"/>
        </w:rPr>
      </w:pPr>
    </w:p>
    <w:p>
      <w:pPr>
        <w:ind w:left="380" w:right="2679" w:firstLine="858"/>
        <w:spacing w:after="0" w:line="260" w:lineRule="auto"/>
        <w:tabs>
          <w:tab w:leader="none" w:pos="200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in good faith by appropriate proceedings and if the Borrower shall have set aside on its books adequate reserves with respect thereto as required by GAAP and provided further that the Borrower will pay any such claim forthwith upon commencement of proceedings to foreclose any such lien; and</w:t>
      </w:r>
    </w:p>
    <w:p>
      <w:pPr>
        <w:spacing w:after="0" w:line="177" w:lineRule="exact"/>
        <w:rPr>
          <w:rFonts w:ascii="Courier New" w:cs="Courier New" w:eastAsia="Courier New" w:hAnsi="Courier New"/>
          <w:sz w:val="15"/>
          <w:szCs w:val="15"/>
          <w:color w:val="auto"/>
        </w:rPr>
      </w:pPr>
    </w:p>
    <w:p>
      <w:pPr>
        <w:ind w:left="380" w:right="2679" w:firstLine="858"/>
        <w:spacing w:after="0" w:line="260" w:lineRule="auto"/>
        <w:tabs>
          <w:tab w:leader="none" w:pos="200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consisting of easements, rights of way, zoning restrictions, restrictions on the use of real property and defects and irregularities in the title thereto, landlord's or lessor's liens under leases to which the Borrower or any Subsidiary is a party, and other minor liens or encumbrances none of which in the opinion of the Borrower interferes materially with the use of the property affected in the ordinary conduct of the business of the Borrower or any of its Subsidiaries, which defects do not individually or in the aggregate have a material adverse effect on the business of the Borrower or any Subsidiary individually or of the Borrower and its Subsidiaries on a consolidated basis.</w:t>
      </w:r>
    </w:p>
    <w:p>
      <w:pPr>
        <w:spacing w:after="0" w:line="17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8.3 Restrictions on Investments. Except to the extent provided in Section 8.4, neither the Borrower nor any Subsidiary may make or permit to exist or to remain outstanding any Investment, unless both before and after giving effect thereto (i) the Borrower and its Subsidiaries are in compliance with the covenants set forth in Sections 7, 8 and 9 hereof; (ii) there does not exist a Default or Event of Default and no Default or Event of Default would be created by the making of such Investment; and (iii) the aggregate amount of all Investments does not exceed 10% of Consolidated Tangible Assets.</w:t>
      </w:r>
    </w:p>
    <w:p>
      <w:pPr>
        <w:spacing w:after="0" w:line="189" w:lineRule="exact"/>
        <w:rPr>
          <w:sz w:val="20"/>
          <w:szCs w:val="20"/>
          <w:color w:val="auto"/>
        </w:rPr>
      </w:pPr>
    </w:p>
    <w:p>
      <w:pPr>
        <w:ind w:right="2779" w:firstLine="382"/>
        <w:spacing w:after="0" w:line="260" w:lineRule="auto"/>
        <w:rPr>
          <w:sz w:val="20"/>
          <w:szCs w:val="20"/>
          <w:color w:val="auto"/>
        </w:rPr>
      </w:pPr>
      <w:r>
        <w:rPr>
          <w:rFonts w:ascii="Courier New" w:cs="Courier New" w:eastAsia="Courier New" w:hAnsi="Courier New"/>
          <w:sz w:val="15"/>
          <w:szCs w:val="15"/>
          <w:color w:val="auto"/>
        </w:rPr>
        <w:t>Section 8.4 Mergers, Consolidations, Sales. Neither the Borrower nor any Subsidiary shall be a party to any merger, consolidation or exchange of stock unless the Borrower shall be the surviving entity with respect to any such transactions to which the Borrower is a party or a Subsidiary shall be the surviving entity with respect to any such transactions to which one or more Subsidiaries is a party (and the conditions set forth below are satisfied), or purchase or otherwise acquire all or substantially all of the assets or stock of any class of, or any partnership or joint venture interest in, any other Person except as otherwise provided in Section 8.3 or this Section 8.4, or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w:t>
      </w:r>
    </w:p>
    <w:p>
      <w:pPr>
        <w:sectPr>
          <w:pgSz w:w="11900" w:h="16838" w:orient="portrait"/>
          <w:cols w:equalWidth="0" w:num="1">
            <w:col w:w="10219"/>
          </w:cols>
          <w:pgMar w:left="240" w:top="298" w:right="1440" w:bottom="1440" w:gutter="0" w:footer="0" w:header="0"/>
        </w:sectPr>
      </w:pPr>
    </w:p>
    <w:bookmarkStart w:id="67" w:name="page68"/>
    <w:bookmarkEnd w:id="67"/>
    <w:p>
      <w:pPr>
        <w:ind w:left="282"/>
        <w:spacing w:after="0"/>
        <w:rPr>
          <w:sz w:val="20"/>
          <w:szCs w:val="20"/>
          <w:color w:val="auto"/>
        </w:rPr>
      </w:pPr>
      <w:r>
        <w:rPr>
          <w:rFonts w:ascii="Courier New" w:cs="Courier New" w:eastAsia="Courier New" w:hAnsi="Courier New"/>
          <w:sz w:val="16"/>
          <w:szCs w:val="16"/>
          <w:color w:val="auto"/>
        </w:rPr>
        <w:t>61</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-52-</w:t>
      </w:r>
    </w:p>
    <w:p>
      <w:pPr>
        <w:spacing w:after="0" w:line="372"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purpose as the property being sold or transferred (except (1) transfers of personal property among Subsidiaries of the Borrower which are wholly owned by the Borrower and (2) so long as no Default has occurred and is continuing, or would result therefrom, sales of assets in the ordinary course of business between the date hereof and the Maturity Date with an aggregate value not greater than ten percent (10%) of Consolidated Total Assets, as set forth in the most recent financial statements delivered to the Banks pursuant to Section 7.4 hereof) or sell or assign, with or without recourse, any receivables (except accounts receivable more than sixty (60) days past due sold or assigned in the ordinary course of collecting past due accounts). Notwithstanding the foregoing, the Borrower and its Subsidiaries may purchase or otherwise acquire all or substantially all of the assets or stock of any class of, or joint venture interest in, any Person if the following conditions have been met: (a) the proposed transaction will not otherwise create a Default or an Event of Default hereunder; (b) the business to be acquired predominantly involves the collection, transfer, hauling, disposal or recycling of solid waste (excluding hazardous waste as that term is defined in RCRA) or thermal soil remediation;</w:t>
      </w:r>
    </w:p>
    <w:p>
      <w:pPr>
        <w:ind w:left="382" w:hanging="382"/>
        <w:spacing w:after="0" w:line="237" w:lineRule="auto"/>
        <w:tabs>
          <w:tab w:leader="none" w:pos="3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to be acquired operates predominantly in North America; and</w:t>
      </w:r>
    </w:p>
    <w:p>
      <w:pPr>
        <w:spacing w:after="0" w:line="5" w:lineRule="exact"/>
        <w:rPr>
          <w:rFonts w:ascii="Courier New" w:cs="Courier New" w:eastAsia="Courier New" w:hAnsi="Courier New"/>
          <w:sz w:val="16"/>
          <w:szCs w:val="16"/>
          <w:color w:val="auto"/>
        </w:rPr>
      </w:pPr>
    </w:p>
    <w:p>
      <w:pPr>
        <w:ind w:left="2" w:right="2679" w:hanging="2"/>
        <w:spacing w:after="0" w:line="242" w:lineRule="auto"/>
        <w:tabs>
          <w:tab w:leader="none" w:pos="38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and (if required by applicable law) the shareholders, or the equivalent thereof, of the business to be acquired has approved such acquisition; provided that if the cash consideration to be paid by the Borrower or its Subsidiary in connection with such acquisition (including liabilities assumed) exceeds $50,000,000, the Borrower will provide calculations showing compliance with the covenants set forth in Section 9 on a pro forma historical combined basis as if the transaction occurred on the first day of the period of measurement.</w:t>
      </w:r>
    </w:p>
    <w:p>
      <w:pPr>
        <w:spacing w:after="0" w:line="189"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Section 8.5 Restricted Distributions and Redemptions. Neither the Borrower nor any of its Subsidiaries will (a) declare or pay any Distributions, or (b) redeem, convert, retire or otherwise acquire shares of any class of its capital stock (other than in connection with a merger permitted by Section 8.4 hereof or conversion into another form of equity of any preferred shares of the Borrower existing as of the Closing Date pursuant to the terms thereof); provided that the Borrower and its Subsidiaries may pay cash dividends and redeem stock in an aggregate amount not to exceed (x) $25,000,000 plus (y) on a cumulative basis, 50% of positive Consolidated Net Income after December 31, 1995. Notwithstanding the above, any Subsidiary may make Distributions to the Borrower and the Borrower agrees that neither the Borrower nor any Material Subsidiary will enter into any agreement restricting Distributions from such Material Subsidiary to the Borrower.</w:t>
      </w:r>
    </w:p>
    <w:p>
      <w:pPr>
        <w:spacing w:after="0" w:line="189" w:lineRule="exact"/>
        <w:rPr>
          <w:sz w:val="20"/>
          <w:szCs w:val="20"/>
          <w:color w:val="auto"/>
        </w:rPr>
      </w:pPr>
    </w:p>
    <w:p>
      <w:pPr>
        <w:ind w:left="382"/>
        <w:spacing w:after="0"/>
        <w:tabs>
          <w:tab w:leader="none" w:pos="1602" w:val="left"/>
          <w:tab w:leader="none" w:pos="3982" w:val="left"/>
        </w:tabs>
        <w:rPr>
          <w:sz w:val="20"/>
          <w:szCs w:val="20"/>
          <w:color w:val="auto"/>
        </w:rPr>
      </w:pPr>
      <w:r>
        <w:rPr>
          <w:rFonts w:ascii="Courier New" w:cs="Courier New" w:eastAsia="Courier New" w:hAnsi="Courier New"/>
          <w:sz w:val="16"/>
          <w:szCs w:val="16"/>
          <w:color w:val="auto"/>
        </w:rPr>
        <w:t>Section 8.6</w:t>
        <w:tab/>
        <w:t>Employee Benefit Plans.</w:t>
      </w:r>
      <w:r>
        <w:rPr>
          <w:sz w:val="20"/>
          <w:szCs w:val="20"/>
          <w:color w:val="auto"/>
        </w:rPr>
        <w:tab/>
      </w:r>
      <w:r>
        <w:rPr>
          <w:rFonts w:ascii="Courier New" w:cs="Courier New" w:eastAsia="Courier New" w:hAnsi="Courier New"/>
          <w:sz w:val="15"/>
          <w:szCs w:val="15"/>
          <w:color w:val="auto"/>
        </w:rPr>
        <w:t>None of the Borrower, any of its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Subsidiaries, or any ERISA Affiliate will:</w:t>
      </w:r>
    </w:p>
    <w:p>
      <w:pPr>
        <w:spacing w:after="0" w:line="188" w:lineRule="exact"/>
        <w:rPr>
          <w:sz w:val="20"/>
          <w:szCs w:val="20"/>
          <w:color w:val="auto"/>
        </w:rPr>
      </w:pPr>
    </w:p>
    <w:p>
      <w:pPr>
        <w:ind w:left="382" w:right="2779" w:firstLine="858"/>
        <w:spacing w:after="0"/>
        <w:tabs>
          <w:tab w:leader="none" w:pos="200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any "prohibited transaction" within the meaning of 9406 of ERISA or Section 4975 of the Code which could result in a material liability for the Borrower on a consolidated basis; or</w:t>
      </w:r>
    </w:p>
    <w:p>
      <w:pPr>
        <w:spacing w:after="0" w:line="189" w:lineRule="exact"/>
        <w:rPr>
          <w:rFonts w:ascii="Courier New" w:cs="Courier New" w:eastAsia="Courier New" w:hAnsi="Courier New"/>
          <w:sz w:val="16"/>
          <w:szCs w:val="16"/>
          <w:color w:val="auto"/>
        </w:rPr>
      </w:pPr>
    </w:p>
    <w:p>
      <w:pPr>
        <w:ind w:left="382" w:right="2679" w:firstLine="858"/>
        <w:spacing w:after="0"/>
        <w:tabs>
          <w:tab w:leader="none" w:pos="200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any Guaranteed Pension Plan to incur an "accumulated funding deficiency", as such term is defined in Section 302 of ERISA, whether or not such deficiency is or may be waived; or</w:t>
      </w:r>
    </w:p>
    <w:p>
      <w:pPr>
        <w:sectPr>
          <w:pgSz w:w="11900" w:h="16838" w:orient="portrait"/>
          <w:cols w:equalWidth="0" w:num="1">
            <w:col w:w="10221"/>
          </w:cols>
          <w:pgMar w:left="238" w:top="298"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62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-53-</w:t>
      </w:r>
    </w:p>
    <w:p>
      <w:pPr>
        <w:spacing w:after="0" w:line="200" w:lineRule="exact"/>
        <w:rPr>
          <w:sz w:val="20"/>
          <w:szCs w:val="20"/>
          <w:color w:val="auto"/>
        </w:rPr>
      </w:pPr>
    </w:p>
    <w:p>
      <w:pPr>
        <w:spacing w:after="0" w:line="355" w:lineRule="exact"/>
        <w:rPr>
          <w:sz w:val="20"/>
          <w:szCs w:val="20"/>
          <w:color w:val="auto"/>
        </w:rPr>
      </w:pPr>
    </w:p>
    <w:p>
      <w:pPr>
        <w:ind w:left="380" w:right="2679" w:firstLine="858"/>
        <w:spacing w:after="0" w:line="241" w:lineRule="auto"/>
        <w:tabs>
          <w:tab w:leader="none" w:pos="200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 to contribute to any Guaranteed Pension Plan to an extent which, or terminate any Guaranteed Pension Plan in a manner which, could result in the imposition of a lien or encumbrance on the assets of the Borrower or any guarantor pursuant to Section 302(f) or Section 4068 of ERISA; or</w:t>
      </w:r>
    </w:p>
    <w:p>
      <w:pPr>
        <w:spacing w:after="0" w:line="190" w:lineRule="exact"/>
        <w:rPr>
          <w:rFonts w:ascii="Courier New" w:cs="Courier New" w:eastAsia="Courier New" w:hAnsi="Courier New"/>
          <w:sz w:val="16"/>
          <w:szCs w:val="16"/>
          <w:color w:val="auto"/>
        </w:rPr>
      </w:pPr>
    </w:p>
    <w:p>
      <w:pPr>
        <w:ind w:left="380" w:right="2679" w:firstLine="858"/>
        <w:spacing w:after="0" w:line="262" w:lineRule="auto"/>
        <w:tabs>
          <w:tab w:leader="none" w:pos="200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 the meaning of Section 4001 of ERISA) of all Guaranteed Pension Plans exceeding the value of the aggregate assets of such Plans, disregarding for this purpose the benefit liabilities and assets of any such Plan with assets in excess of benefit liabilities.</w:t>
      </w:r>
    </w:p>
    <w:p>
      <w:pPr>
        <w:spacing w:after="0" w:line="173"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The Borrower and its Subsidiaries will (i) promptly upon filing the same with the Department of Labor or Internal Revenue Service,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or 4245 of ERISA.</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8.7 Reliance Documents. The Borrower will not make any material amendments or modifications of (a) the Amended and Restated Underwriting and Continuing Indemnity Agreement dated as of June 30, 1995 among the Borrower and Reliance Insurance Company and certain of its affiliates ("Reliance"), (b) the Security Agreement dated as of June 30, 1995 among the Borrower, its Subsidiaries and Reliance and (c) the Equipment and Landfill Utilization Agreement dated as of June 30, 1995 among the Borrower the Banks and Reliance, in each case without the prior written consent of the Bank Agents if such material amendment(s) or such modification(s) would create more restrictive terms on the Borrower or any of its Subsidiaries.</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9. FINANCIAL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the Issuing Bank for advances made under any Letter of Credit, it shall, and shall cause its Subsidiaries to, comply with the following covenants:</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9.1 Interest Coverage Ratio. As of the end of any fiscal quarter of the Borrower, the ratio of (a) EBIT for the period of four consecutive fiscal quarters ending on that date to (b) Consolidated Total Interest Expense for such period shall not be less than 3.00:1.</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Section 9.2 Debt to EBITDA Ratio. As of the end of any fiscal quarter of the Borrower, the ratio of (a) Funded Debt to (b) EBITDA for the period of four consecutive fiscal quarters ending on that date shall not be greater than 3.25:1.</w:t>
      </w:r>
    </w:p>
    <w:p>
      <w:pPr>
        <w:sectPr>
          <w:pgSz w:w="11900" w:h="16838" w:orient="portrait"/>
          <w:cols w:equalWidth="0" w:num="1">
            <w:col w:w="10219"/>
          </w:cols>
          <w:pgMar w:left="240" w:top="298"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63</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-54-</w:t>
      </w:r>
    </w:p>
    <w:p>
      <w:pPr>
        <w:spacing w:after="0" w:line="369"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9.3</w:t>
      </w:r>
      <w:r>
        <w:rPr>
          <w:sz w:val="20"/>
          <w:szCs w:val="20"/>
          <w:color w:val="auto"/>
        </w:rPr>
        <w:tab/>
      </w:r>
      <w:r>
        <w:rPr>
          <w:rFonts w:ascii="Courier New" w:cs="Courier New" w:eastAsia="Courier New" w:hAnsi="Courier New"/>
          <w:sz w:val="15"/>
          <w:szCs w:val="15"/>
          <w:color w:val="auto"/>
        </w:rPr>
        <w:t>Debt to Total Capitalization.</w:t>
      </w:r>
    </w:p>
    <w:p>
      <w:pPr>
        <w:spacing w:after="0" w:line="188" w:lineRule="exact"/>
        <w:rPr>
          <w:sz w:val="20"/>
          <w:szCs w:val="20"/>
          <w:color w:val="auto"/>
        </w:rPr>
      </w:pPr>
    </w:p>
    <w:p>
      <w:pPr>
        <w:ind w:left="380" w:right="2979" w:firstLine="858"/>
        <w:spacing w:after="0" w:line="239" w:lineRule="auto"/>
        <w:tabs>
          <w:tab w:leader="none" w:pos="200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(i) Funded Debt to (ii) Consolidated Total Capitalization shall not exceed 0.58:1 at any time; and</w:t>
      </w:r>
    </w:p>
    <w:p>
      <w:pPr>
        <w:spacing w:after="0" w:line="189" w:lineRule="exact"/>
        <w:rPr>
          <w:rFonts w:ascii="Courier New" w:cs="Courier New" w:eastAsia="Courier New" w:hAnsi="Courier New"/>
          <w:sz w:val="16"/>
          <w:szCs w:val="16"/>
          <w:color w:val="auto"/>
        </w:rPr>
      </w:pPr>
    </w:p>
    <w:p>
      <w:pPr>
        <w:jc w:val="both"/>
        <w:ind w:left="380" w:right="2979" w:firstLine="858"/>
        <w:spacing w:after="0"/>
        <w:tabs>
          <w:tab w:leader="none" w:pos="200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(i) Funded Debt to (ii) Consolidated Total Capitalization shall not exceed 0.55:1 at the end of any two consecutive fiscal quarters of the Borrower.</w:t>
      </w:r>
    </w:p>
    <w:p>
      <w:pPr>
        <w:spacing w:after="0" w:line="190" w:lineRule="exact"/>
        <w:rPr>
          <w:sz w:val="20"/>
          <w:szCs w:val="20"/>
          <w:color w:val="auto"/>
        </w:rPr>
      </w:pPr>
    </w:p>
    <w:p>
      <w:pPr>
        <w:ind w:right="2679" w:firstLine="382"/>
        <w:spacing w:after="0" w:line="262" w:lineRule="auto"/>
        <w:rPr>
          <w:sz w:val="20"/>
          <w:szCs w:val="20"/>
          <w:color w:val="auto"/>
        </w:rPr>
      </w:pPr>
      <w:r>
        <w:rPr>
          <w:rFonts w:ascii="Courier New" w:cs="Courier New" w:eastAsia="Courier New" w:hAnsi="Courier New"/>
          <w:sz w:val="15"/>
          <w:szCs w:val="15"/>
          <w:color w:val="auto"/>
        </w:rPr>
        <w:t>Section 10. CONDITIONS TO EFFECTIVENESS. The effectiveness of the Agreement and the obligations of the Banks to make any Loans and of any Issuing Bank to issue Letters of Credit on the Closing Date and otherwise be bound by the terms of this Agreement shall be subject to the satisfaction of each of the following conditions precedent which shall occur no later than June 30, 1996:</w:t>
      </w:r>
    </w:p>
    <w:p>
      <w:pPr>
        <w:spacing w:after="0" w:line="173"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10.1 Corporate Action. All corporate action necessary for the valid execution, delivery and performance by the Borrower and its Subsidiaries of the Loan Documents shall have been duly and effectively taken, and evidence thereof certified by an authorized officer of the Borrower and satisfactory to the Banks shall have been provided to the Banks.</w:t>
      </w:r>
    </w:p>
    <w:p>
      <w:pPr>
        <w:spacing w:after="0" w:line="190"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10.2 Loan Documents, Etc. Each of the Loan Documents and other documents listed on the closing agenda shall have been duly and properly authorized, executed and delivered by the respective parties thereto and shall be in full force and effect in a form satisfactory to the Banks.</w:t>
      </w:r>
    </w:p>
    <w:p>
      <w:pPr>
        <w:spacing w:after="0" w:line="189"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10.3 Certified Copies of Charter Documents. The Banks shall have received from the Borrower a copy, certified by a duly authorized officer of such Person to be true and complete on the Closing Date, of (a) its charter or other incorporation documents as in effect on such date of certification, and (b) its by-laws as in effect on such date.</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10.4 Incumbency Certificate. The Banks shall have received an incumbency certificate, dated as of the Closing Date, signed by duly authorized officers giving the name and bearing a specimen signature of each individual who shall be authorized: (a) to sign the Loan Documents on behalf of the Borrower (b) to make Syndicated Loan and Letter of Credit Requests; (d) to make Competitive Bid Quote Requests; and (d) to give notices and to take other action on the Borrower's behalf under the Loan Documents.</w:t>
      </w:r>
    </w:p>
    <w:p>
      <w:pPr>
        <w:sectPr>
          <w:pgSz w:w="11900" w:h="16838" w:orient="portrait"/>
          <w:cols w:equalWidth="0" w:num="1">
            <w:col w:w="10219"/>
          </w:cols>
          <w:pgMar w:left="240" w:top="298" w:right="1440" w:bottom="1440" w:gutter="0" w:footer="0" w:header="0"/>
        </w:sectPr>
      </w:pPr>
    </w:p>
    <w:bookmarkStart w:id="70" w:name="page71"/>
    <w:bookmarkEnd w:id="70"/>
    <w:p>
      <w:pPr>
        <w:ind w:left="282"/>
        <w:spacing w:after="0"/>
        <w:rPr>
          <w:sz w:val="20"/>
          <w:szCs w:val="20"/>
          <w:color w:val="auto"/>
        </w:rPr>
      </w:pPr>
      <w:r>
        <w:rPr>
          <w:rFonts w:ascii="Courier New" w:cs="Courier New" w:eastAsia="Courier New" w:hAnsi="Courier New"/>
          <w:sz w:val="16"/>
          <w:szCs w:val="16"/>
          <w:color w:val="auto"/>
        </w:rPr>
        <w:t>64</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-55-</w:t>
      </w:r>
    </w:p>
    <w:p>
      <w:pPr>
        <w:spacing w:after="0" w:line="372" w:lineRule="exact"/>
        <w:rPr>
          <w:sz w:val="20"/>
          <w:szCs w:val="20"/>
          <w:color w:val="auto"/>
        </w:rPr>
      </w:pPr>
    </w:p>
    <w:p>
      <w:pPr>
        <w:ind w:left="2" w:right="2599" w:firstLine="382"/>
        <w:spacing w:after="0" w:line="241" w:lineRule="auto"/>
        <w:rPr>
          <w:sz w:val="20"/>
          <w:szCs w:val="20"/>
          <w:color w:val="auto"/>
        </w:rPr>
      </w:pPr>
      <w:r>
        <w:rPr>
          <w:rFonts w:ascii="Courier New" w:cs="Courier New" w:eastAsia="Courier New" w:hAnsi="Courier New"/>
          <w:sz w:val="16"/>
          <w:szCs w:val="16"/>
          <w:color w:val="auto"/>
        </w:rPr>
        <w:t>Section 10.5 Certificates of Insurance. The Banks shall have received (i) a certificate of insurance from an independent insurance broker dated as of the Closing Date, or within 15 days prior thereto, identifying insurers, types of insurance, insurance limits, and policy terms, and otherwise describing the insurance obtained in accordance with the provisions of the Loan Documents and</w:t>
      </w:r>
    </w:p>
    <w:p>
      <w:pPr>
        <w:spacing w:after="0" w:line="7" w:lineRule="exact"/>
        <w:rPr>
          <w:sz w:val="20"/>
          <w:szCs w:val="20"/>
          <w:color w:val="auto"/>
        </w:rPr>
      </w:pPr>
    </w:p>
    <w:p>
      <w:pPr>
        <w:ind w:left="2" w:right="2679" w:hanging="2"/>
        <w:spacing w:after="0" w:line="239" w:lineRule="auto"/>
        <w:tabs>
          <w:tab w:leader="none" w:pos="47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policies evidencing such insurance (or certificates therefor signed by the insurer or an agent authorized to bind the insurer).</w:t>
      </w:r>
    </w:p>
    <w:p>
      <w:pPr>
        <w:spacing w:after="0" w:line="189"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Section 10.6 Opinions of Counsel and Permit Certificate. The Banks shall have received (a) favorable legal opinions from outside counsel to the Borrower, addressed to the Banks, dated the Closing Date, in form and substance satisfactory to the Agents, and (b) an environmental permit certificate from the CFO of the Borrower satisfactory to the Banks concerning principal operating permits at the Borrower's and its Subsidiaries' and Western Waste's and its Subsidiaries' principal operating facilities.</w:t>
      </w:r>
    </w:p>
    <w:p>
      <w:pPr>
        <w:spacing w:after="0" w:line="188" w:lineRule="exact"/>
        <w:rPr>
          <w:sz w:val="20"/>
          <w:szCs w:val="20"/>
          <w:color w:val="auto"/>
        </w:rPr>
      </w:pPr>
    </w:p>
    <w:p>
      <w:pPr>
        <w:ind w:left="2" w:right="3159" w:firstLine="382"/>
        <w:spacing w:after="0" w:line="241" w:lineRule="auto"/>
        <w:rPr>
          <w:sz w:val="20"/>
          <w:szCs w:val="20"/>
          <w:color w:val="auto"/>
        </w:rPr>
      </w:pPr>
      <w:r>
        <w:rPr>
          <w:rFonts w:ascii="Courier New" w:cs="Courier New" w:eastAsia="Courier New" w:hAnsi="Courier New"/>
          <w:sz w:val="16"/>
          <w:szCs w:val="16"/>
          <w:color w:val="auto"/>
        </w:rPr>
        <w:t>Section 10.7 Western Waste Merger. The merger between Chambers Acquisition Corporation and Western Waste shall have occurred on terms and conditions substantially the same as described in the Western Waste Merger Agreement.</w:t>
      </w:r>
    </w:p>
    <w:p>
      <w:pPr>
        <w:spacing w:after="0" w:line="189"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Section 10.8 Existing Debt. The Bank Agents shall have received a payoff letter with respect to the Borrower's existing revolving credit and term loan facility and Western Waste's existing revolving credit facility, each such payoff letter indicating the amount of the loan obligations of the Borrower to be discharged on the Closing Date, and acknowledging that upon receipt of such funds the applicable lender will forthwith execute and deliver to the Documentation Agent for filing all termination statements and take such other actions as may be necessary to discharge all mortgages, deeds of trust and security interests (other than Permitted Liens) granted by the Borrower and its Subsidiaries and Western Waste and its Subsidiaries to such lenders, all in form and substance satisfactory to the Bank Agents; and the commitments under the Borrower's existing revolving credit and term loan facility shall have been terminated.</w:t>
      </w:r>
    </w:p>
    <w:p>
      <w:pPr>
        <w:spacing w:after="0" w:line="192" w:lineRule="exact"/>
        <w:rPr>
          <w:sz w:val="20"/>
          <w:szCs w:val="20"/>
          <w:color w:val="auto"/>
        </w:rPr>
      </w:pPr>
    </w:p>
    <w:p>
      <w:pPr>
        <w:ind w:left="2" w:right="2779" w:firstLine="382"/>
        <w:spacing w:after="0" w:line="242" w:lineRule="auto"/>
        <w:rPr>
          <w:sz w:val="20"/>
          <w:szCs w:val="20"/>
          <w:color w:val="auto"/>
        </w:rPr>
      </w:pPr>
      <w:r>
        <w:rPr>
          <w:rFonts w:ascii="Courier New" w:cs="Courier New" w:eastAsia="Courier New" w:hAnsi="Courier New"/>
          <w:sz w:val="16"/>
          <w:szCs w:val="16"/>
          <w:color w:val="auto"/>
        </w:rPr>
        <w:t>Section 10.9 Satisfactory Financial Condition. No material adverse change, in the judgment of the Bank Agents, shall have occurred in the financial condition, results of operations, business, properties or prospects of the Borrower and its Subsidiaries, taken as a whole, or Western Waste and its Subsidiaries, taken as a whole, since the most recent financial statements and projections provided to the Banks.</w:t>
      </w:r>
    </w:p>
    <w:p>
      <w:pPr>
        <w:spacing w:after="0" w:line="187" w:lineRule="exact"/>
        <w:rPr>
          <w:sz w:val="20"/>
          <w:szCs w:val="20"/>
          <w:color w:val="auto"/>
        </w:rPr>
      </w:pPr>
    </w:p>
    <w:p>
      <w:pPr>
        <w:ind w:left="2" w:right="2879" w:firstLine="382"/>
        <w:spacing w:after="0"/>
        <w:rPr>
          <w:sz w:val="20"/>
          <w:szCs w:val="20"/>
          <w:color w:val="auto"/>
        </w:rPr>
      </w:pPr>
      <w:r>
        <w:rPr>
          <w:rFonts w:ascii="Courier New" w:cs="Courier New" w:eastAsia="Courier New" w:hAnsi="Courier New"/>
          <w:sz w:val="16"/>
          <w:szCs w:val="16"/>
          <w:color w:val="auto"/>
        </w:rPr>
        <w:t>Section 10.10 Environmental Reports. The Agents shall have received satisfactory environmental reports on the facilities of Western Waste and its Subsidiaries.</w:t>
      </w:r>
    </w:p>
    <w:p>
      <w:pPr>
        <w:spacing w:after="0" w:line="190" w:lineRule="exact"/>
        <w:rPr>
          <w:sz w:val="20"/>
          <w:szCs w:val="20"/>
          <w:color w:val="auto"/>
        </w:rPr>
      </w:pPr>
    </w:p>
    <w:p>
      <w:pPr>
        <w:ind w:left="2" w:right="3159" w:firstLine="382"/>
        <w:spacing w:after="0" w:line="241" w:lineRule="auto"/>
        <w:rPr>
          <w:sz w:val="20"/>
          <w:szCs w:val="20"/>
          <w:color w:val="auto"/>
        </w:rPr>
      </w:pPr>
      <w:r>
        <w:rPr>
          <w:rFonts w:ascii="Courier New" w:cs="Courier New" w:eastAsia="Courier New" w:hAnsi="Courier New"/>
          <w:sz w:val="16"/>
          <w:szCs w:val="16"/>
          <w:color w:val="auto"/>
        </w:rPr>
        <w:t>Section 10.11 Payment of Closing Fees. The Borrower shall have paid closing fees to the Administrative Agent for the account of the Banks in accordance with the commitment letter agreement dated as of March 21, 1996 among Agents and the Borrower.</w:t>
      </w:r>
    </w:p>
    <w:p>
      <w:pPr>
        <w:sectPr>
          <w:pgSz w:w="11900" w:h="16838" w:orient="portrait"/>
          <w:cols w:equalWidth="0" w:num="1">
            <w:col w:w="10221"/>
          </w:cols>
          <w:pgMar w:left="238" w:top="298"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65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-56-</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734"/>
        </w:trPr>
        <w:tc>
          <w:tcPr>
            <w:tcW w:w="166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Section 11.</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CONDITIONS TO ALL</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rPr>
              <w:t>LOANS.</w:t>
            </w: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The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obligations of</w:t>
            </w:r>
          </w:p>
        </w:tc>
        <w:tc>
          <w:tcPr>
            <w:tcW w:w="15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Banks to</w:t>
            </w:r>
          </w:p>
        </w:tc>
      </w:tr>
      <w:tr>
        <w:trPr>
          <w:trHeight w:val="183"/>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make any Loan</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the obligation of</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Issuing</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Bank to issue,</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extend,</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renew</w:t>
            </w: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any Letter</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Credit at the time of</w:t>
            </w:r>
          </w:p>
        </w:tc>
        <w:tc>
          <w:tcPr>
            <w:tcW w:w="334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9"/>
              </w:rPr>
              <w:t>and subsequent to the Closing Date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is</w:t>
            </w:r>
          </w:p>
        </w:tc>
        <w:tc>
          <w:tcPr>
            <w:tcW w:w="540" w:type="dxa"/>
            <w:vAlign w:val="bottom"/>
          </w:tcPr>
          <w:p>
            <w:pPr>
              <w:spacing w:after="0"/>
              <w:rPr>
                <w:sz w:val="15"/>
                <w:szCs w:val="15"/>
                <w:color w:val="auto"/>
              </w:rPr>
            </w:pP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subject to</w:t>
            </w:r>
          </w:p>
        </w:tc>
        <w:tc>
          <w:tcPr>
            <w:tcW w:w="2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the following conditions</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precedent:</w:t>
            </w: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pacing w:after="0" w:line="188" w:lineRule="exact"/>
        <w:rPr>
          <w:sz w:val="20"/>
          <w:szCs w:val="20"/>
          <w:color w:val="auto"/>
        </w:rPr>
      </w:pPr>
    </w:p>
    <w:p>
      <w:pPr>
        <w:ind w:right="2679" w:firstLine="382"/>
        <w:spacing w:after="0" w:line="260" w:lineRule="auto"/>
        <w:rPr>
          <w:sz w:val="20"/>
          <w:szCs w:val="20"/>
          <w:color w:val="auto"/>
        </w:rPr>
      </w:pPr>
      <w:r>
        <w:rPr>
          <w:rFonts w:ascii="Courier New" w:cs="Courier New" w:eastAsia="Courier New" w:hAnsi="Courier New"/>
          <w:sz w:val="15"/>
          <w:szCs w:val="15"/>
          <w:color w:val="auto"/>
        </w:rPr>
        <w:t>Section 11.1 Representations True. Each of the representations and warranties of the Borrower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such Letter of Credit, as applicable, with the same effect as if made at and as of that time (except to the extent of changes resulting from transactions contemplated or permitted by this Agreement and changes occurring in the ordinary course of business which singly or in the aggregate are not materially adverse to the business, assets or financial condition of the Borrower and its Subsidiaries as a whole, and to the extent that such representations and warranties relate expressly and solely to an earlier date).</w:t>
      </w:r>
    </w:p>
    <w:p>
      <w:pPr>
        <w:spacing w:after="0" w:line="175" w:lineRule="exact"/>
        <w:rPr>
          <w:sz w:val="20"/>
          <w:szCs w:val="20"/>
          <w:color w:val="auto"/>
        </w:rPr>
      </w:pPr>
    </w:p>
    <w:p>
      <w:pPr>
        <w:ind w:right="2779" w:firstLine="382"/>
        <w:spacing w:after="0" w:line="260" w:lineRule="auto"/>
        <w:rPr>
          <w:sz w:val="20"/>
          <w:szCs w:val="20"/>
          <w:color w:val="auto"/>
        </w:rPr>
      </w:pPr>
      <w:r>
        <w:rPr>
          <w:rFonts w:ascii="Courier New" w:cs="Courier New" w:eastAsia="Courier New" w:hAnsi="Courier New"/>
          <w:sz w:val="15"/>
          <w:szCs w:val="15"/>
          <w:color w:val="auto"/>
        </w:rPr>
        <w:t>Section 11.2 Performance; No Event of Default. The Borrower and its Subsidiaries shall have performed and complied with all terms and conditions herein required to be performed or complied with by them prior to or at the time of the making of any Loan or the issuance, extension or renewal of any Letter of Credit, and at the time of the making of any Loan, there shall exist no Default or Event of Default or condition which would result in a Default or an Event of Default upon consummation of such Loan or the issuance, extension, or renewal of such Letter of Credit, as applicable. Each request by the Borrower for a Loan and each request for issuance, extension or renewal of a Letter of Credit shall constitute certification by the Borrower that the conditions specified in Sections 11.1 and 11.2 will be duly satisfied on the date of such Loan or Letter of Credit issuance, extension or renewal.</w:t>
      </w:r>
    </w:p>
    <w:p>
      <w:pPr>
        <w:spacing w:after="0" w:line="175" w:lineRule="exact"/>
        <w:rPr>
          <w:sz w:val="20"/>
          <w:szCs w:val="20"/>
          <w:color w:val="auto"/>
        </w:rPr>
      </w:pPr>
    </w:p>
    <w:p>
      <w:pPr>
        <w:ind w:right="2979" w:firstLine="382"/>
        <w:spacing w:after="0" w:line="241" w:lineRule="auto"/>
        <w:rPr>
          <w:sz w:val="20"/>
          <w:szCs w:val="20"/>
          <w:color w:val="auto"/>
        </w:rPr>
      </w:pPr>
      <w:r>
        <w:rPr>
          <w:rFonts w:ascii="Courier New" w:cs="Courier New" w:eastAsia="Courier New" w:hAnsi="Courier New"/>
          <w:sz w:val="16"/>
          <w:szCs w:val="16"/>
          <w:color w:val="auto"/>
        </w:rPr>
        <w:t>Section 11.3 No Legal Impediment. No change shall have occurred in any law or regulations thereunder or interpretations thereof which in the reasonable opinion of the Banks would make it illegal for the Banks to make Loans or for the Issuing Bank to issue, extend or renew Letters of Credit hereunder.</w:t>
      </w:r>
    </w:p>
    <w:p>
      <w:pPr>
        <w:spacing w:after="0" w:line="190"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11.4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w:t>
      </w:r>
    </w:p>
    <w:p>
      <w:pPr>
        <w:spacing w:after="0" w:line="190" w:lineRule="exact"/>
        <w:rPr>
          <w:sz w:val="20"/>
          <w:szCs w:val="20"/>
          <w:color w:val="auto"/>
        </w:rPr>
      </w:pPr>
    </w:p>
    <w:p>
      <w:pPr>
        <w:ind w:right="2679" w:firstLine="382"/>
        <w:spacing w:after="0" w:line="260" w:lineRule="auto"/>
        <w:rPr>
          <w:sz w:val="20"/>
          <w:szCs w:val="20"/>
          <w:color w:val="auto"/>
        </w:rPr>
      </w:pPr>
      <w:r>
        <w:rPr>
          <w:rFonts w:ascii="Courier New" w:cs="Courier New" w:eastAsia="Courier New" w:hAnsi="Courier New"/>
          <w:sz w:val="15"/>
          <w:szCs w:val="15"/>
          <w:color w:val="auto"/>
        </w:rPr>
        <w:t>Section 11.5 Proceedings and Documents. All proceedings in connection with the transactions contemplated by this Agreement and all documents incident thereto shall have been delivered to the Banks as of the date of the making of such Loan in substance and in form satisfactory to the Banks, including without limitation a Syndicated Loan Request in the form attached hereto as Exhibit C-1 and a Letter of Credit Request in the form of Exhibit C-2, and the Banks shall have received all information and such counterpart originals or certified or other copies of such documents as the Banks may reasonably request.</w:t>
      </w:r>
    </w:p>
    <w:p>
      <w:pPr>
        <w:sectPr>
          <w:pgSz w:w="11900" w:h="16838" w:orient="portrait"/>
          <w:cols w:equalWidth="0" w:num="1">
            <w:col w:w="10219"/>
          </w:cols>
          <w:pgMar w:left="240" w:top="298"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66</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-57-</w:t>
      </w:r>
    </w:p>
    <w:p>
      <w:pPr>
        <w:spacing w:after="0" w:line="369"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Section 12.</w:t>
      </w:r>
      <w:r>
        <w:rPr>
          <w:sz w:val="20"/>
          <w:szCs w:val="20"/>
          <w:color w:val="auto"/>
        </w:rPr>
        <w:tab/>
      </w:r>
      <w:r>
        <w:rPr>
          <w:rFonts w:ascii="Courier New" w:cs="Courier New" w:eastAsia="Courier New" w:hAnsi="Courier New"/>
          <w:sz w:val="15"/>
          <w:szCs w:val="15"/>
          <w:color w:val="auto"/>
        </w:rPr>
        <w:t>EVENTS OF DEFAULT; ACCELERATION; TERMINATION OF COMMITMENT.</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Section 12.1 Events of Default and Acceleration. If any of the following events ("Events of Default" or, if the giving of notice or the lapse of time or both is required, then, prior to such notice and/or lapse of time, "Defaults") shall occur:</w:t>
      </w:r>
    </w:p>
    <w:p>
      <w:pPr>
        <w:spacing w:after="0" w:line="189" w:lineRule="exact"/>
        <w:rPr>
          <w:sz w:val="20"/>
          <w:szCs w:val="20"/>
          <w:color w:val="auto"/>
        </w:rPr>
      </w:pPr>
    </w:p>
    <w:p>
      <w:pPr>
        <w:jc w:val="both"/>
        <w:ind w:left="380" w:right="2879" w:firstLine="858"/>
        <w:spacing w:after="0" w:line="241" w:lineRule="auto"/>
        <w:tabs>
          <w:tab w:leader="none" w:pos="20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89" w:lineRule="exact"/>
        <w:rPr>
          <w:rFonts w:ascii="Courier New" w:cs="Courier New" w:eastAsia="Courier New" w:hAnsi="Courier New"/>
          <w:sz w:val="16"/>
          <w:szCs w:val="16"/>
          <w:color w:val="auto"/>
        </w:rPr>
      </w:pPr>
    </w:p>
    <w:p>
      <w:pPr>
        <w:ind w:left="380" w:right="2779" w:firstLine="858"/>
        <w:spacing w:after="0" w:line="241" w:lineRule="auto"/>
        <w:tabs>
          <w:tab w:leader="none" w:pos="20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pay any interest or fees or other amounts owing hereunder within five (5) Business Days after the same shall become due and payable whether at the Maturity Date or any accelerated date of maturity or at any other date fixed for payment;</w:t>
      </w:r>
    </w:p>
    <w:p>
      <w:pPr>
        <w:spacing w:after="0" w:line="189" w:lineRule="exact"/>
        <w:rPr>
          <w:rFonts w:ascii="Courier New" w:cs="Courier New" w:eastAsia="Courier New" w:hAnsi="Courier New"/>
          <w:sz w:val="16"/>
          <w:szCs w:val="16"/>
          <w:color w:val="auto"/>
        </w:rPr>
      </w:pPr>
    </w:p>
    <w:p>
      <w:pPr>
        <w:ind w:left="380" w:right="2979" w:firstLine="858"/>
        <w:spacing w:after="0" w:line="239" w:lineRule="auto"/>
        <w:tabs>
          <w:tab w:leader="none" w:pos="20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comply with the covenants contained in Sections 7, 8 or 9 hereof;</w:t>
      </w:r>
    </w:p>
    <w:p>
      <w:pPr>
        <w:spacing w:after="0" w:line="189"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Documentation Agent or any of the Banks;</w:t>
      </w:r>
    </w:p>
    <w:p>
      <w:pPr>
        <w:spacing w:after="0" w:line="187" w:lineRule="exact"/>
        <w:rPr>
          <w:rFonts w:ascii="Courier New" w:cs="Courier New" w:eastAsia="Courier New" w:hAnsi="Courier New"/>
          <w:sz w:val="16"/>
          <w:szCs w:val="16"/>
          <w:color w:val="auto"/>
        </w:rPr>
      </w:pPr>
    </w:p>
    <w:p>
      <w:pPr>
        <w:ind w:left="380" w:right="3159" w:firstLine="858"/>
        <w:spacing w:after="0" w:line="241" w:lineRule="auto"/>
        <w:tabs>
          <w:tab w:leader="none" w:pos="20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89" w:lineRule="exact"/>
        <w:rPr>
          <w:rFonts w:ascii="Courier New" w:cs="Courier New" w:eastAsia="Courier New" w:hAnsi="Courier New"/>
          <w:sz w:val="16"/>
          <w:szCs w:val="16"/>
          <w:color w:val="auto"/>
        </w:rPr>
      </w:pPr>
    </w:p>
    <w:p>
      <w:pPr>
        <w:ind w:left="380" w:right="2679" w:firstLine="858"/>
        <w:spacing w:after="0" w:line="242" w:lineRule="auto"/>
        <w:tabs>
          <w:tab w:leader="none" w:pos="20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or any of its Subsidiaries shall fail to pay when due, or within any applicable period of grace, any Indebtedness in an aggregate amount greater than $5,000,000, or fail to observe or perform any material term, covenant or agreement contained in any one or more agreements by which it is bound, evidencing or securing any Indebtedness in an aggregate amount greater than $5,000,000 for such period of time as would, or would have permitted (assuming the giving of appropriate notice if required) the holder or holders thereof or of any obligations issued thereunder to accelerate the maturity thereof or terminate its commitment with respect thereto;</w:t>
      </w:r>
    </w:p>
    <w:p>
      <w:pPr>
        <w:sectPr>
          <w:pgSz w:w="11900" w:h="16838" w:orient="portrait"/>
          <w:cols w:equalWidth="0" w:num="1">
            <w:col w:w="10219"/>
          </w:cols>
          <w:pgMar w:left="240" w:top="298"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6"/>
          <w:szCs w:val="16"/>
          <w:color w:val="auto"/>
        </w:rPr>
        <w:t>67</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-58-</w:t>
      </w:r>
    </w:p>
    <w:p>
      <w:pPr>
        <w:spacing w:after="0" w:line="372" w:lineRule="exact"/>
        <w:rPr>
          <w:sz w:val="20"/>
          <w:szCs w:val="20"/>
          <w:color w:val="auto"/>
        </w:rPr>
      </w:pPr>
    </w:p>
    <w:p>
      <w:pPr>
        <w:ind w:left="100" w:right="2679" w:firstLine="858"/>
        <w:spacing w:after="0" w:line="259" w:lineRule="auto"/>
        <w:tabs>
          <w:tab w:leader="none" w:pos="172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or any Material Subsidiary or of any substantial part of the assets of the Borrower or commences any case or other proceeding relating to the Borrower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or any Material Subsidiary or the Borrower or any Material Subsidiary indicates its approval thereof, consent thereto or acquiescence therein;</w:t>
      </w:r>
    </w:p>
    <w:p>
      <w:pPr>
        <w:spacing w:after="0" w:line="183" w:lineRule="exact"/>
        <w:rPr>
          <w:rFonts w:ascii="Courier New" w:cs="Courier New" w:eastAsia="Courier New" w:hAnsi="Courier New"/>
          <w:sz w:val="15"/>
          <w:szCs w:val="15"/>
          <w:color w:val="auto"/>
        </w:rPr>
      </w:pPr>
    </w:p>
    <w:p>
      <w:pPr>
        <w:ind w:left="100" w:right="2779" w:firstLine="858"/>
        <w:spacing w:after="0" w:line="242" w:lineRule="auto"/>
        <w:tabs>
          <w:tab w:leader="none" w:pos="17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decree or order is entered appointing any such trustee, custodian, liquidator or receiver or adjudicating the Borrower or any Material Subsidiary bankrupt or insolvent, or approving a petition in any such case or other proceeding, or a decree or order for relief is entered in respect of the Borrower or any Material Subsidiary in an involuntary case under federal bankruptcy laws as now or hereafter constituted, and such decree or order remains in effect for more than 30 days, whether or not consecutive;</w:t>
      </w:r>
    </w:p>
    <w:p>
      <w:pPr>
        <w:spacing w:after="0" w:line="188" w:lineRule="exact"/>
        <w:rPr>
          <w:rFonts w:ascii="Courier New" w:cs="Courier New" w:eastAsia="Courier New" w:hAnsi="Courier New"/>
          <w:sz w:val="16"/>
          <w:szCs w:val="16"/>
          <w:color w:val="auto"/>
        </w:rPr>
      </w:pPr>
    </w:p>
    <w:p>
      <w:pPr>
        <w:ind w:left="100" w:right="2779" w:firstLine="858"/>
        <w:spacing w:after="0" w:line="242" w:lineRule="auto"/>
        <w:tabs>
          <w:tab w:leader="none" w:pos="17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$5,000,000 after taking into account any undisputed insurance coverage;</w:t>
      </w:r>
    </w:p>
    <w:p>
      <w:pPr>
        <w:spacing w:after="0" w:line="187" w:lineRule="exact"/>
        <w:rPr>
          <w:rFonts w:ascii="Courier New" w:cs="Courier New" w:eastAsia="Courier New" w:hAnsi="Courier New"/>
          <w:sz w:val="16"/>
          <w:szCs w:val="16"/>
          <w:color w:val="auto"/>
        </w:rPr>
      </w:pPr>
    </w:p>
    <w:p>
      <w:pPr>
        <w:ind w:left="100" w:right="2679" w:firstLine="858"/>
        <w:spacing w:after="0" w:line="242" w:lineRule="auto"/>
        <w:tabs>
          <w:tab w:leader="none" w:pos="17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Guaranteed Pension Plan, an ERISA Reportable Event shall have occurred and the Banks shall have determined in their reasonable discretion that such event reasonably could be expected to result in liability of the Borrower or any Subsidiary or any Subsidiary to the PBGC or the Plan in an aggregate amount exceeding $5,000,000 and such event in the circumstances occurring reasonably could constitute grounds for the termination of such Plan by the PBGC or for the appointment by the appropriate United States District Court of a trustee to administer such Plan; or a trustee shall have been appointed by the United States District Court to administer such Plan; or the PBGC shall have instituted proceedings to terminate such Plan;</w:t>
      </w:r>
    </w:p>
    <w:p>
      <w:pPr>
        <w:spacing w:after="0" w:line="190" w:lineRule="exact"/>
        <w:rPr>
          <w:rFonts w:ascii="Courier New" w:cs="Courier New" w:eastAsia="Courier New" w:hAnsi="Courier New"/>
          <w:sz w:val="16"/>
          <w:szCs w:val="16"/>
          <w:color w:val="auto"/>
        </w:rPr>
      </w:pPr>
    </w:p>
    <w:p>
      <w:pPr>
        <w:ind w:left="100" w:right="2679" w:firstLine="858"/>
        <w:spacing w:after="0" w:line="242" w:lineRule="auto"/>
        <w:tabs>
          <w:tab w:leader="none" w:pos="17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of the Loan Documents shall be canceled,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or any of its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ectPr>
          <w:pgSz w:w="11900" w:h="16838" w:orient="portrait"/>
          <w:cols w:equalWidth="0" w:num="1">
            <w:col w:w="9939"/>
          </w:cols>
          <w:pgMar w:left="520" w:top="298"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68</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-59-</w:t>
      </w:r>
    </w:p>
    <w:p>
      <w:pPr>
        <w:spacing w:after="0" w:line="200" w:lineRule="exact"/>
        <w:rPr>
          <w:sz w:val="20"/>
          <w:szCs w:val="20"/>
          <w:color w:val="auto"/>
        </w:rPr>
      </w:pPr>
    </w:p>
    <w:p>
      <w:pPr>
        <w:spacing w:after="0" w:line="355" w:lineRule="exact"/>
        <w:rPr>
          <w:sz w:val="20"/>
          <w:szCs w:val="20"/>
          <w:color w:val="auto"/>
        </w:rPr>
      </w:pPr>
    </w:p>
    <w:p>
      <w:pPr>
        <w:ind w:left="380" w:right="2779" w:firstLine="858"/>
        <w:spacing w:after="0" w:line="259" w:lineRule="auto"/>
        <w:tabs>
          <w:tab w:leader="none" w:pos="2001"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of persons (within the meaning of Section 13 or 14 of the Securities Exchange Act of 1934, as amended) shall have acquired beneficial ownership (within the meaning of Rule 13d-3 promulgated by the Securities and Exchange Commission under said Act) of</w:t>
      </w:r>
    </w:p>
    <w:p>
      <w:pPr>
        <w:ind w:left="380" w:right="2979" w:hanging="1"/>
        <w:spacing w:after="0" w:line="242" w:lineRule="auto"/>
        <w:tabs>
          <w:tab w:leader="none" w:pos="76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 or more of the outstanding shares of common voting stock of the Borrower or (ii) with respect to the Rangos family, 20% or more of such stock; or, during any period of twelve consecutive calendar months, individuals who were directors of the Borrower on the first day of such period shall cease to constitute a majority of the board of directors of the Borrower;</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then, and in any such event, so long as the same may be continuing, the Bank Agents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12.1(g) or 12.1(h), all such amounts shall become immediately due and payable automatically and without any requirement of notice from the Bank Agents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194"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12.2 Termination of Commitments. If any Event of Default pursuant to Sections 12.1(g) or 12.1(h) hereof shall occur, any unused portion of the Total Commitment hereunder shall forthwith terminate and the Banks and the Issuing Bank shall be relieved of all obligations to make Loans to or to issue, extend or renew Letters of Credit for the account of the Borrower;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 shall be relieved of all further obligations to make Loans to or to issue, extend or renew Letters of Credit for the account of the Borrower hereunder. No termination of any portion of the Commitment Percentage hereunder shall relieve the Borrower of any of its existing Obligations to the Banks or the Bank Agents hereunder or elsewhere.</w:t>
      </w:r>
    </w:p>
    <w:p>
      <w:pPr>
        <w:spacing w:after="0" w:line="19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12.3 Remedies. In case any one or more of the Events of Default shall have occurred and be continuing, and whether or not the Banks shall have accelerated the maturity of the Loans pursuant to Section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No remedy herein conferred upon any Bank or the Bank Agents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ectPr>
          <w:pgSz w:w="11900" w:h="16838" w:orient="portrait"/>
          <w:cols w:equalWidth="0" w:num="1">
            <w:col w:w="10219"/>
          </w:cols>
          <w:pgMar w:left="240" w:top="298" w:right="1440" w:bottom="1440" w:gutter="0" w:footer="0" w:header="0"/>
        </w:sectPr>
      </w:pPr>
    </w:p>
    <w:bookmarkStart w:id="75" w:name="page76"/>
    <w:bookmarkEnd w:id="75"/>
    <w:p>
      <w:pPr>
        <w:ind w:left="282"/>
        <w:spacing w:after="0"/>
        <w:rPr>
          <w:sz w:val="20"/>
          <w:szCs w:val="20"/>
          <w:color w:val="auto"/>
        </w:rPr>
      </w:pPr>
      <w:r>
        <w:rPr>
          <w:rFonts w:ascii="Courier New" w:cs="Courier New" w:eastAsia="Courier New" w:hAnsi="Courier New"/>
          <w:sz w:val="16"/>
          <w:szCs w:val="16"/>
          <w:color w:val="auto"/>
        </w:rPr>
        <w:t>69</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-60-</w:t>
      </w:r>
    </w:p>
    <w:p>
      <w:pPr>
        <w:spacing w:after="0" w:line="200" w:lineRule="exact"/>
        <w:rPr>
          <w:sz w:val="20"/>
          <w:szCs w:val="20"/>
          <w:color w:val="auto"/>
        </w:rPr>
      </w:pPr>
    </w:p>
    <w:p>
      <w:pPr>
        <w:spacing w:after="0" w:line="355"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Section 13. SETOFF. Regardless of the adequacy of any collateral, during the continuance of an Event of Default, any deposits or other sums credited by or due from any Bank to the Borrower and any securities or other property of the Borrower in the possession of such Bank may be applied to or set off against the payment of Obligations and any and all other liabilities, direct, or indirect, absolute or contingent, due or to become due, now existing or hereafter arising, of the Borrower to the Banks or the Bank Agents. Any amounts set off pursuant to this Section 13 shall be distributed ratably among all of the Banks by the Bank setting off such amounts. If any Bank fails to share such setoff ratably, the Administrative Agent shall have the right to withhold such Bank's share of any Borrower payments until each of the Banks shall have, in the aggregate, received a pro rata repayment.</w:t>
      </w:r>
    </w:p>
    <w:p>
      <w:pPr>
        <w:spacing w:after="0" w:line="191" w:lineRule="exact"/>
        <w:rPr>
          <w:sz w:val="20"/>
          <w:szCs w:val="20"/>
          <w:color w:val="auto"/>
        </w:rPr>
      </w:pPr>
    </w:p>
    <w:p>
      <w:pPr>
        <w:ind w:left="2" w:right="2679" w:firstLine="382"/>
        <w:spacing w:after="0" w:line="259" w:lineRule="auto"/>
        <w:rPr>
          <w:sz w:val="20"/>
          <w:szCs w:val="20"/>
          <w:color w:val="auto"/>
        </w:rPr>
      </w:pPr>
      <w:r>
        <w:rPr>
          <w:rFonts w:ascii="Courier New" w:cs="Courier New" w:eastAsia="Courier New" w:hAnsi="Courier New"/>
          <w:sz w:val="15"/>
          <w:szCs w:val="15"/>
          <w:color w:val="auto"/>
        </w:rPr>
        <w:t>Section 14. EXPENSES. Whether or not the transactions contemplated herein shall be consummated, the Borrower hereby promises to reimburse the Documentation Agent for all reasonable out-of-pocket fees and disbursements (including all reasonable attorneys' fees), incurred or expended in connection with the preparation, filing or recording, or interpretation of this Agreement, the other Loan Documents, or any amendment, modification, approval, consent or waiver hereof or thereof. The Borrower further promises to reimburse the Bank Agents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thereunder,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 The Borrower will pay any taxes (including any interest and penalties in respect thereof) other than any Bank's or Bank Agents' taxes based upon or measured by the income or profits, payable on or with respect to the transactions contemplated by this Agreement (the Borrower hereby agreeing to indemnify each Bank and Bank Agent with respect thereto).</w:t>
      </w:r>
    </w:p>
    <w:p>
      <w:pPr>
        <w:spacing w:after="0" w:line="181" w:lineRule="exact"/>
        <w:rPr>
          <w:sz w:val="20"/>
          <w:szCs w:val="20"/>
          <w:color w:val="auto"/>
        </w:rPr>
      </w:pPr>
    </w:p>
    <w:p>
      <w:pPr>
        <w:ind w:left="382"/>
        <w:spacing w:after="0"/>
        <w:tabs>
          <w:tab w:leader="none" w:pos="1702" w:val="left"/>
        </w:tabs>
        <w:rPr>
          <w:sz w:val="20"/>
          <w:szCs w:val="20"/>
          <w:color w:val="auto"/>
        </w:rPr>
      </w:pPr>
      <w:r>
        <w:rPr>
          <w:rFonts w:ascii="Courier New" w:cs="Courier New" w:eastAsia="Courier New" w:hAnsi="Courier New"/>
          <w:sz w:val="16"/>
          <w:szCs w:val="16"/>
          <w:color w:val="auto"/>
        </w:rPr>
        <w:t>Section 15.</w:t>
      </w:r>
      <w:r>
        <w:rPr>
          <w:sz w:val="20"/>
          <w:szCs w:val="20"/>
          <w:color w:val="auto"/>
        </w:rPr>
        <w:tab/>
      </w:r>
      <w:r>
        <w:rPr>
          <w:rFonts w:ascii="Courier New" w:cs="Courier New" w:eastAsia="Courier New" w:hAnsi="Courier New"/>
          <w:sz w:val="15"/>
          <w:szCs w:val="15"/>
          <w:color w:val="auto"/>
        </w:rPr>
        <w:t>THE BANK AGENTS.</w:t>
      </w:r>
    </w:p>
    <w:p>
      <w:pPr>
        <w:spacing w:after="0" w:line="188" w:lineRule="exact"/>
        <w:rPr>
          <w:sz w:val="20"/>
          <w:szCs w:val="20"/>
          <w:color w:val="auto"/>
        </w:rPr>
      </w:pPr>
    </w:p>
    <w:p>
      <w:pPr>
        <w:ind w:left="2" w:right="2679" w:firstLine="382"/>
        <w:spacing w:after="0" w:line="259" w:lineRule="auto"/>
        <w:rPr>
          <w:sz w:val="20"/>
          <w:szCs w:val="20"/>
          <w:color w:val="auto"/>
        </w:rPr>
      </w:pPr>
      <w:r>
        <w:rPr>
          <w:rFonts w:ascii="Courier New" w:cs="Courier New" w:eastAsia="Courier New" w:hAnsi="Courier New"/>
          <w:sz w:val="15"/>
          <w:szCs w:val="15"/>
          <w:color w:val="auto"/>
        </w:rPr>
        <w:t>Section 15.1 Appointment, Powers and Immunities. Each Bank hereby irrevocably appoints and authorizes (a) FNBB to act as Documentation Agent, and</w:t>
      </w:r>
    </w:p>
    <w:p>
      <w:pPr>
        <w:ind w:left="2" w:right="2679" w:hanging="2"/>
        <w:spacing w:after="0" w:line="242" w:lineRule="auto"/>
        <w:tabs>
          <w:tab w:leader="none" w:pos="38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MGT to act as Administrative Agent hereunder and under the other Loan Documents, provided, however, the Administrative Agent and Documentation Agent are hereby authorized to serve only as administrative and documentation agents, respectively, for the Banks and to exercise such powers as are reasonably incidental thereto and as are set forth in this Agreement and the other Loan Documents. The Bank Agents hereby acknowledge that they do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Bank Agents shall take action or refrain from acting only upon instructions of the Banks. It is agreed that the duties, rights, privileges and immunities of the Issuing Bank, in its capacity as issuer of Letters of Credit hereunder, shall be identical to the duties, rights, privileges and immunities of the Bank Agents as provided in this Section 15. The Bank Agents shall not have any duties or responsibilities or any fiduciary relationship with any Bank except those expressly set forth in this Agreement. None of the Bank Agents nor any of their affiliates shall be responsible to the Banks for any recitals, statements, representations or warranties made by the Borrower or any other Person whether contained herein or otherwise or for the value, validity, effectiveness, genuineness, enforceability or sufficiency of this</w:t>
      </w:r>
    </w:p>
    <w:p>
      <w:pPr>
        <w:sectPr>
          <w:pgSz w:w="11900" w:h="16838" w:orient="portrait"/>
          <w:cols w:equalWidth="0" w:num="1">
            <w:col w:w="10221"/>
          </w:cols>
          <w:pgMar w:left="238" w:top="298"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70</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-61-</w:t>
      </w:r>
    </w:p>
    <w:p>
      <w:pPr>
        <w:spacing w:after="0" w:line="372"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Agreement, the other Loan Documents or any other document referred to or provided for herein or therein or for any failure by the Borrower or any other Person to perform its obligations hereunder or thereunder or in respect of the Notes. The Bank Agents may employ agents and attorneys-in-fact and shall not be responsible for the negligence or misconduct of any such agents or attorneys-in-fact selected by it with reasonable care. Neither the Bank Agents nor any of their directors, officers, employees or agents shall be responsible for any action taken or omitted to be taken by it or them hereunder or in connection herewith, except for its or their own gross negligence or willful misconduct. Any Bank Agent in its separate capacity as a Bank shall have the same rights and powers hereunder as any other Bank.</w:t>
      </w:r>
    </w:p>
    <w:p>
      <w:pPr>
        <w:spacing w:after="0" w:line="191"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Section 15.2 Actions By Bank Agents. Each Bank Agent shall be fully justified in failing or refusing to take any action under this Agreement as reasonably deemed appropriate unless it shall first have received the consent of the Banks and shall be indemnified to its reasonable satisfaction by the Banks against any and all liability and expense which may be incurred by it by reason of taking or continuing to take any such action. The Bank Agents shall in all cases be fully protected in acting, or in refraining from acting, under this Agreement or any of the Loan Documents in accordance with the instruction of the Banks, and such instruction and any action taken or failure to act pursuant thereto shall be binding upon the Banks and all future holders of the Notes or any Letter of Credit Participation.</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15.3 Indemnification. Without limiting the obligations of the Borrower and its Subsidiaries hereunder or under any other Loan Document, the Banks agree to indemnify the Bank Agents,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Bank Agents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Bank Agents (or any agent thereof), IT BEING THE INTENT OF THE PARTIES HERETO THAT ALL SUCH INDEMNIFIED PARTIES SHALL BE INDEMNIFIED FOR THEIR ORDINARY SOLE OR CONTRIBUTORY NEGLIGENCE.</w:t>
      </w:r>
    </w:p>
    <w:p>
      <w:pPr>
        <w:spacing w:after="0" w:line="193"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15.4 Reimbursement. Without limiting the provisions of Sections 5.1(a), 5.13, and 12.3, no Bank Agent shall be obliged to make available to any Person any sum which the Bank Agent is expecting to receive for the account of that Person until the Bank Agent has determined that it has received that sum. A Bank Agent may, however, disburse funds prior to determining that the sums which the Bank Agent expects to receive have been finally and unconditionally paid to the Bank Agent, if the Bank Agent wishes to do so. If and to the extent that a Bank Agent does disburse funds and it later becomes apparent that the Bank Agent did not then receive a payment in an amount equal to the sum paid out, then any Person to whom the Bank Agent made the funds available shall, on demand from the Bank Agent, refund to the Bank Agent the sum paid to that Person. If, in the opinion of a Bank Agent, the distribution of any amount received by it in such capacity hereunder or under the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a Bank Agent is to be repaid, each Person to whom any such</w:t>
      </w:r>
    </w:p>
    <w:p>
      <w:pPr>
        <w:sectPr>
          <w:pgSz w:w="11900" w:h="16838" w:orient="portrait"/>
          <w:cols w:equalWidth="0" w:num="1">
            <w:col w:w="10219"/>
          </w:cols>
          <w:pgMar w:left="240" w:top="298"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71</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-62-</w:t>
      </w:r>
    </w:p>
    <w:p>
      <w:pPr>
        <w:spacing w:after="0" w:line="372"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distribution shall have been made shall either repay to the Bank Agent its proportionate share of the amount so adjudged to be repaid or shall pay over the same in such manner and to such Persons as shall be determined by such court.</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Section 15.5 Documents. The Bank Agents will forward to each Bank, promptly after receipt thereof, a copy of each notice or other document furnished to the Bank Agents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15.6 Non-Reliance on Bank Agents and Other Banks. Each Bank represents that it has, independently and without reliance on the Bank Agents, or any other Bank, and based on such documents and information as it has deemed appropriate, made its own appraisal of the financial condition and affairs of the Borrower and the decision to enter into this Agreement and the other Loan Documents and agrees that it will, independently and without reliance upon the Bank Agents,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Bank Agents shall not be required to keep informed as to the performance or observance by the Borrower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Bank Agents hereunder, the Bank Agents shall not have any duty or responsibility to provide any Bank with any credit or other information concerning any person which may come into the possession of the Bank Agents or any of their affiliates. Each Bank shall have access to all documents relating to the Bank Agents' performance of their duties hereunder at such Bank's request. Unless any Bank shall promptly object to any action taken by the Bank Agents hereunder of which such Bank has actual knowledge (other than actions which require the prior consent of such Bank in accordance with the terms hereof or to which the provisions of Section 15.8 are applicable and other than actions which constitute gross negligence or willful misconduct by the Bank Agents), such Bank shall be presumed to have approved the same.</w:t>
      </w:r>
    </w:p>
    <w:p>
      <w:pPr>
        <w:spacing w:after="0" w:line="20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15.7 Resignation of Bank Agents. A Bank Agent may resign at any time by giving 60 days prior written notice thereof to the Banks and the Borrower. Upon any such resignation, the Banks (other than the resigning Bank Agent) shall have the right to appoint a successor Bank Agent from among the Banks. If no successor to such Bank Agent shall have been so appointed by the Banks and shall have accepted such appointment within 30 days after the retiring Bank Agent's giving of notice of resignation, then the retiring Bank Agent may, on behalf of the Banks, appoint a successor Bank Agent from among the remaining Banks, which shall be a financial institution having a combined capital and surplus in excess of $1,000,000,000. Upon the acceptance of any appointment as Bank Agent hereunder by a successor Bank Agent, such successor Bank Agent shall thereupon succeed to and become vested with all the rights, powers, privileges and duties of the retiring Bank Agent, and the retiring Bank Agent shall be discharged from its duties and obligations hereunder. After any retiring Bank Agent's resignation, the provisions of this Agreement shall continue in effect for its benefit in respect of any actions taken or omitted to be taken by it while it was acting as Agent. Any new Issuing Bank appointed pursuant to this Section 15.7 shall immediately issue new Letters of Credit in place of Letters of Credit previously issued, or if acceptable to the resigning Issuing</w:t>
      </w:r>
    </w:p>
    <w:p>
      <w:pPr>
        <w:sectPr>
          <w:pgSz w:w="11900" w:h="16838" w:orient="portrait"/>
          <w:cols w:equalWidth="0" w:num="1">
            <w:col w:w="10219"/>
          </w:cols>
          <w:pgMar w:left="240" w:top="298"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72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-63-</w:t>
      </w:r>
    </w:p>
    <w:p>
      <w:pPr>
        <w:spacing w:after="0" w:line="372" w:lineRule="exact"/>
        <w:rPr>
          <w:sz w:val="20"/>
          <w:szCs w:val="20"/>
          <w:color w:val="auto"/>
        </w:rPr>
      </w:pPr>
    </w:p>
    <w:p>
      <w:pPr>
        <w:ind w:right="2779"/>
        <w:spacing w:after="0" w:line="265" w:lineRule="auto"/>
        <w:rPr>
          <w:sz w:val="20"/>
          <w:szCs w:val="20"/>
          <w:color w:val="auto"/>
        </w:rPr>
      </w:pPr>
      <w:r>
        <w:rPr>
          <w:rFonts w:ascii="Courier New" w:cs="Courier New" w:eastAsia="Courier New" w:hAnsi="Courier New"/>
          <w:sz w:val="15"/>
          <w:szCs w:val="15"/>
          <w:color w:val="auto"/>
        </w:rPr>
        <w:t>Bank, issue letters of credit in favor of the resigning Issuing Bank as security for the outstanding Letters of Credit and shall in due course replace all Letters of Credit previously issued by the resigning Issuing Bank.</w:t>
      </w:r>
    </w:p>
    <w:p>
      <w:pPr>
        <w:spacing w:after="0" w:line="17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15.8 Action by the Banks, Consents, Amendments, Waivers, Etc. Any action to be taken (including the giving of notice) may be taken, any consent or approval required or permitted by the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any Bank Agent shall be effective without the written consent of such Bank Agent. Notwithstanding the foregoing, no amendment, waiver or consent shall do any of the following unless in writing and signed by ALL of the Banks (a) increase the principal amount of the Total Commitment (or subject the Banks to any additional obligations), (b) reduce the principal of or interest on the Notes (including, without limitation, interest on overdue amounts) or any fees payable hereunder, (c) postpone any date fixed for any payment in respect of principal or interest (including, without limitation, interest on overdue amounts) on the Notes, or any fee hereunder; (d) change the definition of "Majority Banks" or number of Banks which shall be required for the Banks or any of them to take any action under the Loan Documents; (e) amend this Section 15.8; or (f) change the Commitment Percentage of any Bank, except as permitted under Section 18 hereof.</w:t>
      </w:r>
    </w:p>
    <w:p>
      <w:pPr>
        <w:spacing w:after="0" w:line="200"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Section 16. INDEMNIFICATION. The Borrower agrees to indemnify and hold harmless the Banks and the Bank Agents and their affiliates, as well as the Banks' and the Bank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enforcement matter, proceeding or litigation, or the preparation therefor, the Banks and the Bank Agents shall be entitled to select their own counsel and, in addition to the foregoing indemnity, the Borrower agrees to pay promptly the reasonable fees and expenses of such counsel. In the event of the commencement of any such proceeding or litigation against the Banks by third parties, the Borrower shall be entitled to participate in such proceeding or litigation with counsel of its choice at its expense, provided that such counsel shall be reasonably satisfactory to the Banks. The covenants of this Section 16 shall survive payment or satisfaction of payment of amounts owing with respect to any Note or any other Loan Document, IT BEING THE INTENT OF THE PARTIES HERETO THAT ALL SUCH INDEMNIFIED PARTIES SHALL BE INDEMNIFIED FOR THEIR ORDINARY SOLE OR CONTRIBUTORY NEGLIGENCE.</w:t>
      </w:r>
    </w:p>
    <w:p>
      <w:pPr>
        <w:spacing w:after="0" w:line="36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Section 17. SURVIVAL OF COVENANTS, ETC. Unless otherwise stated herein, all covenants, agreements, representations and warranties made herein, in the other Loan Documents or in any documents or other papers delivered by or on behalf of the Borrower pursuant hereto shall be deemed to have been relied upon by the Banks and the Bank Agents, notwithstanding any</w:t>
      </w:r>
    </w:p>
    <w:p>
      <w:pPr>
        <w:sectPr>
          <w:pgSz w:w="11900" w:h="16838" w:orient="portrait"/>
          <w:cols w:equalWidth="0" w:num="1">
            <w:col w:w="10219"/>
          </w:cols>
          <w:pgMar w:left="240" w:top="298" w:right="1440" w:bottom="1440" w:gutter="0" w:footer="0" w:header="0"/>
        </w:sectPr>
      </w:pPr>
    </w:p>
    <w:bookmarkStart w:id="79" w:name="page80"/>
    <w:bookmarkEnd w:id="79"/>
    <w:p>
      <w:pPr>
        <w:ind w:left="282"/>
        <w:spacing w:after="0"/>
        <w:rPr>
          <w:sz w:val="20"/>
          <w:szCs w:val="20"/>
          <w:color w:val="auto"/>
        </w:rPr>
      </w:pPr>
      <w:r>
        <w:rPr>
          <w:rFonts w:ascii="Courier New" w:cs="Courier New" w:eastAsia="Courier New" w:hAnsi="Courier New"/>
          <w:sz w:val="16"/>
          <w:szCs w:val="16"/>
          <w:color w:val="auto"/>
        </w:rPr>
        <w:t>73</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-64-</w:t>
      </w:r>
    </w:p>
    <w:p>
      <w:pPr>
        <w:spacing w:after="0" w:line="372"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investigation heretofore or hereafter made by it, and shall survive the making by the Banks of the Loans and the issuance, extension or renewal of any Letters of Credit by the Issuing Bank, as herein contemplated, and shall continue in full force and effect so long as any amount due under this Agreement, any Obligation, any Letter of Credit or any Note remains outstanding and unpaid or any Bank has any obligation to make any Loans or the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91" w:lineRule="exact"/>
        <w:rPr>
          <w:sz w:val="20"/>
          <w:szCs w:val="20"/>
          <w:color w:val="auto"/>
        </w:rPr>
      </w:pPr>
    </w:p>
    <w:p>
      <w:pPr>
        <w:ind w:left="2" w:right="2679" w:firstLine="382"/>
        <w:spacing w:after="0" w:line="259" w:lineRule="auto"/>
        <w:rPr>
          <w:sz w:val="20"/>
          <w:szCs w:val="20"/>
          <w:color w:val="auto"/>
        </w:rPr>
      </w:pPr>
      <w:r>
        <w:rPr>
          <w:rFonts w:ascii="Courier New" w:cs="Courier New" w:eastAsia="Courier New" w:hAnsi="Courier New"/>
          <w:sz w:val="15"/>
          <w:szCs w:val="15"/>
          <w:color w:val="auto"/>
        </w:rPr>
        <w:t>Section 18. ASSIGNMENT AND PARTICIPATION. It is understood and agreed that each Bank shall have the right to assign at any time all or a portion of its Commitment Percentage and interests in the risk relating to the Loans, outstanding Letters of Credit and its Commitment hereunder in an amount equal to or greater than $5,000,000 (which assignment shall be of an equal percentage of the Commitment, the Loans and outstanding Letters of Credit unless otherwise agreed to by the Agents) to additional banks or other financial institutions with the prior written approval of the Administrative Agent, the Issuing Banks and the Borrower, which approvals shall not be unreasonably withheld. Any Bank may at any time, and from time to time, assign to any branch, lending office, or affilate or such Bank all or any part of its rights and obligations under the Loan Documents by notice to the Agents and the Borrower. It is further agreed that each bank or other financial institution which executes and delivers to the Documentation Agent and the Borrower hereunder an Assignment and Acceptance substantially in the form of Exhibit E hereto together with an assignment fee in the amount of $2,500 payable by the assigning Bank to the Documentation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and be released from its obligations under this Agreement. Upon the execution and delivery of such Assignment and Acceptance, (a) the Borrower shall issue to the bank or other financial institution a Syndicated Note in the amount of such bank's or other financial institution's Commitment dated the date of the assignment or such other date as may be specified by the Documentation Agent and otherwise completed in substantially the form of Exhibit A and to the extent any assigning Bank has retained a portion of its obligations hereunder, a replacement Syndicated Note to the assigning Bank reflecting its assignment;</w:t>
      </w:r>
    </w:p>
    <w:p>
      <w:pPr>
        <w:spacing w:after="0" w:line="185" w:lineRule="exact"/>
        <w:rPr>
          <w:sz w:val="20"/>
          <w:szCs w:val="20"/>
          <w:color w:val="auto"/>
        </w:rPr>
      </w:pPr>
    </w:p>
    <w:p>
      <w:pPr>
        <w:ind w:left="2" w:right="2679" w:hanging="2"/>
        <w:spacing w:after="0" w:line="242" w:lineRule="auto"/>
        <w:tabs>
          <w:tab w:leader="none" w:pos="38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applicable, the Borrower shall issue a Competitive Bid Note in substantially the form of Exhibit B (and a replacement Competitive Bid Note) or the Administrative Agent shall make appropriate entries on the Competitive Bid Loan Accounts to reflect such assignment of Competitive Bid Loan(s); (c) the Documentation Agent shall distribute to the Borrower, the Banks and such bank or financial institution a schedule reflecting such changes; and (d) this Agreement shall be appropriately amended to reflect (i) the status of the bank or financial institution as a party hereto and (ii) the status and rights of the Banks hereunder.</w:t>
      </w:r>
    </w:p>
    <w:p>
      <w:pPr>
        <w:spacing w:after="0" w:line="189"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 or financial institutions voting rights with respect to this Agreement to the matters set forth in Section 15.8 which require the vote of all Banks.</w:t>
      </w:r>
    </w:p>
    <w:p>
      <w:pPr>
        <w:sectPr>
          <w:pgSz w:w="11900" w:h="16838" w:orient="portrait"/>
          <w:cols w:equalWidth="0" w:num="1">
            <w:col w:w="10221"/>
          </w:cols>
          <w:pgMar w:left="238" w:top="298"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74</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-65-</w:t>
      </w:r>
    </w:p>
    <w:p>
      <w:pPr>
        <w:spacing w:after="0" w:line="372" w:lineRule="exact"/>
        <w:rPr>
          <w:sz w:val="20"/>
          <w:szCs w:val="20"/>
          <w:color w:val="auto"/>
        </w:rPr>
      </w:pPr>
    </w:p>
    <w:p>
      <w:pPr>
        <w:ind w:right="2679" w:firstLine="382"/>
        <w:spacing w:after="0" w:line="262" w:lineRule="auto"/>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Commitment hereunder or otherwise alter the substantive terms of this Agreement, and no Bank which retains a Commitment hereunder shall have a Commitment of less than $15,000,000, as such amount may be reduced upon reductions in the Total Commitment pursuant to Section 2.3 hereof.</w:t>
      </w:r>
    </w:p>
    <w:p>
      <w:pPr>
        <w:spacing w:after="0" w:line="173"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Anything contained in this Section 18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Section 19.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hereunder without the prior written consent of each of the Banks.</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20.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187" w:lineRule="exact"/>
        <w:rPr>
          <w:sz w:val="20"/>
          <w:szCs w:val="20"/>
          <w:color w:val="auto"/>
        </w:rPr>
      </w:pPr>
    </w:p>
    <w:p>
      <w:pPr>
        <w:ind w:left="380" w:right="2679" w:firstLine="858"/>
        <w:spacing w:after="0"/>
        <w:tabs>
          <w:tab w:leader="none" w:pos="200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Borrower, at 5400 LBJ Freeway, Suite 300, Dallas, Texas 75240, Attention: Earl E. DeFrates, facsimile number (214) 383-7911; or</w:t>
      </w:r>
    </w:p>
    <w:p>
      <w:pPr>
        <w:spacing w:after="0" w:line="189" w:lineRule="exact"/>
        <w:rPr>
          <w:rFonts w:ascii="Courier New" w:cs="Courier New" w:eastAsia="Courier New" w:hAnsi="Courier New"/>
          <w:sz w:val="16"/>
          <w:szCs w:val="16"/>
          <w:color w:val="auto"/>
        </w:rPr>
      </w:pPr>
    </w:p>
    <w:p>
      <w:pPr>
        <w:ind w:left="380" w:right="2679" w:firstLine="858"/>
        <w:spacing w:after="0" w:line="265" w:lineRule="auto"/>
        <w:tabs>
          <w:tab w:leader="none" w:pos="200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FNBB or the Documentation Agent, at The First National Bank of Boston, 100 Federal Street, Boston, MA 02110, Attention: Charles C. Woodard, Managing Director, facsimile number: (617) 434-2160; or</w:t>
      </w:r>
    </w:p>
    <w:p>
      <w:pPr>
        <w:spacing w:after="0" w:line="170" w:lineRule="exact"/>
        <w:rPr>
          <w:rFonts w:ascii="Courier New" w:cs="Courier New" w:eastAsia="Courier New" w:hAnsi="Courier New"/>
          <w:sz w:val="15"/>
          <w:szCs w:val="15"/>
          <w:color w:val="auto"/>
        </w:rPr>
      </w:pPr>
    </w:p>
    <w:p>
      <w:pPr>
        <w:ind w:left="380" w:right="2779" w:firstLine="858"/>
        <w:spacing w:after="0"/>
        <w:tabs>
          <w:tab w:leader="none" w:pos="200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BAI, at Bank of America Illinois, 231 South LaSalle Street, Chicago, Illinois 60697, Attention: Robert P. Rospierski, Vice President, facsimile number (312) 828-1974;</w:t>
      </w:r>
    </w:p>
    <w:p>
      <w:pPr>
        <w:spacing w:after="0" w:line="189" w:lineRule="exact"/>
        <w:rPr>
          <w:rFonts w:ascii="Courier New" w:cs="Courier New" w:eastAsia="Courier New" w:hAnsi="Courier New"/>
          <w:sz w:val="16"/>
          <w:szCs w:val="16"/>
          <w:color w:val="auto"/>
        </w:rPr>
      </w:pPr>
    </w:p>
    <w:p>
      <w:pPr>
        <w:ind w:left="380" w:right="2679" w:firstLine="858"/>
        <w:spacing w:after="0" w:line="265" w:lineRule="auto"/>
        <w:tabs>
          <w:tab w:leader="none" w:pos="200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MGT, J.P. Morgan Securities Inc. or the Administrative Agent, at Morgan Guaranty Trust Company of New York, 60 Wall Street, New York, New York 10260-0060, facsimile number (212) 648-5336;</w:t>
      </w:r>
    </w:p>
    <w:p>
      <w:pPr>
        <w:spacing w:after="0" w:line="171" w:lineRule="exact"/>
        <w:rPr>
          <w:sz w:val="20"/>
          <w:szCs w:val="20"/>
          <w:color w:val="auto"/>
        </w:rPr>
      </w:pPr>
    </w:p>
    <w:p>
      <w:pPr>
        <w:ind w:left="380" w:right="3259"/>
        <w:spacing w:after="0" w:line="239" w:lineRule="auto"/>
        <w:rPr>
          <w:sz w:val="20"/>
          <w:szCs w:val="20"/>
          <w:color w:val="auto"/>
        </w:rPr>
      </w:pPr>
      <w:r>
        <w:rPr>
          <w:rFonts w:ascii="Courier New" w:cs="Courier New" w:eastAsia="Courier New" w:hAnsi="Courier New"/>
          <w:sz w:val="16"/>
          <w:szCs w:val="16"/>
          <w:color w:val="auto"/>
        </w:rPr>
        <w:t>or such other address for notice as shall have last been furnished in writing to the Person giving the notice.</w:t>
      </w:r>
    </w:p>
    <w:p>
      <w:pPr>
        <w:sectPr>
          <w:pgSz w:w="11900" w:h="16838" w:orient="portrait"/>
          <w:cols w:equalWidth="0" w:num="1">
            <w:col w:w="10219"/>
          </w:cols>
          <w:pgMar w:left="240" w:top="298"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75</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-66-</w:t>
      </w:r>
    </w:p>
    <w:p>
      <w:pPr>
        <w:spacing w:after="0" w:line="200" w:lineRule="exact"/>
        <w:rPr>
          <w:sz w:val="20"/>
          <w:szCs w:val="20"/>
          <w:color w:val="auto"/>
        </w:rPr>
      </w:pPr>
    </w:p>
    <w:p>
      <w:pPr>
        <w:spacing w:after="0" w:line="355"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Section 21. MISCELLANEOUS. The rights and remedies herein expressed are cumulative and not exclusive of any other rights which the Banks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90"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Section 22. CONSENTS, ETC. Neither this Agreement nor any term hereof may be changed, waived, discharged or terminated, except as provided in this Section 22, subject to the provisions of Section 15.8.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Banks. To the extent permitted by law, no course of dealing or delay or omission on the part of any of the Banks or the Bank Agents in exercising any right shall operate as a waiver thereof or otherwise be prejudicial thereto. No notice to or demand upon the Borrower shall entitle the Borrower to other or further notice or demand in similar or other circumstances.</w:t>
      </w:r>
    </w:p>
    <w:p>
      <w:pPr>
        <w:spacing w:after="0" w:line="36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23. WAIVER OF JURY TRIAL. TO THE EXTENT PERMITTED BY APPLICABLE LAW, THE BORROWER HEREBY WAIVES ITS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HEREBY WAIVES ANY RIGHT IT MAY HAVE TO CLAIM OR RECOVER IN ANY LITIGATION REFERRED TO IN THE PRECEDING SENTENCE ANY SPECIAL, EXEMPLARY, PUNITIVE OR CONSEQUENTIAL DAMAGES OR ANY DAMAGES OTHER THAN, OR IN ADDITION TO, ACTUAL DAMAGES. THE BORROWER (A)</w:t>
      </w:r>
    </w:p>
    <w:p>
      <w:pPr>
        <w:sectPr>
          <w:pgSz w:w="11900" w:h="16838" w:orient="portrait"/>
          <w:cols w:equalWidth="0" w:num="1">
            <w:col w:w="10219"/>
          </w:cols>
          <w:pgMar w:left="240" w:top="298"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76</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-67-</w:t>
      </w:r>
    </w:p>
    <w:p>
      <w:pPr>
        <w:spacing w:after="0" w:line="372"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CERTIFIES THAT NO REPRESENTATIVE, AGENT OR ATTORNEY OF ANY BANK OR BANK AGENT HAS REPRESENTED, EXPRESSLY OR OTHERWISE, THAT SUCH BANK OR AGENT WOULD NOT, IN THE EVENT OF LITIGATION, SEEK TO ENFORCE THE FOREGOING WAIVERS AND (B) ACKNOWLEDGES THAT THE BANK AGENTS AND THE BANKS HAVE BEEN INDUCED TO ENTER INTO THIS AGREEMENT AND THE OTHER LOAN DOCUMENTS BECAUSE OF, AMONG OTHER THINGS, THE BORROWER'S WAIVERS AND CERTIFICATIONS CONTAINED HEREIN.</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24. GOVERNING LAW. THIS AGREEMENT AND EACH OF THE OTHER LOAN DOCUMENTS ARE CONTRACTS UNDER THE LAWS OF THE COMMONWEALTH OF MASSACHUSETTS AND SHALL FOR ALL PURPOSES BE CONSTRUED IN ACCORDANCE WITH AND GOVERNED BY THE LAWS OF SAID COMMONWEALTH (EXCLUDING THE LAWS APPLICABLE TO CONFLICTS OR CHOICE OF LAW). THE BORROWER CONSENTS TO THE JURISDICTION OF ANY OF THE FEDERAL OR STATE COURTS LOCATED IN THE COMMONWEALTH OF MASSACHUSETTS IN CONNECTION WITH ANY SUIT TO ENFORCE THE RIGHTS OF THE BANKS OR THE BANK AGENTS UNDER THIS AGREEMENT OR ANY OF THE OTHER LOAN DOCUMENTS.</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Section 25.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Section 26. FINAL AGREEMENT. THIS WRITTEN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19"/>
          </w:cols>
          <w:pgMar w:left="240" w:top="298"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77</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-68-</w:t>
      </w:r>
    </w:p>
    <w:p>
      <w:pPr>
        <w:spacing w:after="0" w:line="372"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IN WITNESS WHEREOF, the undersigned have duly executed this Agreement under seal as of the date first set forth above.</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THE BORROWER:</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2480"/>
        <w:spacing w:after="0"/>
        <w:tabs>
          <w:tab w:leader="none" w:pos="2940" w:val="left"/>
        </w:tabs>
        <w:rPr>
          <w:sz w:val="20"/>
          <w:szCs w:val="20"/>
          <w:color w:val="auto"/>
        </w:rPr>
      </w:pPr>
      <w:r>
        <w:rPr>
          <w:rFonts w:ascii="Courier New" w:cs="Courier New" w:eastAsia="Courier New" w:hAnsi="Courier New"/>
          <w:sz w:val="16"/>
          <w:szCs w:val="16"/>
          <w:color w:val="auto"/>
        </w:rPr>
        <w:t>By:</w:t>
        <w:tab/>
        <w:t>/s/ Earl E. Defrates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Earl E. DeFrates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Executive Vice President and CFO</w:t>
      </w:r>
    </w:p>
    <w:p>
      <w:pPr>
        <w:spacing w:after="0" w:line="36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THE BANKS AND AGENTS:</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THE FIRST NATIONAL BANK OF BOSTON,</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Individually and as Documentation Agent</w:t>
      </w:r>
    </w:p>
    <w:p>
      <w:pPr>
        <w:spacing w:after="0" w:line="369" w:lineRule="exact"/>
        <w:rPr>
          <w:sz w:val="20"/>
          <w:szCs w:val="20"/>
          <w:color w:val="auto"/>
        </w:rPr>
      </w:pPr>
    </w:p>
    <w:p>
      <w:pPr>
        <w:ind w:left="2480"/>
        <w:spacing w:after="0"/>
        <w:tabs>
          <w:tab w:leader="none" w:pos="2940" w:val="left"/>
        </w:tabs>
        <w:rPr>
          <w:sz w:val="20"/>
          <w:szCs w:val="20"/>
          <w:color w:val="auto"/>
        </w:rPr>
      </w:pPr>
      <w:r>
        <w:rPr>
          <w:rFonts w:ascii="Courier New" w:cs="Courier New" w:eastAsia="Courier New" w:hAnsi="Courier New"/>
          <w:sz w:val="16"/>
          <w:szCs w:val="16"/>
          <w:color w:val="auto"/>
        </w:rPr>
        <w:t>By:</w:t>
        <w:tab/>
        <w:t>/s/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Managing Director</w:t>
      </w:r>
    </w:p>
    <w:p>
      <w:pPr>
        <w:spacing w:after="0" w:line="36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BANK OF AMERICA ILLINOIS</w:t>
      </w:r>
    </w:p>
    <w:p>
      <w:pPr>
        <w:spacing w:after="0" w:line="369" w:lineRule="exact"/>
        <w:rPr>
          <w:sz w:val="20"/>
          <w:szCs w:val="20"/>
          <w:color w:val="auto"/>
        </w:rPr>
      </w:pPr>
    </w:p>
    <w:p>
      <w:pPr>
        <w:ind w:left="2480"/>
        <w:spacing w:after="0"/>
        <w:tabs>
          <w:tab w:leader="none" w:pos="2940" w:val="left"/>
        </w:tabs>
        <w:rPr>
          <w:sz w:val="20"/>
          <w:szCs w:val="20"/>
          <w:color w:val="auto"/>
        </w:rPr>
      </w:pPr>
      <w:r>
        <w:rPr>
          <w:rFonts w:ascii="Courier New" w:cs="Courier New" w:eastAsia="Courier New" w:hAnsi="Courier New"/>
          <w:sz w:val="16"/>
          <w:szCs w:val="16"/>
          <w:color w:val="auto"/>
        </w:rPr>
        <w:t>By:</w:t>
        <w:tab/>
        <w:t>/s/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480"/>
        <w:spacing w:after="0"/>
        <w:tabs>
          <w:tab w:leader="none" w:pos="32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MORGAN GUARANTY TRUST COMPANY OF NEW YORK,</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Individually and as Administrative Agent</w:t>
      </w:r>
    </w:p>
    <w:p>
      <w:pPr>
        <w:spacing w:after="0" w:line="369" w:lineRule="exact"/>
        <w:rPr>
          <w:sz w:val="20"/>
          <w:szCs w:val="20"/>
          <w:color w:val="auto"/>
        </w:rPr>
      </w:pPr>
    </w:p>
    <w:p>
      <w:pPr>
        <w:ind w:left="2480"/>
        <w:spacing w:after="0"/>
        <w:tabs>
          <w:tab w:leader="none" w:pos="2940" w:val="left"/>
        </w:tabs>
        <w:rPr>
          <w:sz w:val="20"/>
          <w:szCs w:val="20"/>
          <w:color w:val="auto"/>
        </w:rPr>
      </w:pPr>
      <w:r>
        <w:rPr>
          <w:rFonts w:ascii="Courier New" w:cs="Courier New" w:eastAsia="Courier New" w:hAnsi="Courier New"/>
          <w:sz w:val="16"/>
          <w:szCs w:val="16"/>
          <w:color w:val="auto"/>
        </w:rPr>
        <w:t>By:</w:t>
        <w:tab/>
        <w:t>/s/ Laura E. Reim</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480"/>
        <w:spacing w:after="0"/>
        <w:tabs>
          <w:tab w:leader="none" w:pos="32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98"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6"/>
          <w:szCs w:val="16"/>
          <w:color w:val="auto"/>
        </w:rPr>
        <w:t>78</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-69-</w:t>
      </w:r>
    </w:p>
    <w:p>
      <w:pPr>
        <w:spacing w:after="0" w:line="200" w:lineRule="exact"/>
        <w:rPr>
          <w:sz w:val="20"/>
          <w:szCs w:val="20"/>
          <w:color w:val="auto"/>
        </w:rPr>
      </w:pPr>
    </w:p>
    <w:p>
      <w:pPr>
        <w:spacing w:after="0" w:line="35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ABN AMRO BANK, HOUSTON AGENCY, BY ABN</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AMRO, NORTH AMERICA INC., as its agent</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Group Vice President and Director</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 and Director</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BANK AUSTRIA AKTIENGESELLSCHAFT</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Kevin B. McGinn</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Sr.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BANK OF NEW YORK</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H. Stephen Griffith</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Senior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39"/>
          </w:cols>
          <w:pgMar w:left="520" w:top="298"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6"/>
          <w:szCs w:val="16"/>
          <w:color w:val="auto"/>
        </w:rPr>
        <w:t>79</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-70-</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BANK OF NOVA SCOTIA</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Senior Manager Loan Operations</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BANQUE PARIBAS, HOUSTON AGENCY</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Scott Clingan</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Larry Robinson</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BHF-BANK AKTIENGESELLSCHAFT</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CIBC INC.</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Gary C. Gaskill</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Authorized Signatory</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COOPERATIEVE CENTRALE RAIFFEISEN</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BOERENLEENBANK, B.A., "RABOBANK NEDERLAND",</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NEW YORK BRANCH</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Juhannes F. Breukhuven</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W. Jeffrey Vollack</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 Manager</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CREDIT LYONNAIS NEW YORK BRANCH</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Robert Ivosevich</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Senior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39"/>
          </w:cols>
          <w:pgMar w:left="520" w:top="298"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6"/>
          <w:szCs w:val="16"/>
          <w:color w:val="auto"/>
        </w:rPr>
        <w:t>80</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-71-</w:t>
      </w:r>
    </w:p>
    <w:p>
      <w:pPr>
        <w:spacing w:after="0" w:line="200" w:lineRule="exact"/>
        <w:rPr>
          <w:sz w:val="20"/>
          <w:szCs w:val="20"/>
          <w:color w:val="auto"/>
        </w:rPr>
      </w:pPr>
    </w:p>
    <w:p>
      <w:pPr>
        <w:spacing w:after="0" w:line="35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DEUTSCHE BANK AG, NEW YORK AND/OR</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CAYMAN ISLANDS BRANCHES</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Jean M. Hannigan</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John Augsburger</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FIRST INTERSTATE BANK OF TEXAS, N.A.</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Senior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FUJI BANK, LIMITED, HOUSTON AGENCY</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David Kelley</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 and Senior Manager</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HIBERNIA NATIONAL BANK</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39"/>
          </w:cols>
          <w:pgMar w:left="520" w:top="298"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6"/>
          <w:szCs w:val="16"/>
          <w:color w:val="auto"/>
        </w:rPr>
        <w:t>81</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-72-</w:t>
      </w:r>
    </w:p>
    <w:p>
      <w:pPr>
        <w:spacing w:after="0" w:line="200" w:lineRule="exact"/>
        <w:rPr>
          <w:sz w:val="20"/>
          <w:szCs w:val="20"/>
          <w:color w:val="auto"/>
        </w:rPr>
      </w:pPr>
    </w:p>
    <w:p>
      <w:pPr>
        <w:spacing w:after="0" w:line="35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LONG-TERM CREDIT BANK OF JAPAN,</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LIMITED, NEW YORK BRANCH</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Joint General Manager</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FLEET BANK, N.A.</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(f/k/a NATWEST BANK N.A.)</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Dilcia Pena Hill</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SANWA BANK LIMITED, DALLAS AGENCY</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SUMITOMO BANK, LIMITED - HOUSTON</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AGENCY</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Harumitsu Seki</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General Manager</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SUNTRUST BANK, ATLANTA</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Jennifer McClure</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Corporate Banking Officer</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39"/>
          </w:cols>
          <w:pgMar w:left="520" w:top="298"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6"/>
          <w:szCs w:val="16"/>
          <w:color w:val="auto"/>
        </w:rPr>
        <w:t>82</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-73-</w:t>
      </w:r>
    </w:p>
    <w:p>
      <w:pPr>
        <w:spacing w:after="0" w:line="200" w:lineRule="exact"/>
        <w:rPr>
          <w:sz w:val="20"/>
          <w:szCs w:val="20"/>
          <w:color w:val="auto"/>
        </w:rPr>
      </w:pPr>
    </w:p>
    <w:p>
      <w:pPr>
        <w:spacing w:after="0" w:line="35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UNION BANK</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Julie Bloomfield</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WESTDEUTSCHE LANDESBANK GIROZENTRALE,</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NEW YORK AND CAYMAN ISLAND BRANCHES</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Richard R. Newman</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By: /s/ M. P. M. Ransley</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Title: Associate</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39"/>
          </w:cols>
          <w:pgMar w:left="520" w:top="298"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99.1</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FOR IMMEDIATE RELEASE</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Contact: Lew Nevins</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(214) 383-7940</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UW #96-06</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USA WASTE ANNOUNCES CLOSING OF WESTERN WASTE MERGER</w:t>
      </w:r>
    </w:p>
    <w:p>
      <w:pPr>
        <w:spacing w:after="0" w:line="18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AND NEW $750 MILLION BANK CREDIT FACILITY</w:t>
      </w:r>
    </w:p>
    <w:p>
      <w:pPr>
        <w:spacing w:after="0" w:line="372"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DALLAS, TX (May 7, 1996) -- USA Waste Services, Inc. (NYSE:UW) announced that its stockholders approved the merger with Western Waste Industries at their annual meeting today. Earlier in the day, stockholders of Western Waste approved the merger transaction with USA Waste Services.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John E. Drury, USA Waste's Chief Executive Officer, said, "We are delighted to have completed this merger, one which makes USA Waste the third largest solid waste company in North America. Western Waste, with its established market presence and large asset base, gives us additional access to several new markets and a larger presence in some existing ones. Western's major market share in Southern California, together with USA Waste's recent entry into New York City, provide the Company with a strong presence in the two largest waste markets in the United States."</w:t>
      </w:r>
    </w:p>
    <w:p>
      <w:pPr>
        <w:spacing w:after="0" w:line="189"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Mr. Drury noted that the process of integrating Western Waste's operations with USA Waste's will move forward rapidly with substantial savings planned over the coming months.</w:t>
      </w:r>
    </w:p>
    <w:p>
      <w:pPr>
        <w:spacing w:after="0" w:line="190"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Kosti Shirvanian, Western Waste's Chairman and CEO, said, "I am excited about this merger and the great partnership we are forming. I believe Western Waste's shareholders, employees, customers and others will be well served by this merger. Western Waste was started over 40 years ago and, as a wholly owned subsidiary of USA Waste, our Company's spirit will continue to live and prosper with this combination."</w:t>
      </w:r>
    </w:p>
    <w:p>
      <w:pPr>
        <w:spacing w:after="0" w:line="187"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In connection with the merger, USA Waste also announced that it has arranged a new $750 million five year revolving credit facility with a consortium of banks led by The First National Bank of Boston, Bank of America Illinois and Morgan Guaranty Trust Company. The new facility will be used to refinance existing bank loans and letters of credit as well as fund additional acquisitions</w:t>
      </w:r>
    </w:p>
    <w:p>
      <w:pPr>
        <w:sectPr>
          <w:pgSz w:w="11900" w:h="16838" w:orient="portrait"/>
          <w:cols w:equalWidth="0" w:num="1">
            <w:col w:w="10219"/>
          </w:cols>
          <w:pgMar w:left="240" w:top="139"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and working capital. This facility offers the Company improved terms and financing flexibility while providing reduced borrowing costs that reflect a strengthened credit profile.</w:t>
      </w:r>
    </w:p>
    <w:p>
      <w:pPr>
        <w:spacing w:after="0" w:line="190"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At the annual meeting, USA Waste stockholders also approved the other proposals presented to them.</w:t>
      </w:r>
    </w:p>
    <w:p>
      <w:pPr>
        <w:spacing w:after="0" w:line="189"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USA Waste Services is an integrated solid waste management company serving municipal, commercial, industrial and residential customers in 24 states. The Company has annualized post-merger revenues of over $800 million and assets of over $1 billion.</w:t>
      </w:r>
    </w:p>
    <w:sectPr>
      <w:pgSz w:w="11900" w:h="16838" w:orient="portrait"/>
      <w:cols w:equalWidth="0" w:num="1">
        <w:col w:w="10219"/>
      </w:cols>
      <w:pgMar w:left="24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lowerLetter"/>
      <w:start w:val="1"/>
    </w:lvl>
  </w:abstractNum>
  <w:abstractNum w:abstractNumId="1">
    <w:nsid w:val="22221A70"/>
    <w:multiLevelType w:val="hybridMultilevel"/>
    <w:lvl w:ilvl="0">
      <w:lvlJc w:val="left"/>
      <w:lvlText w:val="(%1)"/>
      <w:numFmt w:val="lowerLetter"/>
      <w:start w:val="2"/>
    </w:lvl>
  </w:abstractNum>
  <w:abstractNum w:abstractNumId="2">
    <w:nsid w:val="4516DDE9"/>
    <w:multiLevelType w:val="hybridMultilevel"/>
    <w:lvl w:ilvl="0">
      <w:lvlJc w:val="left"/>
      <w:lvlText w:val="(%1)"/>
      <w:numFmt w:val="lowerLetter"/>
      <w:start w:val="3"/>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upperLetter"/>
      <w:start w:val="3"/>
    </w:lvl>
  </w:abstractNum>
  <w:abstractNum w:abstractNumId="7">
    <w:nsid w:val="440BADFC"/>
    <w:multiLevelType w:val="hybridMultilevel"/>
    <w:lvl w:ilvl="0">
      <w:lvlJc w:val="left"/>
      <w:lvlText w:val="(%1)"/>
      <w:numFmt w:val="lowerLetter"/>
      <w:start w:val="3"/>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lowerLetter"/>
      <w:start w:val="8"/>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lowerLetter"/>
      <w:start w:val="2"/>
    </w:lvl>
  </w:abstractNum>
  <w:abstractNum w:abstractNumId="12">
    <w:nsid w:val="5C482A97"/>
    <w:multiLevelType w:val="hybridMultilevel"/>
    <w:lvl w:ilvl="0">
      <w:lvlJc w:val="left"/>
      <w:lvlText w:val="(%1)"/>
      <w:numFmt w:val="lowerLetter"/>
      <w:start w:val="2"/>
    </w:lvl>
  </w:abstractNum>
  <w:abstractNum w:abstractNumId="13">
    <w:nsid w:val="2463B9EA"/>
    <w:multiLevelType w:val="hybridMultilevel"/>
    <w:lvl w:ilvl="0">
      <w:lvlJc w:val="left"/>
      <w:lvlText w:val="(%1)"/>
      <w:numFmt w:val="decimal"/>
      <w:start w:val="3"/>
    </w:lvl>
  </w:abstractNum>
  <w:abstractNum w:abstractNumId="14">
    <w:nsid w:val="5E884ADC"/>
    <w:multiLevelType w:val="hybridMultilevel"/>
    <w:lvl w:ilvl="0">
      <w:lvlJc w:val="left"/>
      <w:lvlText w:val="(%1)"/>
      <w:numFmt w:val="lowerRoman"/>
      <w:start w:val="3"/>
    </w:lvl>
  </w:abstractNum>
  <w:abstractNum w:abstractNumId="15">
    <w:nsid w:val="51EAD36B"/>
    <w:multiLevelType w:val="hybridMultilevel"/>
    <w:lvl w:ilvl="0">
      <w:lvlJc w:val="left"/>
      <w:lvlText w:val="%1"/>
      <w:numFmt w:val="lowerRoman"/>
      <w:start w:val="1"/>
    </w:lvl>
    <w:lvl w:ilvl="1">
      <w:lvlJc w:val="left"/>
      <w:lvlText w:val="(%2)"/>
      <w:numFmt w:val="lowerLetter"/>
      <w:start w:val="1"/>
    </w:lvl>
  </w:abstractNum>
  <w:abstractNum w:abstractNumId="16">
    <w:nsid w:val="2D517796"/>
    <w:multiLevelType w:val="hybridMultilevel"/>
    <w:lvl w:ilvl="0">
      <w:lvlJc w:val="left"/>
      <w:lvlText w:val="(%1)"/>
      <w:numFmt w:val="lowerRoman"/>
      <w:start w:val="2"/>
    </w:lvl>
    <w:lvl w:ilvl="1">
      <w:lvlJc w:val="left"/>
      <w:lvlText w:val="(%2)"/>
      <w:numFmt w:val="lowerLetter"/>
      <w:start w:val="2"/>
    </w:lvl>
  </w:abstractNum>
  <w:abstractNum w:abstractNumId="17">
    <w:nsid w:val="580BD78F"/>
    <w:multiLevelType w:val="hybridMultilevel"/>
    <w:lvl w:ilvl="0">
      <w:lvlJc w:val="left"/>
      <w:lvlText w:val="(%1)"/>
      <w:numFmt w:val="lowerLetter"/>
      <w:start w:val="3"/>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lowerLetter"/>
      <w:start w:val="35"/>
    </w:lvl>
    <w:lvl w:ilvl="1">
      <w:lvlJc w:val="left"/>
      <w:lvlText w:val="%2"/>
      <w:numFmt w:val="lowerLetter"/>
      <w:start w:val="1"/>
    </w:lvl>
  </w:abstractNum>
  <w:abstractNum w:abstractNumId="20">
    <w:nsid w:val="70A64E2A"/>
    <w:multiLevelType w:val="hybridMultilevel"/>
    <w:lvl w:ilvl="0">
      <w:lvlJc w:val="left"/>
      <w:lvlText w:val="(%1)"/>
      <w:numFmt w:val="lowerLetter"/>
      <w:start w:val="25"/>
    </w:lvl>
    <w:lvl w:ilvl="1">
      <w:lvlJc w:val="left"/>
      <w:lvlText w:val="(%2)"/>
      <w:numFmt w:val="lowerLetter"/>
      <w:start w:val="2"/>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lowerLetter"/>
      <w:start w:val="1"/>
    </w:lvl>
    <w:lvl w:ilvl="1">
      <w:lvlJc w:val="left"/>
      <w:lvlText w:val="(%2)"/>
      <w:numFmt w:val="lowerLetter"/>
      <w:start w:val="1"/>
    </w:lvl>
  </w:abstractNum>
  <w:abstractNum w:abstractNumId="23">
    <w:nsid w:val="1D4ED43B"/>
    <w:multiLevelType w:val="hybridMultilevel"/>
    <w:lvl w:ilvl="0">
      <w:lvlJc w:val="left"/>
      <w:lvlText w:val="(%1)"/>
      <w:numFmt w:val="lowerLetter"/>
      <w:start w:val="2"/>
    </w:lvl>
    <w:lvl w:ilvl="1">
      <w:lvlJc w:val="left"/>
      <w:lvlText w:val="(%2)"/>
      <w:numFmt w:val="lowerLetter"/>
      <w:start w:val="2"/>
    </w:lvl>
  </w:abstractNum>
  <w:abstractNum w:abstractNumId="24">
    <w:nsid w:val="725A06FB"/>
    <w:multiLevelType w:val="hybridMultilevel"/>
    <w:lvl w:ilvl="0">
      <w:lvlJc w:val="left"/>
      <w:lvlText w:val="(%1)"/>
      <w:numFmt w:val="lowerLetter"/>
      <w:start w:val="1"/>
    </w:lvl>
    <w:lvl w:ilvl="1">
      <w:lvlJc w:val="left"/>
      <w:lvlText w:val="(%2)"/>
      <w:numFmt w:val="lowerRoman"/>
      <w:start w:val="1"/>
    </w:lvl>
  </w:abstractNum>
  <w:abstractNum w:abstractNumId="25">
    <w:nsid w:val="2CD89A32"/>
    <w:multiLevelType w:val="hybridMultilevel"/>
    <w:lvl w:ilvl="0">
      <w:lvlJc w:val="left"/>
      <w:lvlText w:val="(%1)"/>
      <w:numFmt w:val="lowerLetter"/>
      <w:start w:val="2"/>
    </w:lvl>
  </w:abstractNum>
  <w:abstractNum w:abstractNumId="26">
    <w:nsid w:val="57E4CCAF"/>
    <w:multiLevelType w:val="hybridMultilevel"/>
    <w:lvl w:ilvl="0">
      <w:lvlJc w:val="left"/>
      <w:lvlText w:val="(%1)"/>
      <w:numFmt w:val="lowerLetter"/>
      <w:start w:val="1"/>
    </w:lvl>
    <w:lvl w:ilvl="1">
      <w:lvlJc w:val="left"/>
      <w:lvlText w:val="(%2)"/>
      <w:numFmt w:val="lowerRoman"/>
      <w:start w:val="1"/>
    </w:lvl>
  </w:abstractNum>
  <w:abstractNum w:abstractNumId="27">
    <w:nsid w:val="7A6D8D3C"/>
    <w:multiLevelType w:val="hybridMultilevel"/>
    <w:lvl w:ilvl="0">
      <w:lvlJc w:val="left"/>
      <w:lvlText w:val="(%1)"/>
      <w:numFmt w:val="lowerLetter"/>
      <w:start w:val="25"/>
    </w:lvl>
    <w:lvl w:ilvl="1">
      <w:lvlJc w:val="left"/>
      <w:lvlText w:val="%2"/>
      <w:numFmt w:val="lowerRoman"/>
      <w:start w:val="1"/>
    </w:lvl>
  </w:abstractNum>
  <w:abstractNum w:abstractNumId="28">
    <w:nsid w:val="4B588F54"/>
    <w:multiLevelType w:val="hybridMultilevel"/>
    <w:lvl w:ilvl="0">
      <w:lvlJc w:val="left"/>
      <w:lvlText w:val="(%1)"/>
      <w:numFmt w:val="lowerRoman"/>
      <w:start w:val="3"/>
    </w:lvl>
  </w:abstractNum>
  <w:abstractNum w:abstractNumId="29">
    <w:nsid w:val="542289EC"/>
    <w:multiLevelType w:val="hybridMultilevel"/>
    <w:lvl w:ilvl="0">
      <w:lvlJc w:val="left"/>
      <w:lvlText w:val="(%1)"/>
      <w:numFmt w:val="lowerLetter"/>
      <w:start w:val="3"/>
    </w:lvl>
    <w:lvl w:ilvl="1">
      <w:lvlJc w:val="left"/>
      <w:lvlText w:val="(%2)"/>
      <w:numFmt w:val="lowerRoman"/>
      <w:start w:val="1"/>
    </w:lvl>
  </w:abstractNum>
  <w:abstractNum w:abstractNumId="30">
    <w:nsid w:val="6DE91B18"/>
    <w:multiLevelType w:val="hybridMultilevel"/>
    <w:lvl w:ilvl="0">
      <w:lvlJc w:val="left"/>
      <w:lvlText w:val="(%1)"/>
      <w:numFmt w:val="lowerRoman"/>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1"/>
    </w:lvl>
    <w:lvl w:ilvl="1">
      <w:lvlJc w:val="left"/>
      <w:lvlText w:val="(%2)"/>
      <w:numFmt w:val="lowerLetter"/>
      <w:start w:val="4"/>
    </w:lvl>
  </w:abstractNum>
  <w:abstractNum w:abstractNumId="33">
    <w:nsid w:val="32FFF902"/>
    <w:multiLevelType w:val="hybridMultilevel"/>
    <w:lvl w:ilvl="0">
      <w:lvlJc w:val="left"/>
      <w:lvlText w:val="(%1)"/>
      <w:numFmt w:val="lowerLetter"/>
      <w:start w:val="9"/>
    </w:lvl>
    <w:lvl w:ilvl="1">
      <w:lvlJc w:val="left"/>
      <w:lvlText w:val="(%2)"/>
      <w:numFmt w:val="lowerLetter"/>
      <w:start w:val="5"/>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2"/>
    </w:lvl>
    <w:lvl w:ilvl="1">
      <w:lvlJc w:val="left"/>
      <w:lvlText w:val="(%2)"/>
      <w:numFmt w:val="lowerRoman"/>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2"/>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lowerLetter"/>
      <w:start w:val="2"/>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4"/>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3"/>
    </w:lvl>
  </w:abstractNum>
  <w:abstractNum w:abstractNumId="45">
    <w:nsid w:val="4F4EF005"/>
    <w:multiLevelType w:val="hybridMultilevel"/>
    <w:lvl w:ilvl="0">
      <w:lvlJc w:val="left"/>
      <w:lvlText w:val="(%1)"/>
      <w:numFmt w:val="lowerLetter"/>
      <w:start w:val="1"/>
    </w:lvl>
    <w:lvl w:ilvl="1">
      <w:lvlJc w:val="left"/>
      <w:lvlText w:val="(%2)"/>
      <w:numFmt w:val="lowerRoman"/>
      <w:start w:val="1"/>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3"/>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lowerLetter"/>
      <w:start w:val="4"/>
    </w:lvl>
  </w:abstractNum>
  <w:abstractNum w:abstractNumId="50">
    <w:nsid w:val="1CF10FD8"/>
    <w:multiLevelType w:val="hybridMultilevel"/>
    <w:lvl w:ilvl="0">
      <w:lvlJc w:val="left"/>
      <w:lvlText w:val="(%1)"/>
      <w:numFmt w:val="lowerLetter"/>
      <w:start w:val="5"/>
    </w:lvl>
  </w:abstractNum>
  <w:abstractNum w:abstractNumId="51">
    <w:nsid w:val="180115BE"/>
    <w:multiLevelType w:val="hybridMultilevel"/>
    <w:lvl w:ilvl="0">
      <w:lvlJc w:val="left"/>
      <w:lvlText w:val="(%1)"/>
      <w:numFmt w:val="lowerLetter"/>
      <w:start w:val="3"/>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3"/>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Roman"/>
      <w:start w:val="2"/>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7"/>
    </w:lvl>
  </w:abstractNum>
  <w:abstractNum w:abstractNumId="58">
    <w:nsid w:val="10233C99"/>
    <w:multiLevelType w:val="hybridMultilevel"/>
    <w:lvl w:ilvl="0">
      <w:lvlJc w:val="left"/>
      <w:lvlText w:val="%1"/>
      <w:numFmt w:val="lowerLetter"/>
      <w:start w:val="1"/>
    </w:lvl>
    <w:lvl w:ilvl="1">
      <w:lvlJc w:val="left"/>
      <w:lvlText w:val="(%2)"/>
      <w:numFmt w:val="lowerLetter"/>
      <w:start w:val="12"/>
    </w:lvl>
  </w:abstractNum>
  <w:abstractNum w:abstractNumId="59">
    <w:nsid w:val="3F6AB60F"/>
    <w:multiLevelType w:val="hybridMultilevel"/>
    <w:lvl w:ilvl="0">
      <w:lvlJc w:val="left"/>
      <w:lvlText w:val="(%1)"/>
      <w:numFmt w:val="lowerLetter"/>
      <w:start w:val="9"/>
    </w:lvl>
    <w:lvl w:ilvl="1">
      <w:lvlJc w:val="left"/>
      <w:lvlText w:val="%2"/>
      <w:numFmt w:val="lowerLetter"/>
      <w:start w:val="1"/>
    </w:lvl>
  </w:abstractNum>
  <w:abstractNum w:abstractNumId="60">
    <w:nsid w:val="61574095"/>
    <w:multiLevelType w:val="hybridMultilevel"/>
    <w:lvl w:ilvl="0">
      <w:lvlJc w:val="left"/>
      <w:lvlText w:val="(%1)"/>
      <w:numFmt w:val="lowerLetter"/>
      <w:start w:val="2"/>
    </w:lvl>
  </w:abstractNum>
  <w:abstractNum w:abstractNumId="61">
    <w:nsid w:val="7E0C57B1"/>
    <w:multiLevelType w:val="hybridMultilevel"/>
    <w:lvl w:ilvl="0">
      <w:lvlJc w:val="left"/>
      <w:lvlText w:val="(%1)"/>
      <w:numFmt w:val="lowerLetter"/>
      <w:start w:val="2"/>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2019-12-20T03:58:38Z</dcterms:created>
  <dcterms:modified xsi:type="dcterms:W3CDTF">2019-12-20T03:58:38Z</dcterms:modified>
</cp:coreProperties>
</file>