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13,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1001 Fannin, Suite 4000 Houston, Texas</w:t>
      </w:r>
    </w:p>
    <w:p>
      <w:pPr>
        <w:spacing w:after="0" w:line="46"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77002</w:t>
      </w:r>
    </w:p>
    <w:p>
      <w:pPr>
        <w:spacing w:after="0" w:line="23"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120" w:space="720"/>
            <w:col w:w="2460"/>
          </w:cols>
          <w:pgMar w:left="240" w:top="522" w:right="359" w:bottom="1440" w:gutter="0" w:footer="0" w:header="0"/>
          <w:type w:val="continuous"/>
        </w:sectPr>
      </w:pP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information, including the text of the exhibit attached hereto, is furnished pursuant to Items 2.02 and 9.01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13, 2008, Waste Management, Inc. (the “Company”) issued a press release regarding, in addition to the matters discussed in Item 7.01 hereof, the Company’s preliminary financial results for the quarter ended September 30, 2008. The full text of the Company’s press release is attached hereto as Exhibit 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13, 2008, the Company announced that it had determined to withdraw its proposal to the Board of Directors of Republic Services, Inc. to acquire all of Republic’s outstanding common stock.</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Furnished as Exhibit 99.1 hereto and incorporated herein by reference is the press release issued by the Company regarding, in addition to the matters discussed in Item 2.02 hereof, the termination of the acquisition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14, 2008</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c>
          <w:tcPr>
            <w:tcW w:w="1680" w:type="dxa"/>
            <w:vAlign w:val="bottom"/>
          </w:tcPr>
          <w:p>
            <w:pPr>
              <w:spacing w:after="0"/>
              <w:rPr>
                <w:sz w:val="20"/>
                <w:szCs w:val="20"/>
                <w:color w:val="auto"/>
              </w:rPr>
            </w:pPr>
          </w:p>
        </w:tc>
      </w:tr>
      <w:tr>
        <w:trPr>
          <w:trHeight w:val="632"/>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10400" w:type="dxa"/>
            <w:vAlign w:val="bottom"/>
            <w:gridSpan w:val="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40" w:type="dxa"/>
            <w:vAlign w:val="bottom"/>
            <w:shd w:val="clear" w:color="auto" w:fill="000000"/>
          </w:tcPr>
          <w:p>
            <w:pPr>
              <w:spacing w:after="0" w:line="20" w:lineRule="exact"/>
              <w:rPr>
                <w:sz w:val="1"/>
                <w:szCs w:val="1"/>
                <w:color w:val="auto"/>
              </w:rPr>
            </w:pP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Press Release dated October 13, 2008.</w:t>
            </w: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3766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6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 08-20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Preliminary Third Quarter 2008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Diluted Share Above Wall Street Expectations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Withdraws Proposal to Acquire Republic Services</w:t>
      </w:r>
    </w:p>
    <w:p>
      <w:pPr>
        <w:spacing w:after="0" w:line="11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 xml:space="preserve">HOUSTON – October 13, 2008 – </w:t>
      </w:r>
      <w:r>
        <w:rPr>
          <w:rFonts w:ascii="Arial" w:cs="Arial" w:eastAsia="Arial" w:hAnsi="Arial"/>
          <w:sz w:val="16"/>
          <w:szCs w:val="16"/>
          <w:color w:val="auto"/>
        </w:rPr>
        <w:t>Waste Management, Inc. (NYSE: WMI) today announced preliminary revenue and earnings per diluted share results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third quarter of 2008. Waste Management expects to report revenues of $3.53 billion, a 3.6% increase compared with the third quarter of 2007. Reported earnings for the third quarter of 2008 are expected to be $0.62 per diluted share, and after adjusting for certain items noted below are expected to be between $0.62 and $0.63 per diluted share. The low end of the range, $0.62 per diluted share, exceeds the Wall Street consensus estimate of $0.60 per diluted share and is a 15% increase over the reported results for the third quarter of 2007 of $0.54 per diluted share, with no net change as a result of adjustments.</w:t>
      </w:r>
    </w:p>
    <w:p>
      <w:pPr>
        <w:spacing w:after="0" w:line="5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David P. Steiner, Waste Management’s CEO, stated, “Our preliminary third quarter 2008 revenue and earnings per diluted share results reflect the strength of our operations and our continued ability to meet or exceed our financial objectives. We certainly believe that our strong cash flow and our strong balance sheet provide certainty to investors in an uncertain time. In addition, our cash flow and cash receipts continue to be strong. We currently have over $500 million of available cash and liquid investments, all of which are invested in U.S. Government obligations.”</w:t>
      </w:r>
    </w:p>
    <w:p>
      <w:pPr>
        <w:spacing w:after="0" w:line="6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also announced that it is withdrawing its proposal to acquire all of the outstanding shares of Republic Services, Inc. for $37 per share. Steiner commented, “When we began this process, we said that we would be a disciplined buyer and that we would not risk our strong financial position to acquire Republic. Given the current state of the financial markets, we believe that it would not be prudent to continue to pursue the acquisition of Republic. Our focus will remain where it has always been—on providing strong and stable returns for our investors. Our third quarter results reflect that our actions over the past five years continue to pay off, and this progress will position us well to continue to perform even in an economic downturn.”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the following items that impacted the preliminary results for the third quarter of 2008:</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 after-tax benefit of approximately $0.03 to $0.04 per diluted share primarily due to gains from the divestiture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right="18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An after-tax reduction of approximately $0.03 per diluted share related to the cost of the labor disruption in the Milwaukee, Wisconsin area including more than a $0.02 per diluted share charge related to that location’s bargaining unit agreeing to our proposal to withdraw the bargaining unit from the Teamsters’ under-funded Central States pension fund.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noted the following items that impacted the results for the third quarter of 2007:</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tax benefit of approximately $0.03 per diluted share primarily from adjustments required for the finalization of our 2006 tax returns.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 after-tax decrease of approximately $0.03 per diluted share primarily related to the cost of the labor disruption in the Oakland, California area.</w:t>
      </w:r>
    </w:p>
    <w:p>
      <w:pPr>
        <w:spacing w:after="0" w:line="14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previously announced, the Company plans to release its full financial results for the third quarter of 2008 prior to the opening of the stock market on October 30, 2008 and will host a conference call that day to discuss in detail the quarter’s results. The expected third quarter operating results in this release are preliminary and subject to management and the Company’s auditors completing their quarterly closing review procedures.</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Non-GAAP Financial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This press release contains a discussion of earnings per diluted share, as adjusted for the items noted herein, which is a non-GAAP measure,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(ii) financial measures the Company uses in the management of its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Information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This press release contains forward-looking statements. In addition, the Company, and others on its behalf, in the future may make statements that constitute forward-looking statements. The forward-looking statements that the Company makes are the Company’s expectations, opinions, views or beliefs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2008 and beyond and that could cause actual results to be materially different from those that may be set forth in forward-looking statements made by the Company. We caution you not to place undue reliance on any forward-looking statements, which speak only as of their dates. The risks that we face include the following:</w:t>
      </w:r>
    </w:p>
    <w:p>
      <w:pPr>
        <w:spacing w:after="0" w:line="71"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the accounting review of our third quarter of 2008 is not complete and there could be adjustments from that review;</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 w:name="page7"/>
    <w:bookmarkEnd w:id="6"/>
    <w:p>
      <w:pPr>
        <w:jc w:val="both"/>
        <w:ind w:left="440" w:right="620" w:hanging="436"/>
        <w:spacing w:after="0" w:line="312" w:lineRule="auto"/>
        <w:tabs>
          <w:tab w:leader="none" w:pos="44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 and margins;</w:t>
      </w:r>
    </w:p>
    <w:p>
      <w:pPr>
        <w:spacing w:after="0" w:line="52" w:lineRule="exact"/>
        <w:rPr>
          <w:rFonts w:ascii="Arial" w:cs="Arial" w:eastAsia="Arial" w:hAnsi="Arial"/>
          <w:sz w:val="16"/>
          <w:szCs w:val="16"/>
          <w:b w:val="1"/>
          <w:bCs w:val="1"/>
          <w:color w:val="auto"/>
        </w:rPr>
      </w:pPr>
    </w:p>
    <w:p>
      <w:pPr>
        <w:ind w:left="440" w:right="4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440" w:right="8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volatility and further deterioration in the credit markets, inflation, higher interest rates, and other general and local economic conditions may negatively affect the volumes of waste generated, our liquidity and financing costs and other expenses;</w:t>
      </w:r>
    </w:p>
    <w:p>
      <w:pPr>
        <w:spacing w:after="0" w:line="75" w:lineRule="exact"/>
        <w:rPr>
          <w:rFonts w:ascii="Arial" w:cs="Arial" w:eastAsia="Arial" w:hAnsi="Arial"/>
          <w:sz w:val="18"/>
          <w:szCs w:val="18"/>
          <w:b w:val="1"/>
          <w:bCs w:val="1"/>
          <w:color w:val="auto"/>
        </w:rPr>
      </w:pPr>
    </w:p>
    <w:p>
      <w:pPr>
        <w:ind w:left="440" w:right="28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requirements may increase our expenses;</w:t>
      </w:r>
    </w:p>
    <w:p>
      <w:pPr>
        <w:spacing w:after="0" w:line="75" w:lineRule="exact"/>
        <w:rPr>
          <w:rFonts w:ascii="Arial" w:cs="Arial" w:eastAsia="Arial" w:hAnsi="Arial"/>
          <w:sz w:val="18"/>
          <w:szCs w:val="18"/>
          <w:b w:val="1"/>
          <w:bCs w:val="1"/>
          <w:color w:val="auto"/>
        </w:rPr>
      </w:pPr>
    </w:p>
    <w:p>
      <w:pPr>
        <w:ind w:left="440" w:right="34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440" w:right="26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44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440" w:right="68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 and expenses;</w:t>
      </w:r>
    </w:p>
    <w:p>
      <w:pPr>
        <w:spacing w:after="0" w:line="130" w:lineRule="exact"/>
        <w:rPr>
          <w:rFonts w:ascii="Arial" w:cs="Arial" w:eastAsia="Arial" w:hAnsi="Arial"/>
          <w:sz w:val="18"/>
          <w:szCs w:val="18"/>
          <w:b w:val="1"/>
          <w:bCs w:val="1"/>
          <w:color w:val="auto"/>
        </w:rPr>
      </w:pPr>
    </w:p>
    <w:p>
      <w:pPr>
        <w:ind w:left="440" w:right="4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trends toward recycling, waste reduction at the source and prohibiting the disposal of certain types of wastes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440" w:right="220" w:hanging="436"/>
        <w:spacing w:after="0" w:line="264"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440" w:right="14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40" w:right="18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75" w:lineRule="exact"/>
        <w:rPr>
          <w:rFonts w:ascii="Arial" w:cs="Arial" w:eastAsia="Arial" w:hAnsi="Arial"/>
          <w:sz w:val="18"/>
          <w:szCs w:val="18"/>
          <w:b w:val="1"/>
          <w:bCs w:val="1"/>
          <w:color w:val="auto"/>
        </w:rPr>
      </w:pPr>
    </w:p>
    <w:p>
      <w:pPr>
        <w:ind w:left="440" w:right="160" w:hanging="436"/>
        <w:spacing w:after="0" w:line="277"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440" w:right="40" w:hanging="436"/>
        <w:spacing w:after="0" w:line="264" w:lineRule="auto"/>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or we may need to raise additional capital if cash flows are less than we expect or capital expenditures or acquisition spending are more than we expect, and we may not be able to obtain any needed capital on acceptable terms.</w:t>
      </w:r>
    </w:p>
    <w:p>
      <w:pPr>
        <w:spacing w:after="0" w:line="73" w:lineRule="exact"/>
        <w:rPr>
          <w:sz w:val="20"/>
          <w:szCs w:val="20"/>
          <w:color w:val="auto"/>
        </w:rPr>
      </w:pPr>
    </w:p>
    <w:p>
      <w:pPr>
        <w:ind w:left="20" w:right="58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2007.</w:t>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sectPr>
      <w:pgSz w:w="11900" w:h="16838" w:orient="portrait"/>
      <w:cols w:equalWidth="0" w:num="1">
        <w:col w:w="11180"/>
      </w:cols>
      <w:pgMar w:left="46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2019-12-20T04:07:13Z</dcterms:created>
  <dcterms:modified xsi:type="dcterms:W3CDTF">2019-12-20T04:07:13Z</dcterms:modified>
</cp:coreProperties>
</file>