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AND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2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tbl>
      <w:tblPr>
        <w:tblLayout w:type="fixed"/>
        <w:tblInd w:w="2020" w:type="dxa"/>
        <w:tblCellMar>
          <w:top w:w="0" w:type="dxa"/>
          <w:left w:w="0" w:type="dxa"/>
          <w:bottom w:w="0" w:type="dxa"/>
          <w:right w:w="0" w:type="dxa"/>
        </w:tblCellMar>
      </w:tblPr>
      <w:tr>
        <w:trPr>
          <w:trHeight w:val="204"/>
        </w:trPr>
        <w:tc>
          <w:tcPr>
            <w:tcW w:w="3920" w:type="dxa"/>
            <w:vAlign w:val="bottom"/>
          </w:tcPr>
          <w:p>
            <w:pPr>
              <w:jc w:val="center"/>
              <w:ind w:right="2108"/>
              <w:spacing w:after="0"/>
              <w:rPr>
                <w:sz w:val="20"/>
                <w:szCs w:val="20"/>
                <w:color w:val="auto"/>
              </w:rPr>
            </w:pPr>
            <w:r>
              <w:rPr>
                <w:rFonts w:ascii="Arial" w:cs="Arial" w:eastAsia="Arial" w:hAnsi="Arial"/>
                <w:sz w:val="16"/>
                <w:szCs w:val="16"/>
                <w:b w:val="1"/>
                <w:bCs w:val="1"/>
                <w:color w:val="auto"/>
                <w:w w:val="93"/>
              </w:rPr>
              <w:t>Delaware</w:t>
            </w:r>
          </w:p>
        </w:tc>
        <w:tc>
          <w:tcPr>
            <w:tcW w:w="3240" w:type="dxa"/>
            <w:vAlign w:val="bottom"/>
          </w:tcPr>
          <w:p>
            <w:pPr>
              <w:jc w:val="center"/>
              <w:ind w:left="2108"/>
              <w:spacing w:after="0"/>
              <w:rPr>
                <w:sz w:val="20"/>
                <w:szCs w:val="20"/>
                <w:color w:val="auto"/>
              </w:rPr>
            </w:pPr>
            <w:r>
              <w:rPr>
                <w:rFonts w:ascii="Arial" w:cs="Arial" w:eastAsia="Arial" w:hAnsi="Arial"/>
                <w:sz w:val="16"/>
                <w:szCs w:val="16"/>
                <w:b w:val="1"/>
                <w:bCs w:val="1"/>
                <w:color w:val="auto"/>
                <w:w w:val="91"/>
              </w:rPr>
              <w:t>73-1309529</w:t>
            </w:r>
          </w:p>
        </w:tc>
      </w:tr>
      <w:tr>
        <w:trPr>
          <w:trHeight w:val="149"/>
        </w:trPr>
        <w:tc>
          <w:tcPr>
            <w:tcW w:w="3920" w:type="dxa"/>
            <w:vAlign w:val="bottom"/>
          </w:tcPr>
          <w:p>
            <w:pPr>
              <w:jc w:val="center"/>
              <w:ind w:right="210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8"/>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8"/>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95" w:lineRule="exact"/>
        <w:rPr>
          <w:sz w:val="24"/>
          <w:szCs w:val="24"/>
          <w:color w:val="auto"/>
        </w:rPr>
      </w:pPr>
    </w:p>
    <w:p>
      <w:pPr>
        <w:sectPr>
          <w:pgSz w:w="11900" w:h="16838" w:orient="portrait"/>
          <w:cols w:equalWidth="0" w:num="1">
            <w:col w:w="11420"/>
          </w:cols>
          <w:pgMar w:left="240" w:top="230" w:right="239" w:bottom="1440" w:gutter="0" w:footer="0" w:header="0"/>
        </w:sectPr>
      </w:pPr>
    </w:p>
    <w:p>
      <w:pPr>
        <w:jc w:val="center"/>
        <w:ind w:right="1920"/>
        <w:spacing w:after="0"/>
        <w:rPr>
          <w:sz w:val="20"/>
          <w:szCs w:val="20"/>
          <w:color w:val="auto"/>
        </w:rPr>
      </w:pPr>
      <w:r>
        <w:rPr>
          <w:rFonts w:ascii="Arial" w:cs="Arial" w:eastAsia="Arial" w:hAnsi="Arial"/>
          <w:sz w:val="16"/>
          <w:szCs w:val="16"/>
          <w:b w:val="1"/>
          <w:bCs w:val="1"/>
          <w:color w:val="auto"/>
        </w:rPr>
        <w:t>1001 Fannin Street</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Houston, Texas</w:t>
      </w:r>
    </w:p>
    <w:p>
      <w:pPr>
        <w:spacing w:after="0" w:line="25"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left="37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 w:lineRule="exact"/>
        <w:rPr>
          <w:sz w:val="24"/>
          <w:szCs w:val="24"/>
          <w:color w:val="auto"/>
        </w:rPr>
      </w:pPr>
    </w:p>
    <w:p>
      <w:pPr>
        <w:jc w:val="center"/>
        <w:ind w:left="3740"/>
        <w:spacing w:after="0"/>
        <w:rPr>
          <w:sz w:val="20"/>
          <w:szCs w:val="20"/>
          <w:color w:val="auto"/>
        </w:rPr>
      </w:pPr>
      <w:r>
        <w:rPr>
          <w:rFonts w:ascii="Arial" w:cs="Arial" w:eastAsia="Arial" w:hAnsi="Arial"/>
          <w:sz w:val="16"/>
          <w:szCs w:val="16"/>
          <w:b w:val="1"/>
          <w:bCs w:val="1"/>
          <w:color w:val="auto"/>
        </w:rPr>
        <w:t>(713) 512-6200</w:t>
      </w:r>
    </w:p>
    <w:p>
      <w:pPr>
        <w:spacing w:after="0" w:line="82" w:lineRule="exact"/>
        <w:rPr>
          <w:sz w:val="24"/>
          <w:szCs w:val="24"/>
          <w:color w:val="auto"/>
        </w:rPr>
      </w:pPr>
    </w:p>
    <w:p>
      <w:pPr>
        <w:jc w:val="cente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80"/>
        <w:spacing w:after="0"/>
        <w:rPr>
          <w:sz w:val="20"/>
          <w:szCs w:val="20"/>
          <w:color w:val="auto"/>
        </w:rPr>
      </w:pPr>
      <w:r>
        <w:rPr>
          <w:rFonts w:ascii="Arial" w:cs="Arial" w:eastAsia="Arial" w:hAnsi="Arial"/>
          <w:sz w:val="16"/>
          <w:szCs w:val="16"/>
          <w:b w:val="1"/>
          <w:bCs w:val="1"/>
          <w:color w:val="auto"/>
        </w:rPr>
        <w:t>77002</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(Zip code)</w:t>
      </w:r>
    </w:p>
    <w:p>
      <w:pPr>
        <w:spacing w:after="0" w:line="781" w:lineRule="exact"/>
        <w:rPr>
          <w:sz w:val="24"/>
          <w:szCs w:val="24"/>
          <w:color w:val="auto"/>
        </w:rPr>
      </w:pPr>
    </w:p>
    <w:p>
      <w:pPr>
        <w:sectPr>
          <w:pgSz w:w="11900" w:h="16838" w:orient="portrait"/>
          <w:cols w:equalWidth="0" w:num="2">
            <w:col w:w="7700" w:space="660"/>
            <w:col w:w="3060"/>
          </w:cols>
          <w:pgMar w:left="240" w:top="230" w:right="239" w:bottom="1440" w:gutter="0" w:footer="0" w:header="0"/>
          <w:type w:val="continuous"/>
        </w:sectPr>
      </w:pPr>
    </w:p>
    <w:tbl>
      <w:tblPr>
        <w:tblLayout w:type="fixed"/>
        <w:tblInd w:w="360" w:type="dxa"/>
        <w:tblCellMar>
          <w:top w:w="0" w:type="dxa"/>
          <w:left w:w="0" w:type="dxa"/>
          <w:bottom w:w="0" w:type="dxa"/>
          <w:right w:w="0" w:type="dxa"/>
        </w:tblCellMar>
      </w:tblPr>
      <w:tr>
        <w:trPr>
          <w:trHeight w:val="153"/>
        </w:trPr>
        <w:tc>
          <w:tcPr>
            <w:tcW w:w="2020" w:type="dxa"/>
            <w:vAlign w:val="bottom"/>
            <w:vMerge w:val="restart"/>
          </w:tcPr>
          <w:p>
            <w:pPr>
              <w:ind w:left="1460"/>
              <w:spacing w:after="0"/>
              <w:rPr>
                <w:sz w:val="20"/>
                <w:szCs w:val="20"/>
                <w:color w:val="auto"/>
              </w:rPr>
            </w:pPr>
            <w:r>
              <w:rPr>
                <w:rFonts w:ascii="Arial" w:cs="Arial" w:eastAsia="Arial" w:hAnsi="Arial"/>
                <w:sz w:val="16"/>
                <w:szCs w:val="16"/>
                <w:b w:val="1"/>
                <w:bCs w:val="1"/>
                <w:color w:val="auto"/>
                <w:w w:val="77"/>
              </w:rPr>
              <w:t>Common</w:t>
            </w:r>
          </w:p>
        </w:tc>
        <w:tc>
          <w:tcPr>
            <w:tcW w:w="1020" w:type="dxa"/>
            <w:vAlign w:val="bottom"/>
          </w:tcPr>
          <w:p>
            <w:pPr>
              <w:spacing w:after="0"/>
              <w:rPr>
                <w:sz w:val="20"/>
                <w:szCs w:val="20"/>
                <w:color w:val="auto"/>
              </w:rPr>
            </w:pPr>
            <w:r>
              <w:rPr>
                <w:rFonts w:ascii="Arial" w:cs="Arial" w:eastAsia="Arial" w:hAnsi="Arial"/>
                <w:sz w:val="13"/>
                <w:szCs w:val="13"/>
                <w:b w:val="1"/>
                <w:bCs w:val="1"/>
                <w:color w:val="auto"/>
                <w:w w:val="86"/>
              </w:rPr>
              <w:t>Title of Each Class</w:t>
            </w:r>
          </w:p>
        </w:tc>
        <w:tc>
          <w:tcPr>
            <w:tcW w:w="2360" w:type="dxa"/>
            <w:vAlign w:val="bottom"/>
          </w:tcPr>
          <w:p>
            <w:pPr>
              <w:spacing w:after="0"/>
              <w:rPr>
                <w:sz w:val="13"/>
                <w:szCs w:val="13"/>
                <w:color w:val="auto"/>
              </w:rPr>
            </w:pPr>
          </w:p>
        </w:tc>
        <w:tc>
          <w:tcPr>
            <w:tcW w:w="4000" w:type="dxa"/>
            <w:vAlign w:val="bottom"/>
            <w:gridSpan w:val="4"/>
          </w:tcPr>
          <w:p>
            <w:pPr>
              <w:jc w:val="center"/>
              <w:ind w:left="1717"/>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20"/>
        </w:trPr>
        <w:tc>
          <w:tcPr>
            <w:tcW w:w="2020" w:type="dxa"/>
            <w:vAlign w:val="bottom"/>
            <w:vMerge w:val="continu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vMerge w:val="restart"/>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20" w:type="dxa"/>
            <w:vAlign w:val="bottom"/>
            <w:vMerge w:val="continue"/>
          </w:tcPr>
          <w:p>
            <w:pPr>
              <w:spacing w:after="0"/>
              <w:rPr>
                <w:sz w:val="17"/>
                <w:szCs w:val="17"/>
                <w:color w:val="auto"/>
              </w:rPr>
            </w:pPr>
          </w:p>
        </w:tc>
        <w:tc>
          <w:tcPr>
            <w:tcW w:w="338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$.01 par value</w:t>
            </w:r>
          </w:p>
        </w:tc>
        <w:tc>
          <w:tcPr>
            <w:tcW w:w="1820" w:type="dxa"/>
            <w:vAlign w:val="bottom"/>
            <w:vMerge w:val="continue"/>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28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by Rule 405 of the Securities Act. Yes </w:t>
            </w:r>
            <w:r>
              <w:rPr>
                <w:rFonts w:ascii="MS PGothic" w:cs="MS PGothic" w:eastAsia="MS PGothic" w:hAnsi="MS PGothic"/>
                <w:sz w:val="16"/>
                <w:szCs w:val="16"/>
                <w:color w:val="auto"/>
                <w:w w:val="93"/>
              </w:rPr>
              <w:t>☒</w:t>
            </w:r>
          </w:p>
        </w:tc>
        <w:tc>
          <w:tcPr>
            <w:tcW w:w="112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828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1120" w:type="dxa"/>
            <w:vAlign w:val="bottom"/>
            <w:gridSpan w:val="2"/>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16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w:t>
      </w:r>
    </w:p>
    <w:p>
      <w:pPr>
        <w:spacing w:after="0" w:line="34"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8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0" w:firstLine="342"/>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61"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360"/>
        <w:spacing w:after="0" w:line="184" w:lineRule="exact"/>
        <w:tabs>
          <w:tab w:leader="none" w:pos="77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100" w:firstLine="342"/>
        <w:spacing w:after="0" w:line="278"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2016 was approximately $29.2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 number of shares of Common Stock, $0.01 par value, of the registrant outstanding at February 2, 2017 was 439,703,007 (excluding treasury shares of 190,579,454).</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6"/>
                <w:szCs w:val="16"/>
                <w:b w:val="1"/>
                <w:bCs w:val="1"/>
                <w:color w:val="auto"/>
              </w:rPr>
              <w:t>DOCUMENTS INCORPORATED BY REFERENCE</w:t>
            </w:r>
          </w:p>
        </w:tc>
        <w:tc>
          <w:tcPr>
            <w:tcW w:w="10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2"/>
        </w:trPr>
        <w:tc>
          <w:tcPr>
            <w:tcW w:w="2620" w:type="dxa"/>
            <w:vAlign w:val="bottom"/>
          </w:tcPr>
          <w:p>
            <w:pPr>
              <w:spacing w:after="0"/>
              <w:rPr>
                <w:sz w:val="19"/>
                <w:szCs w:val="19"/>
                <w:color w:val="auto"/>
              </w:rPr>
            </w:pPr>
          </w:p>
        </w:tc>
        <w:tc>
          <w:tcPr>
            <w:tcW w:w="5540" w:type="dxa"/>
            <w:vAlign w:val="bottom"/>
            <w:gridSpan w:val="2"/>
          </w:tcPr>
          <w:p>
            <w:pPr>
              <w:jc w:val="center"/>
              <w:ind w:right="4919"/>
              <w:spacing w:after="0"/>
              <w:rPr>
                <w:sz w:val="20"/>
                <w:szCs w:val="20"/>
                <w:color w:val="auto"/>
              </w:rPr>
            </w:pPr>
            <w:r>
              <w:rPr>
                <w:rFonts w:ascii="Arial" w:cs="Arial" w:eastAsia="Arial" w:hAnsi="Arial"/>
                <w:sz w:val="13"/>
                <w:szCs w:val="13"/>
                <w:b w:val="1"/>
                <w:bCs w:val="1"/>
                <w:color w:val="auto"/>
                <w:w w:val="84"/>
              </w:rPr>
              <w:t>Document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Incorporated as to</w:t>
            </w:r>
          </w:p>
        </w:tc>
        <w:tc>
          <w:tcPr>
            <w:tcW w:w="2260" w:type="dxa"/>
            <w:vAlign w:val="bottom"/>
          </w:tcPr>
          <w:p>
            <w:pPr>
              <w:spacing w:after="0"/>
              <w:rPr>
                <w:sz w:val="19"/>
                <w:szCs w:val="19"/>
                <w:color w:val="auto"/>
              </w:rPr>
            </w:pPr>
          </w:p>
        </w:tc>
      </w:tr>
      <w:tr>
        <w:trPr>
          <w:trHeight w:val="186"/>
        </w:trPr>
        <w:tc>
          <w:tcPr>
            <w:tcW w:w="2620" w:type="dxa"/>
            <w:vAlign w:val="bottom"/>
          </w:tcPr>
          <w:p>
            <w:pPr>
              <w:ind w:left="2120"/>
              <w:spacing w:after="0"/>
              <w:rPr>
                <w:sz w:val="20"/>
                <w:szCs w:val="20"/>
                <w:color w:val="auto"/>
              </w:rPr>
            </w:pPr>
            <w:r>
              <w:rPr>
                <w:rFonts w:ascii="Arial" w:cs="Arial" w:eastAsia="Arial" w:hAnsi="Arial"/>
                <w:sz w:val="16"/>
                <w:szCs w:val="16"/>
                <w:color w:val="auto"/>
              </w:rPr>
              <w:t>Proxy</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3"/>
              </w:rPr>
              <w:t>Statement</w:t>
            </w:r>
          </w:p>
        </w:tc>
        <w:tc>
          <w:tcPr>
            <w:tcW w:w="5000" w:type="dxa"/>
            <w:vAlign w:val="bottom"/>
          </w:tcPr>
          <w:p>
            <w:pPr>
              <w:ind w:left="80"/>
              <w:spacing w:after="0"/>
              <w:rPr>
                <w:sz w:val="20"/>
                <w:szCs w:val="20"/>
                <w:color w:val="auto"/>
              </w:rPr>
            </w:pPr>
            <w:r>
              <w:rPr>
                <w:rFonts w:ascii="Arial" w:cs="Arial" w:eastAsia="Arial" w:hAnsi="Arial"/>
                <w:sz w:val="16"/>
                <w:szCs w:val="16"/>
                <w:color w:val="auto"/>
              </w:rPr>
              <w:t>for the</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Part III</w:t>
            </w:r>
          </w:p>
        </w:tc>
        <w:tc>
          <w:tcPr>
            <w:tcW w:w="2260" w:type="dxa"/>
            <w:vAlign w:val="bottom"/>
          </w:tcPr>
          <w:p>
            <w:pPr>
              <w:spacing w:after="0"/>
              <w:rPr>
                <w:sz w:val="16"/>
                <w:szCs w:val="16"/>
                <w:color w:val="auto"/>
              </w:rPr>
            </w:pPr>
          </w:p>
        </w:tc>
      </w:tr>
      <w:tr>
        <w:trPr>
          <w:trHeight w:val="206"/>
        </w:trPr>
        <w:tc>
          <w:tcPr>
            <w:tcW w:w="8160" w:type="dxa"/>
            <w:vAlign w:val="bottom"/>
            <w:gridSpan w:val="3"/>
          </w:tcPr>
          <w:p>
            <w:pPr>
              <w:jc w:val="center"/>
              <w:ind w:right="2299"/>
              <w:spacing w:after="0"/>
              <w:rPr>
                <w:sz w:val="20"/>
                <w:szCs w:val="20"/>
                <w:color w:val="auto"/>
              </w:rPr>
            </w:pPr>
            <w:r>
              <w:rPr>
                <w:rFonts w:ascii="Arial" w:cs="Arial" w:eastAsia="Arial" w:hAnsi="Arial"/>
                <w:sz w:val="16"/>
                <w:szCs w:val="16"/>
                <w:color w:val="auto"/>
                <w:w w:val="93"/>
              </w:rPr>
              <w:t>2017 Annual Meeting of Stockholders</w:t>
            </w:r>
          </w:p>
        </w:tc>
        <w:tc>
          <w:tcPr>
            <w:tcW w:w="10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82"/>
        </w:trPr>
        <w:tc>
          <w:tcPr>
            <w:tcW w:w="26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60" w:type="dxa"/>
            <w:vAlign w:val="bottom"/>
            <w:gridSpan w:val="15"/>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400" w:type="dxa"/>
            <w:vAlign w:val="bottom"/>
            <w:gridSpan w:val="10"/>
            <w:vMerge w:val="restart"/>
          </w:tcPr>
          <w:p>
            <w:pPr>
              <w:jc w:val="center"/>
              <w:ind w:right="4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400" w:type="dxa"/>
            <w:vAlign w:val="bottom"/>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6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8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9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Unresolved Staff Comments</w:t>
              </w:r>
            </w:hyperlink>
          </w:p>
        </w:tc>
        <w:tc>
          <w:tcPr>
            <w:tcW w:w="79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926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0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1"/>
          </w:tcPr>
          <w:p>
            <w:pPr>
              <w:jc w:val="center"/>
              <w:ind w:right="478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0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0"/>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0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35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00" w:type="dxa"/>
            <w:vAlign w:val="bottom"/>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7"/>
          </w:tcPr>
          <w:p>
            <w:pPr>
              <w:spacing w:after="0"/>
              <w:rPr>
                <w:sz w:val="17"/>
                <w:szCs w:val="17"/>
                <w:color w:val="auto"/>
              </w:rPr>
            </w:pPr>
          </w:p>
        </w:tc>
        <w:tc>
          <w:tcPr>
            <w:tcW w:w="35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00" w:type="dxa"/>
            <w:vAlign w:val="bottom"/>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PART III</w:t>
              </w:r>
            </w:hyperlink>
          </w:p>
        </w:tc>
        <w:tc>
          <w:tcPr>
            <w:tcW w:w="47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10000" w:type="dxa"/>
            <w:vAlign w:val="bottom"/>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00" w:type="dxa"/>
            <w:vAlign w:val="bottom"/>
            <w:gridSpan w:val="26"/>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000" w:type="dxa"/>
            <w:vAlign w:val="bottom"/>
            <w:gridSpan w:val="26"/>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12"/>
          </w:tcPr>
          <w:p>
            <w:pPr>
              <w:jc w:val="center"/>
              <w:ind w:right="4740"/>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560" w:type="dxa"/>
            <w:vAlign w:val="bottom"/>
            <w:gridSpan w:val="15"/>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4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2280" w:type="dxa"/>
            <w:vAlign w:val="bottom"/>
            <w:gridSpan w:val="7"/>
          </w:tcPr>
          <w:p>
            <w:pPr>
              <w:jc w:val="right"/>
              <w:ind w:right="33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details on the financial position, results of operations and cash flows of WM, WM Holdings and their subsidiaries, see Note 23 to the Consolidated Financial Statements.</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 In December 2014, we sold our Wheelabrator business, which provides waste-to-energy services and manages waste-to-energy facilities and independent power production plants. During 2016, our largest customer represented 1% of annual revenues. We employed approximately 41,200 people as of December 31, 2016.</w:t>
      </w:r>
    </w:p>
    <w:p>
      <w:pPr>
        <w:spacing w:after="0" w:line="17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own or operate 248 landfill sites, which is the largest network of landfills in North America. In order to make disposal more practical for larger urban markets, where the distance to landfills is typically farther, we manage 310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and metal. We provide cost-efficient, environmentally sound recycling programs for municipalities, businesses and households across the United States and Canada as well as other services that supplement our Traditional Solid Waste business.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 We believe we are uniquely equipped to meet the challenges of the changing waste industry and our customers’ waste management needs, both today and as we work together to envision and create a more sustainable future. As the waste industry leader, we have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current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6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We believe that execution of our strategy will deliver shareholder value and leadership in a dynamic industry. In addition, we intend to continue to return value to our stockholders through dividend payments and common stock repurchases. In December 2016, we announced that our Board of Directors expects to increase the quarterly dividend from $0.41 to $0.425 per share for dividends declared in 2017, which is a 3.7% increase from the quarterly dividends we declared in 2016. This is an indication of our ability to generate strong and consistent cash flows and marks the 14th consecutive year of dividend increases. All quarterly dividends will be declared at the discretion of our Board of Directors.</w:t>
      </w:r>
    </w:p>
    <w:p>
      <w:pPr>
        <w:spacing w:after="0" w:line="277" w:lineRule="exact"/>
        <w:rPr>
          <w:sz w:val="20"/>
          <w:szCs w:val="20"/>
          <w:color w:val="auto"/>
        </w:rPr>
      </w:pPr>
    </w:p>
    <w:p>
      <w:pPr>
        <w:jc w:val="right"/>
        <w:ind w:right="10500"/>
        <w:spacing w:after="0"/>
        <w:rPr>
          <w:sz w:val="20"/>
          <w:szCs w:val="20"/>
          <w:color w:val="auto"/>
        </w:rPr>
      </w:pPr>
      <w:r>
        <w:rPr>
          <w:rFonts w:ascii="Arial" w:cs="Arial" w:eastAsia="Arial" w:hAnsi="Arial"/>
          <w:sz w:val="16"/>
          <w:szCs w:val="16"/>
          <w:b w:val="1"/>
          <w:bCs w:val="1"/>
          <w:color w:val="auto"/>
        </w:rPr>
        <w:t>Operations</w:t>
      </w:r>
    </w:p>
    <w:p>
      <w:pPr>
        <w:spacing w:after="0" w:line="144" w:lineRule="exact"/>
        <w:rPr>
          <w:sz w:val="20"/>
          <w:szCs w:val="20"/>
          <w:color w:val="auto"/>
        </w:rPr>
      </w:pPr>
    </w:p>
    <w:p>
      <w:pPr>
        <w:jc w:val="right"/>
        <w:ind w:right="10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See Note 21 to the Consolidated Financial Statements for additional information about our reportable segments. In December 2014, we sold our Wheelabrator business, which provides waste-to-energy services and manages waste-to-energy facilities and independent power production plants. Refer to Note 19 to the Consolidated Financial Statements for additional information related to this divestiture. We also provide additional services that are not managed through our Solid Waste business as described below. These operations are presented in this report as “Other.”</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expanded certain of our operations through acquisitions, which are discussed further in Note 19 to the Consolidated Financial Statements. In January 2016, Waste Management Inc. of Florida, a wholly-owned subsidiary of WM, acquired certain operations and business assets of Southern Waste Systems/Sun Recycling (“SWS”) in Southern Florida. The acquired business assets include residential, commercial, and industrial solid waste collection, processing/recycling and transfer operations, equipment, vehicles, real estate and customer agreements. In March 2015, we acquired Deffenbaugh Disposal, Inc., (“Deffenbaugh”), one of the largest privately owned collection and disposal firms in the Midwest with assets including collection operations, transfer stations, recycling facilities and landfills.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services we currently provide include collection, landfill (solid and hazardous waste landfills), transfer, recycling and resource recovery and other services, as described below. The following table shows revenues (in millions) contributed by these services for the years ended December 31:</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Recycling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(2,637)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(2,461)</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13,609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12,961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Our commitment to customers begins with a vast waste collection network. Collection involves picking up and transporting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87" w:lineRule="exact"/>
        <w:rPr>
          <w:sz w:val="20"/>
          <w:szCs w:val="20"/>
          <w:color w:val="auto"/>
        </w:rPr>
      </w:pPr>
    </w:p>
    <w:p>
      <w:pPr>
        <w:ind w:left="900" w:hanging="325"/>
        <w:spacing w:after="0" w:line="29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70" w:lineRule="exact"/>
        <w:rPr>
          <w:rFonts w:ascii="Arial" w:cs="Arial" w:eastAsia="Arial" w:hAnsi="Arial"/>
          <w:sz w:val="16"/>
          <w:szCs w:val="16"/>
          <w:color w:val="auto"/>
        </w:rPr>
      </w:pPr>
    </w:p>
    <w:p>
      <w:pPr>
        <w:ind w:left="900" w:right="6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seven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At December 31, 2016, we owned or operated 243 solid waste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and five secure hazardous waste landfills, 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8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margins and stronger operating cash flows. The fees charged at disposal facilities, which are referred to as tipping fees, are based on several factors, including competition and the type and weight or volume of solid waste deposited.</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7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2016, we owned or operated 310 transfer stations in North America. We deposit waste at these stations, as do other waste</w:t>
      </w:r>
      <w:r>
        <w:rPr>
          <w:rFonts w:ascii="Arial" w:cs="Arial" w:eastAsia="Arial" w:hAnsi="Arial"/>
          <w:sz w:val="18"/>
          <w:szCs w:val="18"/>
          <w:i w:val="1"/>
          <w:iCs w:val="1"/>
          <w:color w:val="auto"/>
        </w:rPr>
        <w:t xml:space="preserve"> </w:t>
      </w:r>
      <w:r>
        <w:rPr>
          <w:rFonts w:ascii="Arial" w:cs="Arial" w:eastAsia="Arial" w:hAnsi="Arial"/>
          <w:sz w:val="18"/>
          <w:szCs w:val="18"/>
          <w:color w:val="auto"/>
        </w:rPr>
        <w:t>haulers. The solid waste is then consolidated and compacted to reduce the volume and increase the density of the waste and transported by transfer trucks or by rail to disposal sites.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Recycling. </w:t>
      </w:r>
      <w:r>
        <w:rPr>
          <w:rFonts w:ascii="Arial" w:cs="Arial" w:eastAsia="Arial" w:hAnsi="Arial"/>
          <w:sz w:val="17"/>
          <w:szCs w:val="17"/>
          <w:color w:val="auto"/>
        </w:rPr>
        <w:t>Our recycling operations provide communities and businesses with an alternative to traditional landfill disposal and support our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goals to extract more value from the materials we manage. We were the first major solid waste company to focus on residential single-stream recycling, which allows customers to mix recyclable paper, plastic and glass in one bin. Residential single-stream programs have greatly increased the recycling volumes.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70"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7"/>
          <w:szCs w:val="17"/>
          <w:i w:val="1"/>
          <w:iCs w:val="1"/>
          <w:color w:val="auto"/>
        </w:rPr>
        <w:t xml:space="preserve">Materials processing </w:t>
      </w:r>
      <w:r>
        <w:rPr>
          <w:rFonts w:ascii="Arial" w:cs="Arial" w:eastAsia="Arial" w:hAnsi="Arial"/>
          <w:sz w:val="17"/>
          <w:szCs w:val="17"/>
          <w:color w:val="auto"/>
        </w:rPr>
        <w:t>— Through our collection operations, we collect recyclable materials from residential, commercial and industrial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direct these materials to one of our MRFs for processing. At December 31, 2016, we operated 95 MRFs where paper, cardboard, metals, plastics, glass, construction and demolition materials and other recyclable commodities are recovered for resale.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160" w:firstLine="438"/>
        <w:spacing w:after="0" w:line="264"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globally. We manage the marketing of recyclable commodities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processed in our facilities by maintaining comprehensive service centers that continuously analyze market prices, logistics, market demands and product quality.</w:t>
      </w:r>
    </w:p>
    <w:p>
      <w:pPr>
        <w:spacing w:after="0" w:line="73" w:lineRule="exact"/>
        <w:rPr>
          <w:sz w:val="20"/>
          <w:szCs w:val="20"/>
          <w:color w:val="auto"/>
        </w:rPr>
      </w:pPr>
    </w:p>
    <w:p>
      <w:pPr>
        <w:ind w:left="460" w:firstLine="438"/>
        <w:spacing w:after="0" w:line="279" w:lineRule="auto"/>
        <w:rPr>
          <w:sz w:val="20"/>
          <w:szCs w:val="20"/>
          <w:color w:val="auto"/>
        </w:rPr>
      </w:pPr>
      <w:r>
        <w:rPr>
          <w:rFonts w:ascii="Arial" w:cs="Arial" w:eastAsia="Arial" w:hAnsi="Arial"/>
          <w:sz w:val="17"/>
          <w:szCs w:val="17"/>
          <w:i w:val="1"/>
          <w:iCs w:val="1"/>
          <w:color w:val="auto"/>
        </w:rPr>
        <w:t xml:space="preserve">Recycling brokerage services </w:t>
      </w:r>
      <w:r>
        <w:rPr>
          <w:rFonts w:ascii="Arial" w:cs="Arial" w:eastAsia="Arial" w:hAnsi="Arial"/>
          <w:sz w:val="17"/>
          <w:szCs w:val="17"/>
          <w:color w:val="auto"/>
        </w:rPr>
        <w:t>— We also provide recycling brokerage services, which involve managing the marketing of recyclable materials for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minimal capital requirements.</w:t>
      </w:r>
    </w:p>
    <w:p>
      <w:pPr>
        <w:spacing w:after="0" w:line="1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Some of the recyclable materials processed in our MRFs are purchased from various sources, including third parties and our own operations. The price we pay for recyclable materials is often referred to as a “rebate.” In some cases, rebates are based on fixed contractual rates or on defined minimum per-ton rates but are generally based upon the price we receive for sales of processed goods, market conditions and transportation costs. As a result, changes in commodity prices for recycled materials also significantly affect the rebates we pay to our suppliers, which are recorded as “Operating expenses” within our Consolidated Statements of Operations. In recent years, we have been focused on revising our rebate structures to ensure that we cover our cost of handling and processing the materials and generate an acceptable margin on the materials we process and sell.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many waste management services such as collection and disposal are local services, our strategic accounts organization, which is managed by our Strategic Business Solutions organization, works with customers whose locations span the United States. Our strategic accounts program provides centralized customer service, billing and management of accounts to streamline the administration of customers’ multiple and nationwide locations’ waste management needs.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Energy and Environmental Services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Energy and Environmental Services organization but reflected principally in our collection business and (iv) specialized disposal services for oil and gas exploration and production operations; revenues for this service are also reflected principally in our collection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9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develop, operate and promote projects for the beneficial use of landfill gas through our WM Renewable Energy organization.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At December 31, 2016, we had 131 landfill gas beneficial use projects producing commercial quantities of methane gas at owned or operated landfills. For 103 of these projects, the processed gas is used to fuel electricity generators. The electricity is then sold to public utilities, municipal utilities or power cooperatives. For 16 of these projects, the gas is used at the landfill or delivered by pipeline to industrial customers as a direct substitute for fossil fuels in industrial processes. For 11 of these projects, the landfill gas is processed to pipeline-quality natural gas and then sold to natural gas suppliers. For one of these projects, the gas is processed into liquefied natural gas and used as vehicle fuel.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5"/>
          <w:szCs w:val="15"/>
          <w:color w:val="auto"/>
        </w:rPr>
        <w:t>®</w:t>
      </w:r>
      <w:r>
        <w:rPr>
          <w:rFonts w:ascii="Arial" w:cs="Arial" w:eastAsia="Arial" w:hAnsi="Arial"/>
          <w:sz w:val="18"/>
          <w:szCs w:val="18"/>
          <w:color w:val="auto"/>
        </w:rPr>
        <w:t xml:space="preserve"> program; the development, operation and marketing of plasma gasification facilities; operation of a landfill gas-to-liquid natural gas plant; solar powered trash compactors; and organic waste-to-fuel conversion technology. We also offer portable self-storage and long distance moving services through a joint venture; fluorescent bulb and universal waste mail-back through our LampTracker</w:t>
      </w:r>
      <w:r>
        <w:rPr>
          <w:rFonts w:ascii="Arial" w:cs="Arial" w:eastAsia="Arial" w:hAnsi="Arial"/>
          <w:sz w:val="15"/>
          <w:szCs w:val="15"/>
          <w:color w:val="auto"/>
        </w:rPr>
        <w:t>®</w:t>
      </w:r>
      <w:r>
        <w:rPr>
          <w:rFonts w:ascii="Arial" w:cs="Arial" w:eastAsia="Arial" w:hAnsi="Arial"/>
          <w:sz w:val="18"/>
          <w:szCs w:val="18"/>
          <w:color w:val="auto"/>
        </w:rPr>
        <w:t xml:space="preserve"> program; portable restroom servicing under the name Port-o-Let</w:t>
      </w:r>
      <w:r>
        <w:rPr>
          <w:rFonts w:ascii="Arial" w:cs="Arial" w:eastAsia="Arial" w:hAnsi="Arial"/>
          <w:sz w:val="15"/>
          <w:szCs w:val="15"/>
          <w:color w:val="auto"/>
        </w:rPr>
        <w:t>®</w:t>
      </w:r>
      <w:r>
        <w:rPr>
          <w:rFonts w:ascii="Arial" w:cs="Arial" w:eastAsia="Arial" w:hAnsi="Arial"/>
          <w:sz w:val="18"/>
          <w:szCs w:val="18"/>
          <w:color w:val="auto"/>
        </w:rPr>
        <w:t>; and street and parking lot sweeping services. In addition, we hold interests in oil and gas producing properties.</w:t>
      </w:r>
    </w:p>
    <w:p>
      <w:pPr>
        <w:spacing w:after="0" w:line="189"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On December 19, 2014, we sold our Wheelabrator business to an affiliate of Energy Capital Partners and received cash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$1.95 billion, net of cash divested, subject to certain post-closing adjustments. We recognized a gain of $519 million on this sale which is included within “(Income) expense from divestitures, asset impairments and unusual items” in the Consolidated Statement of Operations. In conjunction with the sale, the Company entered into several agreements to dispose of a minimum number of tons of waste at certain Wheelabrator facilities. See Note 11 to the Consolidated Financial Statements for further discussion of these agreements.</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Wheelabrator provides waste-to-energy services and manages waste-to-energy facilities and independent power production plants. Our Wheelabrator business was a separate reportable segment until the sale of the business in 2014 as discussed in Note 21 to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primarily of three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In recent years, the industry has seen some additional consolidation, though the industry remains intensely competitive. The industry’s national and regional competitors are often significant competitors in local markets. We compete with these companies as well as with counties and municipalities that maintain their own waste collection and disposal operations and waste brokers that rely upon haulers in local markets to address customer needs.</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8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Service disruptions caused by severe storms, extended periods of inclement weather or climate extremes resulting from climate change can significantly affect the operating results of the affected Areas. On the other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hand, certain destructive weather conditions that tend to occur during the second half of the year, such as the hurricanes that most often impact our operations in the Southern and Eastern United States, can increase our revenues in the areas affected. While weather-related and other unusual event occurrences can boost revenues through additional work for a limited time, as a result of significant start-up costs and other factors, such revenue can generate earnings at comparatively lower margins.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At December 31, 2016, we had approximately 41,200 full-time employees, of which approximately 7,800 were employed in administrative and sales positions and the balance in operations. Approximately 8,000 of our employees are covered by collective bargaining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Surety bonds and insurance policies are supported by (i) a diverse group of third-party surety and insurance companies; (ii) an entity in which we have a noncontrolling financial interest or (iii) a wholly-owned insurance subsidiary, National Guaranty Insurance Company of Vermont, the sole business of which is to issue surety bonds and/or insurance policies on our behalf. Letters of credit generally are supported by our long-term U.S. revolving credit facility (“$2.25 billion revolving credit facility”) and other credit facilities established for that purpose.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per-incident deductible under the related insurance policy. As of December 31, 2016, our commercial General Liability Insurance Policy carried self-insurance exposures of up to $2.5 million per incident and our workers’ compensation insurance program carried self-insurance exposures of up to $5 million per incident. As of December 31, 2016, our automobile liability insurance program included a per-incident base deductible of $5 million, subject to an additional deductible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2016 are summarized in Note 11 to the Consolidated Financial Statements.</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 violations.</w:t>
      </w:r>
    </w:p>
    <w:p>
      <w:pPr>
        <w:spacing w:after="0" w:line="1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are related, either directly or indirectly, to environmental protection measures, including compliance with federal, state or provincial and local rules. There are costs associated with siting, design, permitting, operations, monitoring, site maintenance, corrective actions, financial assurance, and facility closure and post-closure obligations. In connection with our acquisition, development or expansion of a waste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recent years, we perceived an increase in both the amount of government regulation and the number of enforcement actions being brought by regulatory entities against operations in the waste services industry. However, the new United States presidential administration has called for substantial changes to areas of federal tax and foreign trade policy and has generally appeared to be in favor of reducing regulation, including environmental regulation. We cannot predict what impact the new administration will have on the political and regulatory environment in the United States, the timing of any such changes, or the impact of any such changes on our business. While reduction of regulation may have a favorable impact on our operating costs, the extensive environmental regulation applicable to landfills is a substantial barrier to entry that benefits our Company. It is likely that some policies adopted by the new administration will benefit us and others will negatively affect us.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131" w:lineRule="exact"/>
        <w:rPr>
          <w:sz w:val="20"/>
          <w:szCs w:val="20"/>
          <w:color w:val="auto"/>
        </w:rPr>
      </w:pPr>
    </w:p>
    <w:p>
      <w:pPr>
        <w:ind w:left="900" w:hanging="325"/>
        <w:spacing w:after="0" w:line="27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77" w:lineRule="exact"/>
        <w:rPr>
          <w:rFonts w:ascii="Arial" w:cs="Arial" w:eastAsia="Arial" w:hAnsi="Arial"/>
          <w:sz w:val="17"/>
          <w:szCs w:val="17"/>
          <w:color w:val="auto"/>
        </w:rPr>
      </w:pPr>
    </w:p>
    <w:p>
      <w:pPr>
        <w:ind w:left="900" w:right="40" w:hanging="325"/>
        <w:spacing w:after="0" w:line="270"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even as a result of lawful, unintentional and non-negligent action, of hazardous substances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defendant in a CERCLA civil action or by an entity that has previously resolved its liability to federal or state regulators in an administrative or judicially-approved settlement. Liability under CERCLA could also 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94" w:lineRule="exact"/>
        <w:rPr>
          <w:sz w:val="20"/>
          <w:szCs w:val="20"/>
          <w:color w:val="auto"/>
        </w:rPr>
      </w:pPr>
    </w:p>
    <w:p>
      <w:pPr>
        <w:ind w:left="900" w:hanging="325"/>
        <w:spacing w:after="0" w:line="270"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87" w:lineRule="exact"/>
        <w:rPr>
          <w:rFonts w:ascii="Arial" w:cs="Arial" w:eastAsia="Arial" w:hAnsi="Arial"/>
          <w:sz w:val="17"/>
          <w:szCs w:val="17"/>
          <w:color w:val="auto"/>
        </w:rPr>
      </w:pPr>
    </w:p>
    <w:p>
      <w:pPr>
        <w:ind w:left="900" w:right="80" w:hanging="325"/>
        <w:spacing w:after="0" w:line="26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controlling landfill gases from new and existing large landfills. In January 2003, the EPA issued Maximum Achievable Control Technology (“MACT”) standards for municipal solid waste landfills subject to the NSPS.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on-or off-site. The EPA entered into a settlement agreement with the Environmental Defense Fund to evaluate the 1996 NSPS for new landfills as required by the Clean Air Act every eight years and revise them if deemed necessary. The EPA entered into a consent decree to finalize the NSPS rule in July 2016. On August 29, 2016, the EPA published two rules with new requirements for landfill gas control at both new municipal solid waste landfills (constructed or modified after July 17, 2014) as well as existing landfills (operating after November 8, 1987 and not modified after July 17, 2014). The stated intent of the rules was to reduce methane emissions from landfills as part of the federal regulatory efforts to curtail emission of greenhouse gases (“GHGs”) to ameliorate the effects of climate change. Working with our trade associations and other landfill owners and operators, we have identified significant legal, technical and implementation concerns with the rules. Together we have filed administrative petitions asking that the EPA stay the rules and initiate a rulemaking process to address our concerns, while also filing a petition for judicial review.</w:t>
      </w:r>
    </w:p>
    <w:p>
      <w:pPr>
        <w:spacing w:after="0" w:line="73"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Should the EPA or the court not address our legal and technical concerns in the final rules, we will reassess the capital and operating cost impact to our operations. However, we do not believe that the ultimate regulatory changes would have a material adverse impact on our business as a whole.</w:t>
      </w:r>
    </w:p>
    <w:p>
      <w:pPr>
        <w:spacing w:after="0" w:line="73"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Additionally, emission and fuel economy standards have been imposed on manufacturers of transportation vehicles (including heavy-duty waste collection vehicles). The EPA and the Department of Transportation finalized Greenhouse Gas Emissions and Fuel Efficiency Standards for Medium and Heavy-Duty Engines and Vehicles — Phase 2 on August 16, 2016. The rule will increase fuel economy standards and reduce vehicle emissions standards for our collection fleet between model years 2021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260"/>
        <w:spacing w:after="0" w:line="264" w:lineRule="auto"/>
        <w:rPr>
          <w:sz w:val="20"/>
          <w:szCs w:val="20"/>
          <w:color w:val="auto"/>
        </w:rPr>
      </w:pPr>
      <w:r>
        <w:rPr>
          <w:rFonts w:ascii="Arial" w:cs="Arial" w:eastAsia="Arial" w:hAnsi="Arial"/>
          <w:sz w:val="18"/>
          <w:szCs w:val="18"/>
          <w:color w:val="auto"/>
        </w:rPr>
        <w:t>and 2027; however, we expect to be able to purchase fully compliant vehicles that will meet our operational needs. The regulations could increase the costs of operating our fleet, but we do not believe any such regulations would have a material adverse impact on our business as a whole.</w:t>
      </w:r>
    </w:p>
    <w:p>
      <w:pPr>
        <w:spacing w:after="0" w:line="87" w:lineRule="exact"/>
        <w:rPr>
          <w:sz w:val="20"/>
          <w:szCs w:val="20"/>
          <w:color w:val="auto"/>
        </w:rPr>
      </w:pPr>
    </w:p>
    <w:p>
      <w:pPr>
        <w:ind w:left="90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actively monitoring the following recent developments in United States federal regulations affecting our business:</w:t>
      </w:r>
    </w:p>
    <w:p>
      <w:pPr>
        <w:spacing w:after="0" w:line="131" w:lineRule="exact"/>
        <w:rPr>
          <w:sz w:val="20"/>
          <w:szCs w:val="20"/>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2010, the EPA issued the Prevention of Significant Deterioration (“PSD”) and Title V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w:t>
      </w:r>
    </w:p>
    <w:p>
      <w:pPr>
        <w:spacing w:after="0" w:line="79" w:lineRule="exact"/>
        <w:rPr>
          <w:sz w:val="20"/>
          <w:szCs w:val="20"/>
          <w:color w:val="auto"/>
        </w:rPr>
      </w:pPr>
    </w:p>
    <w:p>
      <w:pPr>
        <w:ind w:left="920" w:right="20"/>
        <w:spacing w:after="0" w:line="285" w:lineRule="auto"/>
        <w:rPr>
          <w:sz w:val="20"/>
          <w:szCs w:val="20"/>
          <w:color w:val="auto"/>
        </w:rPr>
      </w:pPr>
      <w:r>
        <w:rPr>
          <w:rFonts w:ascii="Arial" w:cs="Arial" w:eastAsia="Arial" w:hAnsi="Arial"/>
          <w:sz w:val="16"/>
          <w:szCs w:val="16"/>
          <w:color w:val="auto"/>
        </w:rPr>
        <w:t>In June 2014, the U.S. Supreme Court issued a decision that significantly limited the applicability and scope of EPA permitting requirements for GHGs from stationary sources, concluding that: the EPA may not treat GHGs as an air pollutant for purposes of determining whether a source is required to obtain a PSD or Title V permit; and the EPA can continue to require that PSD permits otherwise required based on emissions of conventional pollutants contain limitations on GHG emissions based on Best Available Control Technology (“BACT”). Following this ruling, the EPA issued a policy memorandum in July 2014 advising that the U.S. Supreme Court ruling effectively narrows the scope of biogenic CO</w:t>
      </w:r>
      <w:r>
        <w:rPr>
          <w:rFonts w:ascii="Arial" w:cs="Arial" w:eastAsia="Arial" w:hAnsi="Arial"/>
          <w:sz w:val="13"/>
          <w:szCs w:val="13"/>
          <w:color w:val="auto"/>
        </w:rPr>
        <w:t>2</w:t>
      </w:r>
      <w:r>
        <w:rPr>
          <w:rFonts w:ascii="Arial" w:cs="Arial" w:eastAsia="Arial" w:hAnsi="Arial"/>
          <w:sz w:val="16"/>
          <w:szCs w:val="16"/>
          <w:color w:val="auto"/>
        </w:rPr>
        <w:t xml:space="preserve"> permitting issues that remain for the EPA to address. Further, on October 3, 2016, the EPA proposed revisions to the PSD and Title V GHG permitting regulations and proposed establishing a significant emissions rate (“SER”) of 75,000 tons of CO</w:t>
      </w:r>
      <w:r>
        <w:rPr>
          <w:rFonts w:ascii="Arial" w:cs="Arial" w:eastAsia="Arial" w:hAnsi="Arial"/>
          <w:sz w:val="13"/>
          <w:szCs w:val="13"/>
          <w:color w:val="auto"/>
        </w:rPr>
        <w:t>2</w:t>
      </w:r>
      <w:r>
        <w:rPr>
          <w:rFonts w:ascii="Arial" w:cs="Arial" w:eastAsia="Arial" w:hAnsi="Arial"/>
          <w:sz w:val="16"/>
          <w:szCs w:val="16"/>
          <w:color w:val="auto"/>
        </w:rPr>
        <w:t xml:space="preserve"> equivalent, below which, sources would not be required to implement additional control technologies for their GHG emissions. This SER threshold should prevent most of our operational changes, such as landfill expansions and beneficial gas recovery projects, from being subject to PSD or Title V permit requirements due to our GHG emissions – assuming the EPA classifies biogenic CO</w:t>
      </w:r>
      <w:r>
        <w:rPr>
          <w:rFonts w:ascii="Arial" w:cs="Arial" w:eastAsia="Arial" w:hAnsi="Arial"/>
          <w:sz w:val="13"/>
          <w:szCs w:val="13"/>
          <w:color w:val="auto"/>
        </w:rPr>
        <w:t>2</w:t>
      </w:r>
      <w:r>
        <w:rPr>
          <w:rFonts w:ascii="Arial" w:cs="Arial" w:eastAsia="Arial" w:hAnsi="Arial"/>
          <w:sz w:val="16"/>
          <w:szCs w:val="16"/>
          <w:color w:val="auto"/>
        </w:rPr>
        <w:t xml:space="preserve"> emissions as carbon neutral. The EPA has not yet finalized the rulemaking, nor has it addressed how it will exempt biogenic carbon dioxide emissions from waste-derived feedstocks (municipal solid waste and landfill gas) from PSD and Title V air permitting. The EPA nonetheless anticipates basing this proposal on the rationale that those emissions are likely to have minimal or no net atmospheric contributions, or may even reduce such impacts, when compared to an alternate method of disposal. These conclusions have been recommended to the EPA by its independent Science Advisory Board. As a result of the U.S. Supreme Court ruling and the EPA policy and proposed regulatory action, we continue to believe the potential impact of the PSD and Title V GHG Tailoring Rule on our air permits, compliance and results of operations is significantly reduced.</w:t>
      </w:r>
    </w:p>
    <w:p>
      <w:pPr>
        <w:spacing w:after="0" w:line="7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Other recent final and proposed rules to increase the stringency of certain National Ambient Air Quality Standards, such as the Ozone rule finalized in October 2015, and related PSD increment/significance thresholds could affect the cost, timeliness and availability of air permits for new and modified large municipal solid waste landfills and landfill gas-to-energy facilities. In general, controlling emissions involves installing collection wells in a landfill and routing the gas to a suitable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20"/>
        <w:spacing w:after="0" w:line="297" w:lineRule="auto"/>
        <w:rPr>
          <w:sz w:val="20"/>
          <w:szCs w:val="20"/>
          <w:color w:val="auto"/>
        </w:rPr>
      </w:pPr>
      <w:r>
        <w:rPr>
          <w:rFonts w:ascii="Arial" w:cs="Arial" w:eastAsia="Arial" w:hAnsi="Arial"/>
          <w:sz w:val="16"/>
          <w:szCs w:val="16"/>
          <w:color w:val="auto"/>
        </w:rPr>
        <w:t xml:space="preserve">energy recovery system or combustion device. As of December 31, 2016, we had 131 projects at owned or operated landfills where landfill gas was captured and utilized for its renewable energy value rather than flared. Efforts to curtail the emission of GHGs and to ameliorate the effect of climate change may require our landfills to deploy more stringent emission controls, with associated capital or operating costs; however, we do not believe that such regulations will have a material adverse impact on our business as a whole.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The adoption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climate change legislation or regulations restricting emissions of “greenhouse gases” could increase our costs to operate.</w:t>
      </w:r>
    </w:p>
    <w:p>
      <w:pPr>
        <w:spacing w:after="0" w:line="50" w:lineRule="exact"/>
        <w:rPr>
          <w:sz w:val="20"/>
          <w:szCs w:val="20"/>
          <w:color w:val="auto"/>
        </w:rPr>
      </w:pPr>
    </w:p>
    <w:p>
      <w:pPr>
        <w:ind w:left="920" w:right="220"/>
        <w:spacing w:after="0" w:line="257" w:lineRule="auto"/>
        <w:rPr>
          <w:sz w:val="20"/>
          <w:szCs w:val="20"/>
          <w:color w:val="auto"/>
        </w:rPr>
      </w:pPr>
      <w:r>
        <w:rPr>
          <w:rFonts w:ascii="Arial" w:cs="Arial" w:eastAsia="Arial" w:hAnsi="Arial"/>
          <w:sz w:val="18"/>
          <w:szCs w:val="18"/>
          <w:color w:val="auto"/>
        </w:rPr>
        <w:t>The EPA clarified in its November 19, 2014 policy memorandum that states may rely on waste-derived biogenic feedstocks in their future proposed compliance plans required by the final Clean Power Plan rules and the proposed federal plan, both published in October 2015, which may create new or expanded opportunities for renewable energy projects. According to the EPA, the federal plan would fill any gaps pending implementation of State or Tribal plans to achieve required emissions reductions, but would no longer apply when a State or Tribal plan is approved.</w:t>
      </w:r>
    </w:p>
    <w:p>
      <w:pPr>
        <w:spacing w:after="0" w:line="80"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We are taking steps to anticipate the future needs of our customers which include investing in and developing ever-more-advanced recycling and reuse technologies. Potential climate change and GHG regulatory initiatives have influenced our business strategy to provide low-carbon services to our customers, and we increasingly view our ability to offer lower carbon services as a key component of our business growth. If the United States were to impose a carbon tax or other form of GHG regulation increasing demand for low-carbon service offerings in the future, the services we are developing will be increasingly valuable.</w:t>
      </w:r>
    </w:p>
    <w:p>
      <w:pPr>
        <w:spacing w:after="0" w:line="94" w:lineRule="exact"/>
        <w:rPr>
          <w:sz w:val="20"/>
          <w:szCs w:val="20"/>
          <w:color w:val="auto"/>
        </w:rPr>
      </w:pPr>
    </w:p>
    <w:p>
      <w:pPr>
        <w:ind w:left="900" w:right="60" w:hanging="325"/>
        <w:spacing w:after="0" w:line="26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2011, the EPA published the Non-Hazardous Secondary Materials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(“CISWI”) and Maximum Achievable Control Technology Standards for commercial and industrial boilers (“Boiler MACT”). The EPA published clarifications and amendments to the three rules in 2013 and legal challenges to the rules were subsequently filed by both industry and environmental groups. In May 2015, the Court of Appeals for the D.C. Circuit upheld the NHSM Rule together with the amendments to the rule that support some of our projects in which we are seeking to convert biomass or other secondary materials into products, fuels or energy. Through rulings in July and December of 2016 related to the CISWI and Boiler MACT challenges, the Court vacated certain elements of those rules while remanding other aspects of the rules to the EPA for reconsideration. Because the EPA reconsideration process is ongoing it is not possible to quantify the financial impact of all these rulemakings at the present time. However, we believe the rules and administrative determinations will not have a material adverse impact on our business as a whole and are more likely to facilitate our efforts to reuse or recover energy value from secondary material streams.</w:t>
      </w:r>
    </w:p>
    <w:p>
      <w:pPr>
        <w:spacing w:after="0" w:line="85" w:lineRule="exact"/>
        <w:rPr>
          <w:rFonts w:ascii="Arial" w:cs="Arial" w:eastAsia="Arial" w:hAnsi="Arial"/>
          <w:sz w:val="17"/>
          <w:szCs w:val="17"/>
          <w:color w:val="auto"/>
        </w:rPr>
      </w:pPr>
    </w:p>
    <w:p>
      <w:pPr>
        <w:ind w:left="900" w:hanging="325"/>
        <w:spacing w:after="0" w:line="271"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December 2014, the EPA issued a final rule regulating the disposal and beneficial use of coal combustion residuals (“CCR”). The regulations encourage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 new standards are consistent with our approach to handling CCR at our sites currently, and we believe the new standards will provide a potential growth opportunity for the Company. States may impose standards more stringent than the federal program, and under the 2016 Water Infrastructure Improvements for the Nation Act, may receive approval to run permitting programs for CCR in their states. This codification of the CCR rule provides utilities with a stable regulatory regime.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U.S. Supreme Court ruled that a flow control ordinance that gave preference to a local facility that was privately owned was unconstitutional, but in 2007, the Court ruled that an ordinance directing waste to a facility owned by the local government was constitutional. The United States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6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United States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United States or Canada; however, state, provincial and local governments could take,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Import and Export Regulations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Enforcement or implementation of foreign and domestic regulations can affect our ability to export products. A significant portion of the fiber that we market is shipped to export markets across the globe,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particularly China. In 2013, the Chinese government began to strictly enforce regulations that establish limits on moisture and non-conforming materials that may be contained in imported recycled paper and plastics as well as restricting the import of certain other plastic recyclables. The higher quality expectations resulting from initiatives such as “Operation Green Fence,” as well as increased container weight tracking and port fees, have driven up operating costs in the recycling industry. Additionally, the new presidential administration has called for substantial changes to foreign trade policy and has raised the possibility of imposing significant increases in tariffs on international trade. Restrictions and tariffs on exporting would have a significant impact on our recycling operations.</w:t>
      </w:r>
    </w:p>
    <w:p>
      <w:pPr>
        <w:spacing w:after="0" w:line="19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Single stream MRFs process a wide range of commingled materials and tend to receive a higher percentage of non-recyclables, which results in increased processing and residual disposal costs. Despite increased costs associated with export requirements, we believe we are well positioned among our potential competitors to respond to and comply with such regulations. In recent years, we have been revising our service agreements to address these increased costs and are working with stakeholders to educate the general public on the need to recycle properly.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Hydraulic Fracturing Regulation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Energy Services line of business provides specialized environmental management and disposal services for oil and gas exploration and production operations. There remains heightened attention from the public, some states and the EPA on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hydraulic fracturing and new rules regarding the treatment and disposal of wastes associated with exploration and production operations could increase our costs to provide oilfield services and reduce our margins and revenue from such services. On the other hand,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Emissions from Natural Gas Fueling and Infrastructure</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operate a large fleet of natural gas vehicles, and we plan to continue to invest in these assets for our collection fleet. As of December 31, 2016, we were operating 95 natural gas fueling facilities, 28 of which also serve the public or pre-approved third parties, in 31 states and three Canadian provinces.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 this comprehensive study of emissions from our heavy-duty fleet may ultimately help inform regulations that will affect equipment manufacturers and will define operating procedures across the industry. Additional regulation of, or restrictions on, natural gas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 or our future investment in natural gas vehicles.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Federal, State and Local Climate Change Initiatives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7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2017 and beyond and that could cause actual results to be materially different from those that may be set forth in forward-looking statements made by the Company.</w:t>
      </w:r>
    </w:p>
    <w:p>
      <w:pPr>
        <w:spacing w:after="0" w:line="275"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primarily of three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In recent years, the industry has seen some additional consolidation, though the industry remains intensely competitive. The industry’s national and regional competitors are often significant competitors in local markets. We compete with these companies as well as with counties and municipalities that maintain their own waste collection and disposal operations and waste brokers that rely upon haulers in local markets to address customer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needs.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If we fail to implement our business strategy, our financial performance and our growth could be materially and adversely affected.</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for more information on our business strategy.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130" w:lineRule="exact"/>
        <w:rPr>
          <w:rFonts w:ascii="Arial" w:cs="Arial" w:eastAsia="Arial" w:hAnsi="Arial"/>
          <w:sz w:val="18"/>
          <w:szCs w:val="18"/>
          <w:color w:val="auto"/>
        </w:rPr>
      </w:pPr>
    </w:p>
    <w:p>
      <w:pPr>
        <w:ind w:left="900" w:right="160" w:hanging="325"/>
        <w:spacing w:after="0" w:line="25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continue to face purported class action lawsuits related to our customer service agreements, prices and fees.</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restructuring efforts.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Strategic decisions with respect to our asset portfolio may result in impairments to our assets.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We may record</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 charges against our earnings due to impairments to our assets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make strategic acquisitions depends on our ability to identify desirable acquisition targets, negotiate advantageous transactions despite competition for such opportunities, fund such acquisitions on favorable terms, and realize the benefits we expect from those transactions.</w:t>
      </w:r>
    </w:p>
    <w:p>
      <w:pPr>
        <w:spacing w:after="0" w:line="29" w:lineRule="exact"/>
        <w:rPr>
          <w:rFonts w:ascii="Arial" w:cs="Arial" w:eastAsia="Arial" w:hAnsi="Arial"/>
          <w:sz w:val="16"/>
          <w:szCs w:val="16"/>
          <w:color w:val="auto"/>
        </w:rPr>
      </w:pPr>
    </w:p>
    <w:p>
      <w:pPr>
        <w:ind w:left="900" w:right="18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14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266" w:lineRule="exact"/>
        <w:rPr>
          <w:sz w:val="20"/>
          <w:szCs w:val="20"/>
          <w:color w:val="auto"/>
        </w:rPr>
      </w:pPr>
    </w:p>
    <w:p>
      <w:pPr>
        <w:ind w:left="240" w:right="100"/>
        <w:spacing w:after="0" w:line="375" w:lineRule="auto"/>
        <w:rPr>
          <w:sz w:val="20"/>
          <w:szCs w:val="20"/>
          <w:color w:val="auto"/>
        </w:rPr>
      </w:pPr>
      <w:r>
        <w:rPr>
          <w:rFonts w:ascii="Arial" w:cs="Arial" w:eastAsia="Arial" w:hAnsi="Arial"/>
          <w:sz w:val="15"/>
          <w:szCs w:val="15"/>
          <w:b w:val="1"/>
          <w:bCs w:val="1"/>
          <w:i w:val="1"/>
          <w:iCs w:val="1"/>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Among other things, governmental regulations and enforcement actions may restrict our operations and adversely affect our financial condition, results of operations and cash flows by imposing conditions such as:</w:t>
      </w:r>
    </w:p>
    <w:p>
      <w:pPr>
        <w:spacing w:after="0" w:line="7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recycling or processing facilities or on expanding existing facilities;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restrictions on the recycling, processing or transformation of waste, recycling and other streams.</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81"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color w:val="auto"/>
        </w:rPr>
        <w:t>We also have significant financial obligations relating to final capping, closure, post-closure and environmental remediation at our existing landfills. We establish accruals for these estimated costs, but we could underestimate such accruals because of the types of waste collected and manner in which it is transported and disposed of, including actions taken in the past by companies we have acquired or third-party landfill operators, among other reasons.</w:t>
      </w:r>
    </w:p>
    <w:p>
      <w:pPr>
        <w:ind w:right="100"/>
        <w:spacing w:after="0" w:line="261" w:lineRule="auto"/>
        <w:rPr>
          <w:sz w:val="20"/>
          <w:szCs w:val="20"/>
          <w:color w:val="auto"/>
        </w:rPr>
      </w:pPr>
      <w:r>
        <w:rPr>
          <w:rFonts w:ascii="Arial" w:cs="Arial" w:eastAsia="Arial" w:hAnsi="Arial"/>
          <w:sz w:val="18"/>
          <w:szCs w:val="18"/>
          <w:color w:val="auto"/>
        </w:rPr>
        <w:t>Environmental regulatory changes could accelerate or increase capping, closure, post-closure and remediation costs, requiring our expenditures to materially exceed our current accruals.</w:t>
      </w:r>
    </w:p>
    <w:p>
      <w:pPr>
        <w:spacing w:after="0" w:line="1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Various states have enacted, or are considering enacting, laws that restrict the disposal within the state of solid waste generated outside the state. From time to time, the United States Congress has considered legislation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8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United States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United States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7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recent years, we perceived an increase in both the amount of government regulation and the number of enforcement actions being brought by regulatory entities against operations in the waste services industry. However, the new United States presidential administration has called for substantial changes to areas of federal tax and foreign trade policy and has generally appeared to be in favor of reducing regulation, including environmental regulation. We cannot predict what impact the new administration will have on the political and regulatory environment in the United States, the timing of any such changes, or the impact of any such changes on our business. While reduction of regulation may have a favorable impact on our operating costs, the extensive environmental regulation applicable to landfills is a substantial barrier to entry that benefits our Company. It is likely that some policies adopted by the new administration will benefit us and others will negatively affect us.</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Enforcement or implementation of foreign regulations can affect our ability to export products. A significant portion of the fiber that we market is shipped to export markets across the globe, particularly China. In 2013, the Chinese government began to strictly enforce regulations that establish limits on moisture and non-conforming materials that may be contained in imported recycled paper and plastics as well as restricting the import of certain other plastic recyclables. The higher quality expectations resulting from initiatives such as “Operation Green Fence” have driven up operating costs in the recycling industry, particularly for single stream MRFs. Single stream MRFs process a wide range of commingled materials and tend to receive a higher percentage of non-recyclables, which results in increased processing and residual disposal costs. Additionally, the new presidential administration has called for substantial changes to foreign trade policy and has raised the possibility of imposing significant increases in tariffs on international trade. If Operation Green Fence or other similar initiatives, such as increased container weight tracking and port fees, new regulations, or restrictions and tariffs on exporting increase our operating costs in the future, and we are not able to recapture those costs from our customers, such initiatives regulations, restrictions and tariffs could have a material adverse effect on our results of operations.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recycling operations process for sale certain recyclable materials, including fibers, aluminum and plastics, which are subject to significant market price fluctuations. The majority of the recyclables that we process for sale are paper fibers, including old corrugated cardboard and old newsprint, and the price fluctuations for these commodities could be impacted by significant changes in United States foreign trade policy and increased tariffs on international trade, as Chinese paper mills are the primary consumer of the fiber we market. The fluctuations in the market prices or demand for these commodities can affect our operating income and cash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flows positively, as we experienced in 2016, or negatively, as we experienced in 2015 and 2014. As we have increased the size of our recycling operations, we have also increased our exposure to commodity price fluctuations. The increase in market prices in 2016 for commodities resulted in a year-over-year increase in revenue of $51 million. The decline in market prices in 2015 and 2014 for commodities resulted in year-over-year decreases in revenue of</w:t>
      </w:r>
    </w:p>
    <w:p>
      <w:pPr>
        <w:ind w:right="160"/>
        <w:spacing w:after="0" w:line="271" w:lineRule="auto"/>
        <w:rPr>
          <w:sz w:val="20"/>
          <w:szCs w:val="20"/>
          <w:color w:val="auto"/>
        </w:rPr>
      </w:pPr>
      <w:r>
        <w:rPr>
          <w:rFonts w:ascii="Arial" w:cs="Arial" w:eastAsia="Arial" w:hAnsi="Arial"/>
          <w:sz w:val="17"/>
          <w:szCs w:val="17"/>
          <w:color w:val="auto"/>
        </w:rPr>
        <w:t>$138 million and $53 million, respectively. Additionally, under some agreements, our recycling operations are required to pay rebates to suppliers. In some cases, if we experience higher revenues based on increased market prices for recycling commodities, the rebates we pay will also increase. In other circumstances, the rebates may be subject to a floor, such that as market prices decrease, any expected profit margins on materials subject to the rebate floor are reduced or eliminated. As we work to revise service agreements to mitigate the impact of commodity price fluctuations, the potential increase in the cost for recycling services may make it more difficult for us to win bids and may slow the growth of recycling overall.</w:t>
      </w:r>
    </w:p>
    <w:p>
      <w:pPr>
        <w:spacing w:after="0" w:line="17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corresponding significant impact to our revenue from yield from such operations. Additionally, we provide specialized disposal services for oil and gas exploration and production operations through our Energy Services business. Demand for these services decreases when drilling activity slows due to depressed oil and gas prices, such as the pronounced price decreases beginning in late 2014 and continuing low prices throughout 2015 and 2016. Any of the commodity prices to which we are subject may fluctuate substantially and without notice in the future.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regulations applicable to oil and gas drilling and production could adversely affect our Energy Services business.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Energy Services business demand may also be adversely affected if drilling activity slows due to industry conditions beyond our control, in addition to changes in oil and gas prices. Changes in laws or government regulations regarding GHG emissions from oil and gas operations and/or hydraulic fracturing could increase our customers’ costs of doing business and reduce oil and gas exploration and production by customers. There remains heightened attention from the public, some states and the EPA to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oil and gas exploration and production and new rules regarding the treatment and disposal of wastes associated with exploration and production operations could increase our costs to provide oilfield services and reduce our margins and revenue from such services.</w:t>
      </w:r>
    </w:p>
    <w:p>
      <w:pPr>
        <w:spacing w:after="0" w:line="287"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could reduce our landfill volumes and cause our revenues and operating results to decline.</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 banned from the landfill,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and, together with our divested waste-to-energy facilities, have historically provided our highest income from operations margins. If we are not successful in expanding our service offerings and growing lines of businesses to service waste streams that do not go to landfills and to provide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281" w:lineRule="exact"/>
        <w:rPr>
          <w:sz w:val="20"/>
          <w:szCs w:val="20"/>
          <w:color w:val="auto"/>
        </w:rPr>
      </w:pPr>
    </w:p>
    <w:p>
      <w:pPr>
        <w:ind w:left="240" w:right="700"/>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273"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76" w:lineRule="exact"/>
        <w:rPr>
          <w:sz w:val="20"/>
          <w:szCs w:val="20"/>
          <w:color w:val="auto"/>
        </w:rPr>
      </w:pPr>
    </w:p>
    <w:p>
      <w:pPr>
        <w:ind w:left="900" w:right="4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revenues and our income from operations margins.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 Additionally, a prolonged economic downturn in China could significantly impact prices for post-consumer fiber and metals processed by our recycling operations.</w:t>
      </w:r>
    </w:p>
    <w:p>
      <w:pPr>
        <w:spacing w:after="0" w:line="290"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62"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We provide service to a number of governmental entities and municipalities, some of which have suffered significant financial difficulties in recent years, due in part to reduced tax revenue and/or high cost structures. Some of these entities could be unable to pay amounts owed to us or renew contracts with us at previous or increased rates.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In addition, the financial difficulties of municipalities could result in a decline in investors’ demand for municipal bonds and a correlating increase in interest rates. As of December 31, 2016, we had $491 million of variable-rate tax-exempt bonds with interest rates reset on either a daily or a weekly basis through a remarketing process and $473 million of tax-exempt bonds with term interest rate periods that are subject to repricing within the next 12 months, which is prior to their scheduled maturities. If the weakness in the municipal debt market results in repricing of our tax-exempt bonds at significantly higher interest rates, we will incur increased interest expenses that may negatively affect our operating results and cash flows.</w:t>
      </w:r>
    </w:p>
    <w:p>
      <w:pPr>
        <w:spacing w:after="0" w:line="28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6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financial condition, results of operations and cash flows.</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shortages in diesel fuel supply or increases in diesel fuel prices will increase our operating expenses.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have recently settled cases that pertained to our fuel and environmental charges included on our invoices, and we continue to face similar claims. See Note 11 to the Consolidated Financial Statements for more information. Regardless of any offsetting surcharge programs, increased operating costs due to higher diesel fuel prices will decrease our income from operations margins.</w:t>
      </w:r>
    </w:p>
    <w:p>
      <w:pPr>
        <w:spacing w:after="0" w:line="275"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an extensive natural gas truck fleet, which makes us partially dependent on the availability of natural gas and fueling infrastructure and vulnerable to natural gas prices.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operate a large fleet of natural gas vehicles, and we plan to continue to invest in these assets for our collection fleet. However, natural gas fueling infrastructure is not yet broadly available in North America;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supply of natural gas could substantially increase our operating expenses, and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are increasingly dependent on technology in our operations and if our technology fails, our business could be adversely affected.</w:t>
      </w:r>
    </w:p>
    <w:p>
      <w:pPr>
        <w:spacing w:after="0" w:line="1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 cybersecurity incident could negatively impact our business and our relationships with customers and expose us to litigation risk.</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are a participating employer in a number of trustee-managed multiemployer defined benefit pension plans (“Multiemployer Pension Plans”) for employees who are covered by collective bargaining agreements.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event of our withdrawal from a Multiemployer Pension Plan, we may incur expenses associated with our obligations for unfunded vested benefits at the time of the withdrawal. Depending on various factors, future withdrawals could have a material adverse effect on results of operations or cash flows for a particular reporting period. We have previously withdrawn several employee bargaining units from underfunded Multiemployer Pension Plans, and we recognized related expenses of $51 million in 2015 and $4 million in 2014. See Notes 10 and 11 to the Consolidated Financial Statements for more information related to our participation in Multiemployer Pension Plans.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operational and safety risks, including the risk of personal injury to employees and others.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Providing environmental and waste management services, including constructing and operating landfills, involves risks such as truck accidents, equipment defects, malfunctions and failures. Additionally, we closely monitor and manage landfills to minimize the risk of waste mass instability, releases of hazardous materials, and odors that could be triggered by weather or natural disasters. There may also be risks presented by the potential for subsurface heat reactions causing 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96" w:lineRule="exact"/>
        <w:rPr>
          <w:sz w:val="20"/>
          <w:szCs w:val="20"/>
          <w:color w:val="auto"/>
        </w:rPr>
      </w:pPr>
    </w:p>
    <w:p>
      <w:pPr>
        <w:ind w:left="240" w:right="380"/>
        <w:spacing w:after="0" w:line="308" w:lineRule="auto"/>
        <w:rPr>
          <w:sz w:val="20"/>
          <w:szCs w:val="20"/>
          <w:color w:val="auto"/>
        </w:rPr>
      </w:pPr>
      <w:r>
        <w:rPr>
          <w:rFonts w:ascii="Arial" w:cs="Arial" w:eastAsia="Arial" w:hAnsi="Arial"/>
          <w:sz w:val="17"/>
          <w:szCs w:val="17"/>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U.S.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such impairment tests indicate that the fair value of a reporting unit is below its carrying value. Any such charges could have a material adverse effect on our results of operations.</w:t>
      </w:r>
    </w:p>
    <w:p>
      <w:pPr>
        <w:spacing w:after="0" w:line="290"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as well as a number of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82"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Additionally, we have $1.6 billion of debt as of December 31, 2016 that is exposed to changes in market interest rates within the next 12 months because of the combined impact of our tax-exempt bonds and borrowings outstanding under our $2.25 billion revolving credit facility and Canadian term loan. If interest rates increase, our interest expense would also increase, lowering our net income and decreasing our cash flow.</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may use our $2.25 billion revolving credit facility and our C$50 million Canadian revolving credit facility to meet our cash needs, to the extent available, until maturity in July 2020 and March 2019, respectively. At December 31, 2016, we had $426 million of outstanding borrowings and $789 million of letters of credit issued and supported by the $2.25 billion revolving credit facility, leaving unused and available credit capacity of $1,035 million, and we had no outstanding borrowings under the Canadian revolving credit facility. In the event of a default under our credit facilities, we could be required to immediately repay all outstanding borrowings and make cash deposits as collateral for all obligations the facility supports, which we may not be able to do.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climate change legislation or regulations restricting emissions of “greenhouse gases” could increase our costs to operate.</w:t>
      </w:r>
    </w:p>
    <w:p>
      <w:pPr>
        <w:spacing w:after="0" w:line="14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Greenhouse Gas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287"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severe weather events and event driven special projects cause our results to fluctuate, and prior performance is not necessarily indicative of our future results.</w:t>
      </w:r>
    </w:p>
    <w:p>
      <w:pPr>
        <w:spacing w:after="0" w:line="6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Service disruptions caused by severe storms, extended periods of inclement weather or climate extremes resulting from climate change can significantly affect the operating results of the affected Areas. On the other hand, certain destructive weather conditions that tend to occur during the second half of the year, such as the hurricanes that most often impact our operations in the Southern and Eastern United States, can increase our revenues in the areas affected. While weather-related and other unusual event occurrences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289"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5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From time to time we are involved in governmental proceedings relating to the conduct of our business. We are also party to civil litigation. As a large company with operations across the United States and Canada, we are subject to various proceedings, lawsuits, disputes and claims arising in the ordinary course of our business.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7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experience adverse impacts on our reported results of operations as a result of adopting new accounting standards or interpretations.</w:t>
      </w:r>
    </w:p>
    <w:p>
      <w:pPr>
        <w:spacing w:after="0" w:line="14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Our principal executive offices are in Houston, Texas, where we occupy approximately 366,000 square feet under leases expiring through 2020. We also have administrative offices in Arizona, Illinois, Connecticut and India. We own or lease real property in most locations where we have operations or administrative functions. We have operations in all 50 states, the District of Columbia and throughout Canada.</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Our principal property and equipment consists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replacement of assets and in connection with our strategic growth plans. For more information,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included within this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various operations at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5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Landfills owned or operated(a)</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Transfer stations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310</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297</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right="2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December 31, 2016 and 2015, our landfills owned or operated consisted of total acreage of 158,054 and 157,790, permitted acreage of 42,182 and 41,983 and expansion acreage of 905 and 1,395,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 xml:space="preserve">Total acreage includes 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8"/>
          <w:szCs w:val="18"/>
          <w:i w:val="1"/>
          <w:iCs w:val="1"/>
          <w:color w:val="auto"/>
        </w:rPr>
        <w:t>Management’s Discussion and Analysis of Financial Condition and Results of Operations — Critical Accounting Estimates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Assumptions </w:t>
      </w:r>
      <w:r>
        <w:rPr>
          <w:rFonts w:ascii="Arial" w:cs="Arial" w:eastAsia="Arial" w:hAnsi="Arial"/>
          <w:sz w:val="18"/>
          <w:szCs w:val="18"/>
          <w:color w:val="auto"/>
        </w:rPr>
        <w:t>included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to the Consolidated Financial Statements included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“WM.” The following table sets forth the range of the high and low per share sales prices for our common stock as reported on the NYSE: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1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$55.30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53.05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2016</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66.27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71.71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First Quarter (through February 2, 2017)</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$71.28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February 2, 2017, the closing sales price as reported on the NYSE was $69.64 per share. The number of holders of record of our common stock on February 2, 2017 was 9,661.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172085</wp:posOffset>
            </wp:positionV>
            <wp:extent cx="4751070" cy="2204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5107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12/31/11</w:t>
            </w:r>
          </w:p>
        </w:tc>
        <w:tc>
          <w:tcPr>
            <w:tcW w:w="2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12/31/12</w:t>
            </w:r>
          </w:p>
        </w:tc>
        <w:tc>
          <w:tcPr>
            <w:tcW w:w="4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12/31/13</w:t>
            </w:r>
          </w:p>
        </w:tc>
        <w:tc>
          <w:tcPr>
            <w:tcW w:w="4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8"/>
              </w:rPr>
              <w:t>12/31/14</w:t>
            </w:r>
          </w:p>
        </w:tc>
        <w:tc>
          <w:tcPr>
            <w:tcW w:w="22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w w:val="88"/>
              </w:rPr>
              <w:t>12/31/15</w:t>
            </w:r>
          </w:p>
        </w:tc>
        <w:tc>
          <w:tcPr>
            <w:tcW w:w="2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12/31/16</w:t>
            </w:r>
          </w:p>
        </w:tc>
        <w:tc>
          <w:tcPr>
            <w:tcW w:w="100" w:type="dxa"/>
            <w:vAlign w:val="bottom"/>
          </w:tcPr>
          <w:p>
            <w:pPr>
              <w:spacing w:after="0"/>
              <w:rPr>
                <w:sz w:val="14"/>
                <w:szCs w:val="14"/>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175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188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S&amp;P 500 Index</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175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177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161</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bl>
    <w:p>
      <w:pPr>
        <w:spacing w:after="0" w:line="202"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quarterly dividends have been declared by our Board of Directors. Cash dividends declared and paid were $726 million in 2016, or $1.64 per common share, $695 million in 2015, or $1.54 per common share, and $693 million in 2014, or $1.50 per common share.</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December 2016, we announced that our Board of Directors expects to increase the quarterly dividend from $0.41 to $0.425 per share for dividends declared in 2017.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166"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Our share repurchases have also been made in accordance with plans approved by our Board of Directors. We announced in December 2015 that the Board of Directors authorized up to $1 billion in future share repurchases. During 2016, we repurchased an aggregate of $725 million of our common stock under accelerated share repurchase (“ASR”) agreements, of which $150 million was repurchased pursuant to the Board of Directors authorization granted in February 2015. We received a total of 11.2 million shares pursuant to these ASR agreements with a weighted average per share purchase price of $60.49. See Note 15 to the Consolidated Financial Statements for additional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common stock repurchases made during the fourth quarter of 2016 (shares in millions):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Approximate 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8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60" w:type="dxa"/>
            <w:vAlign w:val="bottom"/>
          </w:tcPr>
          <w:p>
            <w:pPr>
              <w:spacing w:after="0"/>
              <w:rPr>
                <w:sz w:val="12"/>
                <w:szCs w:val="12"/>
                <w:color w:val="auto"/>
              </w:rPr>
            </w:pPr>
          </w:p>
        </w:tc>
        <w:tc>
          <w:tcPr>
            <w:tcW w:w="1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8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820" w:type="dxa"/>
            <w:vAlign w:val="bottom"/>
            <w:vMerge w:val="restart"/>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8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24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5"/>
                <w:szCs w:val="15"/>
                <w:color w:val="auto"/>
              </w:rPr>
            </w:pPr>
          </w:p>
        </w:tc>
        <w:tc>
          <w:tcPr>
            <w:tcW w:w="15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8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1"/>
              </w:rPr>
              <w:t>Programs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1 — 31</w:t>
            </w: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100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95"/>
              </w:rPr>
              <w:t>650 million</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November 1 — 30</w:t>
            </w:r>
          </w:p>
        </w:tc>
        <w:tc>
          <w:tcPr>
            <w:tcW w:w="1240" w:type="dxa"/>
            <w:vAlign w:val="bottom"/>
            <w:gridSpan w:val="3"/>
          </w:tcPr>
          <w:p>
            <w:pPr>
              <w:ind w:left="440"/>
              <w:spacing w:after="0"/>
              <w:rPr>
                <w:sz w:val="20"/>
                <w:szCs w:val="20"/>
                <w:color w:val="auto"/>
              </w:rPr>
            </w:pPr>
            <w:r>
              <w:rPr>
                <w:rFonts w:ascii="Arial" w:cs="Arial" w:eastAsia="Arial" w:hAnsi="Arial"/>
                <w:sz w:val="18"/>
                <w:szCs w:val="18"/>
                <w:color w:val="auto"/>
              </w:rPr>
              <w:t>2.8(a)</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63.41(a)</w:t>
            </w:r>
          </w:p>
        </w:tc>
        <w:tc>
          <w:tcPr>
            <w:tcW w:w="1860" w:type="dxa"/>
            <w:vAlign w:val="bottom"/>
            <w:gridSpan w:val="2"/>
          </w:tcPr>
          <w:p>
            <w:pPr>
              <w:ind w:left="1060"/>
              <w:spacing w:after="0"/>
              <w:rPr>
                <w:sz w:val="20"/>
                <w:szCs w:val="20"/>
                <w:color w:val="auto"/>
              </w:rPr>
            </w:pPr>
            <w:r>
              <w:rPr>
                <w:rFonts w:ascii="Arial" w:cs="Arial" w:eastAsia="Arial" w:hAnsi="Arial"/>
                <w:sz w:val="18"/>
                <w:szCs w:val="18"/>
                <w:color w:val="auto"/>
              </w:rPr>
              <w:t>2.8(a)</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w w:val="99"/>
              </w:rPr>
              <w:t>425 million(a)</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w:t>
            </w:r>
          </w:p>
        </w:tc>
        <w:tc>
          <w:tcPr>
            <w:tcW w:w="12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750 million(b)</w:t>
            </w:r>
          </w:p>
        </w:tc>
        <w:tc>
          <w:tcPr>
            <w:tcW w:w="0" w:type="dxa"/>
            <w:vAlign w:val="bottom"/>
          </w:tcPr>
          <w:p>
            <w:pPr>
              <w:spacing w:after="0"/>
              <w:rPr>
                <w:sz w:val="1"/>
                <w:szCs w:val="1"/>
                <w:color w:val="auto"/>
              </w:rPr>
            </w:pPr>
          </w:p>
        </w:tc>
      </w:tr>
      <w:tr>
        <w:trPr>
          <w:trHeight w:val="223"/>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7"/>
              </w:rPr>
              <w:t>2.8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63.41</w:t>
            </w:r>
          </w:p>
        </w:tc>
        <w:tc>
          <w:tcPr>
            <w:tcW w:w="12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79"/>
              </w:rPr>
              <w:t>2.8</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2016, the Company entered into an ASR agreement to repurchase $225 million of our common stock. At the beginning of the repurchase period, we delivered $225 million in cash and received 2.8 million shares based on a stock price of $63.41 per share. The ASR agreement completed in February 2017, at which time we received 0.4 million additional shares based on a final weighted average per share purchase price during the repurchase period of $69.43.</w:t>
      </w:r>
    </w:p>
    <w:p>
      <w:pPr>
        <w:spacing w:after="0" w:line="2"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announced in December 2016 that the Board of Directors has authorized up to $750 million in future share repurchases, which supersedes and replaces remaining authority under any prior Board of Directors authorization for share repurchases.</w:t>
      </w:r>
    </w:p>
    <w:p>
      <w:pPr>
        <w:spacing w:after="0" w:line="18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Any future share repurchases will be made at the discretion of management, and will depend on factors similar to those considered by the Board of Directors in making dividend declarations.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These historical results are not necessarily indicative of the results to be expected in the future.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2016(a)</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2015(a)</w:t>
            </w:r>
          </w:p>
        </w:tc>
        <w:tc>
          <w:tcPr>
            <w:tcW w:w="920" w:type="dxa"/>
            <w:vAlign w:val="bottom"/>
            <w:tcBorders>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2014(a)</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0"/>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(In Millions,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revenues</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13,609</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12,961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13,996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13,983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10,916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11,697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6,806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assets(b)</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20,367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21,252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22,441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Debt, including current portion(b)</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Waste Management, Inc. stockholders’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6,002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For more information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included in this report.</w:t>
      </w:r>
    </w:p>
    <w:p>
      <w:pPr>
        <w:spacing w:after="0" w:line="34" w:lineRule="exact"/>
        <w:rPr>
          <w:rFonts w:ascii="Arial" w:cs="Arial" w:eastAsia="Arial" w:hAnsi="Arial"/>
          <w:sz w:val="17"/>
          <w:szCs w:val="17"/>
          <w:color w:val="auto"/>
        </w:rPr>
      </w:pPr>
    </w:p>
    <w:p>
      <w:pPr>
        <w:ind w:left="460" w:right="4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disclosures associated with the impact of the adoption of new accounting standards on the comparability of this information, see Note 2 to the Consolidated Financial Statements included in this report.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2016.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 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current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execution of our strategy will deliver shareholder value and leadership in a dynamic industry.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Notable items of our 2016 financial results include:</w:t>
      </w:r>
    </w:p>
    <w:p>
      <w:pPr>
        <w:spacing w:after="0" w:line="131" w:lineRule="exact"/>
        <w:rPr>
          <w:sz w:val="20"/>
          <w:szCs w:val="20"/>
          <w:color w:val="auto"/>
        </w:rPr>
      </w:pPr>
    </w:p>
    <w:p>
      <w:pPr>
        <w:ind w:left="90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of $13,609 million in 2016 compared with $12,961 million in 2015, an increase of $648 million. This increase in revenues is primarily attributable to (i) the combined impact of yield and volume growth, which contributed $437 million of additional revenues, primarily in our collection and disposal and recycling operations and (ii) acquisitions, net of divestitures, which contributed $238 million of revenue growth, primarily due to the acquisition of certain operations and business assets of SWS in January 2016. These increases were partially offset by foreign currency translation related to our Canadian operations;</w:t>
      </w:r>
    </w:p>
    <w:p>
      <w:pPr>
        <w:spacing w:after="0" w:line="93"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Operating expenses of $8,486 million in 2016, or 62.4% of revenues, compared with $8,231 million, or 63.5% of revenues, in 2015. This increase of $255 million is primarily attributable to (i) incremental costs attributable to acquired businesses, net of divestitures, of approximately</w:t>
      </w:r>
    </w:p>
    <w:p>
      <w:pPr>
        <w:ind w:left="900" w:right="20"/>
        <w:spacing w:after="0" w:line="277" w:lineRule="auto"/>
        <w:rPr>
          <w:rFonts w:ascii="Arial" w:cs="Arial" w:eastAsia="Arial" w:hAnsi="Arial"/>
          <w:sz w:val="16"/>
          <w:szCs w:val="16"/>
          <w:color w:val="auto"/>
        </w:rPr>
      </w:pPr>
      <w:r>
        <w:rPr>
          <w:rFonts w:ascii="Arial" w:cs="Arial" w:eastAsia="Arial" w:hAnsi="Arial"/>
          <w:sz w:val="17"/>
          <w:szCs w:val="17"/>
          <w:color w:val="auto"/>
        </w:rPr>
        <w:t>$143 million; (ii) increased landfill operating costs of $97 million, primarily landfill leachate management costs; (iii) increased cost of goods sold of $60 million, primarily related to higher recycling commodity prices and (iv) costs associated with higher volumes, estimated at $60 million. These increases were partially offset by lower fuel costs of $66 million, primarily due to lower year-over-year average fuel prices;</w:t>
      </w:r>
    </w:p>
    <w:p>
      <w:pPr>
        <w:spacing w:after="0" w:line="78" w:lineRule="exact"/>
        <w:rPr>
          <w:rFonts w:ascii="Arial" w:cs="Arial" w:eastAsia="Arial" w:hAnsi="Arial"/>
          <w:sz w:val="16"/>
          <w:szCs w:val="16"/>
          <w:color w:val="auto"/>
        </w:rPr>
      </w:pPr>
    </w:p>
    <w:p>
      <w:pPr>
        <w:ind w:left="900" w:right="32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expenses of $1,410 million in 2016, compared with $1,343 million in 2015, or 10.4% of revenues for both periods. This increase of $67 million is primarily attributable to higher labor and related benefits of $94 million, primarily due to increased incentive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200"/>
        <w:spacing w:after="0" w:line="277" w:lineRule="auto"/>
        <w:rPr>
          <w:sz w:val="20"/>
          <w:szCs w:val="20"/>
          <w:color w:val="auto"/>
        </w:rPr>
      </w:pPr>
      <w:r>
        <w:rPr>
          <w:rFonts w:ascii="Arial" w:cs="Arial" w:eastAsia="Arial" w:hAnsi="Arial"/>
          <w:sz w:val="18"/>
          <w:szCs w:val="18"/>
          <w:color w:val="auto"/>
        </w:rPr>
        <w:t>costs, merit increases and higher severance costs. These increases were partially offset by reduced legal fees, lower bank charges and favorable litigation settlements;</w:t>
      </w:r>
    </w:p>
    <w:p>
      <w:pPr>
        <w:spacing w:after="0" w:line="76" w:lineRule="exact"/>
        <w:rPr>
          <w:sz w:val="20"/>
          <w:szCs w:val="20"/>
          <w:color w:val="auto"/>
        </w:rPr>
      </w:pPr>
    </w:p>
    <w:p>
      <w:pPr>
        <w:ind w:left="900" w:right="6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from operations of $2,296 million, or 16.9% of revenues, in 2016 compared with $2,045 million, or 15.8% of revenues, in 2015, an increase of $251 million. In addition to the items discussed above, the comparability was also affected by asset impairments and unusual items in both periods, as discussed below;</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income attributable to Waste Management, Inc. of $1,182 million, or $2.65 per diluted share, for 2016, as compared with $753 million, or</w:t>
      </w:r>
    </w:p>
    <w:p>
      <w:pPr>
        <w:spacing w:after="0" w:line="46" w:lineRule="exact"/>
        <w:rPr>
          <w:rFonts w:ascii="Arial" w:cs="Arial" w:eastAsia="Arial" w:hAnsi="Arial"/>
          <w:sz w:val="16"/>
          <w:szCs w:val="16"/>
          <w:color w:val="auto"/>
        </w:rPr>
      </w:pPr>
    </w:p>
    <w:p>
      <w:pPr>
        <w:ind w:left="900" w:right="60"/>
        <w:spacing w:after="0" w:line="261" w:lineRule="auto"/>
        <w:rPr>
          <w:rFonts w:ascii="Arial" w:cs="Arial" w:eastAsia="Arial" w:hAnsi="Arial"/>
          <w:sz w:val="16"/>
          <w:szCs w:val="16"/>
          <w:color w:val="auto"/>
        </w:rPr>
      </w:pPr>
      <w:r>
        <w:rPr>
          <w:rFonts w:ascii="Arial" w:cs="Arial" w:eastAsia="Arial" w:hAnsi="Arial"/>
          <w:sz w:val="18"/>
          <w:szCs w:val="18"/>
          <w:color w:val="auto"/>
        </w:rPr>
        <w:t>$1.65 per diluted share, for 2015. The increase was primarily driven by the earnings growth of our core operations discussed above as well as the 2015 loss on early extinguishment of debt discussed below; and</w:t>
      </w:r>
    </w:p>
    <w:p>
      <w:pPr>
        <w:spacing w:after="0" w:line="89"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2016, we returned $1,451 million to our shareholders through dividends and share repurchases compared with $1,295 million in 2015.</w:t>
      </w:r>
    </w:p>
    <w:p>
      <w:pPr>
        <w:spacing w:after="0" w:line="23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Company had a very successful 2016, exceeding expectations and carrying forward our momentum from 2015 by generating strong earnings and cash flow. Our commitment to executing on our strategies of disciplined profitable volume growth and controlling costs, through focused differentiation and continuous improvement, drove these impressive results in 2016 and have built a strong foundation to produce solid earnings and generate further growth in 2017. This growth, combined with our commitment to maintain a strong balance sheet, supports the Company’s continued focus on investing in our business, paying dividends, pursuing attractive opportunities for strategic growth through acquisitions and considering the market for share repurchases.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explanations of certain items that affected the comparability of the years presented has been provided to support investors’ understanding of our performance. Our 2016 results were affected by the following:</w:t>
      </w:r>
    </w:p>
    <w:p>
      <w:pPr>
        <w:spacing w:after="0" w:line="76" w:lineRule="exact"/>
        <w:rPr>
          <w:sz w:val="20"/>
          <w:szCs w:val="20"/>
          <w:color w:val="auto"/>
        </w:rPr>
      </w:pPr>
    </w:p>
    <w:p>
      <w:pPr>
        <w:jc w:val="both"/>
        <w:ind w:left="900" w:right="80" w:hanging="325"/>
        <w:spacing w:after="0" w:line="29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recognition of pre-tax charges aggregating to $151 million, primarily related to (i) a $43 million impairment charge due to a loss of expected volumes for a landfill; (ii) a $42 million charge to adjust our subsidiary’s estimated environmental remediation liability related to a closed site in Harris County, Texas; (iii) $41 million of impairment charges related to minority-owned, cost method investments in waste diversion technology companies; (iv) a $10 million goodwill impairment charge related to our LampTracker</w:t>
      </w:r>
      <w:r>
        <w:rPr>
          <w:rFonts w:ascii="Arial" w:cs="Arial" w:eastAsia="Arial" w:hAnsi="Arial"/>
          <w:sz w:val="13"/>
          <w:szCs w:val="13"/>
          <w:color w:val="auto"/>
        </w:rPr>
        <w:t>®</w:t>
      </w:r>
      <w:r>
        <w:rPr>
          <w:rFonts w:ascii="Arial" w:cs="Arial" w:eastAsia="Arial" w:hAnsi="Arial"/>
          <w:sz w:val="16"/>
          <w:szCs w:val="16"/>
          <w:color w:val="auto"/>
        </w:rPr>
        <w:t xml:space="preserve"> reporting unit and (v) an $8 million loss on the sale of a majority-owned organics company. These charges had a negative impact of $0.26 on our diluted earnings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2015 results were affected by the following:</w:t>
      </w:r>
    </w:p>
    <w:p>
      <w:pPr>
        <w:spacing w:after="0" w:line="131" w:lineRule="exact"/>
        <w:rPr>
          <w:sz w:val="20"/>
          <w:szCs w:val="20"/>
          <w:color w:val="auto"/>
        </w:rPr>
      </w:pPr>
    </w:p>
    <w:p>
      <w:pPr>
        <w:jc w:val="both"/>
        <w:ind w:left="900" w:right="28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recognition of a pre-tax loss of $555 million, primarily related to the early extinguishment of almost $2 billion of our high-coupon senior notes through make-whole redemption and cash tender offers. These charges had a negative impact of $0.75 on our diluted earnings per share;</w:t>
      </w:r>
    </w:p>
    <w:p>
      <w:pPr>
        <w:spacing w:after="0" w:line="29"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Pre-tax charges of $51 million associated with the withdrawal from certain underfunded Multiemployer Pension Plans had a negative impact of $0.07 on our diluted earnings per share;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pre-tax charges of $102 million resulting from impairments, restructuring and divestitures, of which $66 million related to the impairment of our oil and gas producing properties. These items had a negative impact of $0.14 on our diluted earnings per share.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1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$ 2,960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$ 2,498</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(1,339)</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(1,233)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(1,151)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Free cash flow</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$ 1,664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$ 1,410</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$ 3,433</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 comparing our cash flows from operating activities for the year ended December 31, 2016 to the comparable period in 2015, the increase of $462 million is primarily related to (i) higher earnings from our Traditional Solid Waste business; (ii) cash proceeds of $67 million from the termination of our cross-currency swaps in the first quarter of 2016; (iii) trustee-managed multiemployer defined benefit pension plan (“Multiemployer Pension Plan”) settlement payments of approximately $60 million in 2015 and (iv) lower annual incentive plan cash payments of $46 million in the current year; partially offset, by higher income tax payments, net of excess tax benefits associated with equity-based transactions, of $36 million in the current year. Additionally, we experienced net favorable changes in our assets and liabilities, net of effects of acquisitions and divestitures, particularly non-trade related items including payroll and incentive accruals.</w:t>
      </w:r>
    </w:p>
    <w:p>
      <w:pPr>
        <w:spacing w:after="0" w:line="18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When comparing our cash flows from operating activities for the year ended December 31, 2015 to 2014, the increase of $167 million is primarily related to (i) lower income tax payments, net of excess tax benefits associated with equity-based transactions, of $329 million in 2015; (ii) lower interest paid of $77 million in 2015 and (iii) the settlement of forward-starting swap liabilities of $36 million in 2014. These increases were partially offset by (i) a decrease in cash earnings due to the sale of our Wheelabrator business in 2014; (ii) Multiemployer Pension Plan settlement payments of approximately</w:t>
      </w:r>
    </w:p>
    <w:p>
      <w:pPr>
        <w:spacing w:after="0" w:line="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$60 million in 2015 and (iii) higher year-over-year annual incentive plan payments of approximately $65 million in 2015. Finally, we experienced net unfavorable changes in our assets and liabilities, net of effects of acquisitions and divestitures, particularly non-trade related items including payroll and incentive accruals.</w:t>
      </w:r>
    </w:p>
    <w:p>
      <w:pPr>
        <w:spacing w:after="0" w:line="19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Capital expenditures increased by $106 million in 2016 compared to 2015 and by $82 million in 2015 compared to 2014. The increase in our capital expenditures in both years is generally the result of additional spending on new business opportunities and acquisitions, growth in our existing business and asset replacement timing. In addition, the construction of a waste-water treatment facility at one of our landfills also contributed to the increase in 2016.</w:t>
      </w:r>
    </w:p>
    <w:p>
      <w:pPr>
        <w:ind w:right="920"/>
        <w:spacing w:after="0" w:line="261" w:lineRule="auto"/>
        <w:rPr>
          <w:sz w:val="20"/>
          <w:szCs w:val="20"/>
          <w:color w:val="auto"/>
        </w:rPr>
      </w:pPr>
      <w:r>
        <w:rPr>
          <w:rFonts w:ascii="Arial" w:cs="Arial" w:eastAsia="Arial" w:hAnsi="Arial"/>
          <w:sz w:val="18"/>
          <w:szCs w:val="18"/>
          <w:color w:val="auto"/>
        </w:rPr>
        <w:t>Although we experienced capital expenditure increases in both 2016 and 2015, the Company continues to maintain a disciplined focus on capital management.</w:t>
      </w:r>
    </w:p>
    <w:p>
      <w:pPr>
        <w:spacing w:after="0" w:line="18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significantly higher proceeds from divestitures of businesses and other assets (net of cash divested) for the year ended December 31, 2014 compared to the years ended December 31, 2016 and 2015 is largely driven by the 2014 sales of (i) our Wheelabrator business for $1.95 billion; (ii) our investment in Shanghai Environment Group, which was part of our Wheelabrator business, for $155 million and (iii) our Puerto Rico operations for consideration of $80 million, including $65 million in cash.</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i w:val="1"/>
          <w:iCs w:val="1"/>
          <w:color w:val="auto"/>
        </w:rPr>
        <w:t>Southern Waste Systems/Sun Recyclin</w:t>
      </w:r>
      <w:r>
        <w:rPr>
          <w:rFonts w:ascii="Arial" w:cs="Arial" w:eastAsia="Arial" w:hAnsi="Arial"/>
          <w:sz w:val="18"/>
          <w:szCs w:val="18"/>
          <w:color w:val="auto"/>
        </w:rPr>
        <w:t>g</w:t>
      </w:r>
      <w:r>
        <w:rPr>
          <w:rFonts w:ascii="Arial" w:cs="Arial" w:eastAsia="Arial" w:hAnsi="Arial"/>
          <w:sz w:val="18"/>
          <w:szCs w:val="18"/>
          <w:i w:val="1"/>
          <w:iCs w:val="1"/>
          <w:color w:val="auto"/>
        </w:rPr>
        <w:t xml:space="preserve"> (“SWS”) </w:t>
      </w:r>
      <w:r>
        <w:rPr>
          <w:rFonts w:ascii="Arial" w:cs="Arial" w:eastAsia="Arial" w:hAnsi="Arial"/>
          <w:sz w:val="18"/>
          <w:szCs w:val="18"/>
          <w:color w:val="auto"/>
        </w:rPr>
        <w:t>— On January 8, 2016, Waste Management Inc. of Florida, a wholly-owned subsidiary of WM,</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i w:val="1"/>
          <w:iCs w:val="1"/>
          <w:color w:val="auto"/>
        </w:rPr>
        <w:t xml:space="preserve">Deffenbaugh Disposal, Inc. (“Deffenbaugh”) </w:t>
      </w:r>
      <w:r>
        <w:rPr>
          <w:rFonts w:ascii="Arial" w:cs="Arial" w:eastAsia="Arial" w:hAnsi="Arial"/>
          <w:sz w:val="18"/>
          <w:szCs w:val="18"/>
          <w:color w:val="auto"/>
        </w:rPr>
        <w:t>— On March 26, 2015, we acquired Deffenbaugh, one of the largest privately owned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firms in the Midwest, for total consideration, net of cash acquired, of $400 million. Deffenbaugh’s assets include collection operations, transfer stations, recycling facilities and landfills.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Wheelabrator Business </w:t>
      </w:r>
      <w:r>
        <w:rPr>
          <w:rFonts w:ascii="Arial" w:cs="Arial" w:eastAsia="Arial" w:hAnsi="Arial"/>
          <w:sz w:val="18"/>
          <w:szCs w:val="18"/>
          <w:color w:val="auto"/>
        </w:rPr>
        <w:t>— On December 19, 2014, we sold our Wheelabrator business to an affiliate of Energy Capital Partners and received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$1.95 billion, net of cash divested, subject to certain post-closing adjustments. We recognized a gain of $519 million on this sale, which is included within “(Income) expense from divestitures, asset impairments and unusual items” in the Consolidated Statement of Operations. For the year ended December 31, 2015, net adjustments to this gain were immaterial on a pre-tax basis. In conjunction with the sale, the Company entered into several agreements to dispose of a minimum number of tons of waste at certain Wheelabrator facilities. See Note 11 to the Consolidated Financial Statements for further discussion of these agreements.</w:t>
      </w:r>
    </w:p>
    <w:p>
      <w:pPr>
        <w:spacing w:after="0" w:line="19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In addition to the divestiture of our Wheelabrator business, we also divested our Puerto Rico operations, as well as certain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operations in our Eastern Canada Area in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total, these divested businesses and assets provided $0.18 of diluted earnings per diluted share for the year ended December 31, 2014.</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authoritative 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Consolidated Balance Sheet at December 31, 2015.</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Consolidation — </w:t>
      </w:r>
      <w:r>
        <w:rPr>
          <w:rFonts w:ascii="Arial" w:cs="Arial" w:eastAsia="Arial" w:hAnsi="Arial"/>
          <w:sz w:val="18"/>
          <w:szCs w:val="18"/>
          <w:color w:val="auto"/>
        </w:rPr>
        <w:t>In February 2015, the FASB issued amended authoritative guidance associated with consolidation. The amended guidance makes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relate to our accounting for landfills, environmental remediation liabilities, long-lived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Landfills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w:t>
      </w:r>
    </w:p>
    <w:p>
      <w:pPr>
        <w:spacing w:after="0" w:line="46" w:lineRule="exact"/>
        <w:rPr>
          <w:sz w:val="20"/>
          <w:szCs w:val="20"/>
          <w:color w:val="auto"/>
        </w:rPr>
      </w:pPr>
    </w:p>
    <w:p>
      <w:pPr>
        <w:jc w:val="both"/>
        <w:ind w:right="120" w:firstLine="8"/>
        <w:spacing w:after="0" w:line="255"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of our landfill sites to its remaining permitted and expansion capacity. This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Final Capping Costs </w:t>
      </w:r>
      <w:r>
        <w:rPr>
          <w:rFonts w:ascii="Arial" w:cs="Arial" w:eastAsia="Arial" w:hAnsi="Arial"/>
          <w:sz w:val="17"/>
          <w:szCs w:val="17"/>
          <w:color w:val="auto"/>
        </w:rPr>
        <w:t>— We estimate the cost for each final capping event based on the area to be capped and the capping materials and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The estimates also consider when these costs are anticipated to be paid and factor in inflation and discount rates. Our engineering personnel allocate landfill final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Closure and Post-Closure Costs </w:t>
      </w:r>
      <w:r>
        <w:rPr>
          <w:rFonts w:ascii="Arial" w:cs="Arial" w:eastAsia="Arial" w:hAnsi="Arial"/>
          <w:sz w:val="17"/>
          <w:szCs w:val="17"/>
          <w:color w:val="auto"/>
        </w:rPr>
        <w:t>— We base our estimates for closure and post-closure costs on our interpretations of permit and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First, to include airspace associated with 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52" w:lineRule="exact"/>
        <w:rPr>
          <w:sz w:val="20"/>
          <w:szCs w:val="20"/>
          <w:color w:val="auto"/>
        </w:rPr>
      </w:pPr>
    </w:p>
    <w:p>
      <w:pPr>
        <w:ind w:left="900" w:right="7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16 landfill sites with expansions included at December 31, 2016, three landfills required the Chief Financial Officer to approve the inclusion of the unpermitted airspace because the permit application process did not meet the one- or five-year requirements.</w:t>
      </w:r>
    </w:p>
    <w:p>
      <w:pPr>
        <w:spacing w:after="0" w:line="17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78"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 Impairments</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We assess our long-lived assets for impairment as required under the applicable accounting standards. If necessary, impairments are recorded in the “(Income) expense from divestitures, asset impairments and unusual items” line item in our Consolidated Statement of Operations.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Property and Equipment, including Landfills and Definite-Lived Intangible Assets — </w:t>
      </w:r>
      <w:r>
        <w:rPr>
          <w:rFonts w:ascii="Arial" w:cs="Arial" w:eastAsia="Arial" w:hAnsi="Arial"/>
          <w:sz w:val="17"/>
          <w:szCs w:val="17"/>
          <w:color w:val="auto"/>
        </w:rPr>
        <w:t>We monitor the carrying value of our long-lived assets for</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than the carrying amount of the asset or asset group, an impairment in the amount of the difference is recorded in the period that the impairment indicator occurs. Estimating future cash flows requires significant judgment and projections may vary from the cash flows eventually realized, which could impact our ability to accurately assess whether an asset has been impaired.</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See Item 7.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Critical Accounting Estimates and Assumptions — Expansion Airspace </w:t>
      </w:r>
      <w:r>
        <w:rPr>
          <w:rFonts w:ascii="Arial" w:cs="Arial" w:eastAsia="Arial" w:hAnsi="Arial"/>
          <w:sz w:val="17"/>
          <w:szCs w:val="17"/>
          <w:color w:val="auto"/>
        </w:rPr>
        <w:t>above for discussion of criteria involved in assessing</w:t>
      </w:r>
      <w:r>
        <w:rPr>
          <w:rFonts w:ascii="Arial" w:cs="Arial" w:eastAsia="Arial" w:hAnsi="Arial"/>
          <w:sz w:val="17"/>
          <w:szCs w:val="17"/>
          <w:i w:val="1"/>
          <w:iCs w:val="1"/>
          <w:color w:val="auto"/>
        </w:rPr>
        <w:t xml:space="preserve"> </w:t>
      </w:r>
      <w:r>
        <w:rPr>
          <w:rFonts w:ascii="Arial" w:cs="Arial" w:eastAsia="Arial" w:hAnsi="Arial"/>
          <w:sz w:val="17"/>
          <w:szCs w:val="17"/>
          <w:color w:val="auto"/>
        </w:rPr>
        <w:t>our likelihood of obtaining an expansion permit.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At least annually, and more frequently if warranted, we assess the goodwill of our reporting units for impairment using Level 3 inputs.</w:t>
      </w:r>
    </w:p>
    <w:p>
      <w:pPr>
        <w:spacing w:after="0" w:line="23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a reporting unit to its carrying value, including goodwill. If the carrying value exceeds estimated fair value, there is an indication of potential impairment and the second step is performed to measure the amount of impairment.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(Income) Expense from Divestitures, Asset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Impairments and Unusual Items </w:t>
      </w:r>
      <w:r>
        <w:rPr>
          <w:rFonts w:ascii="Arial" w:cs="Arial" w:eastAsia="Arial" w:hAnsi="Arial"/>
          <w:sz w:val="18"/>
          <w:szCs w:val="18"/>
          <w:color w:val="auto"/>
        </w:rPr>
        <w:t>and Note 13 to the Consolidated Financial Statements for information related to goodwill impairments recognized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periods.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goodwill for impairment.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performing the impairment test for indefinite-lived intangible assets, we generally first conduct a qualitative analysis to determine whether we believe it is more likely than not that an asset has been impaired. If it is more likely than not that an asset has been impaired, we then evaluate for impairment by comparing the estimated fair value of the asset to its carrying value. An impairment charge is recognized if the asset’s estimated fair value is less than its carrying value.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Fair value is typically estimated using an income approach. The income approach is based on the long-term projected future cash flows. We discount the estimated cash flows to present value using a weighted average cost of capital that considers factors such as market assumptions, the timing of the cash flows and the risks inherent in those cash flows. We believe this approach is appropriate because it provides a fair value estimate based upon the expected long-term performance considering the economic and market conditions that generally affect our business.</w:t>
      </w:r>
    </w:p>
    <w:p>
      <w:pPr>
        <w:spacing w:after="0" w:line="17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these assets is reasonable.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Deferred income taxes are based on the difference between the financial reporting and tax basis of assets and liabilities. The deferred income tax provision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 Should interest and penalties be assessed by taxing authorities on any underpayment of income tax, such amounts would be accrued and classified as a component of provision for income taxes in our Consolidated Statements of Operations.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Insured and Self-Insured Claims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retained a significant portion of the risks related to our health and welfare, automobile, general liability and workers’ compensation claims programs. The exposure for unpaid claims and associated expenses, including incurred but not reported losses, are based on an actuarial valuations and internal estimates. The accruals for these liabilities could be revised if future occurrences or loss developments significantly differ from our assumptions used. Estimated recoveries associated with our insured claims are recorded as assets when we believe that the receipt of such amounts is probable.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operating revenues set forth below are primarily generated from fees charged for our collection, transfer, disposal, and recycling and resource recovery services, and from sales of commodities by our recycling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recyclable commodities to third parties. The fees we charge for our collection, disposal, transfer and recycling services generally include fuel surcharges, which are indexed to current market costs for diesel fuel. We also provide additional services that are not managed through our Solid Waste business, including both our Strategic Business Solutions (“WMSBS”) and Energy and Environmental Services organizations, recycling brokerage services, landfill gas-to-energy services and expanded service offerings and solutions. We also offer portable self-storage and long distance moving services; fluorescent bulb and universal waste mail-back through our LampTracker</w:t>
      </w:r>
      <w:r>
        <w:rPr>
          <w:rFonts w:ascii="Arial" w:cs="Arial" w:eastAsia="Arial" w:hAnsi="Arial"/>
          <w:sz w:val="14"/>
          <w:szCs w:val="14"/>
          <w:color w:val="auto"/>
        </w:rPr>
        <w:t>®</w:t>
      </w:r>
      <w:r>
        <w:rPr>
          <w:rFonts w:ascii="Arial" w:cs="Arial" w:eastAsia="Arial" w:hAnsi="Arial"/>
          <w:sz w:val="17"/>
          <w:szCs w:val="17"/>
          <w:color w:val="auto"/>
        </w:rPr>
        <w:t xml:space="preserve"> program; portable restroom servicing under the name Port-o-Let</w:t>
      </w:r>
      <w:r>
        <w:rPr>
          <w:rFonts w:ascii="Arial" w:cs="Arial" w:eastAsia="Arial" w:hAnsi="Arial"/>
          <w:sz w:val="14"/>
          <w:szCs w:val="14"/>
          <w:color w:val="auto"/>
        </w:rPr>
        <w:t>®</w:t>
      </w:r>
      <w:r>
        <w:rPr>
          <w:rFonts w:ascii="Arial" w:cs="Arial" w:eastAsia="Arial" w:hAnsi="Arial"/>
          <w:sz w:val="17"/>
          <w:szCs w:val="17"/>
          <w:color w:val="auto"/>
        </w:rPr>
        <w:t>; and street and parking lot sweeping services. In addition, we hold interests in oil and gas producing properties. These operations are presented as “Other” in the table below. Our Wheelabrator business, divested in December 2014, provides waste-to-energy services and manages waste-to-energy facilities and independent power production plants. The following table summarizes revenues during the years ended December 31 (in millions):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4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2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$13,968</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$13,285</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3940" w:type="dxa"/>
            <w:vAlign w:val="bottom"/>
            <w:gridSpan w:val="3"/>
          </w:tcPr>
          <w:p>
            <w:pPr>
              <w:jc w:val="right"/>
              <w:ind w:right="480"/>
              <w:spacing w:after="0"/>
              <w:rPr>
                <w:sz w:val="20"/>
                <w:szCs w:val="20"/>
                <w:color w:val="auto"/>
              </w:rPr>
            </w:pPr>
            <w:r>
              <w:rPr>
                <w:rFonts w:ascii="Arial" w:cs="Arial" w:eastAsia="Arial" w:hAnsi="Arial"/>
                <w:sz w:val="18"/>
                <w:szCs w:val="18"/>
                <w:color w:val="auto"/>
              </w:rPr>
              <w:t>2,278</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2,065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2,191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Intercompany</w:t>
            </w:r>
          </w:p>
        </w:tc>
        <w:tc>
          <w:tcPr>
            <w:tcW w:w="28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(2,637)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(2,389)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(2,461)</w:t>
            </w:r>
          </w:p>
        </w:tc>
      </w:tr>
      <w:tr>
        <w:trPr>
          <w:trHeight w:val="27"/>
        </w:trPr>
        <w:tc>
          <w:tcPr>
            <w:tcW w:w="3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13,609</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13,996</w:t>
            </w:r>
          </w:p>
        </w:tc>
      </w:tr>
      <w:tr>
        <w:trPr>
          <w:trHeight w:val="20"/>
        </w:trPr>
        <w:tc>
          <w:tcPr>
            <w:tcW w:w="3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mix of operating revenues from our major lines of business is reflected in the table below for the years ended December 31 (in millions):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0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Residential</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Landfill</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Recycling</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Wheelabrator</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(2,461)</w:t>
            </w:r>
          </w:p>
        </w:tc>
        <w:tc>
          <w:tcPr>
            <w:tcW w:w="0" w:type="dxa"/>
            <w:vAlign w:val="bottom"/>
          </w:tcPr>
          <w:p>
            <w:pPr>
              <w:spacing w:after="0"/>
              <w:rPr>
                <w:sz w:val="1"/>
                <w:szCs w:val="1"/>
                <w:color w:val="auto"/>
              </w:rPr>
            </w:pPr>
          </w:p>
        </w:tc>
      </w:tr>
      <w:tr>
        <w:trPr>
          <w:trHeight w:val="223"/>
        </w:trPr>
        <w:tc>
          <w:tcPr>
            <w:tcW w:w="3100" w:type="dxa"/>
            <w:vAlign w:val="bottom"/>
          </w:tcPr>
          <w:p>
            <w:pPr>
              <w:ind w:left="36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13,609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12,961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620" w:type="dxa"/>
            <w:vAlign w:val="bottom"/>
            <w:vMerge w:val="restart"/>
          </w:tcPr>
          <w:p>
            <w:pPr>
              <w:jc w:val="right"/>
              <w:ind w:right="17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associated with the period-to-period change in revenues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6"/>
              </w:rPr>
              <w:t>Period-to-Period Change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Period-to-Period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1"/>
              </w:rPr>
              <w:t>2016 vs. 2015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2"/>
                <w:szCs w:val="12"/>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Company(a)</w:t>
            </w:r>
          </w:p>
        </w:tc>
        <w:tc>
          <w:tcPr>
            <w:tcW w:w="3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Average yield(b)</w:t>
            </w: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Subtotal (before Divestitures)</w:t>
            </w: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Calculated by dividing the amount of the current year increase or decrease by the prior year’s total Company revenue adjusted to exclude the impacts of divestitures for the current year ($12,931 million and $13,234 million for 2016 and 2015, respectively).</w:t>
      </w:r>
    </w:p>
    <w:p>
      <w:pPr>
        <w:spacing w:after="0" w:line="1" w:lineRule="exact"/>
        <w:rPr>
          <w:rFonts w:ascii="Arial" w:cs="Arial" w:eastAsia="Arial" w:hAnsi="Arial"/>
          <w:sz w:val="18"/>
          <w:szCs w:val="18"/>
          <w:color w:val="auto"/>
        </w:rPr>
      </w:pPr>
    </w:p>
    <w:p>
      <w:pPr>
        <w:jc w:val="both"/>
        <w:ind w:left="460" w:right="1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4"/>
              </w:rPr>
              <w:t>Period-to-Period</w:t>
            </w:r>
          </w:p>
        </w:tc>
        <w:tc>
          <w:tcPr>
            <w:tcW w:w="140" w:type="dxa"/>
            <w:vAlign w:val="bottom"/>
          </w:tcPr>
          <w:p>
            <w:pPr>
              <w:spacing w:after="0"/>
              <w:rPr>
                <w:sz w:val="14"/>
                <w:szCs w:val="14"/>
                <w:color w:val="auto"/>
              </w:rPr>
            </w:pP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2016 vs. 2015</w:t>
            </w:r>
          </w:p>
        </w:tc>
        <w:tc>
          <w:tcPr>
            <w:tcW w:w="140" w:type="dxa"/>
            <w:vAlign w:val="bottom"/>
          </w:tcPr>
          <w:p>
            <w:pPr>
              <w:spacing w:after="0"/>
              <w:rPr>
                <w:sz w:val="14"/>
                <w:szCs w:val="14"/>
                <w:color w:val="auto"/>
              </w:rPr>
            </w:pP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2015 vs. 2014</w:t>
            </w: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440"/>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Related</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left="20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Business(i)</w:t>
            </w:r>
          </w:p>
        </w:tc>
        <w:tc>
          <w:tcPr>
            <w:tcW w:w="620" w:type="dxa"/>
            <w:vAlign w:val="bottom"/>
            <w:gridSpan w:val="3"/>
            <w:vMerge w:val="continue"/>
          </w:tcPr>
          <w:p>
            <w:pPr>
              <w:spacing w:after="0"/>
              <w:rPr>
                <w:sz w:val="14"/>
                <w:szCs w:val="14"/>
                <w:color w:val="auto"/>
              </w:rPr>
            </w:pPr>
          </w:p>
        </w:tc>
        <w:tc>
          <w:tcPr>
            <w:tcW w:w="1460" w:type="dxa"/>
            <w:vAlign w:val="bottom"/>
            <w:gridSpan w:val="2"/>
          </w:tcPr>
          <w:p>
            <w:pPr>
              <w:jc w:val="center"/>
              <w:ind w:left="200"/>
              <w:spacing w:after="0"/>
              <w:rPr>
                <w:sz w:val="20"/>
                <w:szCs w:val="20"/>
                <w:color w:val="auto"/>
              </w:rPr>
            </w:pPr>
            <w:r>
              <w:rPr>
                <w:rFonts w:ascii="Arial" w:cs="Arial" w:eastAsia="Arial" w:hAnsi="Arial"/>
                <w:sz w:val="14"/>
                <w:szCs w:val="14"/>
                <w:b w:val="1"/>
                <w:bCs w:val="1"/>
                <w:color w:val="auto"/>
                <w:w w:val="87"/>
              </w:rPr>
              <w:t>Business(i)</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Collection and disposal</w:t>
            </w:r>
          </w:p>
        </w:tc>
        <w:tc>
          <w:tcPr>
            <w:tcW w:w="18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90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Fuel surcharges and mandated fees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(106)</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00" w:right="1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revenues increased $648 million, or 5.0%, for the year ended December 31, 2016 as compared to the prior year, driven by (i) acquisitions, primarily the acquired operations of SWS in January 2016; (ii) revenue growth from yield on our collection and disposal operations; (iii) higher volumes and</w:t>
      </w:r>
    </w:p>
    <w:p>
      <w:pPr>
        <w:ind w:right="120" w:firstLine="8"/>
        <w:spacing w:after="0" w:line="255"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market prices for the recycling commodities we sell. Partially offsetting these revenue increases were (i) lower revenues from our fuel surcharges program due to lower year-over-year diesel fuel prices; (ii) divestitures and (iii) foreign currency translation which affects revenues from our Canadian operations.</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decreased $1,035 million, or 7.4%, for the year ended December 31, 2015 as compared to the prior year, driven by (i) divestitures in 2014, principally our Wheelabrator business, our Puerto Rico operations, and certain landfill and collection operations in our Eastern Canada Area; (ii) lower volumes; (iii) lower revenues from our fuel surcharge program due to declining diesel fuel prices; (iv) lower market prices for the recycling commodities we sell and (v) foreign currency translation. Partially offsetting these revenue declines were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540" w:firstLine="8"/>
        <w:spacing w:after="0" w:line="277"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growth from yield on our collection and disposal operations and (ii) revenue from acquired operations, primarily the acquired operations of Deffenbaugh in March 2015.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about our period-to-period change in revenues: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Average yield</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 our collection, transfer and</w:t>
      </w:r>
      <w:r>
        <w:rPr>
          <w:rFonts w:ascii="Arial" w:cs="Arial" w:eastAsia="Arial" w:hAnsi="Arial"/>
          <w:sz w:val="17"/>
          <w:szCs w:val="17"/>
          <w:i w:val="1"/>
          <w:iCs w:val="1"/>
          <w:color w:val="auto"/>
        </w:rPr>
        <w:t xml:space="preserve"> </w:t>
      </w:r>
      <w:r>
        <w:rPr>
          <w:rFonts w:ascii="Arial" w:cs="Arial" w:eastAsia="Arial" w:hAnsi="Arial"/>
          <w:sz w:val="17"/>
          <w:szCs w:val="17"/>
          <w:color w:val="auto"/>
        </w:rPr>
        <w:t>landfill operations,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Revenue growth from collection and disposal average yield was $267 million, or 2.4%, and $203 million, or 1.8%, for the years ended December 31, 2016 and 2015, respectively. We experienced growth in yield for all of our collection and disposal lines of business in both 2016 and 2015. The details are as follows (dollars in millions):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2"/>
              </w:rPr>
              <w:t>Period-to-Period</w:t>
            </w:r>
          </w:p>
        </w:tc>
        <w:tc>
          <w:tcPr>
            <w:tcW w:w="16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2016 vs. 2015</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Related</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Business</w:t>
            </w:r>
          </w:p>
        </w:tc>
        <w:tc>
          <w:tcPr>
            <w:tcW w:w="5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60" w:type="dxa"/>
            <w:vAlign w:val="bottom"/>
            <w:tcBorders>
              <w:left w:val="single" w:sz="8" w:color="CCEEFF"/>
            </w:tcBorders>
            <w:vMerge w:val="continue"/>
            <w:shd w:val="clear" w:color="auto" w:fill="CCEEFF"/>
          </w:tcPr>
          <w:p>
            <w:pPr>
              <w:spacing w:after="0"/>
              <w:rPr>
                <w:sz w:val="18"/>
                <w:szCs w:val="18"/>
                <w:color w:val="auto"/>
              </w:rPr>
            </w:pPr>
          </w:p>
        </w:tc>
        <w:tc>
          <w:tcPr>
            <w:tcW w:w="1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3.0%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2140" w:type="dxa"/>
            <w:vAlign w:val="bottom"/>
            <w:gridSpan w:val="3"/>
          </w:tcPr>
          <w:p>
            <w:pPr>
              <w:ind w:left="11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w w:val="79"/>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140" w:type="dxa"/>
            <w:vAlign w:val="bottom"/>
            <w:tcBorders>
              <w:left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Total collection</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140" w:type="dxa"/>
            <w:vAlign w:val="bottom"/>
            <w:gridSpan w:val="3"/>
          </w:tcPr>
          <w:p>
            <w:pPr>
              <w:ind w:left="114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w w:val="79"/>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140" w:type="dxa"/>
            <w:vAlign w:val="bottom"/>
            <w:tcBorders>
              <w:left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79"/>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Transfer</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140" w:type="dxa"/>
            <w:vAlign w:val="bottom"/>
            <w:gridSpan w:val="3"/>
          </w:tcPr>
          <w:p>
            <w:pPr>
              <w:ind w:left="1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w w:val="79"/>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collection and disposal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140" w:type="dxa"/>
            <w:vAlign w:val="bottom"/>
            <w:tcBorders>
              <w:left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56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Revenues from our environmental fee contributed $72 million and $17 million for the years ended December 31, 2016 and 2015, respectively, to our collection and disposal average yield.</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Our revenues increased $51 million for the year ended December 31, 2016 as compared with the prior year period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7% year-over-year increase in the market prices for the recycling commodities we sell at our recycling facilities and through our recycling brokerage services. During 2015, revenues declined by $138 million as compared with the prior year due to a 12% year-over-year decline in recycling commodities prices.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decreased $67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$171 million for the years ended December 31, 2016 and 2015, respectively. These revenues fluctuate in response to changes in the national average prices for diesel fuel on which our surcharge is based. Market prices for diesel fuel decreased approximately 14% in 2016 and 30% in 2015, which caused the decline in fuel surcharge revenues in 2016 and 2015.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 presented.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revenues increased $186 million, or 1.4%, for the year ended December 31, 2016 as compared with the prior year due to higher volumes. The year-over-year comparison does not include volumes from acquisitions, as discussed below. We experienced higher volumes in all of our collection and disposal lines of business, with the exception of our residential line of business, as a result of (i) improving market conditions; (ii) reduced customer churn and improved sales performance supported by our focus on disciplined growth and (iii) an additional workday in 2016.</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drivers affecting the comparability of volumes for 2016 to 2015 are as follows:</w:t>
      </w:r>
    </w:p>
    <w:p>
      <w:pPr>
        <w:spacing w:after="0" w:line="131" w:lineRule="exact"/>
        <w:rPr>
          <w:sz w:val="20"/>
          <w:szCs w:val="20"/>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our focus on renegotiating existing contracts and winning new contracts with reasonable returns, we continue to see revenue declines in our residential line of business; and</w:t>
      </w:r>
    </w:p>
    <w:p>
      <w:pPr>
        <w:spacing w:after="0" w:line="75"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our ancillary service businesses, we experienced higher volumes in 2016 as compared with the prior year resulting from our Energy and Environmental Services organization, particularly our remediation and construction services, WM Renewable Energy and our portable self-storage businesses. These volume increases were partially offset by lower volumes resulting from lower oil prices, which negatively affected both our oil and gas producing properties and our oilfield services business.</w:t>
      </w:r>
    </w:p>
    <w:p>
      <w:pPr>
        <w:spacing w:after="0" w:line="1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Declines in our volumes caused our revenue to decrease $215 million, or 1.6%, for the year ended December 31, 2015, as compared with the prior year. We experienced lower volumes in (i) our collection line of business, primarily due to competition and our pricing strategies; (ii) our MRFs, primarily driven by the rationalization of our underperforming assets and our strategy to not renew municipal contracts that did not reflect current market conditions and</w:t>
      </w:r>
    </w:p>
    <w:p>
      <w:pPr>
        <w:ind w:right="200" w:firstLine="8"/>
        <w:spacing w:after="0" w:line="302" w:lineRule="auto"/>
        <w:tabs>
          <w:tab w:leader="none" w:pos="3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ancillary services businesses, primarily due to the loss of certain large accounts in our WMSBS organization and lower oil prices, which negatively affected both our oil and gas producing properties and our oilfield services business. These decreases in volumes were partially offset by increases in the municipal solid waste business driven by new business and improving market conditions that favorably affected our landfill and transfer lines of business.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Acquisitions and divestitures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Revenues increased $268 million and $174 million for the years ended December 31, 2016 and 2015, respectively, as compared with the prior year periods, due to acquisitions. The increase in revenues in 2016 was principally due to the acquired operations of SWS in January 2016. The revenue increase in 2015 was principally due to the acquired operations of Deffenbaugh in March 2015.</w:t>
      </w:r>
    </w:p>
    <w:p>
      <w:pPr>
        <w:spacing w:after="0" w:line="7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These revenues were offset by revenue decreases of $30 million and $762 million for the years ended December 31, 2016 and 2015, respectively, as compared with the prior year periods, due to divestitures. The decrease in revenues in 2015 was primarily driven by the divestitures in 2014 of our Wheelabrator business, our Puerto Rico operations and certain landfill and collection operations in our Eastern Canada Area.</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operating expenses are comprised of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business, including rebates paid to suppliers; (vi) fuel costs, which represent the costs of fuel and oil to operate our truck fleet and landfill operating equipment; (vii) disposal and franchise fees and taxes, which include landfill taxes, municipal franchise fees, host community fees, contingent landfill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workers’ compensation and insurance and claim costs and (x) other operating costs, which include telecommunications, equipment and facility rent, property taxes, utilities and supplies.</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operating expenses increased $255 million, or 3.1%, when comparing 2016 with 2015 and decreased $771 million, or 8.6%, when comparing 2015 with 2014. Operating expenses as a percentage of revenues were 62.4% in 2016, 63.5% in 2015, and 64.3% in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major components of our operating expenses for the years ended December 31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Period-to-Period</w:t>
            </w:r>
          </w:p>
        </w:tc>
        <w:tc>
          <w:tcPr>
            <w:tcW w:w="120" w:type="dxa"/>
            <w:vAlign w:val="bottom"/>
            <w:vMerge w:val="restart"/>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Period-to-Period</w:t>
            </w:r>
          </w:p>
        </w:tc>
        <w:tc>
          <w:tcPr>
            <w:tcW w:w="5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(159)</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Subcontractor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(183)</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Fuel</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(192)</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(34.7)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8,486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(771)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items affecting the comparison of operating expenses between periods reported include:</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in 2016 as compared with 2015 was due to (i) higher wages due to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(ii) additional costs associated with the acquired operations of SWS in January 2016; (iii) health and welfare cost increases; (iv) an additional workday in 2016 and (v) higher incentive compensation costs. These cost increases were partially offset by (i) $51 million of charges in 2015 associated with the withdrawal from certain underfunded Multiemployer Pension Plans and (ii) lower headcount and contract labor costs in 2016 due to operating efficiencies in our recycling line of business.</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decrease in labor and related benefits in 2015 as compared with 2014 was due to (i) reduced costs of $88 million due to the divestitures in 2014 of our Wheelabrator business, our Puerto Rico operations, and certain landfill and collection operations in our Eastern Canada Area; (ii) lower headcount and contract labor costs due to operating efficiencies in our recycling line of business and lower volumes in our collection line of business and (iii) lower health and welfare costs. These cost decreases were partially offset by (i) $51 million of charges in 2015 associated with the withdrawal from certain underfunded Multiemployer Pension Plans; (ii) higher wages due to merit increases and (iii) additional costs associated with the acquired operations of Deffenbaugh in March 2015.</w:t>
      </w:r>
    </w:p>
    <w:p>
      <w:pPr>
        <w:spacing w:after="0" w:line="19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Transfer and disposal costs — </w:t>
      </w:r>
      <w:r>
        <w:rPr>
          <w:rFonts w:ascii="Arial" w:cs="Arial" w:eastAsia="Arial" w:hAnsi="Arial"/>
          <w:sz w:val="18"/>
          <w:szCs w:val="18"/>
          <w:color w:val="auto"/>
        </w:rPr>
        <w:t>The increase in transfer and disposal costs in 2016 compared to 2015 was driven by acquisitions, primarily SWS,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overall increase in volumes. The increase in costs in 2015 compared to 2014 was primarily due to incurring third-party costs for services previously provided on an intercompany basis prior to the divestiture of our Wheelabrator business in December 2014. These cost increases were partially offset by $53 million in reduced costs due to the divestitures in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in 2016 compared to 2015 was primarily driven by (i) higher labor and parts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supplies costs and (ii) acquisitions, primarily the acquired operations of SWS. The decrease in costs in 2015 compared to 2014 was largely driven by a $177 million decrease due to the divestitures in 2014, which was partially offset by increased costs related to the acquired operations of Deffenbaugh.</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The increase in subcontractor cost in 2016 compared to 2015 was driven by (i) acquisitions and (ii) higher volumes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WMSBS organization. These increases were partially offset by a decrease in subcontracted remediation services to industrial customers. The decrease in costs in 2015 compared to 2014 was primarily driven by (i) volume decreases in our WMSBS organization and (ii) lower landfill and recycling costs. These decreases were partially offset by an increase in subcontracted remediation services to industrial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goods sold — </w:t>
      </w:r>
      <w:r>
        <w:rPr>
          <w:rFonts w:ascii="Arial" w:cs="Arial" w:eastAsia="Arial" w:hAnsi="Arial"/>
          <w:sz w:val="16"/>
          <w:szCs w:val="16"/>
          <w:color w:val="auto"/>
        </w:rPr>
        <w:t>The increase in cost of goods sold in 2016 compared to 2015 was due to (i) higher market prices for recycling commodities and</w:t>
      </w:r>
    </w:p>
    <w:p>
      <w:pPr>
        <w:spacing w:after="0" w:line="46" w:lineRule="exact"/>
        <w:rPr>
          <w:sz w:val="20"/>
          <w:szCs w:val="20"/>
          <w:color w:val="auto"/>
        </w:rPr>
      </w:pPr>
    </w:p>
    <w:p>
      <w:pPr>
        <w:ind w:right="100" w:firstLine="8"/>
        <w:spacing w:after="0" w:line="254"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in our remediation services business, partially offset by lower costs due to continued efforts to restructure recycling rebates paid to customers. The decrease in costs in 2015 compared to 2014 was due to (i) lower market prices for recycling commodities; (ii) lower costs of $81 million due to the 2014 divestitures; (iii) increased efforts to restructure recycling rebates paid to customers and (iv) ongoing recycling business improvement efforts around inbound quality control.</w:t>
      </w:r>
    </w:p>
    <w:p>
      <w:pPr>
        <w:spacing w:after="0" w:line="19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costs in 2016 and 2015 when compared to the prior year periods was driven by (i) lower fuel prices; (ii) lower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continued conversion of our fleet to natural gas vehicles; (iii) year-over-year increases in natural gas fuel excise credits and (iv) reduced fuel consumption due to efficiency gains in the routing of our fleet. The increase in collection volumes in 2016 partially offset these decreases.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disposal and franchise fees and taxes in 2016 compared to 2015 is primarily due to (i)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volumes and (ii) increased municipal franchise fees and subcontracted remediation services to industrial customers. The decrease when comparing 2015 to 2014 is primarily driven by the divestitures in 2014.</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Landfill operating costs — </w:t>
      </w:r>
      <w:r>
        <w:rPr>
          <w:rFonts w:ascii="Arial" w:cs="Arial" w:eastAsia="Arial" w:hAnsi="Arial"/>
          <w:sz w:val="17"/>
          <w:szCs w:val="17"/>
          <w:color w:val="auto"/>
        </w:rPr>
        <w:t>The increase in landfill operating costs when comparing 2016 to 2015 is primarily due to higher leachate management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Leachate management costs have increased because, in certain parts of the country, we are transporting leachate further in order to reach treatment facilities, the third-party fees charged for treatment of waste water have increased and the volume of leachate being disposed has increased.</w:t>
      </w:r>
    </w:p>
    <w:p>
      <w:pPr>
        <w:spacing w:after="0" w:line="16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Higher leachate transportation and disposal costs also affected the comparison of our landfill operating costs for 2015 and 2014, though the increased costs were more than offset by the impact of 2014 divestitures and discount rate adjustments. As discussed in Note 3 to the Consolidated Financial Statements, we record adjustments to our landfill operating costs for changes in U.S. Treasury rates used to discount the present value of our environmental remediation liabilities and recovery assets.</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The decrease in costs in 2016 compared to 2015 was primarily due to a reduction in certain uninsured losses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decreased workers’ compensation claims.</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The decrease in costs in 2016 compared to 2015 was primarily related to lower rental costs and favorable adjustments to our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liabilities associated with certain acquisitions. The decrease in costs in 2015 compared to 2014 was principally driven by a decrease of $63 million due to the divestitures in 2014.</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selling, general and administrative expenses consist of (i) labor and related benefits which include salaries, bonuses, related insurance and benefits, contract labor, payroll taxes and equity-based compensation;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20" w:firstLine="8"/>
        <w:spacing w:after="0" w:line="279"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settlements generally are included in our “Other” selling, general and administrative expenses.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selling, general and administrative expenses increased $67 million, or 5.0%, when comparing 2016 with 2015 and decreased $138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9.3%, when comparing 2015 with 2014. Our selling, general and administrative expenses as a percentage of revenues were 10.4% in 2016, 10.4% in 2015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10.6% in 2014.</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years ended December 31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Period-to-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6"/>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left="197"/>
              <w:spacing w:after="0" w:line="149" w:lineRule="exact"/>
              <w:rPr>
                <w:sz w:val="20"/>
                <w:szCs w:val="20"/>
                <w:color w:val="auto"/>
              </w:rPr>
            </w:pPr>
            <w:r>
              <w:rPr>
                <w:rFonts w:ascii="Arial" w:cs="Arial" w:eastAsia="Arial" w:hAnsi="Arial"/>
                <w:sz w:val="14"/>
                <w:szCs w:val="14"/>
                <w:b w:val="1"/>
                <w:bCs w:val="1"/>
                <w:color w:val="auto"/>
                <w:w w:val="91"/>
              </w:rPr>
              <w:t>Period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vMerge w:val="restart"/>
          </w:tcPr>
          <w:p>
            <w:pPr>
              <w:spacing w:after="0"/>
              <w:rPr>
                <w:sz w:val="20"/>
                <w:szCs w:val="20"/>
                <w:color w:val="auto"/>
              </w:rPr>
            </w:pPr>
            <w:r>
              <w:rPr>
                <w:rFonts w:ascii="Arial" w:cs="Arial" w:eastAsia="Arial" w:hAnsi="Arial"/>
                <w:sz w:val="18"/>
                <w:szCs w:val="18"/>
                <w:color w:val="auto"/>
              </w:rPr>
              <w:t>Labor and related benefits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48"/>
              <w:spacing w:after="0"/>
              <w:rPr>
                <w:sz w:val="20"/>
                <w:szCs w:val="20"/>
                <w:color w:val="auto"/>
              </w:rPr>
            </w:pPr>
            <w:r>
              <w:rPr>
                <w:rFonts w:ascii="Arial" w:cs="Arial" w:eastAsia="Arial" w:hAnsi="Arial"/>
                <w:sz w:val="18"/>
                <w:szCs w:val="18"/>
                <w:color w:val="auto"/>
                <w:w w:val="91"/>
              </w:rPr>
              <w:t>$ 94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840" w:type="dxa"/>
            <w:vAlign w:val="bottom"/>
            <w:gridSpan w:val="3"/>
          </w:tcPr>
          <w:p>
            <w:pPr>
              <w:jc w:val="right"/>
              <w:ind w:right="148"/>
              <w:spacing w:after="0"/>
              <w:rPr>
                <w:sz w:val="20"/>
                <w:szCs w:val="20"/>
                <w:color w:val="auto"/>
              </w:rPr>
            </w:pPr>
            <w:r>
              <w:rPr>
                <w:rFonts w:ascii="Arial" w:cs="Arial" w:eastAsia="Arial" w:hAnsi="Arial"/>
                <w:sz w:val="18"/>
                <w:szCs w:val="18"/>
                <w:color w:val="auto"/>
              </w:rPr>
              <w:t>4</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8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(15.7)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$ 67</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factors affecting our expense in 2016 as compared to 2015 include:</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was primarily due to (i) higher incentive compensation costs; (ii)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(iii) higher severance costs and (iv) acquisitions.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decrease in professional fees was primarily due to lower legal fees.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decrease in other expenses was principally driven by favorable litigation settlements and lower bank charges.</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divestitures in 2014, primarily the sale of our Wheelabrator business in December 2014, favorably affected all cost categories when comparing expenses in 2015 to 2014. In addition to the impact of divestitures, other significant factors affecting our expense in 2015 as compared to 2014 include:</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decrease in labor and related benefits was due to (i) cost savings from our August 2014 reorganization and (ii) lower</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costs, which were partially offset by merit increases.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decrease in other expenses was principally driven by lower litigation settlement costs and our continued focus on controlling costs.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Depreciation and amortization expenses include (i) depreciation of property and equipment, including assets recorded for capital leases, on a straight-line basis from three to 40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 (iii) amortization of landfill asset retirement costs arising from final capping obligations on a units-of-consumption method as airspace 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consumed over the estimated capacity associated with each final capping event and (iv) amortization of intangible assets with a definite life, using either a 150% declining balance approach or a straight-line basis over the definitive terms of the related agreements, which are generally from two to 15 years depending on the type of asset.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expenses for the years ended December 31 (dollars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Period-to-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720" w:type="dxa"/>
            <w:vAlign w:val="bottom"/>
            <w:gridSpan w:val="2"/>
          </w:tcPr>
          <w:p>
            <w:pPr>
              <w:jc w:val="center"/>
              <w:ind w:left="218"/>
              <w:spacing w:after="0" w:line="149" w:lineRule="exact"/>
              <w:rPr>
                <w:sz w:val="20"/>
                <w:szCs w:val="20"/>
                <w:color w:val="auto"/>
              </w:rPr>
            </w:pPr>
            <w:r>
              <w:rPr>
                <w:rFonts w:ascii="Arial" w:cs="Arial" w:eastAsia="Arial" w:hAnsi="Arial"/>
                <w:sz w:val="14"/>
                <w:szCs w:val="14"/>
                <w:b w:val="1"/>
                <w:bCs w:val="1"/>
                <w:color w:val="auto"/>
                <w:w w:val="96"/>
              </w:rPr>
              <w:t>Period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409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1,301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1,245</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increase in depreciation of tangible property and equipment and amortization of intangible assets during 2016 as compared to the prior year is primarily due to the acquired operations of SWS in January 2016. The increase in amortization of landfill airspace during 2016 as compared to the prior year is due to increased volumes at our landfills, partially offset by changes in our landfill estimates.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decrease in depreciation of tangible property and equipment during 2015 as compared to the prior year is primarily due to the December 2014 sale of our Wheelabrator business as discussed further in Note 19 to the Consolidated Financial Statements. The increase in amortization of landfill airspace during 2015 as compared to the prior year is primarily due to increased volumes, a portion of which relates to the acquisition of Deffenbaugh in March 2015. This increase was partially offset by favorable adjustments resulting from changes in landfill estimates.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During the year ended December 31, 2016, we recognized $4 million of pre-tax restructuring charges, of which $2 million was related to employee severance and benefit costs. The remaining charges were primarily related to operating lease obligations for property that will no longer be utilized.</w:t>
      </w:r>
    </w:p>
    <w:p>
      <w:pPr>
        <w:spacing w:after="0" w:line="124"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During the year ended December 31, 2015, we recognized $15 million of pre-tax restructuring charges, of which $10 million was related to employee severance and benefit costs, including costs associated with the loss of a municipal contract in our Eastern Canada Area and our acquisition of Deffenbaugh. The remaining charges were primarily related to operating lease obligations for property that will no longer be utilized.</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 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117" w:lineRule="exact"/>
        <w:rPr>
          <w:sz w:val="20"/>
          <w:szCs w:val="20"/>
          <w:color w:val="auto"/>
        </w:rPr>
      </w:pPr>
    </w:p>
    <w:p>
      <w:pPr>
        <w:ind w:left="460" w:right="80" w:firstLine="438"/>
        <w:spacing w:after="0" w:line="277" w:lineRule="auto"/>
        <w:rPr>
          <w:sz w:val="20"/>
          <w:szCs w:val="20"/>
          <w:color w:val="auto"/>
        </w:rPr>
      </w:pPr>
      <w:r>
        <w:rPr>
          <w:rFonts w:ascii="Arial" w:cs="Arial" w:eastAsia="Arial" w:hAnsi="Arial"/>
          <w:sz w:val="18"/>
          <w:szCs w:val="18"/>
          <w:color w:val="auto"/>
        </w:rPr>
        <w:t>The following table summarizes the major components of (income) expense from divestitures, asset impairments and unusual items for the years ended December 31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$(515)</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6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During the year ended December 31, 2016, we recognized net charges of $112 million, primarily related to (i) $44 million of charges to adjust our subsidiary’s estimated environmental remediation liability related to a closed site in Harris County, Texas, as further discussed in Note 11 to the Consolidated Financial Statements; (ii) a $43 million charge to impair a landfill in Western Pennsylvania due to a loss of expected volumes; (iii) $12 million of goodwill impairment charges primarily related to our LampTracker</w:t>
      </w:r>
      <w:r>
        <w:rPr>
          <w:rFonts w:ascii="Arial" w:cs="Arial" w:eastAsia="Arial" w:hAnsi="Arial"/>
          <w:sz w:val="13"/>
          <w:szCs w:val="13"/>
          <w:color w:val="auto"/>
        </w:rPr>
        <w:t>®</w:t>
      </w:r>
      <w:r>
        <w:rPr>
          <w:rFonts w:ascii="Arial" w:cs="Arial" w:eastAsia="Arial" w:hAnsi="Arial"/>
          <w:sz w:val="16"/>
          <w:szCs w:val="16"/>
          <w:color w:val="auto"/>
        </w:rPr>
        <w:t xml:space="preserve"> reporting unit and (iv) an $8 million loss on the sale of a majority-owned organics company.</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During the year ended December 31, 2015, we recognized net charges of $82 million, primarily related to (i) $66 million of charges to impair certain of our oil and gas producing properties as a result of the continued decline in oil and gas prices; (ii) $18 million of charges to write down or divest certain assets in our recycling operations and (iii) a $5 million impairment of a landfill in our Western Canada Area due to revised post-closure cost estimates. Partially offsetting these charges was $7 million in net gains from divestitures, including a $6 million gain on the sale of an oil and gas producing property in 2015.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2014, we recognized net gains of $160 million, primarily related to the following:</w:t>
      </w:r>
    </w:p>
    <w:p>
      <w:pPr>
        <w:spacing w:after="0" w:line="131" w:lineRule="exact"/>
        <w:rPr>
          <w:sz w:val="20"/>
          <w:szCs w:val="20"/>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We recognized net gains of $515 million, primarily as a result of a $519 million gain on the sale of our Wheelabrator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an $18 million gain on the sale of certain landfill and collection operations in our Eastern Canada Area. Partially offsetting these gains was a $25 million loss on the divestiture of our Puerto Rico operations. Refer to Note 19 to the Consolidated Financial Statements for additional information related to our divestitures.</w:t>
      </w:r>
    </w:p>
    <w:p>
      <w:pPr>
        <w:spacing w:after="0" w:line="92"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Oil and gas producing properties impairments </w:t>
      </w:r>
      <w:r>
        <w:rPr>
          <w:rFonts w:ascii="Arial" w:cs="Arial" w:eastAsia="Arial" w:hAnsi="Arial"/>
          <w:sz w:val="17"/>
          <w:szCs w:val="17"/>
          <w:color w:val="auto"/>
        </w:rPr>
        <w:t>— We recognized $272 million of charges to impair certain of our oil and gas producing</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primarily as a result of the pronounced decrease in oil and gas prices in the fourth quarter of 2014.</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Goodwill impairments </w:t>
      </w:r>
      <w:r>
        <w:rPr>
          <w:rFonts w:ascii="Arial" w:cs="Arial" w:eastAsia="Arial" w:hAnsi="Arial"/>
          <w:sz w:val="18"/>
          <w:szCs w:val="18"/>
          <w:color w:val="auto"/>
        </w:rPr>
        <w:t>— We recognized $10 million of goodwill impairment charges related to our recycling reporting unit.</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We recognized additional impairment charges of $73 million to write down assets in our waste diversion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recycling and medical waste operations.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See Note 3 to the Consolidated Financial Statements for additional information related to the accounting policy and analysis involved in identifying and calculating impairments.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years ended December 31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Period-to-</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Period-to-</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Period</w:t>
            </w:r>
          </w:p>
        </w:tc>
        <w:tc>
          <w:tcPr>
            <w:tcW w:w="5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Period</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Tier 1</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$1,430</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Tier 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Tier 3</w:t>
            </w:r>
          </w:p>
        </w:tc>
        <w:tc>
          <w:tcPr>
            <w:tcW w:w="500" w:type="dxa"/>
            <w:vAlign w:val="bottom"/>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Solid Waste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(37.5)</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(669)</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Percentage change does not provide a meaningful comparison.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segments are discussed further in Note 21 to the Consolidated Financial Statements.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are summarized below:</w:t>
      </w:r>
    </w:p>
    <w:p>
      <w:pPr>
        <w:spacing w:after="0" w:line="7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$51 million of charges associated with the withdrawal from certain underfunded Multiemployer Pension Plans in 2015 impacting all three tiers.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affected the comparability of 2016 to 2015:</w:t>
      </w:r>
    </w:p>
    <w:p>
      <w:pPr>
        <w:spacing w:after="0" w:line="131" w:lineRule="exact"/>
        <w:rPr>
          <w:sz w:val="20"/>
          <w:szCs w:val="20"/>
          <w:color w:val="auto"/>
        </w:rPr>
      </w:pPr>
    </w:p>
    <w:p>
      <w:pPr>
        <w:ind w:left="900" w:right="3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recycling business was favorable in 2016 compared to 2015 principally due to (i) continued cost reductions; (ii) higher market prices for recycling commodities and (iii) the impairment of various recycling assets in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leachate management costs in Tier 2 in 2016;</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labor and related benefit costs in 2016 due to merit increases, higher incentive compensation costs and increases in health and welfare costs;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impairment of a landfill in Tier 2 in 2016 due to a loss of expected volumes.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following items affected the comparability of 2015 to 2014:</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unfavorable impact of foreign currency translation on the results of our Canadian operations in Tiers 1 and 2 in 2015;</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unfavorable impact on our oilfield services business, primarily in Tier 2, of reduced drilling and auxiliary activities as a result of declining oil and gas prices in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transfer of certain sales employees from our Corporate and Other segment to this segment in 2015; and</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recycling business was unfavorable in 2015 compared to 2014 principally due to (i) lower market prices for recycling commodities and (ii) the impairment of various recycling assets in 2015. These unfavorable amounts were partially offset by continued cost reductions.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Our “Other” income from operations includes (i) our WMSBS organization; (ii) those elements of our landfill gas-to-energy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subcontract and administration revenues managed by our Energy and Environmental Services and WM Renewable Energy organizations that are not included with the operations of our reportable segments; (iii) our recycling brokerage services and (iv) our expanded service offerings and solutions, such as portable self-storage and long distance moving services, fluorescent lamp recycling, and interests we hold in oil and gas producing properties. In addition, our “Other” income from operations reflects the results of non-operating entities that provide financial assurance and self-insurance support for our Solid Waste business.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affected comparability of 2016 to 2015:</w:t>
      </w:r>
    </w:p>
    <w:p>
      <w:pPr>
        <w:spacing w:after="0" w:line="13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$66 million charge related to impairments of oil and gas producing properties recognized in 2015;</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energy related businesses’ results were higher in 2016 principally driven by an increase in remediation services costs to industrial customers in 2015;</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WMSBS costs, driven in part by the transfer of certain sales employees from our Corporate and Other segment to this segment in 2016; and</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expenses in 2016 from divestitures, asset impairments and unusual items related to a loss on the sale of a majority-owned organics company and goodwill impairments, primarily related to our LampTracker</w:t>
      </w:r>
      <w:r>
        <w:rPr>
          <w:rFonts w:ascii="Arial" w:cs="Arial" w:eastAsia="Arial" w:hAnsi="Arial"/>
          <w:sz w:val="15"/>
          <w:szCs w:val="15"/>
          <w:color w:val="auto"/>
        </w:rPr>
        <w:t>®</w:t>
      </w:r>
      <w:r>
        <w:rPr>
          <w:rFonts w:ascii="Arial" w:cs="Arial" w:eastAsia="Arial" w:hAnsi="Arial"/>
          <w:sz w:val="18"/>
          <w:szCs w:val="18"/>
          <w:color w:val="auto"/>
        </w:rPr>
        <w:t xml:space="preserve"> reporting unit.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affected comparability of 2015 to 2014:</w:t>
      </w:r>
    </w:p>
    <w:p>
      <w:pPr>
        <w:spacing w:after="0" w:line="131" w:lineRule="exact"/>
        <w:rPr>
          <w:sz w:val="20"/>
          <w:szCs w:val="20"/>
          <w:color w:val="auto"/>
        </w:rPr>
      </w:pPr>
    </w:p>
    <w:p>
      <w:pPr>
        <w:ind w:left="900" w:right="1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charges of $66 million and $339 million primarily related to impairments of oil and gas producing properties recognized in 2015 and 2014, respectively;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energy related businesses’ results were lower in 2015 principally driven by an increase in remediation services costs to industrial customers in 2015;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transfer of certain sales employees from our Corporate and Other segment to this segment in 2015.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affected comparability of 2016 to 2015:</w:t>
      </w:r>
    </w:p>
    <w:p>
      <w:pPr>
        <w:spacing w:after="0" w:line="131" w:lineRule="exact"/>
        <w:rPr>
          <w:sz w:val="20"/>
          <w:szCs w:val="20"/>
          <w:color w:val="auto"/>
        </w:rPr>
      </w:pPr>
    </w:p>
    <w:p>
      <w:pPr>
        <w:ind w:left="900" w:right="3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labor and related benefit costs in 2016 due to higher incentive compensation costs, severance costs, health and welfare costs and merit increases;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a subsidiary’s estimated environmental remediation liability related to a closed site in Harris County, Texas in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risk management costs in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transfer of certain sales employees to our Other segment from this segment in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affected comparability of 2015 to 2014:</w:t>
      </w:r>
    </w:p>
    <w:p>
      <w:pPr>
        <w:spacing w:after="0" w:line="13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Restructuring costs related to our August 2014 reorganization and subsequent benefits resulting from our restructuring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health and welfare costs in 2015 primarily driven by lower claims and reduced headcount;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transfer of certain sales employees to our Solid Waste and Other segments from this segment in 2015;</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focus on controlling costs resulting in lower professional fees, telecommunications, contract labor, and travel and entertainment in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Charges for the settlement of a legal dispute and related fees in 2014;</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adjustments in 2014 related to changes in U.S. Treasury rates used to discount our environmental remediation liabilities and recovery assets to present value;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risk management costs in 2015 primarily related to certain higher than anticipated general liability claim settlements and a favorable risk management allocation in 2014.</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Wheelabrator — </w:t>
      </w:r>
      <w:r>
        <w:rPr>
          <w:rFonts w:ascii="Arial" w:cs="Arial" w:eastAsia="Arial" w:hAnsi="Arial"/>
          <w:sz w:val="18"/>
          <w:szCs w:val="18"/>
          <w:color w:val="auto"/>
        </w:rPr>
        <w:t>The most significant item affecting the results of operations of our Wheelabrator business in 2014 was a $519 million gain on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business in December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expense, net was $376 million in 2016, $385 million in 2015 and $466 million in 2014. During 2016, the decrease in interest expense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attributable to the impacts of lower market interest rates on certain of our tax-exempt bonds, partially offset by increased borrowings under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$2.25 billion revolving credit facility. During 2015, the decrease in interest expense was primarily attributable to the refinancing of a significant portion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high-coupon senior notes. As a result of the combination of make-whole redemptions of certain senior notes, cash tender offers to purchase certain senior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and the issuance of $1.8 billion of new senior notes, we reduced the weighted average interest rate of our senior note portfolio by 1%.</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Loss on early extinguishment of debt was $4 million and $555 million in 2016 and 2015, respectively. The amount for 2015 was primarily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 The “Loss on early extinguishment of debt” reflected in our Consolidated Statement of Operations for 2015 includes $122 million of charges related to make-whole redemptions and $430 million of charges related to cash tender offers.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We recognized equity in net losses of unconsolidated entities of $44 million, $38 million and $53 million in 2016, 2015 and 2014, respectively. These losses are primarily related to our noncontrolling interests in entities established to invest in and manage low-income housing properties and a refined coal facility.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Income Taxes. </w:t>
      </w:r>
      <w:r>
        <w:rPr>
          <w:rFonts w:ascii="Arial" w:cs="Arial" w:eastAsia="Arial" w:hAnsi="Arial"/>
          <w:sz w:val="16"/>
          <w:szCs w:val="16"/>
          <w:color w:val="auto"/>
        </w:rPr>
        <w:t>Refer to Notes 9 and 20 to the Consolidated Financial Statements for more information related to these investments. The amount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charges of $11 million primarily to write down equity method investments in waste diversion technology companies to their fair value.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recognized other, net expense of $50 million, $7 million and $29 million in 2016, 2015 and 2014, respectively. The expenses for 2016, 2015 and 2014 were impacted by impairment charges of $42 million, $5 million and $22 million, respectively, related to other-than-temporary declines in the value of minority-owned, cost method investments in waste diversion technology companies. In addition, we recognized $8 million of expense during the first quarter of 2016 associated with the termination of our cross-currency swaps, which is discussed further in Note 8 to the Consolidated Financial Statements.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recorded provisions for income taxes of $642 million, $308 million and $413 million in 2016, 2015 and 2014, respectively. These tax provisions resulted in effective income tax rates of 35.2%, 29.1% and 23.6%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years ended 2016, 2015 and 2014, respectively. The comparability of our reported income taxes for the years ended December 31, 2016, 2015 and 2014 is primarily affected by (i) variations in our income before income taxes, as discussed above; (ii) federal tax credits; (iii) tax audit settlements; (iv) the realization of state net operating losses and credits; (v) adjustments to our accruals and related deferred taxes and (vi) the tax implications of impairments and divestitures. The impacts of these items are summarized below:</w:t>
      </w:r>
    </w:p>
    <w:p>
      <w:pPr>
        <w:spacing w:after="0" w:line="92" w:lineRule="exact"/>
        <w:rPr>
          <w:sz w:val="20"/>
          <w:szCs w:val="20"/>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Our low-income housing properties and refined coal facility investments reduced our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by $55 million, $57 million and $58 million, primarily as a result of the tax credits realized from these investments for the years ended December 31, 2016, 2015 and 2014, respectively. Refer to Note 9 to the Consolidated Financial Statements for more information related to these investments.</w:t>
      </w:r>
    </w:p>
    <w:p>
      <w:pPr>
        <w:spacing w:after="0" w:line="92"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Other Federal Tax Credits </w:t>
      </w:r>
      <w:r>
        <w:rPr>
          <w:rFonts w:ascii="Arial" w:cs="Arial" w:eastAsia="Arial" w:hAnsi="Arial"/>
          <w:sz w:val="18"/>
          <w:szCs w:val="18"/>
          <w:color w:val="auto"/>
        </w:rPr>
        <w:t>— During 2016, 2015 and 2014, we recognized federal tax credits in addition to the tax credits realized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low-income housing properties and the refined coal facility, resulting in a reduction to our provision for income taxes of $14 million, $15 million and $13 million, respectively.</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settlement of various tax audits resulted in a reduction to our provision for income taxes of $11 million,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$12 million for the years ended December 31, 2016, 2015 and 2014, respectively.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2016, 2015 and 2014, we recognized state net operating losses and credits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our provision for income taxes of $10 million, $17 million and $16 million, respectively.</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our accruals and related deferred taxes due to the filing of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changes in state laws resulted in a reduction of $10 million, $18 million and $24 million to our provision for income taxes for the years ended December 31, 2016, 2015 and 2014, respectively.</w:t>
      </w:r>
    </w:p>
    <w:p>
      <w:pPr>
        <w:spacing w:after="0" w:line="86"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A portion of the impairment charges recognized in 2016, 2015 and 2014 are not deductible for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Had the charges been fully deductible, our provision for income taxes would have been reduced by $15 million, $2 million and $8 million for the years ended December 31, 2016, 2015 and 2014, respectively. See Note 13 to the Consolidated Financial Statements for more information related to our impairment charges.</w:t>
      </w:r>
    </w:p>
    <w:p>
      <w:pPr>
        <w:spacing w:after="0" w:line="92" w:lineRule="exact"/>
        <w:rPr>
          <w:rFonts w:ascii="Arial" w:cs="Arial" w:eastAsia="Arial" w:hAnsi="Arial"/>
          <w:sz w:val="18"/>
          <w:szCs w:val="18"/>
          <w:color w:val="auto"/>
        </w:rPr>
      </w:pPr>
    </w:p>
    <w:p>
      <w:pPr>
        <w:ind w:left="900" w:hanging="325"/>
        <w:spacing w:after="0" w:line="272"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Tax Implications of Divestitures </w:t>
      </w:r>
      <w:r>
        <w:rPr>
          <w:rFonts w:ascii="Arial" w:cs="Arial" w:eastAsia="Arial" w:hAnsi="Arial"/>
          <w:sz w:val="17"/>
          <w:szCs w:val="17"/>
          <w:color w:val="auto"/>
        </w:rPr>
        <w:t>— During 2014, the Company recorded a net gain of $515 million primarily related to the divestiture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Wheelabrator business, our Puerto Rico operations and certain landfill and collection operations in our Eastern Canada Area. Had this net gain been fully taxable, our provision for income taxes would have increased by $138 million. During 2015, the Company recorded an additional $10 million net gain primarily related to post-closing adjustments on the Wheelabrator divestiture and had this gain been fully taxable, our provision for income taxes would have increased by $4 million. During 2016, the Company recorded a loss of $9 million related to the divestiture of certain assets and had the associated tax loss been fully deductible, our provision for income taxes would have decreased by $5 million. Refer to Note 19 to the Consolidated Financial Statements for more information related to our divestitures.</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Based on current tax laws and regulations, we expect our 2017 recurring effective tax rate will be approximately 36.5% based on projected income before income taxes, federal tax credits and other permanent items.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loss attributable to noncontrolling interests was $2 million in 2016 and $1 million in 2015 and net income attributable to noncontrolling interests was $40 million in 2014. The income for 2014 was principally related to third-parties’ equity interests in two limited liability companies (“LLCs”) that owned three waste-to-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energy facilities operated by our Wheelabrator business. In December 2014, we purchased the noncontrolling interests in the LLCs from the third parties. The LLCs were then subsequently sold as part of the divestiture of our Wheelabrator business. Refer to Notes 19 and 20 to the Consolidated Financial Statements for information related to the sale of our Wheelabrator business and the consolidation of these variable interest entities, respectively.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owned or operated 243 solid waste and five secure hazardous waste landfills at December 31, 2016 and 244 solid waste and five secure hazardous waste landfills at December 31, 2015. For these landfills, the following table reflects changes in capacity, as measured in tons of waste, for the years ended December 31 and remaining capacity, measured in cubic yards of waste, at December 31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1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Remaining</w:t>
            </w: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Expansion</w:t>
            </w: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Remaining</w:t>
            </w: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Expansion</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Permitted</w:t>
            </w:r>
          </w:p>
        </w:tc>
        <w:tc>
          <w:tcPr>
            <w:tcW w:w="10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Permitted</w:t>
            </w:r>
          </w:p>
        </w:tc>
        <w:tc>
          <w:tcPr>
            <w:tcW w:w="10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Capacity</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Capacity</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Capacity</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Capacity</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Capacity</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 (in tons)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Acquisitions, divestitures, newly permitted landfills and closures</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Changes in expansions pursued(a)</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Expansion permits granted(b)</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166</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(166)</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Changes in engineering estimates and other(c)</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 (in tons)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year (in cubic yards)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4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w:t>
            </w:r>
          </w:p>
        </w:tc>
        <w:tc>
          <w:tcPr>
            <w:tcW w:w="4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4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ind w:left="460" w:right="1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received expansion permits at 13 of our landfills during 2016 and six of our landfills during 2015, demonstrating our continued success in working with municipalities and regulatory agencies to expand the disposal capacity of our existing landfills.</w:t>
      </w:r>
    </w:p>
    <w:p>
      <w:pPr>
        <w:ind w:left="460" w:right="100" w:hanging="452"/>
        <w:spacing w:after="0" w:line="269"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tons received at our landfills in 2016 and 2015 are shown below (tons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7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 of</w:t>
            </w:r>
          </w:p>
        </w:tc>
        <w:tc>
          <w:tcPr>
            <w:tcW w:w="12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Total</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420" w:type="dxa"/>
            <w:vAlign w:val="bottom"/>
          </w:tcPr>
          <w:p>
            <w:pPr>
              <w:spacing w:after="0"/>
              <w:rPr>
                <w:sz w:val="10"/>
                <w:szCs w:val="10"/>
                <w:color w:val="auto"/>
              </w:rPr>
            </w:pPr>
          </w:p>
        </w:tc>
        <w:tc>
          <w:tcPr>
            <w:tcW w:w="5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Total</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Sites</w:t>
            </w:r>
          </w:p>
        </w:tc>
        <w:tc>
          <w:tcPr>
            <w:tcW w:w="4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Day</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Tons</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Day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243(a)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104,913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96,777</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Hazardous waste landfills.</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646</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567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248</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105,559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249</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97,344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Solid waste landfills closed, divested or contract expired during related year</w:t>
            </w: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2</w:t>
            </w:r>
          </w:p>
        </w:tc>
        <w:tc>
          <w:tcPr>
            <w:tcW w:w="66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960</w:t>
            </w:r>
          </w:p>
        </w:tc>
        <w:tc>
          <w:tcPr>
            <w:tcW w:w="560" w:type="dxa"/>
            <w:vAlign w:val="bottom"/>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105,559(b)</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98,304(b)</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2016, we developed one landfill, our contract expired at one landfill and we closed one landfill.</w:t>
      </w:r>
    </w:p>
    <w:p>
      <w:pPr>
        <w:spacing w:after="0" w:line="23"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amounts include 1.2 million tons at both December 31, 2016 and 2015,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9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2016, our closed sites management group managed 213 closed landfills.</w:t>
      </w:r>
    </w:p>
    <w:p>
      <w:pPr>
        <w:spacing w:after="0" w:line="18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Based on remaining permitted airspace as of December 31, 2016 and projected annual disposal volumes, the weighted average remaining landfill life for all of our owned or operated landfills is approximately 45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disposal prices, construction and operating costs, remaining capacity and likelihood of obtaining an expansion permit. We are seeking expansion permits at 16 of our landfills that meet the expansion criteria outlined in the </w:t>
      </w:r>
      <w:r>
        <w:rPr>
          <w:rFonts w:ascii="Arial" w:cs="Arial" w:eastAsia="Arial" w:hAnsi="Arial"/>
          <w:sz w:val="17"/>
          <w:szCs w:val="17"/>
          <w:i w:val="1"/>
          <w:iCs w:val="1"/>
          <w:color w:val="auto"/>
        </w:rPr>
        <w:t>Critical Accounting Estimates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Assumptions — Landfills </w:t>
      </w:r>
      <w:r>
        <w:rPr>
          <w:rFonts w:ascii="Arial" w:cs="Arial" w:eastAsia="Arial" w:hAnsi="Arial"/>
          <w:sz w:val="17"/>
          <w:szCs w:val="17"/>
          <w:color w:val="auto"/>
        </w:rPr>
        <w:t>section above. Although no assurances can be made that all future expansions will be permitted or permitted as designed,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remaining landfill life for all owned or operated landfills is approximately 47 years when considering remaining permitted airspace, expansion airspace and projected annual disposal volume.</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number of landfills owned or operated as of December 31, 2016, segregated by their estimated operating lives based on remaining permitted and expansion capacity and projected annual disposal volume, was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of Landfills</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 to 5 years</w:t>
            </w:r>
          </w:p>
        </w:tc>
        <w:tc>
          <w:tcPr>
            <w:tcW w:w="2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6 to 10 years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21 to 40 years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41+ years</w:t>
            </w:r>
          </w:p>
        </w:tc>
        <w:tc>
          <w:tcPr>
            <w:tcW w:w="28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248(a)</w:t>
            </w:r>
          </w:p>
        </w:tc>
      </w:tr>
      <w:tr>
        <w:trPr>
          <w:trHeight w:val="20"/>
        </w:trPr>
        <w:tc>
          <w:tcPr>
            <w:tcW w:w="3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the 248 landfills, 200 are owned, 35 are operated under lease agreements and the remaining 13 are operated under other contractual agreements. We are usually responsible for the final capping, closure and post-closure obligations of these landfills.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As of December 31, 2016, we have 15 landfills which are not currently accepting waste. We performed tests of recoverability for eight of these landfills and during the year ended December 31, 2016, we recognized a $43 million charge to impair one of these landfills in Western Pennsylvania due to a loss of expected volumes. For the other seven landfills, with an aggregate net recorded capitalized landfill asset cost of $281 million, the undiscounted expected future cash flows resulting from our probability-weighted estimation approach exceeded the carrying values. We did not perform recoverability tests for the remaining seven landfills as the net recorded capitalized landfill asset cost was immaterial.</w:t>
      </w:r>
    </w:p>
    <w:p>
      <w:pPr>
        <w:spacing w:after="0" w:line="173"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i w:val="1"/>
          <w:iCs w:val="1"/>
          <w:color w:val="auto"/>
        </w:rPr>
        <w:t xml:space="preserve">Landfill Assets </w:t>
      </w:r>
      <w:r>
        <w:rPr>
          <w:rFonts w:ascii="Arial" w:cs="Arial" w:eastAsia="Arial" w:hAnsi="Arial"/>
          <w:sz w:val="17"/>
          <w:szCs w:val="17"/>
          <w:color w:val="auto"/>
        </w:rPr>
        <w:t>— We capitalize various costs that we incur to prepare a landfill to accept waste. These costs generally include expenditures for land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changes to the cost basis of our landfill assets and accumulated landfill airspace amortization for the year ended December 31, 2016 are reflected in the table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 Basis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Accumulated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Landfill Airspace</w:t>
            </w:r>
          </w:p>
        </w:tc>
        <w:tc>
          <w:tcPr>
            <w:tcW w:w="4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 Assets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Landfill Assets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Amortization</w:t>
            </w:r>
          </w:p>
        </w:tc>
        <w:tc>
          <w:tcPr>
            <w:tcW w:w="4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Capital additions</w:t>
            </w:r>
          </w:p>
        </w:tc>
        <w:tc>
          <w:tcPr>
            <w:tcW w:w="2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Asset retirement obligations incurred and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capitalized</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Amortization of landfill airspace</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(428)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Asset retirements and other adjustments</w:t>
            </w: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(8,340)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December 31, 2016, we estimate that we will spend approximately $400 million in 2017, and approximately $900 million in 2018 and 2019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Landfill and Environmental Remediation Liabilities </w:t>
      </w:r>
      <w:r>
        <w:rPr>
          <w:rFonts w:ascii="Arial" w:cs="Arial" w:eastAsia="Arial" w:hAnsi="Arial"/>
          <w:sz w:val="18"/>
          <w:szCs w:val="18"/>
          <w:color w:val="auto"/>
        </w:rPr>
        <w:t>— As we accept waste at our landfills, we incur significant asset retirement obligations,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liabilities associated with landfill final capping, closure and post-closure activities. These liabilities are accounted for in accordance with authoritative guidance on accounting for asset retirement obligations and are discussed in Note 3 to the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to landfill and environmental remediation liabilities for the year ended December 31, 2016 are reflected in the table below (in millions):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2"/>
              </w:rPr>
              <w:t>Landfill</w:t>
            </w:r>
          </w:p>
        </w:tc>
        <w:tc>
          <w:tcPr>
            <w:tcW w:w="1460" w:type="dxa"/>
            <w:vAlign w:val="bottom"/>
            <w:gridSpan w:val="4"/>
          </w:tcPr>
          <w:p>
            <w:pPr>
              <w:ind w:left="4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$1,518</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accretion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 and interest rate assumptions</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December 31, 2016</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1,576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following table summarizes our landfill operating costs for the years ended December 31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7280" w:type="dxa"/>
            <w:vAlign w:val="bottom"/>
          </w:tcPr>
          <w:p>
            <w:pPr>
              <w:spacing w:after="0" w:line="201" w:lineRule="exact"/>
              <w:rPr>
                <w:sz w:val="20"/>
                <w:szCs w:val="20"/>
                <w:color w:val="auto"/>
              </w:rPr>
            </w:pPr>
            <w:r>
              <w:rPr>
                <w:rFonts w:ascii="Arial" w:cs="Arial" w:eastAsia="Arial" w:hAnsi="Arial"/>
                <w:sz w:val="18"/>
                <w:szCs w:val="18"/>
                <w:color w:val="auto"/>
              </w:rPr>
              <w:t>Interest accretion on and discount rate adjustments to environmental remediation liabilities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and recovery assets</w:t>
            </w:r>
          </w:p>
        </w:tc>
        <w:tc>
          <w:tcPr>
            <w:tcW w:w="100" w:type="dxa"/>
            <w:vAlign w:val="bottom"/>
          </w:tcPr>
          <w:p>
            <w:pPr>
              <w:spacing w:after="0"/>
              <w:rPr>
                <w:sz w:val="20"/>
                <w:szCs w:val="20"/>
                <w:color w:val="auto"/>
              </w:rPr>
            </w:pPr>
          </w:p>
        </w:tc>
        <w:tc>
          <w:tcPr>
            <w:tcW w:w="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treatment(a)</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 landfill operating costs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266</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7200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54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Leachate management costs have increased because, in certain parts of the country, we are transporting leachate further in order to reach treatment facilities, the third-party fees charged for treatment of waste water have increased and the volume of leachate being disposed has increased.</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 “Depreciation and amortization”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following:</w:t>
      </w:r>
    </w:p>
    <w:p>
      <w:pPr>
        <w:spacing w:after="0" w:line="76" w:lineRule="exact"/>
        <w:rPr>
          <w:sz w:val="20"/>
          <w:szCs w:val="20"/>
          <w:color w:val="auto"/>
        </w:rPr>
      </w:pPr>
    </w:p>
    <w:p>
      <w:pPr>
        <w:ind w:left="900" w:right="400" w:hanging="325"/>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51"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amortization of asset retirement costs arising from landfill final capping, closure and post-closure obligations, including (i) costs that have been incurred and capitalized and (ii) projected asset retirement costs.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landfill airspace amortization expense on a per-ton basis for the years ended December 31: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68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3500" w:type="dxa"/>
            <w:vAlign w:val="bottom"/>
            <w:gridSpan w:val="3"/>
          </w:tcPr>
          <w:p>
            <w:pPr>
              <w:jc w:val="right"/>
              <w:ind w:right="280"/>
              <w:spacing w:after="0"/>
              <w:rPr>
                <w:sz w:val="20"/>
                <w:szCs w:val="20"/>
                <w:color w:val="auto"/>
              </w:rPr>
            </w:pPr>
            <w:r>
              <w:rPr>
                <w:rFonts w:ascii="Arial" w:cs="Arial" w:eastAsia="Arial" w:hAnsi="Arial"/>
                <w:sz w:val="18"/>
                <w:szCs w:val="18"/>
                <w:color w:val="auto"/>
              </w:rPr>
              <w:t>104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9"/>
              </w:rPr>
              <w:t>Average landfill airspace amortization expense per ton</w:t>
            </w:r>
          </w:p>
        </w:tc>
        <w:tc>
          <w:tcPr>
            <w:tcW w:w="3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w:t>
            </w:r>
          </w:p>
        </w:tc>
        <w:tc>
          <w:tcPr>
            <w:tcW w:w="78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93"/>
              </w:rPr>
              <w:t>$3.96</w:t>
            </w:r>
          </w:p>
        </w:tc>
      </w:tr>
      <w:tr>
        <w:trPr>
          <w:trHeight w:val="365"/>
        </w:trPr>
        <w:tc>
          <w:tcPr>
            <w:tcW w:w="4320" w:type="dxa"/>
            <w:vAlign w:val="bottom"/>
          </w:tcPr>
          <w:p>
            <w:pPr>
              <w:spacing w:after="0"/>
              <w:rPr>
                <w:sz w:val="24"/>
                <w:szCs w:val="24"/>
                <w:color w:val="auto"/>
              </w:rPr>
            </w:pPr>
          </w:p>
        </w:tc>
        <w:tc>
          <w:tcPr>
            <w:tcW w:w="2800" w:type="dxa"/>
            <w:vAlign w:val="bottom"/>
          </w:tcPr>
          <w:p>
            <w:pPr>
              <w:jc w:val="right"/>
              <w:ind w:right="2154"/>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Different per-ton amortization rates are applied at each of our 248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 (iii) construction, refurbishments and improvements at materials recovery facilities; (iv) the container and equipment needs of our operations; (v) final capping, closure and post-closure activities at our landfills; (vi) the repayment of debt, payment of interest and discharging of other obligations and (vii) capital expenditures, acquisitions and investments in support of our strategic growth plans. We also are committed to providing our shareholders with a return on their investment through dividend payments and our common stock repurchase program.</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December 31 (in millions):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restricted trust and escrow accounts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Long-term portion</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8,893</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9,310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We use long-term borrowings in addition to the cash we generate from operations as part of our overall financial strategy to support and grow our business. We primarily use senior notes and tax-exempt bonds to borrow on a long-term basis, but we also use other instruments and facilities, when appropriate. The components of our borrowings as of December 31, 2016 are described in Note 7 to the Consolidated Financial Statements.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our outstanding debt balances from December 31, 2015 to December 31, 2016 were primarily attributable to (i) net debt borrowings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$375 million and (ii) the impacts of other non-cash changes in our debt balances due to hedge accounting for interest rate swaps, foreign currency translation,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discounts, premiums and deferred loan costs.</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December 31, 2016, the current portion of our long-term debt balance of $417 million includes (i) $230 million of short-term borrowings under our long-term $2.25 billion revolving credit facility and (ii)</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$187 million of other debt with scheduled maturities within the next 12 months, including $126 million of tax-exempt bonds.</w:t>
      </w:r>
    </w:p>
    <w:p>
      <w:pPr>
        <w:spacing w:after="0" w:line="2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December 31, 2016, we have classified $196 million of borrowings outstanding under our $2.25 billion revolving credit facility as long-term because we intend and have the ability to refinance or maintain these borrowings on a long-term basis. We generally use available cash to repay borrowings outstanding under our $2.25 billion revolving credit facility and any remaining balances are maintained by extending the maturities of the borrowings. Our current projections indicate that we will maintain $196 million of the $426 million of borrowings outstanding for the next 12 months. The remaining $230 million of borrowings outstanding under our $2.25 billion revolving credit facility is classified as current in our Consolidated Balance Sheet at December 31, 2016.</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of December 31, 2016, we also have $473 million of tax-exempt bonds with term interest rate periods that expire within the next 12 months and an additional $491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use availability under our $2.25 billion revolving credit facility to fund the debt obligations until they can be remarketed successfully. Accordingly, we classified these borrowings as long-term in our Consolidated Balance Sheet at December 31, 2016.</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categorized by type of facility at December 31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$2.25 billion revolving credit facility(a)</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letter of credit facilities(b)</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1,297</w:t>
            </w:r>
          </w:p>
        </w:tc>
        <w:tc>
          <w:tcPr>
            <w:tcW w:w="10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60" w:hanging="452"/>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July 2015, we amended and restated our $2.25 billion revolving credit facility extending the term through July 2020. At December 31, 2016, we had $426 million of outstanding borrowings and $789 million of letters of credit issued and supported by the facility, leaving an unused and available credit capacity of $1,035 million.</w:t>
      </w:r>
    </w:p>
    <w:p>
      <w:pPr>
        <w:ind w:left="460" w:right="48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December 31, 2016, we had utilized $492 million of other letter of credit facilities, which are both committed and uncommitted, with terms extending through December 2018.</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$ 2,960</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$ 2,498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vMerge w:val="restart"/>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(1,932</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(1,608</w:t>
            </w:r>
          </w:p>
        </w:tc>
        <w:tc>
          <w:tcPr>
            <w:tcW w:w="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60" w:type="dxa"/>
            <w:vAlign w:val="bottom"/>
            <w:gridSpan w:val="3"/>
            <w:shd w:val="clear" w:color="auto" w:fill="CCEEFF"/>
          </w:tcPr>
          <w:p>
            <w:pPr>
              <w:ind w:left="1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(1,035)</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(2,072)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in 2016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2015 are summarized below:</w:t>
      </w:r>
    </w:p>
    <w:p>
      <w:pPr>
        <w:spacing w:after="0" w:line="76"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 </w:t>
      </w:r>
      <w:r>
        <w:rPr>
          <w:rFonts w:ascii="Arial" w:cs="Arial" w:eastAsia="Arial" w:hAnsi="Arial"/>
          <w:sz w:val="18"/>
          <w:szCs w:val="18"/>
          <w:color w:val="auto"/>
        </w:rPr>
        <w:t>Our income from operations, excluding depreciation and amortization and asset impairments and unusual items,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$337 million on a year-over-year basis, principally driven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260"/>
        <w:spacing w:after="0" w:line="308" w:lineRule="auto"/>
        <w:rPr>
          <w:sz w:val="20"/>
          <w:szCs w:val="20"/>
          <w:color w:val="auto"/>
        </w:rPr>
      </w:pPr>
      <w:r>
        <w:rPr>
          <w:rFonts w:ascii="Arial" w:cs="Arial" w:eastAsia="Arial" w:hAnsi="Arial"/>
          <w:sz w:val="17"/>
          <w:szCs w:val="17"/>
          <w:color w:val="auto"/>
        </w:rPr>
        <w:t>by earnings from our Traditional Solid Waste business. Our 2015 results included $51 million of charges associated with the withdrawal from certain underfunded Multiemployer Pension Plans, of which payments of approximately $60 million were made in 2015.</w:t>
      </w:r>
    </w:p>
    <w:p>
      <w:pPr>
        <w:spacing w:after="0" w:line="52" w:lineRule="exact"/>
        <w:rPr>
          <w:sz w:val="20"/>
          <w:szCs w:val="20"/>
          <w:color w:val="auto"/>
        </w:rPr>
      </w:pPr>
    </w:p>
    <w:p>
      <w:pPr>
        <w:ind w:left="900" w:right="8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Cross-currency swaps </w:t>
      </w:r>
      <w:r>
        <w:rPr>
          <w:rFonts w:ascii="Arial" w:cs="Arial" w:eastAsia="Arial" w:hAnsi="Arial"/>
          <w:sz w:val="18"/>
          <w:szCs w:val="18"/>
          <w:color w:val="auto"/>
        </w:rPr>
        <w:t>— During the first quarter of 2016, we terminated our cross-currency swaps associated with the anticipated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loans between WM Holdings and its wholly-owned Canadian subsidiaries, as discussed further in Note 8 to the Consolidated Financial Statements. In connection with the termination, we received cash proceeds of $67 million, which were classified as a change in “Other current assets” and “Other assets.”</w:t>
      </w:r>
    </w:p>
    <w:p>
      <w:pPr>
        <w:spacing w:after="0" w:line="92"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Decrease in annual incentive plan cash payments — </w:t>
      </w:r>
      <w:r>
        <w:rPr>
          <w:rFonts w:ascii="Arial" w:cs="Arial" w:eastAsia="Arial" w:hAnsi="Arial"/>
          <w:sz w:val="18"/>
          <w:szCs w:val="18"/>
          <w:color w:val="auto"/>
        </w:rPr>
        <w:t>Payments for our annual incentive plans are typically made in the first quarter of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prior year performance. Our cash flow from operating activities was favorably impacted by $46 million on a year-over-year basis, as the annual incentive cash payments made in 2016 were lower than the cash payments made in 2015.</w:t>
      </w:r>
    </w:p>
    <w:p>
      <w:pPr>
        <w:spacing w:after="0" w:line="86"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income tax payments </w:t>
      </w:r>
      <w:r>
        <w:rPr>
          <w:rFonts w:ascii="Arial" w:cs="Arial" w:eastAsia="Arial" w:hAnsi="Arial"/>
          <w:sz w:val="18"/>
          <w:szCs w:val="18"/>
          <w:color w:val="auto"/>
        </w:rPr>
        <w:t>— Cash paid for income taxes, net of excess tax benefits associated with equity-based transactions, was</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higher on a year-over-year basis largely driven by higher pre-tax earnings in the current year.</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flows from operating activities were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favorably impacted on a year-over-year basis due to net changes in our assets and liabilities, exclusive of the items noted above, particularly non-trade related items including payroll and incentive accruals.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affecting the comparison of our operating cash flows in 2015 as compared with 2014 are summarized below:</w:t>
      </w:r>
    </w:p>
    <w:p>
      <w:pPr>
        <w:spacing w:after="0" w:line="131" w:lineRule="exact"/>
        <w:rPr>
          <w:sz w:val="20"/>
          <w:szCs w:val="20"/>
          <w:color w:val="auto"/>
        </w:rPr>
      </w:pPr>
    </w:p>
    <w:p>
      <w:pPr>
        <w:ind w:left="900" w:right="18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Increased earnings from our Traditional Solid Waste business — </w:t>
      </w:r>
      <w:r>
        <w:rPr>
          <w:rFonts w:ascii="Arial" w:cs="Arial" w:eastAsia="Arial" w:hAnsi="Arial"/>
          <w:sz w:val="18"/>
          <w:szCs w:val="18"/>
          <w:color w:val="auto"/>
        </w:rPr>
        <w:t>In 2015, we saw an increase in earnings from our Traditional Solid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was enhanced by acquisitions and corporate overhead cost reductions. These cash flow improvements were slightly offset by a decrease in earnings from our recycling operations.</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Cash flow of divested businesses </w:t>
      </w:r>
      <w:r>
        <w:rPr>
          <w:rFonts w:ascii="Arial" w:cs="Arial" w:eastAsia="Arial" w:hAnsi="Arial"/>
          <w:sz w:val="18"/>
          <w:szCs w:val="18"/>
          <w:color w:val="auto"/>
        </w:rPr>
        <w:t>— The divestiture of Wheelabrator in December 2014 coupled with the sale of other Solid Waste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2014 negatively affected the year-over-year comparison by approximately $140 million.</w:t>
      </w:r>
    </w:p>
    <w:p>
      <w:pPr>
        <w:spacing w:after="0" w:line="75" w:lineRule="exact"/>
        <w:rPr>
          <w:rFonts w:ascii="Arial" w:cs="Arial" w:eastAsia="Arial" w:hAnsi="Arial"/>
          <w:sz w:val="18"/>
          <w:szCs w:val="18"/>
          <w:color w:val="auto"/>
        </w:rPr>
      </w:pPr>
    </w:p>
    <w:p>
      <w:pPr>
        <w:ind w:left="900" w:right="80" w:hanging="325"/>
        <w:spacing w:after="0" w:line="31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Decrease in income tax payments </w:t>
      </w:r>
      <w:r>
        <w:rPr>
          <w:rFonts w:ascii="Arial" w:cs="Arial" w:eastAsia="Arial" w:hAnsi="Arial"/>
          <w:sz w:val="16"/>
          <w:szCs w:val="16"/>
          <w:color w:val="auto"/>
        </w:rPr>
        <w:t>— Cash paid for income taxes, net of excess tax benefits associated with equity-based transactions,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$329 million lower on a year-over-year basis, largely driven by (i) lower year-over-year pre-tax earnings primarily due to the loss on early extinguishment of debt in 2015 and (ii) the income tax implications and related impacts of divestitures and impairment charges.</w:t>
      </w:r>
    </w:p>
    <w:p>
      <w:pPr>
        <w:spacing w:after="0" w:line="52" w:lineRule="exact"/>
        <w:rPr>
          <w:rFonts w:ascii="Arial" w:cs="Arial" w:eastAsia="Arial" w:hAnsi="Arial"/>
          <w:sz w:val="16"/>
          <w:szCs w:val="16"/>
          <w:color w:val="auto"/>
        </w:rPr>
      </w:pPr>
    </w:p>
    <w:p>
      <w:pPr>
        <w:ind w:left="900" w:right="36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Decrease in interest payments </w:t>
      </w:r>
      <w:r>
        <w:rPr>
          <w:rFonts w:ascii="Arial" w:cs="Arial" w:eastAsia="Arial" w:hAnsi="Arial"/>
          <w:sz w:val="17"/>
          <w:szCs w:val="17"/>
          <w:color w:val="auto"/>
        </w:rPr>
        <w:t>— Cash paid for interest decreased $77 million primarily due to the refinancing of a significant portion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high-coupon senior notes during 2015, which is discussed further in Note 7 to the Consolidated Financial Statements.</w:t>
      </w:r>
    </w:p>
    <w:p>
      <w:pPr>
        <w:spacing w:after="0" w:line="51" w:lineRule="exact"/>
        <w:rPr>
          <w:rFonts w:ascii="Arial" w:cs="Arial" w:eastAsia="Arial" w:hAnsi="Arial"/>
          <w:sz w:val="17"/>
          <w:szCs w:val="17"/>
          <w:color w:val="auto"/>
        </w:rPr>
      </w:pPr>
    </w:p>
    <w:p>
      <w:pPr>
        <w:jc w:val="both"/>
        <w:ind w:left="900" w:right="260" w:hanging="325"/>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Increase in annual incentive plan cash payments </w:t>
      </w:r>
      <w:r>
        <w:rPr>
          <w:rFonts w:ascii="Arial" w:cs="Arial" w:eastAsia="Arial" w:hAnsi="Arial"/>
          <w:sz w:val="17"/>
          <w:szCs w:val="17"/>
          <w:color w:val="auto"/>
        </w:rPr>
        <w:t>— Payments for our annual incentive plans are typically made in the first quarter of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prior year performance. Our cash flow from operations was unfavorably impacted by approximately $65 million on a year-over-year basis, as the annual incentive plan payments made in 2015 were significantly higher than payments made in 2014.</w:t>
      </w:r>
    </w:p>
    <w:p>
      <w:pPr>
        <w:spacing w:after="0" w:line="70" w:lineRule="exact"/>
        <w:rPr>
          <w:rFonts w:ascii="Arial" w:cs="Arial" w:eastAsia="Arial" w:hAnsi="Arial"/>
          <w:sz w:val="17"/>
          <w:szCs w:val="17"/>
          <w:color w:val="auto"/>
        </w:rPr>
      </w:pPr>
    </w:p>
    <w:p>
      <w:pPr>
        <w:ind w:left="900" w:right="88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Multiemployer Pension Plan settlements — </w:t>
      </w:r>
      <w:r>
        <w:rPr>
          <w:rFonts w:ascii="Arial" w:cs="Arial" w:eastAsia="Arial" w:hAnsi="Arial"/>
          <w:sz w:val="17"/>
          <w:szCs w:val="17"/>
          <w:color w:val="auto"/>
        </w:rPr>
        <w:t>In 2015, we paid approximately $60 million for the withdrawal from certain underfunded</w:t>
      </w:r>
      <w:r>
        <w:rPr>
          <w:rFonts w:ascii="Arial" w:cs="Arial" w:eastAsia="Arial" w:hAnsi="Arial"/>
          <w:sz w:val="17"/>
          <w:szCs w:val="17"/>
          <w:i w:val="1"/>
          <w:iCs w:val="1"/>
          <w:color w:val="auto"/>
        </w:rPr>
        <w:t xml:space="preserve"> </w:t>
      </w:r>
      <w:r>
        <w:rPr>
          <w:rFonts w:ascii="Arial" w:cs="Arial" w:eastAsia="Arial" w:hAnsi="Arial"/>
          <w:sz w:val="17"/>
          <w:szCs w:val="17"/>
          <w:color w:val="auto"/>
        </w:rPr>
        <w:t>Multiemployer Pension Plans. See Note 11 to the Consolidated Financial Statements for additional information.</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Forward-starting swaps </w:t>
      </w:r>
      <w:r>
        <w:rPr>
          <w:rFonts w:ascii="Arial" w:cs="Arial" w:eastAsia="Arial" w:hAnsi="Arial"/>
          <w:sz w:val="18"/>
          <w:szCs w:val="18"/>
          <w:color w:val="auto"/>
        </w:rPr>
        <w:t>— During the first quarter of 2014, the forward-starting interest rate swaps associated with the anticipated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2014 matured and we paid cash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$36 million to settle the liabilities related to these swaps, as discussed further in Note 8 to the Consolidated Financial Statements. This cash payment was classified as a change in “Accounts payable and accrued liabilities.”</w:t>
      </w:r>
    </w:p>
    <w:p>
      <w:pPr>
        <w:spacing w:after="0" w:line="76" w:lineRule="exact"/>
        <w:rPr>
          <w:sz w:val="20"/>
          <w:szCs w:val="20"/>
          <w:color w:val="auto"/>
        </w:rPr>
      </w:pPr>
    </w:p>
    <w:p>
      <w:pPr>
        <w:ind w:left="900" w:right="14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w:t>
      </w:r>
      <w:r>
        <w:rPr>
          <w:rFonts w:ascii="Arial" w:cs="Arial" w:eastAsia="Arial" w:hAnsi="Arial"/>
          <w:sz w:val="18"/>
          <w:szCs w:val="18"/>
          <w:color w:val="auto"/>
        </w:rPr>
        <w:t>— Our cash flow from operating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unfavorably impacted on a year-over-year basis by net changes in our assets and liabilities, exclusive of the items noted above, particularly non-trade related items including payroll and incentive accruals.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 The most significant items affecting the comparison of our investing cash flows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are summarized below:</w:t>
      </w:r>
    </w:p>
    <w:p>
      <w:pPr>
        <w:spacing w:after="0" w:line="76" w:lineRule="exact"/>
        <w:rPr>
          <w:sz w:val="20"/>
          <w:szCs w:val="20"/>
          <w:color w:val="auto"/>
        </w:rPr>
      </w:pPr>
    </w:p>
    <w:p>
      <w:pPr>
        <w:ind w:left="900" w:right="6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$1,339 million during 2016 for capital expenditures, compared with $1,233 million in 2015 and $1,151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increase in our capital expenditures in both years is generally the result of additional spending on new business opportunities and acquisitions, growth in our existing business and asset replacement timing. In addition, the construction of a waste-water treatment facility at one of our landfills also contributed to the increase in 2016. Although, we experienced capital expenditure increases in both 2016 and 2015, the Company continues to maintain a disciplined focus on capital management.</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Proceeds from divestitures — </w:t>
      </w:r>
      <w:r>
        <w:rPr>
          <w:rFonts w:ascii="Arial" w:cs="Arial" w:eastAsia="Arial" w:hAnsi="Arial"/>
          <w:sz w:val="17"/>
          <w:szCs w:val="17"/>
          <w:color w:val="auto"/>
        </w:rPr>
        <w:t>Proceeds from divestitures of businesses and other assets (net of cash divested) were $43 million in 2016,</w:t>
      </w:r>
    </w:p>
    <w:p>
      <w:pPr>
        <w:spacing w:after="0" w:line="34" w:lineRule="exact"/>
        <w:rPr>
          <w:rFonts w:ascii="Arial" w:cs="Arial" w:eastAsia="Arial" w:hAnsi="Arial"/>
          <w:sz w:val="17"/>
          <w:szCs w:val="17"/>
          <w:color w:val="auto"/>
        </w:rPr>
      </w:pPr>
    </w:p>
    <w:p>
      <w:pPr>
        <w:ind w:left="900" w:right="120"/>
        <w:spacing w:after="0" w:line="253" w:lineRule="auto"/>
        <w:rPr>
          <w:rFonts w:ascii="Arial" w:cs="Arial" w:eastAsia="Arial" w:hAnsi="Arial"/>
          <w:sz w:val="17"/>
          <w:szCs w:val="17"/>
          <w:color w:val="auto"/>
        </w:rPr>
      </w:pPr>
      <w:r>
        <w:rPr>
          <w:rFonts w:ascii="Arial" w:cs="Arial" w:eastAsia="Arial" w:hAnsi="Arial"/>
          <w:sz w:val="18"/>
          <w:szCs w:val="18"/>
          <w:color w:val="auto"/>
        </w:rPr>
        <w:t>$145 million in 2015 and $2,253 million in 2014. In 2016 and 2015, $2 million and $79 million of these divestitures, respectively, were made as part of our continuous focus on improving or divesting certain non-strategic or underperforming operations, with the remaining amounts generally related to the sale of fixed assets. In 2014, our proceeds from divestitures were primarily related to the sale of our Wheelabrator business for $1.95 billion and, to a lesser extent, the sale of our Puerto Rico operations and certain landfill and collection operations in our Eastern Canada Area.</w:t>
      </w:r>
    </w:p>
    <w:p>
      <w:pPr>
        <w:spacing w:after="0" w:line="96" w:lineRule="exact"/>
        <w:rPr>
          <w:rFonts w:ascii="Arial" w:cs="Arial" w:eastAsia="Arial" w:hAnsi="Arial"/>
          <w:sz w:val="17"/>
          <w:szCs w:val="17"/>
          <w:color w:val="auto"/>
        </w:rPr>
      </w:pPr>
    </w:p>
    <w:p>
      <w:pPr>
        <w:ind w:left="900" w:right="40" w:hanging="325"/>
        <w:spacing w:after="0" w:line="293"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Our spending on acquisitions was $611 million, $554 million and $35 million in 2016, 2015 and 2014, respectively.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$525 million of our spending on acquisitions was for certain operations and business assets of SWS. The remainder of our 2016 acquisition spending primarily related to our Solid Waste business. In 2015, $400 million of our spending on acquisitions was for the collection and disposal operations of Deffenbaugh. The remainder of our 2015 acquisition spending primarily related to our Solid Waste business. All of our 2014 acquisitions related to our Solid Waste business. See Note 19 to the Consolidated Financial Statements for additional information related to our acquisitions. We continue to focus on accretive acquisitions and growth opportunities that will enhance and expand our existing service offerings.</w:t>
      </w:r>
    </w:p>
    <w:p>
      <w:pPr>
        <w:spacing w:after="0" w:line="70" w:lineRule="exact"/>
        <w:rPr>
          <w:rFonts w:ascii="Arial" w:cs="Arial" w:eastAsia="Arial" w:hAnsi="Arial"/>
          <w:sz w:val="16"/>
          <w:szCs w:val="16"/>
          <w:color w:val="auto"/>
        </w:rPr>
      </w:pPr>
    </w:p>
    <w:p>
      <w:pPr>
        <w:ind w:left="900" w:right="140" w:hanging="325"/>
        <w:spacing w:after="0" w:line="279"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Investments in unconsolidated entities </w:t>
      </w:r>
      <w:r>
        <w:rPr>
          <w:rFonts w:ascii="Arial" w:cs="Arial" w:eastAsia="Arial" w:hAnsi="Arial"/>
          <w:sz w:val="17"/>
          <w:szCs w:val="17"/>
          <w:color w:val="auto"/>
        </w:rPr>
        <w:t>— We made $21 million, $20 million and $33 million of cash investments in unconsolidated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2016, 2015 and 2014, respectively. In 2016 and 2015, our investments primarily consisted of additional capital contributions associated with our investment in a refined coal facility, which generates federal tax credits. In 2014, our investments primarily related to additional capital contributions associated with our investment in a refined coal facility and waste diversion technology companies.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Net receipts from restricted funds </w:t>
      </w:r>
      <w:r>
        <w:rPr>
          <w:rFonts w:ascii="Arial" w:cs="Arial" w:eastAsia="Arial" w:hAnsi="Arial"/>
          <w:sz w:val="18"/>
          <w:szCs w:val="18"/>
          <w:color w:val="auto"/>
        </w:rPr>
        <w:t>— Net cash received from our restricted trust and escrow accounts contributed $51 million and $19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investing activities in 2015 and 2014, respectively. In 2015, these activities were largely related to our replacement of funded trust and escrow accounts with alternative forms of financial assurance.</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Net cash used by our other investing activities was $4 million and $58 million in 2016 and 2014, respectively, and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other investing activities was $3 million during 2015. Net cash used by our other investing activities of $58 million during 2014 was primarily associated with the funding of notes receivable associated with Wheelabrator’s investments in the United Kingdom, prior to the sale of our Wheelabrator business in December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most significant items affecting the comparison of our financing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76" w:lineRule="exact"/>
        <w:rPr>
          <w:sz w:val="20"/>
          <w:szCs w:val="20"/>
          <w:color w:val="auto"/>
        </w:rPr>
      </w:pPr>
    </w:p>
    <w:p>
      <w:pPr>
        <w:ind w:left="900" w:right="56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For the periods presented, all share repurchases have been made in accordance with financial plans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Board of Directors.</w:t>
      </w:r>
    </w:p>
    <w:p>
      <w:pPr>
        <w:spacing w:after="0" w:line="62"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We paid $725 million, $600 million and $600 million for share repurchases during 2016, 2015 and 2014, respectively. See Note 15 to the Consolidated Financial Statements for additional information.</w:t>
      </w:r>
    </w:p>
    <w:p>
      <w:pPr>
        <w:spacing w:after="0" w:line="62" w:lineRule="exact"/>
        <w:rPr>
          <w:sz w:val="20"/>
          <w:szCs w:val="20"/>
          <w:color w:val="auto"/>
        </w:rPr>
      </w:pPr>
    </w:p>
    <w:p>
      <w:pPr>
        <w:jc w:val="both"/>
        <w:ind w:left="920" w:right="260"/>
        <w:spacing w:after="0" w:line="264" w:lineRule="auto"/>
        <w:rPr>
          <w:sz w:val="20"/>
          <w:szCs w:val="20"/>
          <w:color w:val="auto"/>
        </w:rPr>
      </w:pPr>
      <w:r>
        <w:rPr>
          <w:rFonts w:ascii="Arial" w:cs="Arial" w:eastAsia="Arial" w:hAnsi="Arial"/>
          <w:sz w:val="18"/>
          <w:szCs w:val="18"/>
          <w:color w:val="auto"/>
        </w:rPr>
        <w:t>We announced in December 2016 that the Board of Directors has authorized up to $750 million in future share repurchases. Any future share repurchases will be made at the discretion of management, and will depend on factors similar to those considered by the Board of Directors in making dividend declarations.</w:t>
      </w:r>
    </w:p>
    <w:p>
      <w:pPr>
        <w:spacing w:after="0" w:line="8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Cash dividends — </w:t>
      </w:r>
      <w:r>
        <w:rPr>
          <w:rFonts w:ascii="Arial" w:cs="Arial" w:eastAsia="Arial" w:hAnsi="Arial"/>
          <w:sz w:val="18"/>
          <w:szCs w:val="18"/>
          <w:color w:val="auto"/>
        </w:rPr>
        <w:t>For the periods presented, all dividends have been declared by our Board of Directors.</w:t>
      </w:r>
    </w:p>
    <w:p>
      <w:pPr>
        <w:spacing w:after="0" w:line="117" w:lineRule="exact"/>
        <w:rPr>
          <w:sz w:val="20"/>
          <w:szCs w:val="20"/>
          <w:color w:val="auto"/>
        </w:rPr>
      </w:pPr>
    </w:p>
    <w:p>
      <w:pPr>
        <w:jc w:val="both"/>
        <w:ind w:left="920" w:right="360"/>
        <w:spacing w:after="0" w:line="312" w:lineRule="auto"/>
        <w:rPr>
          <w:sz w:val="20"/>
          <w:szCs w:val="20"/>
          <w:color w:val="auto"/>
        </w:rPr>
      </w:pPr>
      <w:r>
        <w:rPr>
          <w:rFonts w:ascii="Arial" w:cs="Arial" w:eastAsia="Arial" w:hAnsi="Arial"/>
          <w:sz w:val="16"/>
          <w:szCs w:val="16"/>
          <w:color w:val="auto"/>
        </w:rPr>
        <w:t>We paid aggregate cash dividends of $726 million, $695 million and $693 million during 2016, 2015 and 2014, respectively. The increase in dividend payments is due to our quarterly per share dividend increasing from $0.375 in 2014 to $0.385 in 2015 and to $0.41 in 2016 and has been offset, in part, by a reduction in our common stock outstanding as a result of our common stock repurchase program.</w:t>
      </w:r>
    </w:p>
    <w:p>
      <w:pPr>
        <w:spacing w:after="0" w:line="3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December 2016, we announced that our Board of Directors expects to increase the quarterly dividend from $0.41 to $0.425 per share for dividends declared in 2017.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92" w:lineRule="exact"/>
        <w:rPr>
          <w:sz w:val="20"/>
          <w:szCs w:val="20"/>
          <w:color w:val="auto"/>
        </w:rPr>
      </w:pPr>
    </w:p>
    <w:p>
      <w:pPr>
        <w:ind w:left="900" w:right="16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The exercise of common stock options generated financing cash inflows of $63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$77 million and $93 million during 2016, 2015 and 2014, respectively. The year-over-year changes are generally due to the number of stock options exercised and the exercise price of those options.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900" w:right="22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 </w:t>
      </w:r>
      <w:r>
        <w:rPr>
          <w:rFonts w:ascii="Arial" w:cs="Arial" w:eastAsia="Arial" w:hAnsi="Arial"/>
          <w:sz w:val="18"/>
          <w:szCs w:val="18"/>
          <w:color w:val="auto"/>
        </w:rPr>
        <w:t>The following summarizes our cash borrowings and debt repayments made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$2.25 billion revolving credit facility</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1,889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2,225</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bonds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Capital leases and other debt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7"/>
        </w:trPr>
        <w:tc>
          <w:tcPr>
            <w:tcW w:w="4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3,057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r>
      <w:tr>
        <w:trPr>
          <w:trHeight w:val="223"/>
        </w:trPr>
        <w:tc>
          <w:tcPr>
            <w:tcW w:w="486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 billion revolving credit facility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(2,645)</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Canadian credit facility and term loan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(1,970)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Tax-exempt bonds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leases and other debt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(2,682</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(2,764</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(3,568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w:t>
      </w:r>
    </w:p>
    <w:p>
      <w:pPr>
        <w:spacing w:after="0" w:line="131" w:lineRule="exact"/>
        <w:rPr>
          <w:sz w:val="20"/>
          <w:szCs w:val="20"/>
          <w:color w:val="auto"/>
        </w:rPr>
      </w:pPr>
    </w:p>
    <w:p>
      <w:pPr>
        <w:ind w:left="900" w:right="1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Premiums paid on early extinguishment of debt — </w:t>
      </w:r>
      <w:r>
        <w:rPr>
          <w:rFonts w:ascii="Arial" w:cs="Arial" w:eastAsia="Arial" w:hAnsi="Arial"/>
          <w:sz w:val="18"/>
          <w:szCs w:val="18"/>
          <w:color w:val="auto"/>
        </w:rPr>
        <w:t>Premiums paid on early extinguishment of debt were $2 million and $555 million in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The amount for 2015 was primarily related to (i) make-whole premiums paid on certain senior notes that the Company decided to redeem in advance of their scheduled maturities and (ii) premiums paid to tender certain high-coupon senior notes. See Note 7 to the Consolidated Financial Statements for further discussion of these transactions.</w:t>
      </w:r>
    </w:p>
    <w:p>
      <w:pPr>
        <w:spacing w:after="0" w:line="92"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of and distributions paid to noncontrolling interests </w:t>
      </w:r>
      <w:r>
        <w:rPr>
          <w:rFonts w:ascii="Arial" w:cs="Arial" w:eastAsia="Arial" w:hAnsi="Arial"/>
          <w:sz w:val="18"/>
          <w:szCs w:val="18"/>
          <w:color w:val="auto"/>
        </w:rPr>
        <w:t>— The acquisitions of and distributions paid to our noncontrolling interests were</w:t>
      </w:r>
      <w:r>
        <w:rPr>
          <w:rFonts w:ascii="Arial" w:cs="Arial" w:eastAsia="Arial" w:hAnsi="Arial"/>
          <w:sz w:val="18"/>
          <w:szCs w:val="18"/>
          <w:i w:val="1"/>
          <w:iCs w:val="1"/>
          <w:color w:val="auto"/>
        </w:rPr>
        <w:t xml:space="preserve"> </w:t>
      </w:r>
      <w:r>
        <w:rPr>
          <w:rFonts w:ascii="Arial" w:cs="Arial" w:eastAsia="Arial" w:hAnsi="Arial"/>
          <w:sz w:val="18"/>
          <w:szCs w:val="18"/>
          <w:color w:val="auto"/>
        </w:rPr>
        <w:t>$1 million, $1 million and $125 million in 2016, 2015 and 2014, respectively. The amount for 2014 is primarily attributable to the purchase of the noncontrolling interests in the LLCs related to our waste-to-energy facilities in December 2014 for $91 million. The LLCs were then subsequently sold as part of the Wheelabrator divestiture, also in December 2014. See Note 20 to the Consolidated Financial Statements for further discussion of these LLCs.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2016 and the anticipated effect of these obligations on our liquidity in future years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Recorded Obligations</w:t>
            </w: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Expected environmental liabilities:(a)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Final capping, closure and post-closure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Debt payments(b),(c),(d)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6,304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Unrecorded Obligations:(e)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Interest on debt(f)</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 obligations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Estimated unconditional purchase obligations(g)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Anticipated liquidity impact as of December 31, 2016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1,043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11,431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17,783</w:t>
            </w:r>
          </w:p>
        </w:tc>
      </w:tr>
      <w:tr>
        <w:trPr>
          <w:trHeight w:val="20"/>
        </w:trPr>
        <w:tc>
          <w:tcPr>
            <w:tcW w:w="4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recorded in our Consolidated Balance Sheet as of December 31, 2016, without the impact of discounting and inflation. Our recorded environmental liabilities for final capping, closure and post-closure will increase as we continue to place additional tons within the permitted airspace at our landfills.</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related to our long-term debt, excluding interest.</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debt obligations as of December 31, 2016 include $473 million of tax-exempt bonds with term interest rate periods scheduled to expire within the next 12 months. If the re-offerings of the bonds are unsuccessful, then the bonds can be put to us, requiring immediate repayment. We have classified the anticipated cash flows for these contractual obligations based on the scheduled maturity of the borrowings for purposes of this disclosure. For additional information regarding the classification of these borrowings in our Consolidated Balance Sheet as of December 31, 2016, refer to Note 7 to the Consolidated Financial Statements.</w:t>
      </w:r>
    </w:p>
    <w:p>
      <w:pPr>
        <w:spacing w:after="0" w:line="2" w:lineRule="exact"/>
        <w:rPr>
          <w:rFonts w:ascii="Arial" w:cs="Arial" w:eastAsia="Arial" w:hAnsi="Arial"/>
          <w:sz w:val="18"/>
          <w:szCs w:val="18"/>
          <w:color w:val="auto"/>
        </w:rPr>
      </w:pPr>
    </w:p>
    <w:p>
      <w:pPr>
        <w:ind w:left="460" w:right="300" w:hanging="452"/>
        <w:spacing w:after="0" w:line="265"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recorded debt obligations include non-cash adjustments associated with discounts, premiums, deferred loan costs and fair value adjustments for interest rate hedging activities. These amounts have been excluded as they will not impact our liquidity in future periods.</w:t>
      </w:r>
    </w:p>
    <w:p>
      <w:pPr>
        <w:ind w:left="460" w:right="24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unrecorded obligations represent operating lease obligations and purchase commitments from which we expect to realize an economic benefit in future periods and interest payable on our debt. We have also made certain guarantees, as discussed in Note 11 to the Consolidated Financial Statements, that we do not expect to materially affect our current or future financial position, results of operations or liquidity.</w:t>
      </w:r>
    </w:p>
    <w:p>
      <w:pPr>
        <w:spacing w:after="0" w:line="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at December 31, 2016. For debt balances outstanding under our $2.25 billion revolving credit facility, we have reflected limited interest amounts due to the short-term nature of the borrowings. For debt balances outstanding under our Canadian term loan, we have reflected interest based on the current outstanding principal assuming the amount remains unchanged through maturity. As of December 31, 2016, we had $88 million of accrued interest related to our debt obligations.</w:t>
      </w:r>
    </w:p>
    <w:p>
      <w:pPr>
        <w:spacing w:after="0" w:line="2"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subject to change and actual cash flow obligations in the near future may be different. See Note 11 to the Consolidated Financial Statements for discussion of the nature and terms of our unconditional purchase obligations.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have financial interests in unconsolidated variable interest entities as discussed in Note 20 to the Consolidated Financial Statements. Additionally, we are party to guarantee arrangements with unconsolidated entities as discussed 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11 to the Consolidated Financial Statements. These arrangements have not materially affected our financial position, results of operations or liquidity during the year ended December 31, 2016, nor are they expected to have a material impact on our future financial position, results of operations or liquidity.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In October 2016, the FASB issued amended authoritative guidance associated with the timing of recognition of income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intra-entity transfers of assets other than inventory. The amended guidance requires the recognition of income taxes when the transfer of the asset occurs, which replaces current U.S. Generally Accepted Accounting Principles (“GAAP”) that defers the recognition of income taxes until the transferred asset is sold to a third party or otherwise recovered through use. The amended guidance is effective for the Company on January 1, 2018, with early adoption permitted. We are in the process of assessing the provisions of this amended guidance; however, we currently do not expect that the adoption of this amended guidance will have a material impact on our consolidated financial statements.</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amended authoritative guidance associated with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payments in the statement of cash flows. In November 2016, the FASB issued additional guidance on the presentation of restricted cash and cash equivalents in the statement of cash flows. The objective of both amendments was to reduce existing diversity in practice. The amended guidance is effective for the Company on January 1, 2018, with early adoption permitted. We are in the process of assessing the provisions of this amended guidance; however, we currently do not expect that the adoption of this amended guidance will have a material impact on our consolidated financial statements.</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amended authoritative guidance associated with the measurement of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15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 xml:space="preserve">Stock Compensation — </w:t>
      </w:r>
      <w:r>
        <w:rPr>
          <w:rFonts w:ascii="Arial" w:cs="Arial" w:eastAsia="Arial" w:hAnsi="Arial"/>
          <w:sz w:val="16"/>
          <w:szCs w:val="16"/>
          <w:color w:val="auto"/>
        </w:rPr>
        <w:t>In March 2016, the FASB issued amended authoritative guidance associated with stock-based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compensation. All excess tax benefits and tax deficiencies will be required to be recognized as an income tax benefit or provision rather than as a component of equity. The guidance also provides for changes in the calculation of forfeitures related to the expense of stock-based compensation. The amended guidance is effective for the Company on January 1, 2017. The adoption of this amended guidance will not have a material impact on our consolidated financial statements.</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the amended guidance and evaluating the timing and impact on our consolidated financial statements and disclosures.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amended authoritative guidance associated with the recognition and 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 effective for the Company on January 1, 2018, with early adoption permitted. We are assessing the provisions of the amended guidance and evaluating the timing and impact on our consolidated financial statements.</w:t>
      </w:r>
    </w:p>
    <w:p>
      <w:pPr>
        <w:spacing w:after="0" w:line="18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amended authoritative guidance associated with revenue recognition. The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w:t>
      </w:r>
    </w:p>
    <w:p>
      <w:pPr>
        <w:spacing w:after="0" w:line="16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To assess the impact of the standard, we utilized internal resources to lead the implementation effort and supplemented them with external resources. Our internal resources read the amended guidance, attended trainings and consulted with non-authoritative groups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 We have completed our preliminary review of all contracts and are in the process of compiling and summarizing the results to determine whether additional review and analysis is necessary.</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Based on our work to date, we believe we have identified all material contract types and costs that may be impacted by this amended guidance. We expect to quantify and disclose the expected impact, if any, of adopting this amended guidance in the third quarter Form 10-Q. While we are still evaluating the impact of the amended guidance, we currently do not expect it to have a material impact on operating revenues.</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Upon adoption of the amended guidance, we anticipate recognizing an asset from the capitalization of sales incentives as contract acquisitions costs. Under the amended guidance, sales incentives will be capitalized and amortized over the expected life of the customer relationship. Currently, the Company expenses approximately $65 million in sales incentives annually. As noted above, we are still evaluating other possible impacts on our consolidated financial statements, including potential changes in the classification of certain revenue streams currently reported on a gross basis and on our disclosures. The Company is also currently planning to adopt the amended guidance using the modified retrospective method as of January 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While inflationary increases in costs can affect our income from operations margins, we believe that inflation generally has not had, and in the near future is not expected to have, any material adverse effect on our results of operations. However, as of December 31, 2016, approximately 30%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The Company had no derivatives outstanding at December 31, 2016.</w:t>
      </w:r>
    </w:p>
    <w:p>
      <w:pPr>
        <w:spacing w:after="0" w:line="12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Our exposure to market risk for changes in interest rates relates primarily to our financing activities.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had $9.4 billion of long-term debt, excluding the impacts of accounting for fair value adjustments attributable to terminated interest rate derivatives, discounts, premiums and debt issuance costs. We have $1.6 billion of debt that is exposed to changes in market interest rates within the next 12 months. Our variable-rate debt obligations include (i) $491 million of tax-exempt bonds that are subject to repricing on either a daily or weekly basis through a remarketing process; (ii) $473 million of tax- exempt bonds with term interest rate periods scheduled to expire within the next 12 months; (iii) $426 million of borrowings outstanding under our $2.25 billion revolving credit facility and (iv) $239 million of borrowings outstanding under our Canadian term loan. We currently estimate that a 100-basis point increase in the interest rates of our outstanding variable-rate debt obligations would increase our 2017 interest expense by approximately $15 million.</w:t>
      </w:r>
    </w:p>
    <w:p>
      <w:pPr>
        <w:spacing w:after="0" w:line="19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100-basis point increase in interest rates across all maturities attributable to these instruments would have decreased the fair value of our debt by approximately $595 million at December 31, 2016.</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also exposed to interest rate market risk because we have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short-term maturity of these investments, we believe that our exposure to changes in fair value due to interest rate fluctuations is insignificant.</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 In the normal course of our business, we are subject to operating agreements that expose us to market risks arising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prices for commodities such as diesel fuel; recyclable materials, including old corrugated cardboard, old newsprint and plastics; and electricity, which generally correlates with natural gas prices in many of the markets in which we operate. We attempt to manage these risks through operational strategies that focus on capturing our costs in the prices we charge our customers for the services provided. Accordingly, as the market prices for these commodities increase or decrease, our revenues may also increase or decrease.</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Currency Rate Exposure </w:t>
      </w:r>
      <w:r>
        <w:rPr>
          <w:rFonts w:ascii="Arial" w:cs="Arial" w:eastAsia="Arial" w:hAnsi="Arial"/>
          <w:sz w:val="17"/>
          <w:szCs w:val="17"/>
          <w:color w:val="auto"/>
        </w:rPr>
        <w:t>— We have operations in Canada as well as certain support functions in India and investments in Hong Kong. Where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we have quantified and described the impact of foreign currency translation on components of income, including operating revenue and operating costs. However, the impact of foreign currency has not materially affected our results of operations. Historically, we hedged a portion of our foreign currency risk using currency derivatives to mitigate the impact of currency translation on cash flows of intercompany Canadian-currency denominated debt transactions. In March 2016, we terminated our cross-currency swaps. At termination, we received $67 million in cash for the fair value of the hedged position and reported this amount as a component of “Net cash provided by operating activities” in the Consolidated Statement of Cash Flows. The realized loss from the termination did not materially affect our results of operations. Refer to Notes 8 and 14 to the Consolidated Financial Statements for additional information regarding our foreign currency derivatives and translation.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9"/>
          </w:tcPr>
          <w:p>
            <w:pPr>
              <w:ind w:left="2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5"/>
          </w:tcPr>
          <w:p>
            <w:pPr>
              <w:jc w:val="center"/>
              <w:ind w:right="4500"/>
              <w:spacing w:after="0"/>
              <w:rPr>
                <w:sz w:val="20"/>
                <w:szCs w:val="20"/>
                <w:color w:val="auto"/>
              </w:rPr>
            </w:pPr>
            <w:r>
              <w:rPr>
                <w:rFonts w:ascii="Arial" w:cs="Arial" w:eastAsia="Arial" w:hAnsi="Arial"/>
                <w:sz w:val="18"/>
                <w:szCs w:val="18"/>
                <w:b w:val="1"/>
                <w:bCs w:val="1"/>
                <w:color w:val="auto"/>
              </w:rPr>
              <w:t>INDEX TO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gridSpan w:val="5"/>
            <w:vMerge w:val="restart"/>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Management’s Report on Internal Control Over Financial Reporting</w:t>
              </w:r>
            </w:hyperlink>
          </w:p>
        </w:tc>
        <w:tc>
          <w:tcPr>
            <w:tcW w:w="6100" w:type="dxa"/>
            <w:vAlign w:val="bottom"/>
            <w:gridSpan w:val="5"/>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5"/>
            <w:vMerge w:val="continue"/>
          </w:tcPr>
          <w:p>
            <w:pPr>
              <w:spacing w:after="0"/>
              <w:rPr>
                <w:sz w:val="13"/>
                <w:szCs w:val="13"/>
                <w:color w:val="auto"/>
              </w:rPr>
            </w:pPr>
          </w:p>
        </w:tc>
        <w:tc>
          <w:tcPr>
            <w:tcW w:w="6100" w:type="dxa"/>
            <w:vAlign w:val="bottom"/>
            <w:gridSpan w:val="5"/>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Reports of Independent Registered Public Accounting Firm</w:t>
              </w:r>
            </w:hyperlink>
          </w:p>
        </w:tc>
        <w:tc>
          <w:tcPr>
            <w:tcW w:w="6720" w:type="dxa"/>
            <w:vAlign w:val="bottom"/>
            <w:gridSpan w:val="7"/>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Balance Sheets as of December 31, 2016 and 2015</w:t>
              </w:r>
            </w:hyperlink>
          </w:p>
        </w:tc>
        <w:tc>
          <w:tcPr>
            <w:tcW w:w="63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Operations for the Years Ended December 31, 2016, 2015 and 2014</w:t>
              </w:r>
            </w:hyperlink>
          </w:p>
        </w:tc>
        <w:tc>
          <w:tcPr>
            <w:tcW w:w="40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Comprehensive Income for the Years Ended December 31, 2016, 2015 and 2014</w:t>
              </w:r>
            </w:hyperlink>
          </w:p>
        </w:tc>
        <w:tc>
          <w:tcPr>
            <w:tcW w:w="31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Cash Flows for the Years Ended December 31, 2016, 2015 and 2014</w:t>
              </w:r>
            </w:hyperlink>
          </w:p>
        </w:tc>
        <w:tc>
          <w:tcPr>
            <w:tcW w:w="40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Changes in Equity for the Years Ended December 31, 2016, 2015 and 2014</w:t>
              </w:r>
            </w:hyperlink>
          </w:p>
        </w:tc>
        <w:tc>
          <w:tcPr>
            <w:tcW w:w="35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78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6160" w:type="dxa"/>
            <w:vAlign w:val="bottom"/>
            <w:gridSpan w:val="5"/>
          </w:tcPr>
          <w:p>
            <w:pPr>
              <w:jc w:val="center"/>
              <w:ind w:left="3570"/>
              <w:spacing w:after="0"/>
              <w:rPr>
                <w:sz w:val="20"/>
                <w:szCs w:val="20"/>
                <w:color w:val="auto"/>
              </w:rPr>
            </w:pPr>
            <w:r>
              <w:rPr>
                <w:rFonts w:ascii="Arial" w:cs="Arial" w:eastAsia="Arial" w:hAnsi="Arial"/>
                <w:sz w:val="18"/>
                <w:szCs w:val="18"/>
                <w:color w:val="auto"/>
                <w:w w:val="89"/>
              </w:rPr>
              <w:t>69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 FINANCIAL REPORTING</w:t>
      </w:r>
    </w:p>
    <w:p>
      <w:pPr>
        <w:spacing w:after="0" w:line="21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60" w:lineRule="exact"/>
        <w:rPr>
          <w:sz w:val="20"/>
          <w:szCs w:val="20"/>
          <w:color w:val="auto"/>
        </w:rPr>
      </w:pPr>
    </w:p>
    <w:p>
      <w:pPr>
        <w:ind w:left="900" w:right="2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900" w:right="60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2016 based on the Internal Control — Integrated Framework issued by the Committee of Sponsoring Organizations of the Treadway Commission (2013 framework). Based on this assessment, management has concluded that our internal control over financial reporting was effective as of December 31, 2016.</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have audited Waste Management, Inc.’s internal control over financial reporting as of December 31, 2016, based on criteria established in Internal Control-Integrated Framework issued by the Committee of Sponsoring Organizations of the Treadway Commission (2013 framework)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our opinion, Waste Management, Inc. maintained, in all material respects, effective internal control over financial reporting as of December 31, 2016, based on the COSO criteria.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Waste Management, Inc. as of December 31, 2016 and 2015, and the related consolidated statements of operations, comprehensive income, cash flows, and changes in equity for each of the three years in the period ended December 31, 2016, and our report dated February 16, 2017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2016 and 2015, and the related consolidated statements of operations, comprehensive income, cash flows, and changes in equity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2016 and 2015, and the consolidated results of its operations and its cash flows for each of the three years in the period ended December 31, 2016, in conformity with U.S. generally accepted accounting principles.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Waste Management, Inc.’s internal control over financial reporting as of December 31, 2016, based on criteria established in Internal Control-Integrated Framework issued by the Committee of Sponsoring Organizations of the Treadway Commission (2013 framework) and our report dated February 16, 2017 expressed an unqualified opinion thereon.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ind w:left="53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 of $24 and $25, respectively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23"/>
        </w:trPr>
        <w:tc>
          <w:tcPr>
            <w:tcW w:w="20" w:type="dxa"/>
            <w:vAlign w:val="bottom"/>
          </w:tcPr>
          <w:p>
            <w:pPr>
              <w:spacing w:after="0"/>
              <w:rPr>
                <w:sz w:val="19"/>
                <w:szCs w:val="19"/>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$17,152 and $16,420, respectively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10,665</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23"/>
        </w:trPr>
        <w:tc>
          <w:tcPr>
            <w:tcW w:w="20" w:type="dxa"/>
            <w:vAlign w:val="bottom"/>
          </w:tcPr>
          <w:p>
            <w:pPr>
              <w:spacing w:after="0"/>
              <w:rPr>
                <w:sz w:val="19"/>
                <w:szCs w:val="19"/>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23"/>
        </w:trPr>
        <w:tc>
          <w:tcPr>
            <w:tcW w:w="20" w:type="dxa"/>
            <w:vAlign w:val="bottom"/>
          </w:tcPr>
          <w:p>
            <w:pPr>
              <w:spacing w:after="0"/>
              <w:rPr>
                <w:sz w:val="19"/>
                <w:szCs w:val="19"/>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r>
      <w:tr>
        <w:trPr>
          <w:trHeight w:val="230"/>
        </w:trPr>
        <w:tc>
          <w:tcPr>
            <w:tcW w:w="20" w:type="dxa"/>
            <w:vAlign w:val="bottom"/>
          </w:tcPr>
          <w:p>
            <w:pPr>
              <w:spacing w:after="0"/>
              <w:rPr>
                <w:sz w:val="20"/>
                <w:szCs w:val="20"/>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15,539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r>
      <w:tr>
        <w:trPr>
          <w:trHeight w:val="216"/>
        </w:trPr>
        <w:tc>
          <w:tcPr>
            <w:tcW w:w="20" w:type="dxa"/>
            <w:vAlign w:val="bottom"/>
          </w:tcPr>
          <w:p>
            <w:pPr>
              <w:spacing w:after="0"/>
              <w:rPr>
                <w:sz w:val="18"/>
                <w:szCs w:val="18"/>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Treasury stock at cost, 190,966,584 and 183,105,326 shares, respectively</w:t>
            </w:r>
          </w:p>
        </w:tc>
        <w:tc>
          <w:tcPr>
            <w:tcW w:w="10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(6,867)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(6,300)</w:t>
            </w: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r>
      <w:tr>
        <w:trPr>
          <w:trHeight w:val="223"/>
        </w:trPr>
        <w:tc>
          <w:tcPr>
            <w:tcW w:w="20" w:type="dxa"/>
            <w:vAlign w:val="bottom"/>
          </w:tcPr>
          <w:p>
            <w:pPr>
              <w:spacing w:after="0"/>
              <w:rPr>
                <w:sz w:val="19"/>
                <w:szCs w:val="19"/>
                <w:color w:val="auto"/>
              </w:rPr>
            </w:pPr>
          </w:p>
        </w:tc>
        <w:tc>
          <w:tcPr>
            <w:tcW w:w="988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12"/>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12,961</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8,231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11,313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10,916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296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5220"/>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2"/>
          </w:tcPr>
          <w:p>
            <w:pPr>
              <w:jc w:val="right"/>
              <w:ind w:right="12"/>
              <w:spacing w:after="0"/>
              <w:rPr>
                <w:sz w:val="20"/>
                <w:szCs w:val="20"/>
                <w:color w:val="auto"/>
              </w:rPr>
            </w:pPr>
            <w:r>
              <w:rPr>
                <w:rFonts w:ascii="Arial" w:cs="Arial" w:eastAsia="Arial" w:hAnsi="Arial"/>
                <w:sz w:val="14"/>
                <w:szCs w:val="14"/>
                <w:b w:val="1"/>
                <w:bCs w:val="1"/>
                <w:color w:val="auto"/>
                <w:w w:val="96"/>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$ 1,180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comprehensive income (loss), net of tax provision (benefit):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 net</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Available-for-sale securities, net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8"/>
                <w:szCs w:val="18"/>
                <w:color w:val="auto"/>
              </w:rPr>
              <w:t>Post-retirement benefit obligation, net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provision (benefit)</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80" w:type="dxa"/>
            <w:vAlign w:val="bottom"/>
            <w:gridSpan w:val="6"/>
            <w:shd w:val="clear" w:color="auto" w:fill="CCEEFF"/>
          </w:tcPr>
          <w:p>
            <w:pPr>
              <w:jc w:val="right"/>
              <w:ind w:right="26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5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$ 1,229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2015</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1,180</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752</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$ 1,338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1,301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w w:val="98"/>
              </w:rPr>
              <w:t>1,245</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(benefit) provision</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Interest accretion on landfill liabilities</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89</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accretion on and discount rate adjustments to environmental remediation liabilities and recovery assets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Provision for bad debts</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42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36</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Equity-based compensation expense</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Excess tax benefits associated with equity-based transactions</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(15)</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(Income) expense from divestitures, asset impairments and other, net</w:t>
            </w:r>
          </w:p>
        </w:tc>
        <w:tc>
          <w:tcPr>
            <w:tcW w:w="100" w:type="dxa"/>
            <w:vAlign w:val="bottom"/>
          </w:tcPr>
          <w:p>
            <w:pPr>
              <w:spacing w:after="0"/>
              <w:rPr>
                <w:sz w:val="17"/>
                <w:szCs w:val="17"/>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87</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Equity in net losses of unconsolidated entities, net of dividends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Loss on early extinguishment of debt</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555</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680"/>
              <w:spacing w:after="0"/>
              <w:rPr>
                <w:sz w:val="20"/>
                <w:szCs w:val="20"/>
                <w:color w:val="auto"/>
              </w:rPr>
            </w:pPr>
            <w:r>
              <w:rPr>
                <w:rFonts w:ascii="Arial" w:cs="Arial" w:eastAsia="Arial" w:hAnsi="Arial"/>
                <w:sz w:val="17"/>
                <w:szCs w:val="17"/>
                <w:color w:val="auto"/>
              </w:rPr>
              <w:t>Receivables</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(178)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current assets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680"/>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78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(7)</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7"/>
                <w:szCs w:val="17"/>
                <w:color w:val="auto"/>
              </w:rPr>
              <w:t>Deferred revenues and other liabilities</w:t>
            </w: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(97)</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2,960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2,498</w:t>
            </w:r>
          </w:p>
        </w:tc>
        <w:tc>
          <w:tcPr>
            <w:tcW w:w="440" w:type="dxa"/>
            <w:vAlign w:val="bottom"/>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20" w:type="dxa"/>
            <w:vAlign w:val="bottom"/>
            <w:gridSpan w:val="2"/>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(554)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w w:val="89"/>
              </w:rPr>
              <w:t>(1,339)</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(1,233)</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Net receipts from restricted trust and escrow accounts</w:t>
            </w:r>
          </w:p>
        </w:tc>
        <w:tc>
          <w:tcPr>
            <w:tcW w:w="100" w:type="dxa"/>
            <w:vAlign w:val="bottom"/>
          </w:tcPr>
          <w:p>
            <w:pPr>
              <w:spacing w:after="0"/>
              <w:rPr>
                <w:sz w:val="17"/>
                <w:szCs w:val="17"/>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51</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Investments in unconsolidated entities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Other, net</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3</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w w:val="89"/>
              </w:rPr>
              <w:t>(1,932)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(1,608)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995</w:t>
            </w:r>
          </w:p>
        </w:tc>
        <w:tc>
          <w:tcPr>
            <w:tcW w:w="0" w:type="dxa"/>
            <w:vAlign w:val="bottom"/>
          </w:tcPr>
          <w:p>
            <w:pPr>
              <w:spacing w:after="0"/>
              <w:rPr>
                <w:sz w:val="1"/>
                <w:szCs w:val="1"/>
                <w:color w:val="auto"/>
              </w:rPr>
            </w:pPr>
          </w:p>
        </w:tc>
      </w:tr>
      <w:tr>
        <w:trPr>
          <w:trHeight w:val="208"/>
        </w:trPr>
        <w:tc>
          <w:tcPr>
            <w:tcW w:w="882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New borrowings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3,057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8"/>
              </w:rPr>
              <w:t>2,337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Debt repayments</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w w:val="89"/>
              </w:rPr>
              <w:t>(2,682)</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(2,764)</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Premiums paid on early extinguishment of debt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(555)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Common stock repurchase program</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(600)</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dividends</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(726)</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(695)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Exercise of common stock options</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77</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Excess tax benefits associated with equity-based transactions</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40"/>
              <w:spacing w:after="0"/>
              <w:rPr>
                <w:sz w:val="20"/>
                <w:szCs w:val="20"/>
                <w:color w:val="auto"/>
              </w:rPr>
            </w:pPr>
            <w:r>
              <w:rPr>
                <w:rFonts w:ascii="Arial" w:cs="Arial" w:eastAsia="Arial" w:hAnsi="Arial"/>
                <w:sz w:val="17"/>
                <w:szCs w:val="17"/>
                <w:color w:val="auto"/>
              </w:rPr>
              <w:t>Acquisitions of and distributions paid to noncontrolling interests</w:t>
            </w:r>
          </w:p>
        </w:tc>
        <w:tc>
          <w:tcPr>
            <w:tcW w:w="100" w:type="dxa"/>
            <w:vAlign w:val="bottom"/>
          </w:tcPr>
          <w:p>
            <w:pPr>
              <w:spacing w:after="0"/>
              <w:rPr>
                <w:sz w:val="17"/>
                <w:szCs w:val="17"/>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7"/>
                <w:szCs w:val="17"/>
                <w:color w:val="auto"/>
              </w:rPr>
              <w:t>(1)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7"/>
        </w:trPr>
        <w:tc>
          <w:tcPr>
            <w:tcW w:w="8820" w:type="dxa"/>
            <w:vAlign w:val="bottom"/>
            <w:gridSpan w:val="2"/>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77"/>
              </w:rPr>
              <w:t>(1,035)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77"/>
              </w:rPr>
              <w:t>(2,155)</w:t>
            </w: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(2,072)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77"/>
              </w:rPr>
              <w:t>(1,268)</w:t>
            </w:r>
          </w:p>
        </w:tc>
        <w:tc>
          <w:tcPr>
            <w:tcW w:w="44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1,249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year</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8"/>
              </w:rPr>
              <w:t>1,307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8820" w:type="dxa"/>
            <w:vAlign w:val="bottom"/>
            <w:gridSpan w:val="2"/>
          </w:tcPr>
          <w:p>
            <w:pPr>
              <w:spacing w:after="0"/>
              <w:rPr>
                <w:sz w:val="20"/>
                <w:szCs w:val="20"/>
                <w:color w:val="auto"/>
              </w:rPr>
            </w:pPr>
            <w:r>
              <w:rPr>
                <w:rFonts w:ascii="Arial" w:cs="Arial" w:eastAsia="Arial" w:hAnsi="Arial"/>
                <w:sz w:val="17"/>
                <w:szCs w:val="17"/>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4"/>
                <w:szCs w:val="14"/>
                <w:b w:val="1"/>
                <w:bCs w:val="1"/>
                <w:color w:val="auto"/>
                <w:w w:val="96"/>
              </w:rPr>
              <w:t>Waste Management, Inc. Stockholders’ Equity</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660" w:type="dxa"/>
            <w:vAlign w:val="bottom"/>
            <w:gridSpan w:val="5"/>
            <w:vMerge w:val="restart"/>
          </w:tcPr>
          <w:p>
            <w:pPr>
              <w:jc w:val="right"/>
              <w:ind w:right="459"/>
              <w:spacing w:after="0"/>
              <w:rPr>
                <w:sz w:val="20"/>
                <w:szCs w:val="20"/>
                <w:color w:val="auto"/>
              </w:rPr>
            </w:pPr>
            <w:r>
              <w:rPr>
                <w:rFonts w:ascii="Arial" w:cs="Arial" w:eastAsia="Arial" w:hAnsi="Arial"/>
                <w:sz w:val="14"/>
                <w:szCs w:val="14"/>
                <w:b w:val="1"/>
                <w:bCs w:val="1"/>
                <w:color w:val="auto"/>
              </w:rPr>
              <w:t>Treasury Stock</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660" w:type="dxa"/>
            <w:vAlign w:val="bottom"/>
            <w:gridSpan w:val="5"/>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6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7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8"/>
              </w:rPr>
              <w:t>Amounts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7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20" w:type="dxa"/>
            <w:vAlign w:val="bottom"/>
            <w:tcBorders>
              <w:top w:val="single" w:sz="8" w:color="auto"/>
            </w:tcBorders>
            <w:gridSpan w:val="2"/>
          </w:tcPr>
          <w:p>
            <w:pPr>
              <w:jc w:val="right"/>
              <w:ind w:right="279"/>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88"/>
              </w:rPr>
              <w:t>Amounts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2013</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$6,002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6,289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76"/>
              </w:rPr>
              <w:t>154</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(165,962)</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(5,338)</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295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1,338</w:t>
            </w:r>
          </w:p>
        </w:tc>
        <w:tc>
          <w:tcPr>
            <w:tcW w:w="2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 net of tax provision</w:t>
            </w: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(131)</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w:t>
            </w:r>
          </w:p>
        </w:tc>
        <w:tc>
          <w:tcPr>
            <w:tcW w:w="82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(693)</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equivalents, net of tax provision (benefit)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3,779</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(9,569)</w:t>
            </w:r>
          </w:p>
        </w:tc>
        <w:tc>
          <w:tcPr>
            <w:tcW w:w="140" w:type="dxa"/>
            <w:vAlign w:val="bottom"/>
          </w:tcPr>
          <w:p>
            <w:pPr>
              <w:spacing w:after="0"/>
              <w:rPr>
                <w:sz w:val="12"/>
                <w:szCs w:val="12"/>
                <w:color w:val="auto"/>
              </w:rPr>
            </w:pPr>
          </w:p>
        </w:tc>
        <w:tc>
          <w:tcPr>
            <w:tcW w:w="7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tcPr>
          <w:p>
            <w:pPr>
              <w:spacing w:after="0" w:line="130" w:lineRule="exact"/>
              <w:rPr>
                <w:sz w:val="20"/>
                <w:szCs w:val="20"/>
                <w:color w:val="auto"/>
              </w:rPr>
            </w:pPr>
            <w:r>
              <w:rPr>
                <w:rFonts w:ascii="Arial" w:cs="Arial" w:eastAsia="Arial" w:hAnsi="Arial"/>
                <w:sz w:val="14"/>
                <w:szCs w:val="14"/>
                <w:color w:val="auto"/>
              </w:rPr>
              <w:t>Acquisitions of noncontrolling interests and divestiture of</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auto"/>
              </w:rPr>
              <w:t>Wheelabrator business</w:t>
            </w: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(188)</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2014</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$5,889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6,888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ind w:left="740"/>
              <w:spacing w:after="0" w:line="155" w:lineRule="exact"/>
              <w:rPr>
                <w:sz w:val="20"/>
                <w:szCs w:val="20"/>
                <w:color w:val="auto"/>
              </w:rPr>
            </w:pPr>
            <w:r>
              <w:rPr>
                <w:rFonts w:ascii="Arial" w:cs="Arial" w:eastAsia="Arial" w:hAnsi="Arial"/>
                <w:sz w:val="14"/>
                <w:szCs w:val="14"/>
                <w:color w:val="auto"/>
                <w:w w:val="76"/>
              </w:rPr>
              <w:t>23</w:t>
            </w:r>
          </w:p>
        </w:tc>
        <w:tc>
          <w:tcPr>
            <w:tcW w:w="26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(171,745)</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(5,636)</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tcPr>
          <w:p>
            <w:pPr>
              <w:spacing w:after="0" w:line="130" w:lineRule="exact"/>
              <w:rPr>
                <w:sz w:val="20"/>
                <w:szCs w:val="20"/>
                <w:color w:val="auto"/>
              </w:rPr>
            </w:pPr>
            <w:r>
              <w:rPr>
                <w:rFonts w:ascii="Arial" w:cs="Arial" w:eastAsia="Arial" w:hAnsi="Arial"/>
                <w:sz w:val="14"/>
                <w:szCs w:val="14"/>
                <w:color w:val="auto"/>
              </w:rPr>
              <w:t>Other comprehensive income (loss), net of tax provision</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auto"/>
              </w:rPr>
              <w:t>(benefit)</w:t>
            </w:r>
          </w:p>
        </w:tc>
        <w:tc>
          <w:tcPr>
            <w:tcW w:w="660" w:type="dxa"/>
            <w:vAlign w:val="bottom"/>
            <w:gridSpan w:val="3"/>
          </w:tcPr>
          <w:p>
            <w:pPr>
              <w:jc w:val="right"/>
              <w:ind w:right="200"/>
              <w:spacing w:after="0"/>
              <w:rPr>
                <w:sz w:val="20"/>
                <w:szCs w:val="20"/>
                <w:color w:val="auto"/>
              </w:rPr>
            </w:pPr>
            <w:r>
              <w:rPr>
                <w:rFonts w:ascii="Arial" w:cs="Arial" w:eastAsia="Arial" w:hAnsi="Arial"/>
                <w:sz w:val="14"/>
                <w:szCs w:val="14"/>
                <w:color w:val="auto"/>
              </w:rPr>
              <w:t>(150)</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w:t>
            </w:r>
          </w:p>
        </w:tc>
        <w:tc>
          <w:tcPr>
            <w:tcW w:w="820" w:type="dxa"/>
            <w:vAlign w:val="bottom"/>
            <w:gridSpan w:val="2"/>
          </w:tcPr>
          <w:p>
            <w:pPr>
              <w:jc w:val="right"/>
              <w:ind w:right="2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(695)</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auto"/>
              </w:rPr>
              <w:t>dividend equivalents, net of tax provision (benefit)</w:t>
            </w:r>
          </w:p>
        </w:tc>
        <w:tc>
          <w:tcPr>
            <w:tcW w:w="400" w:type="dxa"/>
            <w:vAlign w:val="bottom"/>
          </w:tcPr>
          <w:p>
            <w:pPr>
              <w:jc w:val="right"/>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99"/>
              <w:spacing w:after="0"/>
              <w:rPr>
                <w:sz w:val="20"/>
                <w:szCs w:val="20"/>
                <w:color w:val="auto"/>
              </w:rPr>
            </w:pPr>
            <w:r>
              <w:rPr>
                <w:rFonts w:ascii="Arial" w:cs="Arial" w:eastAsia="Arial" w:hAnsi="Arial"/>
                <w:sz w:val="14"/>
                <w:szCs w:val="14"/>
                <w:color w:val="auto"/>
              </w:rPr>
              <w:t>3,457</w:t>
            </w:r>
          </w:p>
        </w:tc>
        <w:tc>
          <w:tcPr>
            <w:tcW w:w="140" w:type="dxa"/>
            <w:vAlign w:val="bottom"/>
          </w:tcPr>
          <w:p>
            <w:pPr>
              <w:spacing w:after="0"/>
              <w:rPr>
                <w:sz w:val="14"/>
                <w:szCs w:val="14"/>
                <w:color w:val="auto"/>
              </w:rPr>
            </w:pP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180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(14,823)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3"/>
                <w:szCs w:val="13"/>
                <w:color w:val="auto"/>
              </w:rPr>
            </w:pPr>
          </w:p>
        </w:tc>
        <w:tc>
          <w:tcPr>
            <w:tcW w:w="52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0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2015</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$5,367</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630,282</w:t>
            </w: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6</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4,827</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6,939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w:t>
            </w:r>
          </w:p>
        </w:tc>
        <w:tc>
          <w:tcPr>
            <w:tcW w:w="8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(183,105)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(6,300)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1,180</w:t>
            </w:r>
          </w:p>
        </w:tc>
        <w:tc>
          <w:tcPr>
            <w:tcW w:w="240" w:type="dxa"/>
            <w:vAlign w:val="bottom"/>
          </w:tcPr>
          <w:p>
            <w:pPr>
              <w:spacing w:after="0"/>
              <w:rPr>
                <w:sz w:val="12"/>
                <w:szCs w:val="12"/>
                <w:color w:val="auto"/>
              </w:rPr>
            </w:pP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 income (loss), net of tax provision</w:t>
            </w: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47</w:t>
            </w:r>
          </w:p>
        </w:tc>
        <w:tc>
          <w:tcPr>
            <w:tcW w:w="82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(726)</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 transactions, including</w:t>
            </w: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 equivalents, net of tax provision (benefit)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3,556</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(725)</w:t>
            </w:r>
          </w:p>
        </w:tc>
        <w:tc>
          <w:tcPr>
            <w:tcW w:w="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(11,241)</w:t>
            </w:r>
          </w:p>
        </w:tc>
        <w:tc>
          <w:tcPr>
            <w:tcW w:w="140" w:type="dxa"/>
            <w:vAlign w:val="bottom"/>
          </w:tcPr>
          <w:p>
            <w:pPr>
              <w:spacing w:after="0"/>
              <w:rPr>
                <w:sz w:val="12"/>
                <w:szCs w:val="12"/>
                <w:color w:val="auto"/>
              </w:rPr>
            </w:pPr>
          </w:p>
        </w:tc>
        <w:tc>
          <w:tcPr>
            <w:tcW w:w="7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(680)</w:t>
            </w:r>
          </w:p>
        </w:tc>
        <w:tc>
          <w:tcPr>
            <w:tcW w:w="12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gridSpan w:val="2"/>
          </w:tcPr>
          <w:p>
            <w:pPr>
              <w:spacing w:after="0" w:line="155" w:lineRule="exact"/>
              <w:rPr>
                <w:sz w:val="20"/>
                <w:szCs w:val="20"/>
                <w:color w:val="auto"/>
              </w:rPr>
            </w:pPr>
            <w:r>
              <w:rPr>
                <w:rFonts w:ascii="Arial" w:cs="Arial" w:eastAsia="Arial" w:hAnsi="Arial"/>
                <w:sz w:val="14"/>
                <w:szCs w:val="14"/>
                <w:color w:val="auto"/>
              </w:rPr>
              <w:t>Balance, December 31, 2016</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5,320</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630,282</w:t>
            </w:r>
          </w:p>
        </w:tc>
        <w:tc>
          <w:tcPr>
            <w:tcW w:w="2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(190,967</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(6,867</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20.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7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21.</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December 2014, we sold our Wheelabrator business, which provides waste-to-energy services and manages waste-to-energy facilities and independent power production plants. Refer to Note 19 for additional information related to our divestitures.</w:t>
      </w:r>
    </w:p>
    <w:p>
      <w:pPr>
        <w:spacing w:after="0" w:line="275" w:lineRule="exact"/>
        <w:rPr>
          <w:sz w:val="20"/>
          <w:szCs w:val="20"/>
          <w:color w:val="auto"/>
        </w:rPr>
      </w:pPr>
    </w:p>
    <w:p>
      <w:pPr>
        <w:ind w:left="240" w:right="6480" w:hanging="232"/>
        <w:spacing w:after="0" w:line="400" w:lineRule="auto"/>
        <w:tabs>
          <w:tab w:leader="none" w:pos="19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Adoption of New Accounting Standards and Reclassifications </w:t>
      </w:r>
      <w:r>
        <w:rPr>
          <w:rFonts w:ascii="Arial" w:cs="Arial" w:eastAsia="Arial" w:hAnsi="Arial"/>
          <w:sz w:val="17"/>
          <w:szCs w:val="17"/>
          <w:b w:val="1"/>
          <w:bCs w:val="1"/>
          <w:i w:val="1"/>
          <w:iCs w:val="1"/>
          <w:color w:val="auto"/>
        </w:rPr>
        <w:t>Adoption of New Accounting Standards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In April 2015, and as subsequently amended, the Financial Accounting Standards Board (“FASB”) issued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authoritative guidance associated with debt issuance costs which were previously presented as assets related to recognized debt liabilities. The amended guidance requires that debt issuance costs, other than those costs related to line of credit arrangements, be presented on the balance sheet as a direct deduction from the related debt liability, which is similar to the presentation for debt discounts and premiums. This guidance was effective for the Company on January 1, 2016. The Company’s adoption of this guidance was applied retrospectively and resulted in a reclassification of $52 million of such costs in our Consolidated Balance Sheet at December 31, 2015.</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In February 2015, the FASB issued amended authoritative guidance associated with consolidation. The amended guidance makes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existing consolidation requirements associated with the analysis a reporting entity must perform to determine whether it should consolidate certain types of legal entities, including limited partnerships and variable interest entities. The guidance was effective for the Company on January 1, 2016. The Company’s adoption of this guidance did not impact our consolidated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necessary, reclassifications have been made to our prior period financial information in order to conform to the current year presentation.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240" w:right="7840" w:hanging="232"/>
        <w:spacing w:after="0" w:line="378" w:lineRule="auto"/>
        <w:tabs>
          <w:tab w:leader="none" w:pos="1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right="240" w:firstLine="456"/>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either the equity method or cost method of accounting, as appropriate.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trust funds and escrow accounts, and accounts receivable. We make efforts to control our exposure to credit risk associated with these instruments by</w:t>
      </w:r>
    </w:p>
    <w:p>
      <w:pPr>
        <w:ind w:firstLine="8"/>
        <w:spacing w:after="0" w:line="252" w:lineRule="auto"/>
        <w:tabs>
          <w:tab w:leader="none" w:pos="2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At December 31, 2016 and 2015, no single customer represented greater than 5% of total accounts receivable.</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receivables, at December 31, 2016 and 2015, include receivables related to income tax payments in excess of our current provision for income taxes of $352 million and $439 million, respectively.</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Cost Basis of Landfill Assets </w:t>
      </w:r>
      <w:r>
        <w:rPr>
          <w:rFonts w:ascii="Arial" w:cs="Arial" w:eastAsia="Arial" w:hAnsi="Arial"/>
          <w:sz w:val="18"/>
          <w:szCs w:val="18"/>
          <w:color w:val="auto"/>
        </w:rPr>
        <w:t>— We capitalize various costs that we incur to make a landfill ready to accept waste. These costs generally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our asset retirement activities and our related accounting:</w:t>
      </w:r>
    </w:p>
    <w:p>
      <w:pPr>
        <w:spacing w:after="0" w:line="131" w:lineRule="exact"/>
        <w:rPr>
          <w:sz w:val="20"/>
          <w:szCs w:val="20"/>
          <w:color w:val="auto"/>
        </w:rPr>
      </w:pPr>
    </w:p>
    <w:p>
      <w:pPr>
        <w:ind w:left="900" w:right="120" w:hanging="325"/>
        <w:spacing w:after="0" w:line="25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topsoil 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93"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93"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Post-Closure </w:t>
      </w:r>
      <w:r>
        <w:rPr>
          <w:rFonts w:ascii="Arial" w:cs="Arial" w:eastAsia="Arial" w:hAnsi="Arial"/>
          <w:sz w:val="18"/>
          <w:szCs w:val="18"/>
          <w:color w:val="auto"/>
        </w:rPr>
        <w:t>— Involves the maintenance and monitoring of a landfill site that has been certified closed by the applicable regulatory agency.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years ended December 31, 2016, 2015 and 2014, we inflated these costs in current dollars until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at December 31, 2016 is approximately 6.0%. We expect to apply a credit-adjusted, risk-free discount rate of 4.0% to liabilities incurred in the first quarter of 2017.</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6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 xml:space="preserve">Amortization of Landfill Assets </w:t>
      </w:r>
      <w:r>
        <w:rPr>
          <w:rFonts w:ascii="Arial" w:cs="Arial" w:eastAsia="Arial" w:hAnsi="Arial"/>
          <w:sz w:val="16"/>
          <w:szCs w:val="16"/>
          <w:color w:val="auto"/>
        </w:rPr>
        <w:t>— The amortizable basis of a landfill includes (i) amounts previously expended and capitalized; (ii) capitalized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final 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 the rate per ton is calculated based on expected capacity to be utilized over the lesser of the contractual term of the underlying agreement or the life of the landfill.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31" w:lineRule="exact"/>
        <w:rPr>
          <w:sz w:val="20"/>
          <w:szCs w:val="20"/>
          <w:color w:val="auto"/>
        </w:rPr>
      </w:pPr>
    </w:p>
    <w:p>
      <w:pPr>
        <w:ind w:left="900" w:right="12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86"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92" w:lineRule="exact"/>
        <w:rPr>
          <w:rFonts w:ascii="Arial" w:cs="Arial" w:eastAsia="Arial" w:hAnsi="Arial"/>
          <w:sz w:val="18"/>
          <w:szCs w:val="18"/>
          <w:color w:val="auto"/>
        </w:rPr>
      </w:pPr>
    </w:p>
    <w:p>
      <w:pPr>
        <w:ind w:left="1480" w:right="14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75" w:lineRule="exact"/>
        <w:rPr>
          <w:rFonts w:ascii="Arial" w:cs="Arial" w:eastAsia="Arial" w:hAnsi="Arial"/>
          <w:sz w:val="18"/>
          <w:szCs w:val="18"/>
          <w:color w:val="auto"/>
        </w:rPr>
      </w:pPr>
    </w:p>
    <w:p>
      <w:pPr>
        <w:ind w:left="1480" w:right="520" w:hanging="446"/>
        <w:spacing w:after="0" w:line="277"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16 landfill sites with expansions included at December 31, 2016, three landfills required the Chief Financial Officer to approve the inclusion of the unpermitted airspace because the permit application process did not meet the one- or five-year requirements.</w:t>
      </w:r>
    </w:p>
    <w:p>
      <w:pPr>
        <w:spacing w:after="0" w:line="1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9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6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78" w:lineRule="exact"/>
        <w:rPr>
          <w:sz w:val="20"/>
          <w:szCs w:val="20"/>
          <w:color w:val="auto"/>
        </w:rPr>
      </w:pPr>
    </w:p>
    <w:p>
      <w:pPr>
        <w:ind w:left="5620" w:right="3840" w:hanging="5045"/>
        <w:spacing w:after="0" w:line="449" w:lineRule="auto"/>
        <w:tabs>
          <w:tab w:leader="none" w:pos="8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 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number, financial resources and relative degree of responsibility of other PRPs who may be liable for remediation of a specific site;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$120 million higher than the $246 million recorded in the Consolidated Financial Statements as of December 31, 2016.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83"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fixed or reliably determinable, we inflate the cost in current dollars (by 2.5% at December 31, 2016 and 2015)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Years Ended December 31,</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Charge (reduction) to operating expenses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  (2)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200" w:type="dxa"/>
            <w:vAlign w:val="bottom"/>
            <w:shd w:val="clear" w:color="auto" w:fill="CCEEFF"/>
          </w:tcPr>
          <w:p>
            <w:pPr>
              <w:spacing w:after="0"/>
              <w:rPr>
                <w:sz w:val="18"/>
                <w:szCs w:val="18"/>
                <w:color w:val="auto"/>
              </w:rPr>
            </w:pPr>
          </w:p>
        </w:tc>
      </w:tr>
      <w:tr>
        <w:trPr>
          <w:trHeight w:val="202"/>
        </w:trPr>
        <w:tc>
          <w:tcPr>
            <w:tcW w:w="6540" w:type="dxa"/>
            <w:vAlign w:val="bottom"/>
          </w:tcPr>
          <w:p>
            <w:pPr>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recovery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2.25%</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portion of our recorded environmental remediation liabilities that were not subject to inflation or discounting, as the amounts and timing of payments are not fixed or reliably determinable, was $90 million and $52 million at December 31, 2016 and 2015, respectively. Had we not inflated and discounted any portion of our environmental remediation liability, the amount recorded would have remained the same at December 31, 2016 and decreased $3 million at December 31, 2015.</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Useful Lives</w:t>
            </w: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 to 20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30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 to 40</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Operating Leases (excluding landfills discussed below) </w:t>
      </w:r>
      <w:r>
        <w:rPr>
          <w:rFonts w:ascii="Arial" w:cs="Arial" w:eastAsia="Arial" w:hAnsi="Arial"/>
          <w:sz w:val="18"/>
          <w:szCs w:val="18"/>
          <w:color w:val="auto"/>
        </w:rPr>
        <w:t>— The majority of our leases are operating leases. This classification generally can be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2016 are disclosed in Note 11.</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Capital Leases (excluding landfills discussed below) </w:t>
      </w:r>
      <w:r>
        <w:rPr>
          <w:rFonts w:ascii="Arial" w:cs="Arial" w:eastAsia="Arial" w:hAnsi="Arial"/>
          <w:sz w:val="18"/>
          <w:szCs w:val="18"/>
          <w:color w:val="auto"/>
        </w:rPr>
        <w:t>— Assets under capital leases are capitalized using interest rates determined at the inception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 xml:space="preserve">Landfill Leases </w:t>
      </w:r>
      <w:r>
        <w:rPr>
          <w:rFonts w:ascii="Arial" w:cs="Arial" w:eastAsia="Arial" w:hAnsi="Arial"/>
          <w:sz w:val="17"/>
          <w:szCs w:val="17"/>
          <w:color w:val="auto"/>
        </w:rPr>
        <w:t>— From an operating perspective, landfills that we lease are similar to landfills we own because generally we will operate the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life of the operating permit.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 achievement by the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of certain negotiated goals, such as targeted revenue levels, targeted disposal volumes or the issuance of permits for expanded landfill airspace.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 environmental matters and</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16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a term ranging between 10 and 15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We assess our long-lived assets for impairment as required under the applicable accounting standards. If necessary, impairments are recorded in the “(Income) expense from divestitures, asset impairments and unusual items” line item in our Consolidated Statement of Operations.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Property and Equipment, including Landfills and Definite-Lived Intangible Assets </w:t>
      </w:r>
      <w:r>
        <w:rPr>
          <w:rFonts w:ascii="Arial" w:cs="Arial" w:eastAsia="Arial" w:hAnsi="Arial"/>
          <w:sz w:val="18"/>
          <w:szCs w:val="18"/>
          <w:color w:val="auto"/>
        </w:rPr>
        <w:t>— We monitor the carrying value of our long-lived assets for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w:t>
      </w:r>
    </w:p>
    <w:p>
      <w:pPr>
        <w:spacing w:after="0" w:line="2" w:lineRule="exact"/>
        <w:rPr>
          <w:sz w:val="20"/>
          <w:szCs w:val="20"/>
          <w:color w:val="auto"/>
        </w:rPr>
      </w:pPr>
    </w:p>
    <w:p>
      <w:pPr>
        <w:ind w:firstLine="8"/>
        <w:spacing w:after="0" w:line="254" w:lineRule="auto"/>
        <w:tabs>
          <w:tab w:leader="none" w:pos="3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Estimating future cash flows requires significant judgment and projections may vary from the cash flows eventually realized, which could impact our ability to accurately assess whether an asset has been impaired.</w:t>
      </w:r>
    </w:p>
    <w:p>
      <w:pPr>
        <w:spacing w:after="0" w:line="190"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At least annually, and more frequently if warranted, we assess the goodwill of our reporting units for impairment using Level 3 inputs.</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a reporting unit. The first step in our quantitative assessment identifies potential impairments by comparing the estimated fair value of a reporting unit to its carrying value, including goodwill. If the carrying value exceeds estimated fair value, there is an indication of potential impairment and the second step is performed to measure the amount of impairment.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8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13 for information related to impairments recognized during the reported periods.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other than goodwill for impairment.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performing the impairment test for indefinite-lived intangible assets, we generally first conduct a qualitative analysis to determine whether we believe it is more likely than not that an asset has been impaired. If it is more likely than not that an asset has been impaired, we then evaluate for impairment by comparing the estimated fair value of the asset to its carrying value. An impairment charge is recognized if the asset’s estimated fair value is less than its carrying value.</w:t>
      </w:r>
    </w:p>
    <w:p>
      <w:pPr>
        <w:spacing w:after="0" w:line="18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Fair value is typically estimated using an income approach. The income approach is based on the long-term projected future cash flows. We discount the estimated cash flows to present value using a weighted average cost of capital that considers factors such as market assumptions, the timing of the cash flows and the risks inherent in those cash flows. We believe this approach is appropriate because it provides a fair value estimate based upon the expected long-term performance considering the economic and market conditions that generally affect our business.</w:t>
      </w:r>
    </w:p>
    <w:p>
      <w:pPr>
        <w:spacing w:after="0" w:line="17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these assets is reasonable.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Our restricted trust and escrow accounts consist principally of funds deposited for purposes of settling landfill final capping, closure, post-closure and environmental remediation obligations. At several of our landfills, we provide financial assurance by depositing 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 (iv) acquisitions or divestitures of landfills and (v) changes in the fair value of the financial instruments held in the trust fund or escrow accounts. As of December 31, 2016 and 2015, we had</w:t>
      </w:r>
    </w:p>
    <w:p>
      <w:pPr>
        <w:spacing w:after="0" w:line="5"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$105 million of restricted trust and escrow accounts, which are primarily included in “Other assets” in our Consolidated Balance Sheets. See Note 20 for additional discussion related to restricted trust and escrow accounts for final capping, closure, post-closure or environmental remediation obligations.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The following table summarizes our equity and cost method investments as of December 31 (in millions):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$173</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20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unconsolidated entities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 Impairments of equity and cost method investments are recorded in “Equity in net losses of unconsolidated entities” and “Other, net” in the Consolidated Statements of Operations, respectively.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operations in Canada, as well as certain support functions in India and investments in Hong Kong. Local currencies generally are considered the functional currencies of our operations and investments outside the United States.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From time to time, we will use derivative financial instruments to manage our risk associated with fluctuations in interest rates and foreign currency exchange rates. In prior years, we used interest rate swaps to maintain a strategic portion of our long-term debt obligations at variable, market-driven interest rates or in anticipation of planned senior note issuances to effectively lock in a fixed interest rate for those anticipated issuances. Through March 2016, we used foreign currency exchange rate derivatives to hedge our exposure to fluctuations in exchange rates for anticipated intercompany cash transactions between Waste Management Holdings, Inc., a wholly-owned subsidiary (“WM Holdings”), and its Canadian subsidiaries. Prior to the sale of our Wheelabrator business in December 2014, we used electricity commodity derivatives to mitigate the variability in our revenues and cash flows caused by fluctuations in the market prices for electricity. The financial statement impacts of our derivatives are discussed in Notes 8 and 14.</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obtain valuations of our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current accrued liabilities or other long-term liabilities, as appropriate. Any ineffectiveness present in either fair value or cash flow hedges is recognized immediately in earnings without offset. There was no significant hedge ineffectiveness in 2016, 2015 or 2014.</w:t>
      </w:r>
    </w:p>
    <w:p>
      <w:pPr>
        <w:spacing w:after="0" w:line="94" w:lineRule="exact"/>
        <w:rPr>
          <w:sz w:val="20"/>
          <w:szCs w:val="20"/>
          <w:color w:val="auto"/>
        </w:rPr>
      </w:pPr>
    </w:p>
    <w:p>
      <w:pPr>
        <w:ind w:left="90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 Our cross-currency swaps had been designated as cash flow hedges for accounting purposes, which resulted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unrealized changes in the fair value of the derivative instruments being recorded in “Accumulated other comprehensive income (loss)” within the equity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20" w:right="240"/>
        <w:spacing w:after="0" w:line="286" w:lineRule="auto"/>
        <w:rPr>
          <w:sz w:val="20"/>
          <w:szCs w:val="20"/>
          <w:color w:val="auto"/>
        </w:rPr>
      </w:pPr>
      <w:r>
        <w:rPr>
          <w:rFonts w:ascii="Arial" w:cs="Arial" w:eastAsia="Arial" w:hAnsi="Arial"/>
          <w:sz w:val="17"/>
          <w:szCs w:val="17"/>
          <w:color w:val="auto"/>
        </w:rPr>
        <w:t>section of our Consolidated Balance Sheets. The associated balance in accumulated other comprehensive income (loss) was reclassified to earnings as the hedged cash flows affected earnings. In each of the periods presented, these derivatives effectively mitigated the impacts of the hedged transactions, resulting in immaterial impacts to our results of operations for the periods presented.</w:t>
      </w:r>
    </w:p>
    <w:p>
      <w:pPr>
        <w:spacing w:after="0" w:line="71" w:lineRule="exact"/>
        <w:rPr>
          <w:sz w:val="20"/>
          <w:szCs w:val="20"/>
          <w:color w:val="auto"/>
        </w:rPr>
      </w:pPr>
    </w:p>
    <w:p>
      <w:pPr>
        <w:ind w:left="900" w:hanging="325"/>
        <w:spacing w:after="0" w:line="25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Derivatives </w:t>
      </w:r>
      <w:r>
        <w:rPr>
          <w:rFonts w:ascii="Arial" w:cs="Arial" w:eastAsia="Arial" w:hAnsi="Arial"/>
          <w:sz w:val="18"/>
          <w:szCs w:val="18"/>
          <w:color w:val="auto"/>
        </w:rPr>
        <w:t>— Our previously outstanding interest rate swaps associated with outstanding fixed-rate senior notes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fair value hedges for accounting purposes. Accordingly, derivative assets were accounted for as an increase in the carrying value of our underlying debt obligations and derivative liabilities were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prior years were designated as cash flow hedges for accounting purposes. The fair value of these derivative instruments was recorded in “Accumulated other comprehensive income (loss)” within the equity section of our Consolidated Balance Sheets. The associated balance in accumulated other comprehensive income (loss) is reclassified to earnings as the hedged cash flows occur.</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otherwise, it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revenues are generated from the fees we charge for waste collection, transfer, disposal, and recycling and resource recovery services; from the sale of recyclable commodities; from the sale of electricity and landfill gas, which are byproducts of our landfill operations and from the sale of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our environmental fee, fuel surcharge and regulatory recovery fee, which are intended to pass through to customers increased direct and indirect costs incurred. We generally recognize revenue as services are performed or products are delivered. For example, revenue typically is recognized as waste is collected, tons are received at our landfills or transfer stations, or recycling commodities are delivered.</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ind w:right="660" w:firstLine="456"/>
        <w:spacing w:after="0" w:line="291" w:lineRule="auto"/>
        <w:rPr>
          <w:sz w:val="20"/>
          <w:szCs w:val="20"/>
          <w:color w:val="auto"/>
        </w:rPr>
      </w:pPr>
      <w:r>
        <w:rPr>
          <w:rFonts w:ascii="Arial" w:cs="Arial" w:eastAsia="Arial" w:hAnsi="Arial"/>
          <w:sz w:val="16"/>
          <w:szCs w:val="16"/>
          <w:color w:val="auto"/>
        </w:rPr>
        <w:t>We capitalize interest on certain projects under development, including landfill expansion projects, certain assets under construction, including operating landfills and landfill gas-to-energy projects and internal-use software. During 2016, 2015 and 2014, total interest costs were $394 million,</w:t>
      </w:r>
    </w:p>
    <w:p>
      <w:pPr>
        <w:spacing w:after="0" w:line="261" w:lineRule="auto"/>
        <w:rPr>
          <w:sz w:val="20"/>
          <w:szCs w:val="20"/>
          <w:color w:val="auto"/>
        </w:rPr>
      </w:pPr>
      <w:r>
        <w:rPr>
          <w:rFonts w:ascii="Arial" w:cs="Arial" w:eastAsia="Arial" w:hAnsi="Arial"/>
          <w:sz w:val="18"/>
          <w:szCs w:val="18"/>
          <w:color w:val="auto"/>
        </w:rPr>
        <w:t>$407 million and $487 million, respectively, of which $9 million was capitalized in 2016, $16 million was capitalized in 2015 and $16 million was capitalized in 2014. In 2016, 2015 and 2014, interest was capitalized primarily for landfills under construction.</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 is subject to income tax in the U.S. and Canada.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Deferred income taxes are based on the difference between the financial reporting and tax basis of assets and liabilities. The deferred income tax provision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Should interest and penalties be assessed by taxing authorities on any underpayment of income tax, such amounts would be accrued and classified as a component of provision for income taxes in our Consolidated Statements of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11 for discussion of our commitments and contingencies.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80" w:type="dxa"/>
            <w:vAlign w:val="bottom"/>
          </w:tcPr>
          <w:p>
            <w:pPr>
              <w:spacing w:after="0"/>
              <w:rPr>
                <w:sz w:val="20"/>
                <w:szCs w:val="20"/>
                <w:color w:val="auto"/>
              </w:rPr>
            </w:pPr>
            <w:r>
              <w:rPr>
                <w:rFonts w:ascii="Arial" w:cs="Arial" w:eastAsia="Arial" w:hAnsi="Arial"/>
                <w:sz w:val="14"/>
                <w:szCs w:val="14"/>
                <w:b w:val="1"/>
                <w:bCs w:val="1"/>
                <w:color w:val="auto"/>
              </w:rPr>
              <w:t>Cash paid during the years ended December 31 (in millions):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Interest, net of capitalized interest and periodic settlements from interest rate swap agreements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Income taxes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419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758</w:t>
            </w:r>
          </w:p>
        </w:tc>
      </w:tr>
    </w:tbl>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During 2016, 2015 and 2014, we did not have any significant non-cash investing and financing activities. Non-cash investing and financing activities are generally excluded from the Consolidated Statements of Cash Flows.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Landfill and Environmental Remediation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0"/>
                <w:szCs w:val="10"/>
                <w:color w:val="auto"/>
              </w:rPr>
            </w:pPr>
          </w:p>
        </w:tc>
        <w:tc>
          <w:tcPr>
            <w:tcW w:w="14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9"/>
              </w:rPr>
              <w:t>Environmental</w:t>
            </w:r>
          </w:p>
        </w:tc>
        <w:tc>
          <w:tcPr>
            <w:tcW w:w="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0"/>
                <w:szCs w:val="10"/>
                <w:color w:val="auto"/>
              </w:rPr>
            </w:pP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0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Remediation</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Remediation</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1,406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1,518</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years ended December 31, 2015 and 2016 are reflected in the table below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Landfill</w:t>
            </w: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assumptions(a)(b)</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Acquisitions, divestitures and other adjustments(d)</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$1,518</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Obligations incurred and capitalized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settled</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Interest accretion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in estimates and interest rate assumptions(a)(b)(c)</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0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 decrease of approximately $18 million for 2015 and $11 million for 2016, related to our year-end annual review of landfill final capping, closure and post-closure obligations.</w:t>
      </w:r>
    </w:p>
    <w:p>
      <w:pPr>
        <w:spacing w:after="0" w:line="75" w:lineRule="exact"/>
        <w:rPr>
          <w:rFonts w:ascii="Arial" w:cs="Arial" w:eastAsia="Arial" w:hAnsi="Arial"/>
          <w:sz w:val="18"/>
          <w:szCs w:val="18"/>
          <w:color w:val="auto"/>
        </w:rPr>
      </w:pPr>
    </w:p>
    <w:p>
      <w:pPr>
        <w:ind w:left="460" w:right="36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reported in 2015 for our environmental remediation liabilities includes the impact of an increase in the risk-free discount rate used to measure our liabilities from 2.0% at December 31, 2014 to 2.25% at December 31, 2015, resulting in a decrease of $3 million to our environmental remediation liabilities and a corresponding decrease to “Operating” expenses.</w:t>
      </w:r>
    </w:p>
    <w:p>
      <w:pPr>
        <w:spacing w:after="0" w:line="73" w:lineRule="exact"/>
        <w:rPr>
          <w:rFonts w:ascii="Arial" w:cs="Arial" w:eastAsia="Arial" w:hAnsi="Arial"/>
          <w:sz w:val="18"/>
          <w:szCs w:val="18"/>
          <w:color w:val="auto"/>
        </w:rPr>
      </w:pPr>
    </w:p>
    <w:p>
      <w:pPr>
        <w:jc w:val="both"/>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The amount reported in 2016 for environmental remediation liabilities includes the impact of an increase in the risk-free discount rate used to measure our liabilities from 2.25% at December 31, 2015 to 2.5% at December 31, 2016, resulting in a decrease of $2 million to our environmental remediation liabilities and a corresponding decrease to “Operating” expenses.</w:t>
      </w:r>
    </w:p>
    <w:p>
      <w:pPr>
        <w:spacing w:after="0" w:line="8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reported in 2016 for our landfill liabilities includes an increase of $13 million due to acceleration of the expected timing of closure and post-closure activities for a landfill. See Note 13 for further discussion of the impairment charge related to this landfill.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right="480"/>
        <w:spacing w:after="0" w:line="264" w:lineRule="auto"/>
        <w:rPr>
          <w:sz w:val="20"/>
          <w:szCs w:val="20"/>
          <w:color w:val="auto"/>
        </w:rPr>
      </w:pPr>
      <w:r>
        <w:rPr>
          <w:rFonts w:ascii="Arial" w:cs="Arial" w:eastAsia="Arial" w:hAnsi="Arial"/>
          <w:sz w:val="18"/>
          <w:szCs w:val="18"/>
          <w:color w:val="auto"/>
        </w:rPr>
        <w:t>The amount reported in 2016 for our environmental remediation liabilities includes the impact of an increase of $44 million in our cost estimates associated with a subsidiary’s closed site in Harris County, Texas. See Notes 11 and 13 for further discussion of this environmental remediation adjustment.</w:t>
      </w:r>
    </w:p>
    <w:p>
      <w:pPr>
        <w:spacing w:after="0" w:line="87" w:lineRule="exact"/>
        <w:rPr>
          <w:sz w:val="20"/>
          <w:szCs w:val="20"/>
          <w:color w:val="auto"/>
        </w:rPr>
      </w:pPr>
    </w:p>
    <w:p>
      <w:pPr>
        <w:ind w:left="460" w:right="36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reported for our 2015 landfill liabilities include an increase of approximately $18 million as a result of our acquisition of Deffenbaugh Disposal, Inc. (“Deffenbaugh”).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recorded liabilities as of December 31, 2016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$28 million in 2017, $21 million in 2018, $29 million in 2019, $63 million in 2020, $17 million in 2021 and $88 million thereafter.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18 and 20 for additional information related to these trusts.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Landfills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14,276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13,772</w:t>
            </w: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28,102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27,085</w:t>
            </w:r>
          </w:p>
        </w:tc>
        <w:tc>
          <w:tcPr>
            <w:tcW w:w="12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of tangible property and equipment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(8,812)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(8,495)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Less accumulated amortization of landfill airspace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(8,340)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(7,925)</w:t>
            </w:r>
          </w:p>
        </w:tc>
      </w:tr>
      <w:tr>
        <w:trPr>
          <w:trHeight w:val="27"/>
        </w:trPr>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10,665</w:t>
            </w:r>
          </w:p>
        </w:tc>
        <w:tc>
          <w:tcPr>
            <w:tcW w:w="120" w:type="dxa"/>
            <w:vAlign w:val="bottom"/>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was comprised of the following for the years ended December 31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1,169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1,214</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Goodwill was $6,215 million as of December 31, 2016 compared with $5,984 million as of December 31, 2015. The $231 million increase in goodwill during 2016 is primarily related to the acquisition of certain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business assets of Southern Waste Systems/Sun Recycling (“SWS”) in Southern Florida. See Notes 19 and 21 for additional information.</w:t>
      </w:r>
    </w:p>
    <w:p>
      <w:pPr>
        <w:spacing w:after="0" w:line="24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discussed more fully in Note 3, we perform our annual impairment test of goodwill balances for our reporting units using a measurement date of October 1. We will also perform interim tests if an impairment indicator exists. See Note 13 for discussion of goodwill impairments.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intangible assets as of December 31, 2016 and 2015 were comprised of the following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1"/>
              </w:rPr>
              <w:t>Customer</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Covenants</w:t>
            </w:r>
          </w:p>
        </w:tc>
        <w:tc>
          <w:tcPr>
            <w:tcW w:w="36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0"/>
              </w:rPr>
              <w:t>Licenses,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6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and Supplier</w:t>
            </w: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Not-to-</w:t>
            </w:r>
          </w:p>
        </w:tc>
        <w:tc>
          <w:tcPr>
            <w:tcW w:w="36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Permits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Relationships</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Compete</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2016:</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7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7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Amortization expense for other intangible assets was $100 million for 2016, $76 million for 2015 and $78 million for 2014. At December 31, 2016, we had $18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19. As of December 31, 2016, we expect annual amortization expense related to other intangible assets to be $97 million in 2017; $87 million in 2018; $77 million in 2019; $69 million in 2020 and $58 million in 2021.</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December 31, 2016:</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182"/>
        </w:trPr>
        <w:tc>
          <w:tcPr>
            <w:tcW w:w="8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$2.25 billion revolving credit facility, maturing July 2020 (weighted average interest rate of 1.9% at December 31,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Commercial paper program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letter of credit facilities, maturing through December 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w w:val="98"/>
              </w:rPr>
              <w:t>Canadian term loan and revolving credit facility, maturing March 2019 (weighted average effective interest rate of</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00" w:type="dxa"/>
            <w:vAlign w:val="bottom"/>
          </w:tcPr>
          <w:p>
            <w:pPr>
              <w:ind w:left="180"/>
              <w:spacing w:after="0"/>
              <w:rPr>
                <w:sz w:val="20"/>
                <w:szCs w:val="20"/>
                <w:color w:val="auto"/>
              </w:rPr>
            </w:pPr>
            <w:r>
              <w:rPr>
                <w:rFonts w:ascii="Arial" w:cs="Arial" w:eastAsia="Arial" w:hAnsi="Arial"/>
                <w:sz w:val="18"/>
                <w:szCs w:val="18"/>
                <w:color w:val="auto"/>
              </w:rPr>
              <w:t>2.1% at December 31, 2016 and 2.2% at December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Senior notes maturing through 2045, interest rates ranging from 2.40% to 7.75% (weighted average interest rate of</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4.6% at December 31, 2016 and 4.7% at December 31, 2015)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6,033</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6,050</w:t>
            </w:r>
          </w:p>
        </w:tc>
      </w:tr>
      <w:tr>
        <w:trPr>
          <w:trHeight w:val="202"/>
        </w:trPr>
        <w:tc>
          <w:tcPr>
            <w:tcW w:w="8900" w:type="dxa"/>
            <w:vAlign w:val="bottom"/>
          </w:tcPr>
          <w:p>
            <w:pPr>
              <w:spacing w:after="0" w:line="201" w:lineRule="exact"/>
              <w:rPr>
                <w:sz w:val="20"/>
                <w:szCs w:val="20"/>
                <w:color w:val="auto"/>
              </w:rPr>
            </w:pPr>
            <w:r>
              <w:rPr>
                <w:rFonts w:ascii="Arial" w:cs="Arial" w:eastAsia="Arial" w:hAnsi="Arial"/>
                <w:sz w:val="18"/>
                <w:szCs w:val="18"/>
                <w:color w:val="auto"/>
                <w:w w:val="99"/>
              </w:rPr>
              <w:t>Tax-exempt bonds maturing through 2045, fixed and variable interest rates ranging from 0.7% to 5.7% (weighted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00" w:type="dxa"/>
            <w:vAlign w:val="bottom"/>
          </w:tcPr>
          <w:p>
            <w:pPr>
              <w:ind w:left="180"/>
              <w:spacing w:after="0"/>
              <w:rPr>
                <w:sz w:val="20"/>
                <w:szCs w:val="20"/>
                <w:color w:val="auto"/>
              </w:rPr>
            </w:pPr>
            <w:r>
              <w:rPr>
                <w:rFonts w:ascii="Arial" w:cs="Arial" w:eastAsia="Arial" w:hAnsi="Arial"/>
                <w:sz w:val="18"/>
                <w:szCs w:val="18"/>
                <w:color w:val="auto"/>
              </w:rPr>
              <w:t>average interest rate of 1.8% at December 31, 2016 and 1.9% at December 31, 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2,304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2,447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23"/>
        </w:trPr>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9,310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8,929</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23"/>
        </w:trPr>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8,893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8,676</w:t>
            </w:r>
          </w:p>
        </w:tc>
        <w:tc>
          <w:tcPr>
            <w:tcW w:w="10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of December 31, 2016, the current portion of our long-term debt balance of $417 million includes (i) $230 million of short-term borrowings under our long-term U.S. revolving credit facility (“$2.25 billion revolving credit facility”) and (ii) $187 million of other debt with scheduled maturities within the next 12 months, including $126 million of tax-exempt bonds.</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2016, we have classified $196 million of borrowings outstanding under our $2.25 billion revolving credit facility as long-term because we intend and have the ability to refinance or maintain these borrowings on a long-term basis. We generally use available cash to repay borrowings outstanding under our $2.25 billion revolving credit facility and any remaining balances are maintained by extending the maturities of the borrowings. Our current projections indicate that we will maintain $196 million of the $426 million of borrowings outstanding for the next 12 months. The remaining $230 million of borrowings outstanding under our $2.25 billion revolving credit facility is classified as current in our Consolidated Balance Sheet at December 31, 2016.</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December 31, 2016, we also have $473 million of tax-exempt bonds with term interest rate periods that expire within the next 12 months and an additional $491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00"/>
          </w:cols>
          <w:pgMar w:left="24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use availability under our $2.25 billion revolving credit facility to fund the debt obligations until they can be remarketed successfully. Accordingly, we classified these borrowings as long-term in our Consolidated Balance Sheet at December 31,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Our $2.25 billion revolving credit facility maturing in July 2020 provides us with credit capacity to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either cash borrowings or to support letters of credit. The rates we pay for outstanding loans are generally based on LIBOR plus a spread depending on the Company’s debt rating assigned by Moody’s Investors Service and Standard and Poor’s. The spread above LIBOR ranges from 0.805% to 1.3%. At December 31, 2016, we had $426 million of outstanding borrowings and $789 million of letters of credit issued and supported by this facility, leaving unused and available credit capacity of $1,035 million.</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In August 2016, we entered into a $1.5 billion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commercial paper program is fully supported by our $2.25 billion revolving credit facility. In order to borrow in the commercial paper market, the Company must obtain short-term credit ratings. We are in the process of working with the credit rating agencies to obtain these ratings and, as a result, we did not have any commercial paper borrowings as of or during the year ended December 31, 2016.</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Canadian Term Loan and Revolving Credit Facility </w:t>
      </w:r>
      <w:r>
        <w:rPr>
          <w:rFonts w:ascii="Arial" w:cs="Arial" w:eastAsia="Arial" w:hAnsi="Arial"/>
          <w:sz w:val="16"/>
          <w:szCs w:val="16"/>
          <w:color w:val="auto"/>
        </w:rPr>
        <w:t>— In March 2016, we amended and restated our Canadian credit agreement (which includes a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 and revolving credit facility), to decrease the revolving credit capacity, increase the amount of term credit, and extend the term through March</w:t>
      </w:r>
    </w:p>
    <w:p>
      <w:pPr>
        <w:ind w:right="60"/>
        <w:spacing w:after="0" w:line="287" w:lineRule="auto"/>
        <w:rPr>
          <w:sz w:val="20"/>
          <w:szCs w:val="20"/>
          <w:color w:val="auto"/>
        </w:rPr>
      </w:pPr>
      <w:r>
        <w:rPr>
          <w:rFonts w:ascii="Arial" w:cs="Arial" w:eastAsia="Arial" w:hAnsi="Arial"/>
          <w:sz w:val="16"/>
          <w:szCs w:val="16"/>
          <w:color w:val="auto"/>
        </w:rPr>
        <w:t>2019. Waste Management of Canada Corporation and WM Quebec Inc., wholly-owned subsidiaries of WM, are borrowers under this agreement. The amended and restated credit agreement provides the Company (i) C$50 million of revolving credit capacity, which can be used for borrowings or letters of credit, and (ii) C$460 million of non-revolving term credit that is prepayable without penalty. Prior to closing, there was a balance of C$90 million remaining on the prior C$500 million term loan. Upon closing, the term loan was fully drawn to repay the indebtedness owed under the prior Canadian credit agreement and to repay C$370 million of intercompany debt. WM and WM Holdings guarantee all subsidiary obligations outstanding under this credit agreement. The rates we pay for outstanding loans under the Canadian credit agreement are generally based on the applicable LIBOR plus a spread depending on the Company’s debt rating assigned by Moody’s Investors Service and Standard and Poor’s. The spread above LIBOR ranges from 0.875% to 1.5%. At December 31, 2016 and 2015, we had no borrowings or letters of credit outstanding under the Canadian revolving credit agreement.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Other Letter of Credit Facilities </w:t>
      </w:r>
      <w:r>
        <w:rPr>
          <w:rFonts w:ascii="Arial" w:cs="Arial" w:eastAsia="Arial" w:hAnsi="Arial"/>
          <w:sz w:val="18"/>
          <w:szCs w:val="18"/>
          <w:color w:val="auto"/>
        </w:rPr>
        <w:t>— As of December 31, 2016, we had utilized $492 million of other letter of credit facilities, which are both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uncommitted, with terms extending through December 2018.</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 xml:space="preserve">$2.25 Billion Revolving Credit Facility — </w:t>
      </w:r>
      <w:r>
        <w:rPr>
          <w:rFonts w:ascii="Arial" w:cs="Arial" w:eastAsia="Arial" w:hAnsi="Arial"/>
          <w:sz w:val="18"/>
          <w:szCs w:val="18"/>
          <w:color w:val="auto"/>
        </w:rPr>
        <w:t>During the year ended December 31, 2016, we had net borrowings of $406 million under our $2.25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These net borrowings included funds to support our acquisition of certain operations and business assets of SWS. Refer to Note 19 for additional information related to this acquisition.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During the three months ended March 31, 2016, we repaid C$27 million, or $20 million, of advances under our prior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reducing the balance to C$90 million at the time of the amendment and restatement of the credit agreement. Upon closing of the new Canadian credit agreement, we borrowed C$460 million, or $347 million, to repay the prior term loan and to allow our Canadian subsidiaries to repay C$370 million, or $280 million, of intercompany debt. From April 1, 2016 through December 31, 2016, we repaid C$139 million, or $105 million, of advances under our Canadian term loan.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2016, we issued $500 million of 2.4% senior notes that mature in May 2023. We utilized the net proceeds of $496 million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repay $500 million of 2.6% senior notes that matured in September 2016.</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year ended December 31, 2016, we repaid $146 million of our tax-exempt bonds with available cash. In May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elected to refund and reissue $143 million of tax-exempt bonds in order to reduce the interest costs associated with this debt. The “Loss on early extinguishment of debt” reflected in our Consolidated Statement of Operations for the year ended December 31, 2016 includes $3 million of charges related to these refundings.</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i w:val="1"/>
          <w:iCs w:val="1"/>
          <w:color w:val="auto"/>
        </w:rPr>
        <w:t xml:space="preserve">Scheduled Debt Payments </w:t>
      </w:r>
      <w:r>
        <w:rPr>
          <w:rFonts w:ascii="Arial" w:cs="Arial" w:eastAsia="Arial" w:hAnsi="Arial"/>
          <w:sz w:val="17"/>
          <w:szCs w:val="17"/>
          <w:color w:val="auto"/>
        </w:rPr>
        <w:t>— Principal payments of our debt and capital leases for the next five years, based on scheduled maturities are as follows:</w:t>
      </w:r>
      <w:r>
        <w:rPr>
          <w:rFonts w:ascii="Arial" w:cs="Arial" w:eastAsia="Arial" w:hAnsi="Arial"/>
          <w:sz w:val="17"/>
          <w:szCs w:val="17"/>
          <w:i w:val="1"/>
          <w:iCs w:val="1"/>
          <w:color w:val="auto"/>
        </w:rPr>
        <w:t xml:space="preserve"> </w:t>
      </w:r>
      <w:r>
        <w:rPr>
          <w:rFonts w:ascii="Arial" w:cs="Arial" w:eastAsia="Arial" w:hAnsi="Arial"/>
          <w:sz w:val="17"/>
          <w:szCs w:val="17"/>
          <w:color w:val="auto"/>
        </w:rPr>
        <w:t>$610 million in 2017, $783 million in 2018, $432 million in 2019, $746 million in 2020, and $540 million in 2021. Our recorded debt and capital lease obligations include non-cash adjustments associated with discounts, premiums, deferred loan costs and fair value adjustments for interest rate hedging activities, which have been excluded from these amounts because they will not result in cash payments.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Refinancing</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During 2015, we recognized a pre-tax loss of $552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Our debt balances are generally unsecured, except for capital leases and the note payable associated with our investment in low-income housing properties.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Our $2.25 billion revolving credit facility, our Canadian credit agreement and certain other financing agreements contain financial covenants. The following table summarizes the most restrictive requirements of these financial covenants (all terms used to measure these ratios are defined by the facilities):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3640" w:type="dxa"/>
            <w:vAlign w:val="bottom"/>
            <w:shd w:val="clear" w:color="auto" w:fill="CCEEFF"/>
          </w:tcPr>
          <w:p>
            <w:pPr>
              <w:ind w:left="2520"/>
              <w:spacing w:after="0"/>
              <w:rPr>
                <w:sz w:val="20"/>
                <w:szCs w:val="20"/>
                <w:color w:val="auto"/>
              </w:rPr>
            </w:pPr>
            <w:r>
              <w:rPr>
                <w:rFonts w:ascii="Arial" w:cs="Arial" w:eastAsia="Arial" w:hAnsi="Arial"/>
                <w:sz w:val="18"/>
                <w:szCs w:val="18"/>
                <w:color w:val="auto"/>
              </w:rPr>
              <w:t>&gt; 2.75 to 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debt to EBITDA</w:t>
            </w:r>
          </w:p>
        </w:tc>
        <w:tc>
          <w:tcPr>
            <w:tcW w:w="3640" w:type="dxa"/>
            <w:vAlign w:val="bottom"/>
          </w:tcPr>
          <w:p>
            <w:pPr>
              <w:ind w:left="2520"/>
              <w:spacing w:after="0"/>
              <w:rPr>
                <w:sz w:val="20"/>
                <w:szCs w:val="20"/>
                <w:color w:val="auto"/>
              </w:rPr>
            </w:pPr>
            <w:r>
              <w:rPr>
                <w:rFonts w:ascii="Arial" w:cs="Arial" w:eastAsia="Arial" w:hAnsi="Arial"/>
                <w:sz w:val="18"/>
                <w:szCs w:val="18"/>
                <w:color w:val="auto"/>
              </w:rPr>
              <w:t>&lt; 3.50 to 1</w:t>
            </w: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credit facilities and senior notes also contain certain restrictions intended to monitor our level of subsidiary indebtedness, types of investments and net worth. We monitor our compliance with these restrictions, but do not believe that they significantly impact our ability to enter into investing or financing arrangements typical for our business. As of December 31, 2016 and 2015, we were in compliance with the covenants and restrictions under all of our debt agreements that may have a material effect on our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derivatives outstanding at December 31, 2016. The following discussion relates to our terminated derivatives: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 As of December 31, 2015, we had cross-currency swaps outstanding for all of the anticipated cash flows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C$370 million of intercompany debt between WM Holdings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its wholly-owned Canadian subsidiaries. As discussed in Note 7, in March 2016, our Canadian subsidiaries repaid the intercompany debt with proceeds from our Canadian term loan. Concurrent with the repayment of the intercompany debt, we terminated the cross-currency swaps and received $67 million in cash. The cash received from our termination of the swaps was classified as a change in “Other current assets” and “Other assets” within “Net cash provided by operating activities” in the Consolidated Statement of Cash Flows. In addition, we recognized $8 million of expense associated with the termination of these swaps, which was included in “Other, net” in the Consolidated Statement of Operations.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These cross-currency swaps had been designated as cash flow hedges and as of December 31, 2015, the carrying value of the hedge position was reflected in our Consolidated Balance Sheet as $15 million of current other assets and $63 million of long-term other assets. Through March 2016, when the intercompany loans and the related cross-currency swaps were terminated, gains or losses resulting from the remeasurement of the underlying non-functional currency intercompany loans were recognized in current earnings in the same financial statement line item as the offsetting gains or losses on the related cross-currency swaps. There was no significant ineffectiveness associated with our cash flow hedges during the reported periods.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Forward-Starting Interest Rate Swaps </w:t>
      </w:r>
      <w:r>
        <w:rPr>
          <w:rFonts w:ascii="Arial" w:cs="Arial" w:eastAsia="Arial" w:hAnsi="Arial"/>
          <w:sz w:val="17"/>
          <w:szCs w:val="17"/>
          <w:color w:val="auto"/>
        </w:rPr>
        <w:t>— At December 31, 2016 and 2015, our “Accumulated other comprehensive income (loss)” included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$43 million, respectively, of after-tax deferred losses related to terminated cash flow swaps, which are being amortized as an increase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using the effective interest method over the ten-year terms of the related senior notes, which extend through 2024. As of December 31,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of the pre-tax deferred losses for these previously terminated swaps is scheduled to be reclassified as an increase to interest expense over the next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 months.</w:t>
      </w:r>
    </w:p>
    <w:p>
      <w:pPr>
        <w:spacing w:after="0" w:line="21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During the first quarter of 2014, forward-starting interest rate swaps with a notional value of $175 million matured and we paid cash of $36 million to settle the associated liabilities. The loss associated with the matured forward-starting swaps was deferred and included as a component of the “Accumulated other comprehensive income (loss)” balance discussed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 to Note 14 for information regarding the impacts of our cash flow derivatives on our comprehensive income and results of operations.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consisted of the following for the years ended December 31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4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9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Federal</w:t>
            </w:r>
          </w:p>
        </w:tc>
        <w:tc>
          <w:tcPr>
            <w:tcW w:w="4820" w:type="dxa"/>
            <w:vAlign w:val="bottom"/>
            <w:gridSpan w:val="3"/>
          </w:tcPr>
          <w:p>
            <w:pPr>
              <w:jc w:val="right"/>
              <w:ind w:right="560"/>
              <w:spacing w:after="0"/>
              <w:rPr>
                <w:sz w:val="20"/>
                <w:szCs w:val="20"/>
                <w:color w:val="auto"/>
              </w:rPr>
            </w:pPr>
            <w:r>
              <w:rPr>
                <w:rFonts w:ascii="Arial" w:cs="Arial" w:eastAsia="Arial" w:hAnsi="Arial"/>
                <w:sz w:val="18"/>
                <w:szCs w:val="18"/>
                <w:color w:val="auto"/>
              </w:rPr>
              <w:t>$443</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$192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$ 414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Foreign</w:t>
            </w:r>
          </w:p>
        </w:tc>
        <w:tc>
          <w:tcPr>
            <w:tcW w:w="3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Deferred:</w:t>
            </w:r>
          </w:p>
        </w:tc>
        <w:tc>
          <w:tcPr>
            <w:tcW w:w="39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State</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4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900" w:type="dxa"/>
            <w:vAlign w:val="bottom"/>
            <w:vMerge w:val="restart"/>
          </w:tcPr>
          <w:p>
            <w:pPr>
              <w:jc w:val="right"/>
              <w:ind w:right="2252"/>
              <w:spacing w:after="0"/>
              <w:rPr>
                <w:sz w:val="20"/>
                <w:szCs w:val="20"/>
                <w:color w:val="auto"/>
              </w:rPr>
            </w:pPr>
            <w:r>
              <w:rPr>
                <w:rFonts w:ascii="Arial" w:cs="Arial" w:eastAsia="Arial" w:hAnsi="Arial"/>
                <w:sz w:val="18"/>
                <w:szCs w:val="18"/>
                <w:color w:val="auto"/>
              </w:rPr>
              <w:t>97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federal statutory income tax rate is reconciled to the effective income tax rate for the years ended December 31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35.00%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Federal tax credits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(3.08)</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(5.49)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(0.53)</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3.31</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3.20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 impact of impairments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0.80</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Tax impact of divestitures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0.26</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(0.34)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on foreign income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(0.63)</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0.17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r>
      <w:tr>
        <w:trPr>
          <w:trHeight w:val="27"/>
        </w:trPr>
        <w:tc>
          <w:tcPr>
            <w:tcW w:w="6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35.23%</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29.11%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23.61%</w:t>
            </w:r>
          </w:p>
        </w:tc>
      </w:tr>
      <w:tr>
        <w:trPr>
          <w:trHeight w:val="20"/>
        </w:trPr>
        <w:tc>
          <w:tcPr>
            <w:tcW w:w="6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comparability of our provision for income taxes for the reported periods has been primarily affected by (i) variations in our income before income taxes; (ii) federal tax credits; (iii) tax audit settlements; (iv) the realization of state net operating losses and credits; (v) adjustments to our accruals and related deferred taxes and (vi) the tax implications of impairments and divestitures.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financial reporting purposes, income before income taxes by source for the years ended December 31 was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Foreign</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138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7"/>
        </w:trPr>
        <w:tc>
          <w:tcPr>
            <w:tcW w:w="6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1,751</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 invest in and manage low-income</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2016, 2015 and 2014, we recognized $31 million, $30 million and $32 million of net losses and a reduction in our tax provision of $55 million, $57 million and $58 million, respectively, primarily as a result of tax credits realized from these investments. In addition, during the years ended December 31, 2016, 2015 and 2014, we recognized interest expense of $3 million, $4 million and $5 million, respectively, associated with our investment in low-income housing properties.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20 for additional information related to these unconsolidated variable interest entities.</w:t>
      </w:r>
    </w:p>
    <w:p>
      <w:pPr>
        <w:spacing w:after="0" w:line="225" w:lineRule="exact"/>
        <w:rPr>
          <w:sz w:val="20"/>
          <w:szCs w:val="20"/>
          <w:color w:val="auto"/>
        </w:rPr>
      </w:pPr>
    </w:p>
    <w:p>
      <w:pPr>
        <w:ind w:right="700" w:firstLine="456"/>
        <w:spacing w:after="0" w:line="264" w:lineRule="auto"/>
        <w:rPr>
          <w:sz w:val="20"/>
          <w:szCs w:val="20"/>
          <w:color w:val="auto"/>
        </w:rPr>
      </w:pPr>
      <w:r>
        <w:rPr>
          <w:rFonts w:ascii="Arial" w:cs="Arial" w:eastAsia="Arial" w:hAnsi="Arial"/>
          <w:sz w:val="18"/>
          <w:szCs w:val="18"/>
          <w:i w:val="1"/>
          <w:iCs w:val="1"/>
          <w:color w:val="auto"/>
        </w:rPr>
        <w:t xml:space="preserve">Other Federal Tax Credits </w:t>
      </w:r>
      <w:r>
        <w:rPr>
          <w:rFonts w:ascii="Arial" w:cs="Arial" w:eastAsia="Arial" w:hAnsi="Arial"/>
          <w:sz w:val="18"/>
          <w:szCs w:val="18"/>
          <w:color w:val="auto"/>
        </w:rPr>
        <w:t>— During 2016, 2015 and 2014, we recognized federal tax credits in addition to the tax credits realized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low-income housing properties and the refined coal facility, resulting in a reduction to our provision for income taxes of $14 million, $15 million and $13 million,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We file income tax returns in the United States and Canada, as well as various state and local jurisdictions. We are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under audit by the IRS, Canada Revenue Agency and various state and local taxing authorities. Our audits are in various stages of completion.</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2016, 2015 and 2014, we settled various tax audits. The settlement of these tax audits resulted in a reduction to our provision for income taxes of $11 million, $10 million and $12 million for the years ended December 31, 2016, 2015 and 2014, respectively.</w:t>
      </w:r>
    </w:p>
    <w:p>
      <w:pPr>
        <w:spacing w:after="0" w:line="170" w:lineRule="exact"/>
        <w:rPr>
          <w:sz w:val="20"/>
          <w:szCs w:val="20"/>
          <w:color w:val="auto"/>
        </w:rPr>
      </w:pPr>
    </w:p>
    <w:p>
      <w:pPr>
        <w:jc w:val="both"/>
        <w:ind w:right="300" w:firstLine="456"/>
        <w:spacing w:after="0" w:line="302" w:lineRule="auto"/>
        <w:rPr>
          <w:sz w:val="20"/>
          <w:szCs w:val="20"/>
          <w:color w:val="auto"/>
        </w:rPr>
      </w:pPr>
      <w:r>
        <w:rPr>
          <w:rFonts w:ascii="Arial" w:cs="Arial" w:eastAsia="Arial" w:hAnsi="Arial"/>
          <w:sz w:val="16"/>
          <w:szCs w:val="16"/>
          <w:color w:val="auto"/>
        </w:rPr>
        <w:t>We participate in the IRS’s Compliance Assurance Process, which means we work with the IRS throughout the year in order to resolve any material issues prior to the filing of our annual tax return. We are currently in the examination phase of IRS audits for the tax years 2014, 2015, 2016 and 2017 and expect these audits to be completed within the next nine, 12, 18 and 30 months, respectively. We are also currently undergoing audits by various state and local jurisdictions for tax years that date back to 2009, with the exception of affirmative claims in a limited number of jurisdictions that date back to 2000.</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2016, 2015 and 2014, we recognized state net operating losses and credits resulting in a reduction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our provision for income taxes of $10 million, $17 million and $16 million, respectively.</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our accruals and related deferred taxes due to the filing of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changes in state laws resulted in a reduction of $10 million, $18 million and $24 million to our provision for income taxes for the years ended December 31, 2016, 2015 and 2014, respectively.</w:t>
      </w:r>
    </w:p>
    <w:p>
      <w:pPr>
        <w:spacing w:after="0" w:line="18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i w:val="1"/>
          <w:iCs w:val="1"/>
          <w:color w:val="auto"/>
        </w:rPr>
        <w:t xml:space="preserve">Tax Implications of Impairments </w:t>
      </w:r>
      <w:r>
        <w:rPr>
          <w:rFonts w:ascii="Arial" w:cs="Arial" w:eastAsia="Arial" w:hAnsi="Arial"/>
          <w:sz w:val="17"/>
          <w:szCs w:val="17"/>
          <w:color w:val="auto"/>
        </w:rPr>
        <w:t>— A portion of the impairment charges recognized in 2016, 2015 and 2014 are not deductible for tax purposes. Had</w:t>
      </w:r>
      <w:r>
        <w:rPr>
          <w:rFonts w:ascii="Arial" w:cs="Arial" w:eastAsia="Arial" w:hAnsi="Arial"/>
          <w:sz w:val="17"/>
          <w:szCs w:val="17"/>
          <w:i w:val="1"/>
          <w:iCs w:val="1"/>
          <w:color w:val="auto"/>
        </w:rPr>
        <w:t xml:space="preserve"> </w:t>
      </w:r>
      <w:r>
        <w:rPr>
          <w:rFonts w:ascii="Arial" w:cs="Arial" w:eastAsia="Arial" w:hAnsi="Arial"/>
          <w:sz w:val="17"/>
          <w:szCs w:val="17"/>
          <w:color w:val="auto"/>
        </w:rPr>
        <w:t>the charges been fully deductible, our provision for income taxes would have been reduced by $15 million, $2 million and $8 million for the years ended December 31, 2016, 2015 and 2014, respectively. See Note 13 for more information related to our impairment charges.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Tax Implications of Divestitures </w:t>
      </w:r>
      <w:r>
        <w:rPr>
          <w:rFonts w:ascii="Arial" w:cs="Arial" w:eastAsia="Arial" w:hAnsi="Arial"/>
          <w:sz w:val="16"/>
          <w:szCs w:val="16"/>
          <w:color w:val="auto"/>
        </w:rPr>
        <w:t>— During 2014, the Company recorded a net gain of $515 million primarily related to the divestiture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Wheelabrator business, our Puerto Rico operations and certain landfill and collection operations in our Eastern Canada Area. Had this net gain been fully taxable, our provision for income taxes would have increased by $138 million. During 2015, the Company recorded an additional $10 million net gain primarily related to post-closing adjustments on the Wheelabrator divestiture and had this gain been fully taxable, our provision for income taxes would have increased by $4 million. During 2016, the Company recorded a loss of $9 million related to the divestiture of certain asset and had the associated tax loss been fully deductible, our provision for income taxes would have decreased by $5 million. See Note 19 for more information related to our divestitures.</w:t>
      </w:r>
    </w:p>
    <w:p>
      <w:pPr>
        <w:spacing w:after="0" w:line="16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i w:val="1"/>
          <w:iCs w:val="1"/>
          <w:color w:val="auto"/>
        </w:rPr>
        <w:t xml:space="preserve">Unremitted Earnings in Foreign Subsidiaries </w:t>
      </w:r>
      <w:r>
        <w:rPr>
          <w:rFonts w:ascii="Arial" w:cs="Arial" w:eastAsia="Arial" w:hAnsi="Arial"/>
          <w:sz w:val="17"/>
          <w:szCs w:val="17"/>
          <w:color w:val="auto"/>
        </w:rPr>
        <w:t>— At December 31, 2016, remaining unremitted earnings in foreign operations were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$950 million, which are considered permanently invested and, therefore, no provision for U.S. income taxes were accrued for these unremitted earnings. Determination of the unrecognized deferred U.S. income tax liability is not practicable due to uncertainties related to the timing and source of any potential distribution of such funds, along with other important factors such as the amount of associated foreign tax credits.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net deferred tax assets (liabilities) at December 31 are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Net operating loss, capital loss and tax credit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Miscellaneous and other reserves,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(1,182)</w:t>
            </w:r>
          </w:p>
        </w:tc>
      </w:tr>
      <w:tr>
        <w:trPr>
          <w:trHeight w:val="223"/>
        </w:trPr>
        <w:tc>
          <w:tcPr>
            <w:tcW w:w="6880" w:type="dxa"/>
            <w:vAlign w:val="bottom"/>
          </w:tcPr>
          <w:p>
            <w:pPr>
              <w:ind w:left="720"/>
              <w:spacing w:after="0"/>
              <w:rPr>
                <w:sz w:val="20"/>
                <w:szCs w:val="20"/>
                <w:color w:val="auto"/>
              </w:rPr>
            </w:pPr>
            <w:r>
              <w:rPr>
                <w:rFonts w:ascii="Arial" w:cs="Arial" w:eastAsia="Arial" w:hAnsi="Arial"/>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(1,482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valuation allowance increased by $19 million in 2016 primarily due to changes in our capital loss and state net operating loss carry-forwards, as well as the tax impacts of impairments.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December 31, 2016, we had $25 million of federal net operating loss carry-forwards and $2.0 billion of state net operating loss carry-forwards. The federal and state net operating loss carry-forwards have expiration dates through the year 2036. We also had $453 million of federal capital loss carry-forwards which expire in 2019 and 2021 and $24 million of state tax credit carry-forwards.</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beginning and ending amount of gross unrecognized tax benefits, including accrued interest is as follows (in millions):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of prior years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58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Lapse of statute of limitations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liabilities are included as a component of long-term “Other liabilities” in our Consolidated Balance Sheets because the Company does not anticipate that settlement of the liabilities will require payment of cash within the next 12 months. As of December 31, 2016, $69 million of net unrecognized tax benefits, if recognized in future periods, would impact our effective tax rate.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recognize interest expense related to unrecognized tax benefits in our provision for income taxes. During the years ended December 31, 2016, 2015 and 2014, we recognized $2 million, $2 million and $1 million, respectively, of such interest expense as a component of our provisions for income taxes. We had $5 million and $3 million of accrued interest expense in our Consolidated Balance Sheets as of December 31, 2016 and 2015, respectively. We did not have any accrued liabilities or expense for penalties related to unrecognized tax benefits for the years ended December 31, 2016, 2015 and 2014.</w:t>
      </w:r>
    </w:p>
    <w:p>
      <w:pPr>
        <w:spacing w:after="0" w:line="154"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are not able to reasonably estimate when we might make any cash payments required to settle these liabilities, but we do not believe that the ultimate settlement of our obligations will materially affect our liquidity. As of December 31, 2016, we anticipate that approximately $7 million of liabilities for unrecognized tax benefits, including accrued interest, and $3 million of related tax assets may be reversed within the next 12 months. The anticipated reversals primarily relate to miscellaneous state tax items, each of which is individually insignificant. The recognition of the unrecognized tax benefits is expected to result from tax audit settlements or the expiration of the applicable statute of limitations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 xml:space="preserve">Defined Contribution Plans — </w:t>
      </w:r>
      <w:r>
        <w:rPr>
          <w:rFonts w:ascii="Arial" w:cs="Arial" w:eastAsia="Arial" w:hAnsi="Arial"/>
          <w:sz w:val="16"/>
          <w:szCs w:val="16"/>
          <w:color w:val="auto"/>
        </w:rPr>
        <w:t>Waste Management sponsors a 401(k) retirement savings plan that covers employees, except those working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 bargaining agreements that do not provide for coverage under the plan. United States employees who are not subject to such collective bargaining agreements are generally eligible to participate in the plan following a 90-day waiting period after hire and may contribute, effective January 1, 2016, as much as 50% of their eligible annual compensation and 80% of their annual incentive plan bonus, subject to annual contribution limitations established by the IRS. Prior to January 1, 2016, such employees could contribute as much as 25% of their eligible annual compensation,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4.5% of eligible annual compensation. Both employee and Company contributions are in cash and vest immediately. Certain United States employees who are subject to collective bargaining agreements may participate in the 401(k) retirement savings plan under terms specified in their collective bargaining agreement. Certain employees outside the United States, including those in Canada, participate in defined contribution plans maintained by the Company in compliance with laws of the appropriate jurisdiction. Charges to “Operating” and “Selling, general and administrative” expenses for our defined contribution plans totaled $64 million, $61 million and $63 million for the years ended December 31, 2016, 2015 and 2014, respectively.</w:t>
      </w:r>
    </w:p>
    <w:p>
      <w:pPr>
        <w:spacing w:after="0" w:line="17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Defined Benefit Plans (other than multiemployer defined benefit pension plans discussed below) — </w:t>
      </w:r>
      <w:r>
        <w:rPr>
          <w:rFonts w:ascii="Arial" w:cs="Arial" w:eastAsia="Arial" w:hAnsi="Arial"/>
          <w:sz w:val="17"/>
          <w:szCs w:val="17"/>
          <w:color w:val="auto"/>
        </w:rPr>
        <w:t>WM Holdings sponsors a defined benefit plan for</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who are subject to collective bargaining agreements that provide for participation in this plan. Further, certain of our Canadian subsidiaries sponsor defined benefit plans which have previously been frozen to new participants. As of December 31, 2016, the combined benefit obligation of these pension plans was $114 million, and the plans had $103 million of combined plan assets, resulting in an aggregate unfunded benefit obligation for these plans of $11 million. As of December 31, 2015, the combined benefit obligation of these pension plans was $116 million, and the plans had $88 million of combined plan assets, resulting in an aggregate unfunded benefit obligation for these plans of $28 million.</w:t>
      </w:r>
    </w:p>
    <w:p>
      <w:pPr>
        <w:spacing w:after="0" w:line="17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$26 million and $28 million as of December 31, 2016 and 2015,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accrued benefit liabilities for our defined benefit pension and other post-retirement plans were $37 million and $56 million as of December 31, 2016 and 2015, respectively, and are included as components of “Accrued liabilities” and long-term “Other liabilities” in our Consolidated Balance Sheets.</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 multiemployer defined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 amounts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Pension Protection Act</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0"/>
              </w:rPr>
              <w:t>Company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Reported Status(a)</w:t>
            </w: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w w:val="91"/>
              </w:rPr>
              <w:t>Contributions(d)</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EIN/Pension Plan</w:t>
            </w:r>
          </w:p>
        </w:tc>
        <w:tc>
          <w:tcPr>
            <w:tcW w:w="1780" w:type="dxa"/>
            <w:vAlign w:val="bottom"/>
            <w:tcBorders>
              <w:bottom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FIP/RP</w:t>
            </w: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8"/>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25"/>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1500" w:type="dxa"/>
            <w:vAlign w:val="bottom"/>
            <w:gridSpan w:val="2"/>
            <w:vMerge w:val="continue"/>
          </w:tcPr>
          <w:p>
            <w:pPr>
              <w:spacing w:after="0"/>
              <w:rPr>
                <w:sz w:val="2"/>
                <w:szCs w:val="2"/>
                <w:color w:val="auto"/>
              </w:rPr>
            </w:pPr>
          </w:p>
        </w:tc>
        <w:tc>
          <w:tcPr>
            <w:tcW w:w="8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
                <w:szCs w:val="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3"/>
              </w:rPr>
              <w:t>2016</w:t>
            </w:r>
          </w:p>
        </w:tc>
        <w:tc>
          <w:tcPr>
            <w:tcW w:w="20" w:type="dxa"/>
            <w:vAlign w:val="bottom"/>
          </w:tcPr>
          <w:p>
            <w:pPr>
              <w:spacing w:after="0"/>
              <w:rPr>
                <w:sz w:val="2"/>
                <w:szCs w:val="2"/>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
                <w:szCs w:val="2"/>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080" w:type="dxa"/>
            <w:vAlign w:val="bottom"/>
            <w:gridSpan w:val="3"/>
            <w:vMerge w:val="continue"/>
          </w:tcPr>
          <w:p>
            <w:pPr>
              <w:spacing w:after="0"/>
              <w:rPr>
                <w:sz w:val="13"/>
                <w:szCs w:val="13"/>
                <w:color w:val="auto"/>
              </w:rPr>
            </w:pPr>
          </w:p>
        </w:tc>
        <w:tc>
          <w:tcPr>
            <w:tcW w:w="150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Number</w:t>
            </w:r>
          </w:p>
        </w:tc>
        <w:tc>
          <w:tcPr>
            <w:tcW w:w="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Status(b),(c)</w:t>
            </w:r>
          </w:p>
        </w:tc>
        <w:tc>
          <w:tcPr>
            <w:tcW w:w="3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6"/>
              </w:rPr>
              <w:t>Agreement(s)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0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Automotive Industries Pension Plan</w:t>
            </w:r>
          </w:p>
        </w:tc>
        <w:tc>
          <w:tcPr>
            <w:tcW w:w="1100" w:type="dxa"/>
            <w:vAlign w:val="bottom"/>
            <w:shd w:val="clear" w:color="auto" w:fill="CCEEFF"/>
          </w:tcPr>
          <w:p>
            <w:pPr>
              <w:ind w:left="40"/>
              <w:spacing w:after="0" w:line="117" w:lineRule="exact"/>
              <w:rPr>
                <w:sz w:val="20"/>
                <w:szCs w:val="20"/>
                <w:color w:val="auto"/>
              </w:rPr>
            </w:pPr>
            <w:r>
              <w:rPr>
                <w:rFonts w:ascii="Arial" w:cs="Arial" w:eastAsia="Arial" w:hAnsi="Arial"/>
                <w:sz w:val="13"/>
                <w:szCs w:val="13"/>
                <w:color w:val="auto"/>
              </w:rPr>
              <w:t>EIN: 94-1133245;</w:t>
            </w: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Critical and</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Critical</w:t>
            </w: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rPr>
              <w:t>Implemented</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1"/>
              <w:spacing w:after="0" w:line="117"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5"/>
              </w:rPr>
              <w:t>Various dates</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10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Declining</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3"/>
          </w:tcPr>
          <w:p>
            <w:pPr>
              <w:spacing w:after="0"/>
              <w:rPr>
                <w:sz w:val="20"/>
                <w:szCs w:val="20"/>
                <w:color w:val="auto"/>
              </w:rPr>
            </w:pPr>
            <w:r>
              <w:rPr>
                <w:rFonts w:ascii="Arial" w:cs="Arial" w:eastAsia="Arial" w:hAnsi="Arial"/>
                <w:sz w:val="14"/>
                <w:szCs w:val="14"/>
                <w:color w:val="auto"/>
              </w:rPr>
              <w:t>Distributors Association Warehousemen’s Pension Trust</w:t>
            </w:r>
          </w:p>
        </w:tc>
        <w:tc>
          <w:tcPr>
            <w:tcW w:w="1500" w:type="dxa"/>
            <w:vAlign w:val="bottom"/>
            <w:gridSpan w:val="2"/>
          </w:tcPr>
          <w:p>
            <w:pPr>
              <w:ind w:left="40"/>
              <w:spacing w:after="0"/>
              <w:rPr>
                <w:sz w:val="20"/>
                <w:szCs w:val="20"/>
                <w:color w:val="auto"/>
              </w:rPr>
            </w:pPr>
            <w:r>
              <w:rPr>
                <w:rFonts w:ascii="Arial" w:cs="Arial" w:eastAsia="Arial" w:hAnsi="Arial"/>
                <w:sz w:val="14"/>
                <w:szCs w:val="14"/>
                <w:color w:val="auto"/>
              </w:rPr>
              <w:t>EIN: 94-0294755;</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Critical as of</w:t>
            </w: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Critical as of</w:t>
            </w:r>
          </w:p>
        </w:tc>
        <w:tc>
          <w:tcPr>
            <w:tcW w:w="20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Implemented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4/7/2018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color w:val="auto"/>
              </w:rPr>
              <w:t>Plan Number: 002</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5/31/2015</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5/31/2014</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Local 731 Private Scavengers and Garage Attendants Pension Trust</w:t>
            </w:r>
          </w:p>
        </w:tc>
        <w:tc>
          <w:tcPr>
            <w:tcW w:w="15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EIN: 36-6513567;</w:t>
            </w:r>
          </w:p>
        </w:tc>
        <w:tc>
          <w:tcPr>
            <w:tcW w:w="100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rPr>
              <w:t>Not</w:t>
            </w: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Endangered</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Implemented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Fund</w:t>
            </w:r>
          </w:p>
        </w:tc>
        <w:tc>
          <w:tcPr>
            <w:tcW w:w="1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10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Endangered</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or Critical as</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9/30/2014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of 9/30/2015</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80" w:type="dxa"/>
            <w:vAlign w:val="bottom"/>
            <w:gridSpan w:val="3"/>
          </w:tcPr>
          <w:p>
            <w:pPr>
              <w:spacing w:after="0"/>
              <w:rPr>
                <w:sz w:val="20"/>
                <w:szCs w:val="20"/>
                <w:color w:val="auto"/>
              </w:rPr>
            </w:pPr>
            <w:r>
              <w:rPr>
                <w:rFonts w:ascii="Arial" w:cs="Arial" w:eastAsia="Arial" w:hAnsi="Arial"/>
                <w:sz w:val="14"/>
                <w:szCs w:val="14"/>
                <w:color w:val="auto"/>
              </w:rPr>
              <w:t>Suburban Teamsters of Northern Illinois Pension Plan</w:t>
            </w:r>
          </w:p>
        </w:tc>
        <w:tc>
          <w:tcPr>
            <w:tcW w:w="1500" w:type="dxa"/>
            <w:vAlign w:val="bottom"/>
            <w:gridSpan w:val="2"/>
          </w:tcPr>
          <w:p>
            <w:pPr>
              <w:ind w:left="40"/>
              <w:spacing w:after="0"/>
              <w:rPr>
                <w:sz w:val="20"/>
                <w:szCs w:val="20"/>
                <w:color w:val="auto"/>
              </w:rPr>
            </w:pPr>
            <w:r>
              <w:rPr>
                <w:rFonts w:ascii="Arial" w:cs="Arial" w:eastAsia="Arial" w:hAnsi="Arial"/>
                <w:sz w:val="14"/>
                <w:szCs w:val="14"/>
                <w:color w:val="auto"/>
              </w:rPr>
              <w:t>EIN: 36-6155778;</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Endangered</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Critical</w:t>
            </w:r>
          </w:p>
        </w:tc>
        <w:tc>
          <w:tcPr>
            <w:tcW w:w="20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Implemented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3</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9/30/2017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Teamsters Local 301 Pension Plan</w:t>
            </w:r>
          </w:p>
        </w:tc>
        <w:tc>
          <w:tcPr>
            <w:tcW w:w="15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EIN: 36-6492992;</w:t>
            </w:r>
          </w:p>
        </w:tc>
        <w:tc>
          <w:tcPr>
            <w:tcW w:w="100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rPr>
              <w:t>Not</w:t>
            </w: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Not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rPr>
              <w:t>Not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10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Endangered</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Endangered</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Applicable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or Critical</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or Critical</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80" w:type="dxa"/>
            <w:vAlign w:val="bottom"/>
            <w:gridSpan w:val="3"/>
          </w:tcPr>
          <w:p>
            <w:pPr>
              <w:spacing w:after="0"/>
              <w:rPr>
                <w:sz w:val="20"/>
                <w:szCs w:val="20"/>
                <w:color w:val="auto"/>
              </w:rPr>
            </w:pPr>
            <w:r>
              <w:rPr>
                <w:rFonts w:ascii="Arial" w:cs="Arial" w:eastAsia="Arial" w:hAnsi="Arial"/>
                <w:sz w:val="14"/>
                <w:szCs w:val="14"/>
                <w:color w:val="auto"/>
              </w:rPr>
              <w:t>Western Conference of Teamsters Pension Plan</w:t>
            </w:r>
          </w:p>
        </w:tc>
        <w:tc>
          <w:tcPr>
            <w:tcW w:w="1500" w:type="dxa"/>
            <w:vAlign w:val="bottom"/>
            <w:gridSpan w:val="2"/>
          </w:tcPr>
          <w:p>
            <w:pPr>
              <w:ind w:left="40"/>
              <w:spacing w:after="0"/>
              <w:rPr>
                <w:sz w:val="20"/>
                <w:szCs w:val="20"/>
                <w:color w:val="auto"/>
              </w:rPr>
            </w:pPr>
            <w:r>
              <w:rPr>
                <w:rFonts w:ascii="Arial" w:cs="Arial" w:eastAsia="Arial" w:hAnsi="Arial"/>
                <w:sz w:val="14"/>
                <w:szCs w:val="14"/>
                <w:color w:val="auto"/>
              </w:rPr>
              <w:t>EIN: 91-6145047;</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Not</w:t>
            </w:r>
          </w:p>
        </w:tc>
        <w:tc>
          <w:tcPr>
            <w:tcW w:w="780" w:type="dxa"/>
            <w:vAlign w:val="bottom"/>
          </w:tcPr>
          <w:p>
            <w:pPr>
              <w:jc w:val="center"/>
              <w:spacing w:after="0"/>
              <w:rPr>
                <w:sz w:val="20"/>
                <w:szCs w:val="20"/>
                <w:color w:val="auto"/>
              </w:rPr>
            </w:pPr>
            <w:r>
              <w:rPr>
                <w:rFonts w:ascii="Arial" w:cs="Arial" w:eastAsia="Arial" w:hAnsi="Arial"/>
                <w:sz w:val="14"/>
                <w:szCs w:val="14"/>
                <w:color w:val="auto"/>
              </w:rPr>
              <w:t>Not</w:t>
            </w:r>
          </w:p>
        </w:tc>
        <w:tc>
          <w:tcPr>
            <w:tcW w:w="20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rPr>
              <w:t>Not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24</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Endangered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Endangered</w:t>
            </w:r>
          </w:p>
        </w:tc>
        <w:tc>
          <w:tcPr>
            <w:tcW w:w="2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Applicable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through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or Critical</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or Critical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12/31/2019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Western Pennsylvania Teamsters and Employers Pension Plan</w:t>
            </w:r>
          </w:p>
        </w:tc>
        <w:tc>
          <w:tcPr>
            <w:tcW w:w="15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EIN: 25-6029946;</w:t>
            </w:r>
          </w:p>
        </w:tc>
        <w:tc>
          <w:tcPr>
            <w:tcW w:w="100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rPr>
              <w:t>Critical</w:t>
            </w:r>
          </w:p>
        </w:tc>
        <w:tc>
          <w:tcPr>
            <w:tcW w:w="7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Critical</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Implemented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Plan Number: 001</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90-day extension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agreements currently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2"/>
              </w:rPr>
              <w:t>under negotiation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37</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other Multiemployer Pension Plans</w:t>
            </w:r>
          </w:p>
        </w:tc>
        <w:tc>
          <w:tcPr>
            <w:tcW w:w="1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060" w:type="dxa"/>
            <w:vAlign w:val="bottom"/>
            <w:gridSpan w:val="2"/>
          </w:tcPr>
          <w:p>
            <w:pPr>
              <w:ind w:left="140"/>
              <w:spacing w:after="0"/>
              <w:rPr>
                <w:sz w:val="20"/>
                <w:szCs w:val="20"/>
                <w:color w:val="auto"/>
              </w:rPr>
            </w:pPr>
            <w:r>
              <w:rPr>
                <w:rFonts w:ascii="Arial" w:cs="Arial" w:eastAsia="Arial" w:hAnsi="Arial"/>
                <w:sz w:val="14"/>
                <w:szCs w:val="14"/>
                <w:color w:val="auto"/>
              </w:rPr>
              <w:t>Total contributions to Multiemployer Pension Plans(e)</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43</w:t>
            </w:r>
          </w:p>
        </w:tc>
        <w:tc>
          <w:tcPr>
            <w:tcW w:w="18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44</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180" w:hanging="332"/>
        <w:spacing w:after="0" w:line="225"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Unless otherwise noted in the table above, the most recent Pension Protection Act zone status available in 2016 and 2015 is for the plan’s year-end at December 31, 2015 and 2014,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“FIP/RP Status” column indicates plans for which a Funding Improvement Plan (“FIP”) or a Rehabilitation Plan (“RP”) is either pending or has been implemented.</w:t>
      </w:r>
    </w:p>
    <w:p>
      <w:pPr>
        <w:ind w:left="340" w:right="60" w:hanging="332"/>
        <w:spacing w:after="0" w:line="232"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340" w:right="220" w:hanging="332"/>
        <w:spacing w:after="0" w:line="253"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Company was listed in the Form 5500 of the Multiemployer Pension Plans considered to be individually significant as providing more than 5% of the total contributions for each of the following plans and plan years: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2"/>
              </w:rPr>
              <w:t>Year Contributions to Plan</w:t>
            </w:r>
          </w:p>
        </w:tc>
      </w:tr>
      <w:tr>
        <w:trPr>
          <w:trHeight w:val="149"/>
        </w:trPr>
        <w:tc>
          <w:tcPr>
            <w:tcW w:w="826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Exceeded 5% of Total Contributions</w:t>
            </w:r>
          </w:p>
        </w:tc>
      </w:tr>
      <w:tr>
        <w:trPr>
          <w:trHeight w:val="171"/>
        </w:trPr>
        <w:tc>
          <w:tcPr>
            <w:tcW w:w="8260" w:type="dxa"/>
            <w:vAlign w:val="bottom"/>
            <w:tcBorders>
              <w:bottom w:val="single" w:sz="8" w:color="CCEEFF"/>
            </w:tcBorders>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Plan’s Year End)</w:t>
            </w:r>
          </w:p>
        </w:tc>
      </w:tr>
      <w:tr>
        <w:trPr>
          <w:trHeight w:val="142"/>
        </w:trPr>
        <w:tc>
          <w:tcPr>
            <w:tcW w:w="8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Distributors Association Warehousemen’s Pension Trust</w:t>
            </w:r>
          </w:p>
        </w:tc>
        <w:tc>
          <w:tcPr>
            <w:tcW w:w="22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5/31/2015 and 5/31/2014</w:t>
            </w:r>
          </w:p>
        </w:tc>
      </w:tr>
      <w:tr>
        <w:trPr>
          <w:trHeight w:val="149"/>
        </w:trPr>
        <w:tc>
          <w:tcPr>
            <w:tcW w:w="8260" w:type="dxa"/>
            <w:vAlign w:val="bottom"/>
          </w:tcPr>
          <w:p>
            <w:pPr>
              <w:spacing w:after="0" w:line="149" w:lineRule="exact"/>
              <w:rPr>
                <w:sz w:val="20"/>
                <w:szCs w:val="20"/>
                <w:color w:val="auto"/>
              </w:rPr>
            </w:pPr>
            <w:r>
              <w:rPr>
                <w:rFonts w:ascii="Arial" w:cs="Arial" w:eastAsia="Arial" w:hAnsi="Arial"/>
                <w:sz w:val="14"/>
                <w:szCs w:val="14"/>
                <w:color w:val="auto"/>
              </w:rPr>
              <w:t>Local 731 Private Scavengers and Garage Attendants Pension Trust Fund</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w w:val="92"/>
              </w:rPr>
              <w:t>9/30/2015 and 9/30/2014</w:t>
            </w:r>
          </w:p>
        </w:tc>
      </w:tr>
      <w:tr>
        <w:trPr>
          <w:trHeight w:val="149"/>
        </w:trPr>
        <w:tc>
          <w:tcPr>
            <w:tcW w:w="8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Suburban Teamsters of Northern Illinois Pension Plan</w:t>
            </w:r>
          </w:p>
        </w:tc>
        <w:tc>
          <w:tcPr>
            <w:tcW w:w="2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12/31/2015 and 12/31/2014</w:t>
            </w:r>
          </w:p>
        </w:tc>
      </w:tr>
      <w:tr>
        <w:trPr>
          <w:trHeight w:val="182"/>
        </w:trPr>
        <w:tc>
          <w:tcPr>
            <w:tcW w:w="8260" w:type="dxa"/>
            <w:vAlign w:val="bottom"/>
          </w:tcPr>
          <w:p>
            <w:pPr>
              <w:spacing w:after="0"/>
              <w:rPr>
                <w:sz w:val="20"/>
                <w:szCs w:val="20"/>
                <w:color w:val="auto"/>
              </w:rPr>
            </w:pPr>
            <w:r>
              <w:rPr>
                <w:rFonts w:ascii="Arial" w:cs="Arial" w:eastAsia="Arial" w:hAnsi="Arial"/>
                <w:sz w:val="14"/>
                <w:szCs w:val="14"/>
                <w:color w:val="auto"/>
              </w:rPr>
              <w:t>Teamsters Local 301 Pension Plan</w:t>
            </w:r>
          </w:p>
        </w:tc>
        <w:tc>
          <w:tcPr>
            <w:tcW w:w="2240" w:type="dxa"/>
            <w:vAlign w:val="bottom"/>
          </w:tcPr>
          <w:p>
            <w:pPr>
              <w:jc w:val="center"/>
              <w:spacing w:after="0"/>
              <w:rPr>
                <w:sz w:val="20"/>
                <w:szCs w:val="20"/>
                <w:color w:val="auto"/>
              </w:rPr>
            </w:pPr>
            <w:r>
              <w:rPr>
                <w:rFonts w:ascii="Arial" w:cs="Arial" w:eastAsia="Arial" w:hAnsi="Arial"/>
                <w:sz w:val="14"/>
                <w:szCs w:val="14"/>
                <w:color w:val="auto"/>
                <w:w w:val="93"/>
              </w:rPr>
              <w:t>12/31/2015 and 12/31/2014</w:t>
            </w:r>
          </w:p>
        </w:tc>
      </w:tr>
    </w:tbl>
    <w:p>
      <w:pPr>
        <w:spacing w:after="0" w:line="1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Total contributions to Multiemployer Pension Plans excludes contributions related to withdrawal liabilities discussed below.</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date the financial statements were issued, Forms 5500 were not available for the plan years ended in 2016.</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1" w:lineRule="exact"/>
        <w:rPr>
          <w:sz w:val="20"/>
          <w:szCs w:val="20"/>
          <w:color w:val="auto"/>
        </w:rPr>
      </w:pPr>
    </w:p>
    <w:p>
      <w:pPr>
        <w:ind w:right="260" w:firstLine="456"/>
        <w:spacing w:after="0" w:line="271" w:lineRule="auto"/>
        <w:rPr>
          <w:sz w:val="20"/>
          <w:szCs w:val="20"/>
          <w:color w:val="auto"/>
        </w:rPr>
      </w:pPr>
      <w:r>
        <w:rPr>
          <w:rFonts w:ascii="Arial" w:cs="Arial" w:eastAsia="Arial" w:hAnsi="Arial"/>
          <w:sz w:val="17"/>
          <w:szCs w:val="17"/>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2015 and 2014, we recognized aggregate charges of $51 million and $4 million, respectively, to “Operating” expenses for the withdrawal of certain bargaining units from Multiemployer Pension Plans. In 2016, we did not recognize any charges for the withdrawal from Multiemployer Pension Plans. Refer to Note 11 for additional information related to our obligations to Multiemployer Pension Plans for which we have withdrawn or partially withdrawn.</w:t>
      </w:r>
    </w:p>
    <w:p>
      <w:pPr>
        <w:spacing w:after="0" w:line="17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i w:val="1"/>
          <w:iCs w:val="1"/>
          <w:color w:val="auto"/>
        </w:rPr>
        <w:t xml:space="preserve">Multiemployer Plan Benefits Other Than Pensions — </w:t>
      </w:r>
      <w:r>
        <w:rPr>
          <w:rFonts w:ascii="Arial" w:cs="Arial" w:eastAsia="Arial" w:hAnsi="Arial"/>
          <w:sz w:val="16"/>
          <w:szCs w:val="16"/>
          <w:color w:val="auto"/>
        </w:rPr>
        <w:t>During the years ended December 31, 2016, 2015 and 2014, the Company made contributions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$40 million, $33 million and $34 million, respectively, to multiemployer health and welfare plans that also provide other post-retirement employee benefits. Funding of benefit payments for plan participants are made at rates as negotiated in the respective collective bargaining agreements as costs are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 We have obtained letters of credit, surety bonds and insurance policies and have established trust funds and issued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 We carry insurance coverage for protection of our assets and operations from certain risks including general liability, automobile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2016, our commercial General Liability Insurance Policy carried self-insurance exposures of up to $2.5 million per incident and our workers’ compensation insurance program carried self-insurance exposures of up to $5 million per incident. As of December 31, 2016, our automobile liability insurance program included a per-incident base deductible of $5 million, subject to an additional deductible of $4.8 million in the $5 million to $10 million layer. The changes to our net insurance liabilities for the three years ended December 31, 2016 are summarized below (in millions):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Claims</w:t>
            </w:r>
          </w:p>
        </w:tc>
        <w:tc>
          <w:tcPr>
            <w:tcW w:w="140" w:type="dxa"/>
            <w:vAlign w:val="bottom"/>
          </w:tcPr>
          <w:p>
            <w:pPr>
              <w:spacing w:after="0"/>
              <w:rPr>
                <w:sz w:val="14"/>
                <w:szCs w:val="14"/>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3"/>
              </w:rPr>
              <w:t>Receivables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Claims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Associated with</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Liability</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Insured Claims(a)</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Self-insurance expense (benefit)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December 31, 2016(b)</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at December 31, 2016</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Long-term portion at December 31, 2016</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4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reported as receivables associated with insured claims are related to both paid and unpaid claims liabilities.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currently expect substantially all of our net claims liability to be settled in cash over the next six years.</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exhausted by payments to the Company, as the Company is not insured for any money it advances for defense costs or pays as indemnity to the insured directors and officers.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leased assets was $125 million during 2016, $140 million during 2015 and $159 million during 2014.</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contractual payments due for our operating lease obligations are $109 million in 2017, $90 million in 2018, $73 million in 2019, $62 million in 2020, $44 million in 2021 and $306 million thereafter. Our minimum contractual payments for lease agreements during future periods is less than current year rent expense primarily due to the effect of short-term leases.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131" w:lineRule="exact"/>
        <w:rPr>
          <w:sz w:val="20"/>
          <w:szCs w:val="20"/>
          <w:color w:val="auto"/>
        </w:rPr>
      </w:pPr>
    </w:p>
    <w:p>
      <w:pPr>
        <w:ind w:left="900" w:hanging="325"/>
        <w:spacing w:after="0" w:line="273"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Disposal </w:t>
      </w:r>
      <w:r>
        <w:rPr>
          <w:rFonts w:ascii="Arial" w:cs="Arial" w:eastAsia="Arial" w:hAnsi="Arial"/>
          <w:sz w:val="17"/>
          <w:szCs w:val="17"/>
          <w:color w:val="auto"/>
        </w:rPr>
        <w:t>— We have several agreements expiring at various dates through 2052 that require us to dispose of a minimum number of tons at third-party disposal facilities. Under these put-or-pay agreements, we are required to pay for the agreed upon minimum volumes regardless of the actual number of tons placed at the facilities. Additionally, following the sale of our Wheelabrator business, we entered into several agreements to dispose of a minimum number of tons of waste at certain Wheelabrator facilities. These agreements generally provide for fixed volume commitments with certain market price resets through 2021. We generally fulfill our minimum contractual obligations by disposing of volumes collected in the ordinary course of business at these disposal facilities.</w:t>
      </w:r>
    </w:p>
    <w:p>
      <w:pPr>
        <w:spacing w:after="0" w:line="83"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waste paper purchase agreements expiring at various dates through 2019 that require us to purchase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tons of waste paper. The cost per ton we pay is based on market prices.</w:t>
      </w:r>
    </w:p>
    <w:p>
      <w:pPr>
        <w:spacing w:after="0" w:line="75" w:lineRule="exact"/>
        <w:rPr>
          <w:rFonts w:ascii="Arial" w:cs="Arial" w:eastAsia="Arial" w:hAnsi="Arial"/>
          <w:sz w:val="18"/>
          <w:szCs w:val="18"/>
          <w:color w:val="auto"/>
        </w:rPr>
      </w:pPr>
    </w:p>
    <w:p>
      <w:pPr>
        <w:ind w:left="900" w:right="120" w:hanging="325"/>
        <w:spacing w:after="0" w:line="279"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 We have various arrangements that require us to make royalty payments to third parties including prior land owners, lessors or host</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where our operations are located. Our obligations generally are based on per ton rates for waste actually received at our transfer stations or landfills. Royalty agreements that are non-cancelable and require fixed or minimum payments are included in our “Capital leases and other” debt obligations in our Consolidated Balance Sheets as disclosed in Note 7.</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unconditional purchase obligations are generally established in the ordinary course of our business and are structured in a manner that provides us with access to important resources at competitive, market-driven rates.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2016. For contracts that require us to purchase minimum quantities of goods or services, we have estimated our future minimum obligations based on the current market values of the underlying products or services. As of December 31, 2016, our estimated minimum obligations for the above-described purchase obligations, which are not recognized in our Consolidated Balance Sheets, were $179 million in 2017, $149 million in 2018, $112 million in 2019, $92 million in 2020, $88 million in 2021 and $336 million thereafter.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31" w:lineRule="exact"/>
        <w:rPr>
          <w:sz w:val="20"/>
          <w:szCs w:val="20"/>
          <w:color w:val="auto"/>
        </w:rPr>
      </w:pPr>
    </w:p>
    <w:p>
      <w:pPr>
        <w:ind w:left="900" w:right="2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2016, WM Holdings has fully and unconditionally guaranteed all of WM’s senior indebtedness, including its senior notes, $2.25 billion revolving credit facility and certain letter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credit facilities, which mature through 2045.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 See Note 23 for further information.</w:t>
      </w:r>
    </w:p>
    <w:p>
      <w:pPr>
        <w:spacing w:after="0" w:line="92" w:lineRule="exact"/>
        <w:rPr>
          <w:sz w:val="20"/>
          <w:szCs w:val="20"/>
          <w:color w:val="auto"/>
        </w:rPr>
      </w:pPr>
    </w:p>
    <w:p>
      <w:pPr>
        <w:ind w:left="900" w:right="160" w:hanging="325"/>
        <w:spacing w:after="0" w:line="25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WM and WM Holdings have guaranteed subsidiary debt obligations, including the Canadian term loan and revolving credit facility,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intercompany guarantees because all of the underlying obligations are reflected in our Consolidated Balance Sheets. See Note 7 for information related to the balances and maturities of these debt obligations.</w:t>
      </w:r>
    </w:p>
    <w:p>
      <w:pPr>
        <w:spacing w:after="0" w:line="93" w:lineRule="exact"/>
        <w:rPr>
          <w:rFonts w:ascii="Arial" w:cs="Arial" w:eastAsia="Arial" w:hAnsi="Arial"/>
          <w:sz w:val="18"/>
          <w:szCs w:val="18"/>
          <w:color w:val="auto"/>
        </w:rPr>
      </w:pPr>
    </w:p>
    <w:p>
      <w:pPr>
        <w:ind w:left="900" w:right="60" w:hanging="325"/>
        <w:spacing w:after="0" w:line="284"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As of December 31, 2016 and 2015, WM’s maximum future payments under these guarantees were</w:t>
      </w:r>
    </w:p>
    <w:p>
      <w:pPr>
        <w:spacing w:after="0" w:line="4"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$96 million and $106 million, respectively. WM’s exposure under certain of the performance guarantees is variable and a maximum exposure is not defined. We have recorded the fair value of the operational and financial performance guarantees, some of which could extend through 2038 if not terminated, in our Consolidated Balance Sheets. The estimated fair value of WM’s potential obligation associated with guarantees of Wheelabrator obligations (net of credit support fee) at December 31, 2016 and 2015 was $11 million and $13 million, respectively. We currently do not expect the financial impact of such operational and financial performance guarantees to materially exceed the recorded fair value.</w:t>
      </w:r>
    </w:p>
    <w:p>
      <w:pPr>
        <w:spacing w:after="0" w:line="68" w:lineRule="exact"/>
        <w:rPr>
          <w:rFonts w:ascii="Arial" w:cs="Arial" w:eastAsia="Arial" w:hAnsi="Arial"/>
          <w:sz w:val="16"/>
          <w:szCs w:val="16"/>
          <w:color w:val="auto"/>
        </w:rPr>
      </w:pPr>
    </w:p>
    <w:p>
      <w:pPr>
        <w:ind w:left="900" w:hanging="325"/>
        <w:spacing w:after="0" w:line="31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related obligations, which mature through 2020, are not recorded in our Consolidated Balance Sheets. As of December 31, 2016, our maximum future payments associated with these guarantees are $6 million. Any requirement to act under these guarantees would not materially impact our financial position, results of operations or cash flows.</w:t>
      </w:r>
    </w:p>
    <w:p>
      <w:pPr>
        <w:spacing w:after="0" w:line="52" w:lineRule="exact"/>
        <w:rPr>
          <w:rFonts w:ascii="Arial" w:cs="Arial" w:eastAsia="Arial" w:hAnsi="Arial"/>
          <w:sz w:val="16"/>
          <w:szCs w:val="16"/>
          <w:color w:val="auto"/>
        </w:rPr>
      </w:pPr>
    </w:p>
    <w:p>
      <w:pPr>
        <w:ind w:left="900" w:right="160" w:hanging="325"/>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2016, we have agreements guaranteeing certain market value losses for approximately 850 homeowners’ properties adjacent to or near 22 of our landfills. We do not believe that these contingent obligations will have a material effect on our financial position, results of operations or cash flows.</w:t>
      </w:r>
    </w:p>
    <w:p>
      <w:pPr>
        <w:spacing w:after="0" w:line="98" w:lineRule="exact"/>
        <w:rPr>
          <w:rFonts w:ascii="Arial" w:cs="Arial" w:eastAsia="Arial" w:hAnsi="Arial"/>
          <w:sz w:val="18"/>
          <w:szCs w:val="18"/>
          <w:color w:val="auto"/>
        </w:rPr>
      </w:pPr>
    </w:p>
    <w:p>
      <w:pPr>
        <w:ind w:left="900" w:right="300" w:hanging="325"/>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92" w:lineRule="exact"/>
        <w:rPr>
          <w:sz w:val="20"/>
          <w:szCs w:val="20"/>
          <w:color w:val="auto"/>
        </w:rPr>
      </w:pPr>
    </w:p>
    <w:p>
      <w:pPr>
        <w:ind w:left="900" w:right="220" w:hanging="325"/>
        <w:spacing w:after="0" w:line="297"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158"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6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As of December 31, 2016, we had been notified by the government that we are a PRP in connection with 75 locations listed on the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2"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September 2016, the EPA announced a proposed remediation plan for the San Jacinto waste pits in Harris County, Texas, naming McGinnes Industrial Maintenance Corporation (“MIMC”), a subsidiary of WM, as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PRP. MIMC operated the waste pits from 1965 to 1966. In 1998, WM acquired the stock of the parent entity of MIMC. During the six months ended December 31, 2016, we increased our environmental remediation liability reserve by $44 million to record MIMC’s estimated share of the EPA’s proposed remedy. The remedy and remedial design plan for the site are not yet final. A notice and comment period with respect to the remedy closed on January 12, 2017. MIMC filed comments, detailing its disagreement with the proposed remedy put forth by the EPA and is continuing to focus on a solution that it believes best protects the environment and public health. MIMC’s ultimate liability could be materially different from current estimates. We remain an active participant in the EPA’s process established to evaluate and determine the appropriate remedy and remedial design plan for this site. As this site was never owned by the Company and never operated by MIMC while under the Company’s ownership, the increase in this liability was recorded in “(Income) expense from divestitures, asset impairments and unusual items” instead of “Operating” expenses in our Consolidated Statement of Operations. See Note 13 for further discussion.</w:t>
      </w:r>
    </w:p>
    <w:p>
      <w:pPr>
        <w:spacing w:after="0" w:line="197"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147"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Waste Management of Hawaii, Inc. (“WMHI”) may face civil claims from the Hawaii Department of Health and/or the EPA based upon water discharges at the Waimanalo Gulch Sanitary Landfill, which WMHI operates for the city and county of Honolulu, following three major rainstorms in December 2010 and January 2011. We do not anticipate such claims could have a material adverse effect on the Company’s business, financial condition, results of operations or cash flows.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On March 26, 2015, the Company acquired Deffenbaugh. In May 2012 and December 2013, Deffenbaugh was named as a defendant in</w:t>
      </w:r>
      <w:r>
        <w:rPr>
          <w:rFonts w:ascii="Arial" w:cs="Arial" w:eastAsia="Arial" w:hAnsi="Arial"/>
          <w:sz w:val="17"/>
          <w:szCs w:val="17"/>
          <w:i w:val="1"/>
          <w:iCs w:val="1"/>
          <w:color w:val="auto"/>
        </w:rPr>
        <w:t xml:space="preserve"> </w:t>
      </w:r>
      <w:r>
        <w:rPr>
          <w:rFonts w:ascii="Arial" w:cs="Arial" w:eastAsia="Arial" w:hAnsi="Arial"/>
          <w:sz w:val="17"/>
          <w:szCs w:val="17"/>
          <w:color w:val="auto"/>
        </w:rPr>
        <w:t>purported class actions filed in the United States District Court for the District of Kansas. These cases pertained to fuel, environmental and base rate charges included on invoices, generally alleging that such charges were not properly disclosed, were unfair or were contrary to the customer service contracts. We settled both cases, and we received final court approval of these settlements on December 14, 2016. The settlements did not have a material adverse effect on the Company’s business, financial condition, results of operations or cash flows.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the Company has direct contractual obligations to provide indemnification to each of the members of WM’s Board of Directors, our President and Chief Executive Officer, our Chief Operating Officer and certain other senior vice presidents.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9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w:t>
      </w:r>
      <w:r>
        <w:rPr>
          <w:rFonts w:ascii="Arial" w:cs="Arial" w:eastAsia="Arial" w:hAnsi="Arial"/>
          <w:sz w:val="16"/>
          <w:szCs w:val="16"/>
          <w:color w:val="auto"/>
        </w:rPr>
        <w:t>— About 20% of our workforce is covered by collective bargaining agreements with various local unions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United States and Canada. As a result of some of these agreements, certain of our subsidiaries are participating employers in a number of Multiemployer Pension Plans for the covered employees. Refer to Note 10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One of the most significant Multiemployer Pension Plans in which we have participated is the Central States, Southeast and Southwest Areas Pension Plan (“Central States Pension Plan”). In 2008, we reached agreement with all of the unions involved to cease participation in the Central States Pension Plan. Since that time, litigation with the Central States Pension Plan had been pending over several matters, including the effective date that our contribution obligations ceased. In the third quarter of 2015, we settled and paid all amounts due for all pending litigation with the trustees for the Central States Pension Plan regarding liability for contributions to the plan and withdrawal liability resulting from the cessation of contributions. Similarly, in the fourth quarter of 2015, we settled and paid all amounts due for outstanding issues regarding plan contributions and withdrawal liability with the Teamsters Employers Local 945 Pension Fund.</w:t>
      </w:r>
    </w:p>
    <w:p>
      <w:pPr>
        <w:spacing w:after="0" w:line="18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2015, we recognized a $51 million charge in “Operating” expenses associated with withdrawal from certain underfunded Multiemployer Pension Plans, nearly all of which was associated with the Central States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Pension Plan and the Teamsters Employers Local 945 Pension Fund withdrawals discussed above. We do not believe that any future liability for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maintain a liability for uncertain tax positions, the balance of which management believes is adequate. Results of audit assessments</w:t>
      </w:r>
      <w:r>
        <w:rPr>
          <w:rFonts w:ascii="Arial" w:cs="Arial" w:eastAsia="Arial" w:hAnsi="Arial"/>
          <w:sz w:val="18"/>
          <w:szCs w:val="18"/>
          <w:i w:val="1"/>
          <w:iCs w:val="1"/>
          <w:color w:val="auto"/>
        </w:rPr>
        <w:t xml:space="preserve"> </w:t>
      </w:r>
      <w:r>
        <w:rPr>
          <w:rFonts w:ascii="Arial" w:cs="Arial" w:eastAsia="Arial" w:hAnsi="Arial"/>
          <w:sz w:val="18"/>
          <w:szCs w:val="18"/>
          <w:color w:val="auto"/>
        </w:rPr>
        <w:t>by taxing authorities are not currently expected to have a material adverse impact on our results of operations or cash flows. See Note 9 for additional discussion regarding tax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Costs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pre-tax restructuring charges, including employee severance and benefit costs and other charges,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7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$ 82</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During the year ended December 31, 2016, we recognized $4 million of pre-tax restructuring charges, of which $2 million was related to employee severance and benefit costs. The remaining charges were primarily related to operating lease obligations for property that will no longer be utilized.</w:t>
      </w:r>
    </w:p>
    <w:p>
      <w:pPr>
        <w:spacing w:after="0" w:line="124"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During the year ended December 31, 2015, we recognized $15 million of pre-tax restructuring charges, of which $10 million was related to employee severance and benefit costs, including costs associated with the loss of a municipal contract in our Eastern Canada Area and our acquisition of Deffenbaugh. The remaining charges were primarily related to operating lease obligations for property that will no longer be utilized.</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separated from our Corporate and recycling organizations in connection with this restructuring. 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substantially all of the accrued employee severance and benefits related to our restructuring efforts was paid.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 Impairments and Unusual Items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$(515)</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Asset impairments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112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During the year ended December 31, 2016, we recognized net charges of $112 million, primarily related to (i) $44 million of charges to adjust our subsidiary’s estimated environmental remediation liability related to a closed site in Harris County, Texas, as further discussed in Note 11; (ii) a $43 million charge to impair a landfill in Western Pennsylvania due to a loss of expected volumes; (iii) $12 million of goodwill impairment charges primarily related to our LampTracker</w:t>
      </w:r>
      <w:r>
        <w:rPr>
          <w:rFonts w:ascii="Arial" w:cs="Arial" w:eastAsia="Arial" w:hAnsi="Arial"/>
          <w:sz w:val="14"/>
          <w:szCs w:val="14"/>
          <w:color w:val="auto"/>
        </w:rPr>
        <w:t>®</w:t>
      </w:r>
      <w:r>
        <w:rPr>
          <w:rFonts w:ascii="Arial" w:cs="Arial" w:eastAsia="Arial" w:hAnsi="Arial"/>
          <w:sz w:val="17"/>
          <w:szCs w:val="17"/>
          <w:color w:val="auto"/>
        </w:rPr>
        <w:t xml:space="preserve"> reporting unit and (iv) an $8 million loss on the sale of a majority-owned organics company.</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During the year ended December 31, 2015, we recognized net charges of $82 million, primarily related to (i) $66 million of charges to impair certain of our oil and gas producing properties as a result of the continued decline in oil and gas prices; (ii) $18 million of charges to write down or divest certain assets in our recycling operations and (iii) a $5 million impairment of a landfill in our Western Canada Area due to revised post-closure cost estimates. Partially offsetting these charges was $7 million of net gains from divestitures, including a $6 million gain on the sale of an oil and gas producing property in 2015.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2014, we recognized net gains of $160 million, primarily related to the following:</w:t>
      </w:r>
    </w:p>
    <w:p>
      <w:pPr>
        <w:spacing w:after="0" w:line="131" w:lineRule="exact"/>
        <w:rPr>
          <w:sz w:val="20"/>
          <w:szCs w:val="20"/>
          <w:color w:val="auto"/>
        </w:rPr>
      </w:pPr>
    </w:p>
    <w:p>
      <w:pPr>
        <w:ind w:left="900" w:hanging="325"/>
        <w:spacing w:after="0" w:line="31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We recognized net gains of $515 million, primarily as a result of a $519 million gain on the sale of our Wheelabrator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an $18 million gain on the sale of certain landfill and collection operations in our Eastern Canada Area. Partially offsetting these gains was a $25 million loss on the divestiture of our Puerto Rico operations. Refer to Note 19 for additional information related to our divestitures.</w:t>
      </w:r>
    </w:p>
    <w:p>
      <w:pPr>
        <w:spacing w:after="0" w:line="52" w:lineRule="exact"/>
        <w:rPr>
          <w:rFonts w:ascii="Arial" w:cs="Arial" w:eastAsia="Arial" w:hAnsi="Arial"/>
          <w:sz w:val="16"/>
          <w:szCs w:val="16"/>
          <w:color w:val="auto"/>
        </w:rPr>
      </w:pPr>
    </w:p>
    <w:p>
      <w:pPr>
        <w:ind w:left="900" w:right="740" w:hanging="325"/>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Oil and gas producing properties impairments </w:t>
      </w:r>
      <w:r>
        <w:rPr>
          <w:rFonts w:ascii="Arial" w:cs="Arial" w:eastAsia="Arial" w:hAnsi="Arial"/>
          <w:sz w:val="17"/>
          <w:szCs w:val="17"/>
          <w:color w:val="auto"/>
        </w:rPr>
        <w:t>— We recognized $272 million of charges to impair certain of our oil and gas producing</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primarily as a result of the pronounced decrease in oil and gas prices in the fourth quarter of 2014.</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Goodwill impairments </w:t>
      </w:r>
      <w:r>
        <w:rPr>
          <w:rFonts w:ascii="Arial" w:cs="Arial" w:eastAsia="Arial" w:hAnsi="Arial"/>
          <w:sz w:val="18"/>
          <w:szCs w:val="18"/>
          <w:color w:val="auto"/>
        </w:rPr>
        <w:t>— We recognized $10 million of goodwill impairment charges related to our recycling reporting unit.</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We recognized additional impairment charges of $73 million to write down assets in our waste diversion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recycling and medical waste operations.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 and see Note 21 for additional information related to the impact of impairments on the results of operations of our reportable segments.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During the year ended December 31, 2014, we recognized charges of $11 million primarily to write down equity method investments in waste diversion technology companies to their fair value.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2016, 2015 and 2014, we recognized impairment charges of $42 million, $5 million and $22 million, respectively, related to other-than-temporary declines in the value of minority-owned, cost method investments in waste diversion technology companies. We wrote down our investments to their fair value which was primarily determined using an income approach based on estimated future cash flow projections and, to a lesser extent, third-party investors’ recent transactions in these securities.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Also, during the year ended December 31, 2014, we sold our cost method investment in Shanghai Environment Group, which was part of our Wheelabrator business. We received cash proceeds from the sale of $155 million, which have been included in “Proceeds from divestitures of businesses and other assets (net of cash divested)” within “Net cash provided by (used in) investing activities” in the Consolidated Statement of Cash Flows. The loss recognized related to the sale was not material.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charges are recorded in “Other, net” in our Consolidated Statements of Operations.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Available-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for-Sale</w:t>
            </w:r>
          </w:p>
        </w:tc>
        <w:tc>
          <w:tcPr>
            <w:tcW w:w="24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Benefit</w:t>
            </w:r>
          </w:p>
        </w:tc>
        <w:tc>
          <w:tcPr>
            <w:tcW w:w="5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w:t>
            </w: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340"/>
              <w:spacing w:after="0" w:line="201" w:lineRule="exact"/>
              <w:rPr>
                <w:sz w:val="20"/>
                <w:szCs w:val="20"/>
                <w:color w:val="auto"/>
              </w:rPr>
            </w:pPr>
            <w:r>
              <w:rPr>
                <w:rFonts w:ascii="Arial" w:cs="Arial" w:eastAsia="Arial" w:hAnsi="Arial"/>
                <w:sz w:val="18"/>
                <w:szCs w:val="18"/>
                <w:color w:val="auto"/>
                <w:w w:val="96"/>
              </w:rPr>
              <w:t>Other comprehensive income (loss) before reclassifications, net of</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tax provision (benefit) of $4, $2, $0 and $(8), respectively</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(income) loss, net of tax (provision) benefit of $(3), $0, $0 and $0,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340"/>
              <w:spacing w:after="0" w:line="201" w:lineRule="exact"/>
              <w:rPr>
                <w:sz w:val="20"/>
                <w:szCs w:val="20"/>
                <w:color w:val="auto"/>
              </w:rPr>
            </w:pPr>
            <w:r>
              <w:rPr>
                <w:rFonts w:ascii="Arial" w:cs="Arial" w:eastAsia="Arial" w:hAnsi="Arial"/>
                <w:sz w:val="18"/>
                <w:szCs w:val="18"/>
                <w:color w:val="auto"/>
                <w:w w:val="96"/>
              </w:rPr>
              <w:t>Other comprehensive income (loss) before reclassifications, net of</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tax provision (benefit) of $20, $(1), $0 and $1, respectively</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(income) loss, net of tax (provision) benefit of $(14), $0, $0 and</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 respectively</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current period other comprehensive income (loss)</w:t>
            </w: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(150)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340"/>
              <w:spacing w:after="0" w:line="201" w:lineRule="exact"/>
              <w:rPr>
                <w:sz w:val="20"/>
                <w:szCs w:val="20"/>
                <w:color w:val="auto"/>
              </w:rPr>
            </w:pPr>
            <w:r>
              <w:rPr>
                <w:rFonts w:ascii="Arial" w:cs="Arial" w:eastAsia="Arial" w:hAnsi="Arial"/>
                <w:sz w:val="18"/>
                <w:szCs w:val="18"/>
                <w:color w:val="auto"/>
                <w:w w:val="96"/>
              </w:rPr>
              <w:t>Other comprehensive income (loss) before reclassifications, net of</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tax provision (benefit) of $(4), $3, $0 and $0, respectively</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(income) loss, net of tax (provision) benefit of $12, $0, $0 and $1,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80" w:type="dxa"/>
            <w:vAlign w:val="bottom"/>
            <w:gridSpan w:val="2"/>
          </w:tcPr>
          <w:p>
            <w:pPr>
              <w:jc w:val="right"/>
              <w:ind w:right="217"/>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amounts of other comprehensive income (loss) before reclassifications associated with the effective portion of derivatives designated as cash flow hedges for the years ended December 31 are as follows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before tax</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Net of tax (provision)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20" w:firstLine="456"/>
        <w:spacing w:after="0" w:line="342" w:lineRule="auto"/>
        <w:rPr>
          <w:sz w:val="20"/>
          <w:szCs w:val="20"/>
          <w:color w:val="auto"/>
        </w:rPr>
      </w:pPr>
      <w:r>
        <w:rPr>
          <w:rFonts w:ascii="Arial" w:cs="Arial" w:eastAsia="Arial" w:hAnsi="Arial"/>
          <w:sz w:val="16"/>
          <w:szCs w:val="16"/>
          <w:color w:val="auto"/>
        </w:rPr>
        <w:t>The significant amounts reclassified out of each component of accumulated other comprehensive income (loss) associated with our cash flow hedges for the years ended December 31 are as follows (in millions, with amounts in parentheses representing debits to the statement of operations classification):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ind w:left="78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2340" w:type="dxa"/>
            <w:vAlign w:val="bottom"/>
          </w:tcPr>
          <w:p>
            <w:pPr>
              <w:ind w:left="400"/>
              <w:spacing w:after="0"/>
              <w:rPr>
                <w:sz w:val="20"/>
                <w:szCs w:val="20"/>
                <w:color w:val="auto"/>
              </w:rPr>
            </w:pPr>
            <w:r>
              <w:rPr>
                <w:rFonts w:ascii="Arial" w:cs="Arial" w:eastAsia="Arial" w:hAnsi="Arial"/>
                <w:sz w:val="14"/>
                <w:szCs w:val="14"/>
                <w:b w:val="1"/>
                <w:bCs w:val="1"/>
                <w:color w:val="auto"/>
              </w:rPr>
              <w:t>Operations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3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Treasury rate locks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340" w:type="dxa"/>
            <w:vAlign w:val="bottom"/>
          </w:tcPr>
          <w:p>
            <w:pPr>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Electricity commodity derivatives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340" w:type="dxa"/>
            <w:vAlign w:val="bottom"/>
          </w:tcPr>
          <w:p>
            <w:pPr>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340" w:type="dxa"/>
            <w:vAlign w:val="bottom"/>
          </w:tcPr>
          <w:p>
            <w:pPr>
              <w:spacing w:after="0"/>
              <w:rPr>
                <w:sz w:val="20"/>
                <w:szCs w:val="20"/>
                <w:color w:val="auto"/>
              </w:rPr>
            </w:pPr>
            <w:r>
              <w:rPr>
                <w:rFonts w:ascii="Arial" w:cs="Arial" w:eastAsia="Arial" w:hAnsi="Arial"/>
                <w:sz w:val="18"/>
                <w:szCs w:val="18"/>
                <w:color w:val="auto"/>
              </w:rPr>
              <w:t>Tax (provision) benefit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for the period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Stock, Dividends and Common Stock Repurchase Program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Stock</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2016, we had 439.3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quarterly dividends have been declared by our Board of Directors. Cash dividends declared and paid were $726 million in 2016, or $1.64 per common share, $695 million in 2015, or $1.54 per common share, and $693 million in 2014, or $1.50 per common share.</w:t>
      </w:r>
    </w:p>
    <w:p>
      <w:pPr>
        <w:spacing w:after="0" w:line="14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December 2016, we announced that our Board of Directors expects to increase the quarterly dividend from $0.41 to $0.425 per share for dividends declared in 2017.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share repurchases have been authorized by our Board of Directors. Share repurchases during 2016, 2015 and 2014 were completed through accelerated share repurchase (“ASR”) agreements. The terms of these agreements required that we deliver cash at the beginning of each ASR repurchase period. In exchange, we received a portion of the total shares expected to be repurchased based on the then-current market price of our common stock. The remaining shares repurchased over the course of each repurchase period are delivered to us once the repurchase period is complete. Shares repurchased are reflected in the period the shares are delivered to us. Additional information related to our ASR agreements is included below. The following is a summary of our share repurchases under our common stock repurchase program for the years ended December 31:</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2016(a)</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2015(b)</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2014(c)</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11,241</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14,823</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9,569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Weighted average per share purchase price</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$60.49</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$49.83</w:t>
            </w:r>
          </w:p>
        </w:tc>
        <w:tc>
          <w:tcPr>
            <w:tcW w:w="2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$43.89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line="269"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During 2016, we executed four ASR agreements to repurchase $725 million of our common stock. The ASR agreement entered into in November 2016 was for the repurchase of $225 million of our common stock. At the beginning of the repurchase period, we delivered $225 million in cash and received 2.8 million shares based on a stock price of $63.41 per share. The ASR agreement completed in February 2017, at which time we received 0.4 million additional shares based on a final weighted average per share purchase price during the repurchase period of $69.43.</w:t>
      </w:r>
    </w:p>
    <w:p>
      <w:pPr>
        <w:spacing w:after="0" w:line="2" w:lineRule="exact"/>
        <w:rPr>
          <w:rFonts w:ascii="Arial" w:cs="Arial" w:eastAsia="Arial" w:hAnsi="Arial"/>
          <w:sz w:val="17"/>
          <w:szCs w:val="17"/>
          <w:color w:val="auto"/>
        </w:rPr>
      </w:pPr>
    </w:p>
    <w:p>
      <w:pPr>
        <w:ind w:left="460" w:right="50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2015, we executed and completed two ASR agreements to repurchase $600 million of our common stock. Our “Shares repurchased” also includes 2.8 million shares related to ASR agreements that were executed in 2014, discussed further below.</w:t>
      </w:r>
    </w:p>
    <w:p>
      <w:pPr>
        <w:ind w:left="460" w:hanging="452"/>
        <w:spacing w:after="0" w:line="255"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2014, we executed two ASR agreements to repurchase $600 million of our common stock. Our “Shares repurchased” includes the initial portion of shares repurchased based on the then-current market price of our common stock. The ASR agreements were completed in 2015 and the final weighted average per share purchase price during the repurchase period was $48.58.</w:t>
      </w:r>
    </w:p>
    <w:p>
      <w:pPr>
        <w:spacing w:after="0" w:line="1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ASR agreement is accounted for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stock meets the criteria for equity classification, and these amounts are initially recorded in additional paid-in capital and reclassified to treasury stock upon completion of the ASR agreement. As of December 31, 2016, $45 million of the ASR agreement executed in November 2016 is recorded in additional paid-in capital pending completion of this ASR agreement in February 2017.</w:t>
      </w:r>
    </w:p>
    <w:p>
      <w:pPr>
        <w:spacing w:after="0" w:line="189"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We announced in December 2016 that the Board of Directors has authorized up to $750 million in future share repurchases, which supersedes and replaces remaining authority under any prior Board of Directors authorization for share repurchases. Any future share repurchases will be made at the discretion of management, and will depend on factors similar to those considered by the Board of Directors in making dividend declarations.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and the number of shares that may be purchased is limited by IRS regulations. The total number of shares issued under the plan for the offering periods in each of 2016, 2015 and 2014 was approximately 647,000, 786,000 and 774,000, respectively. Including the impact of the January 2017 issuance of shares associated with the July to December 2016 offering period, approximately 2.5 million shares remain available for issuance under the plan.</w:t>
      </w:r>
    </w:p>
    <w:p>
      <w:pPr>
        <w:spacing w:after="0" w:line="16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Accounting for our ESPP increased annual compensation expense by approximately $7 million, or $4 million net of tax provision, for 2016 and $6 million, or $4 million net of tax provision, for 2015 and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the 2009 Plan that are subsequently cancelled, forfeited, terminate, expire or lapse. As of December 31, 2016, approximately 23.2 million shares were available for future grants under the 2014 Plan. All of our stock-based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65" w:lineRule="exact"/>
        <w:rPr>
          <w:sz w:val="20"/>
          <w:szCs w:val="20"/>
          <w:color w:val="auto"/>
        </w:rPr>
      </w:pPr>
    </w:p>
    <w:p>
      <w:pPr>
        <w:jc w:val="both"/>
        <w:ind w:right="500" w:firstLine="456"/>
        <w:spacing w:after="0" w:line="286" w:lineRule="auto"/>
        <w:rPr>
          <w:sz w:val="20"/>
          <w:szCs w:val="20"/>
          <w:color w:val="auto"/>
        </w:rPr>
      </w:pPr>
      <w:r>
        <w:rPr>
          <w:rFonts w:ascii="Arial" w:cs="Arial" w:eastAsia="Arial" w:hAnsi="Arial"/>
          <w:sz w:val="17"/>
          <w:szCs w:val="17"/>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2016 annual Incentive Plan awards granted to the Company’s senior leadership team, which generally includes the Company’s executive officers, included a combination of PSUs and stock options. The annual Incentive Plan awards granted to certain key employees included a combination of PSUs, RSUs and stock options in 2016. The Company has also periodically granted RSUs and stock options to employees working on key initiatives, in connection with new hires and promotions and to field-based managers.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Units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2016</w:t>
            </w:r>
          </w:p>
        </w:tc>
        <w:tc>
          <w:tcPr>
            <w:tcW w:w="2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29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920" w:type="dxa"/>
            <w:vAlign w:val="bottom"/>
            <w:vMerge w:val="restart"/>
          </w:tcPr>
          <w:p>
            <w:pPr>
              <w:jc w:val="right"/>
              <w:ind w:right="1630"/>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total fair market value of RSUs that vested during the years ended December 31, 2016, 2015 and 2014 was $12 million, $13 million and</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 million, respectively. During the year ended December 31, 2016, we issued approximately 136,000 shares of common stock for these vested RSUs, net of approximately 69,000 units deferred or used for payment of associated taxes.</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 total shareholder return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S&amp;P 500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January 1, 2016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1,762</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555</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(148)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1,505</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determination of achievement of performance results and corresponding vesting of PSUs for the three-year performance period ended December 31, 2016 was performed by the Management Development and Compensation Committee in February 2017. Accordingly, vesting information for such awards is not included in the table above as of December 31, 2016. The “vested” PSUs are for the three-year performance period ended December 31, 2015, as achievement of performance results and corresponding vesting was determined in February 2016. The Company’s financial results, as measured for purposes of these awards, were higher than the target levels established but not in excess of the maximum performance criteria. Accordingly, recipients of these PSU awards were entitled to receive a payout of 132.88% of the vested TSR PSUs and 196.15% of the vested PSUs for which payout was dependent on the Company’s performance against a pre-established return on invested capital metric. In February 2016, approximately 1,093,000 PSUs vested and we issued approximately 547,000 shares of common stock for these vested PSUs, net of units deferred or used for payment of associated taxes.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shares of common stock that were issued or deferred during the years ended December 31, 2016, 2015 and 2014 for prior PSU award grants had a fair market value of $50 million, $35 million and $8 million, respectively. PSUs have no voting rights. PSUs receive dividend equivalents that are paid out in cash based on the number of shares that vest at the end of the awards’ performance period.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15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Compensation expense associated with our Cash Flow PSUs that continue to vest based on future performance is measured based on the fair value of our common stock at the end of each reporting period until the performance period ends.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w:t>
      </w:r>
    </w:p>
    <w:p>
      <w:pPr>
        <w:spacing w:after="0" w:line="154"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12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Deferred Units — </w:t>
      </w:r>
      <w:r>
        <w:rPr>
          <w:rFonts w:ascii="Arial" w:cs="Arial" w:eastAsia="Arial" w:hAnsi="Arial"/>
          <w:sz w:val="18"/>
          <w:szCs w:val="18"/>
          <w:color w:val="auto"/>
        </w:rPr>
        <w:t>Recipients can elect to defer some or all of the vested RSU or PSU awards until a specified date or dates they choose. Deferred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At December 31, 2016, we had approximately 698,000 vested deferred units outstanding.</w:t>
      </w:r>
    </w:p>
    <w:p>
      <w:pPr>
        <w:spacing w:after="0" w:line="18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Stock options granted primarily vest in 25% increments on the first two anniversaries of the date of grant with the remaining 50%</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1,387</w:t>
            </w:r>
          </w:p>
        </w:tc>
        <w:tc>
          <w:tcPr>
            <w:tcW w:w="48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(2,645)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2016(a)</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2016(b)</w:t>
            </w: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vMerge w:val="restart"/>
          </w:tcPr>
          <w:p>
            <w:pPr>
              <w:ind w:left="42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4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Stock options outstanding as of December 31, 2016 have a weighted average remaining contractual term of 6.9 years and an aggregate intrinsic value of $146 million based on the market value of our common stock on December 31, 2016.</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Stock options exercisable as of December 31, 2016 have an aggregate intrinsic value of $94 million based on the market value of our common stock on December 31, 2016.</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received cash proceeds of $63 million, $77 million and $93 million during the years ended December 31, 2016, 2015 and 2014, respectively, from employee stock option exercises. The aggregate intrinsic value of stock options exercised during the years ended December 31, 2016, 2015 and 2014 was $67 million, $37 million and $27 million,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Exercisable stock options at December 31, 2016, were as follows (options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3300" w:type="dxa"/>
            <w:vAlign w:val="bottom"/>
          </w:tcPr>
          <w:p>
            <w:pPr>
              <w:spacing w:after="0"/>
              <w:rPr>
                <w:sz w:val="12"/>
                <w:szCs w:val="12"/>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Options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Per Share</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33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Remaining Years</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$32.315-$40.00</w:t>
            </w:r>
          </w:p>
        </w:tc>
        <w:tc>
          <w:tcPr>
            <w:tcW w:w="3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2,141</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w w:val="84"/>
              </w:rPr>
              <w:t>36.12</w:t>
            </w:r>
          </w:p>
        </w:tc>
        <w:tc>
          <w:tcPr>
            <w:tcW w:w="9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00"/>
              <w:spacing w:after="0" w:line="203" w:lineRule="exact"/>
              <w:rPr>
                <w:sz w:val="20"/>
                <w:szCs w:val="20"/>
                <w:color w:val="auto"/>
              </w:rPr>
            </w:pPr>
            <w:r>
              <w:rPr>
                <w:rFonts w:ascii="Arial" w:cs="Arial" w:eastAsia="Arial" w:hAnsi="Arial"/>
                <w:sz w:val="18"/>
                <w:szCs w:val="18"/>
                <w:color w:val="auto"/>
                <w:w w:val="79"/>
              </w:rPr>
              <w:t>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$40.01-$50.00</w:t>
            </w:r>
          </w:p>
        </w:tc>
        <w:tc>
          <w:tcPr>
            <w:tcW w:w="3820" w:type="dxa"/>
            <w:vAlign w:val="bottom"/>
            <w:gridSpan w:val="3"/>
          </w:tcPr>
          <w:p>
            <w:pPr>
              <w:jc w:val="right"/>
              <w:ind w:right="20"/>
              <w:spacing w:after="0"/>
              <w:rPr>
                <w:sz w:val="20"/>
                <w:szCs w:val="20"/>
                <w:color w:val="auto"/>
              </w:rPr>
            </w:pPr>
            <w:r>
              <w:rPr>
                <w:rFonts w:ascii="Arial" w:cs="Arial" w:eastAsia="Arial" w:hAnsi="Arial"/>
                <w:sz w:val="18"/>
                <w:szCs w:val="18"/>
                <w:color w:val="auto"/>
              </w:rPr>
              <w:t>491</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41.36</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$50.01-$54.635</w:t>
            </w:r>
          </w:p>
        </w:tc>
        <w:tc>
          <w:tcPr>
            <w:tcW w:w="3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0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54.64</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$32.315-$54.635</w:t>
            </w:r>
          </w:p>
        </w:tc>
        <w:tc>
          <w:tcPr>
            <w:tcW w:w="3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0" w:type="dxa"/>
            <w:vAlign w:val="bottom"/>
            <w:tcBorders>
              <w:bottom w:val="single" w:sz="8" w:color="auto"/>
            </w:tcBorders>
          </w:tcPr>
          <w:p>
            <w:pPr>
              <w:spacing w:after="0"/>
              <w:rPr>
                <w:sz w:val="19"/>
                <w:szCs w:val="19"/>
                <w:color w:val="auto"/>
              </w:rPr>
            </w:pP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38.84</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2016, 2015 and 2014 was $6.31, $5.56 and $4.55, respectively.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w:t>
            </w: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4.7 years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4.4 years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4.8 years</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18.4%</w:t>
            </w:r>
          </w:p>
        </w:tc>
        <w:tc>
          <w:tcPr>
            <w:tcW w:w="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16.7%</w:t>
            </w: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18.4%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2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1.4%</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1.6%</w:t>
            </w:r>
          </w:p>
        </w:tc>
      </w:tr>
    </w:tbl>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years ended December 31, 2016, 2015 and 2014, we recognized $81 million, $64 million and $59 million, respectively, of compensation expense associated with RSU, PSU and stock option awards as a component of “Selling, general and administrative” expenses in our Consolidated Statements of Operations. Our “Provision for income taxes,” for the years ended December 31, 2016, 2015 and 2014, includes related deferred income tax benefits of $32 million, $26 million and $23 million, respectively. We also realized excess tax benefits from stock option exercises and the vesting of RSUs and PSUs during the years ended December 31, 2016, 2015 and 2014 of $28 million, $15 million and $5 million, respectively. These amounts have been presented as cash inflows in the “Cash flows from financing activities” section of our Consolidated Statements of Cash Flows. We have not capitalized any equity-based compensation costs during the years ended December 31, 2016, 2015 and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Compensation expense recognized in 2016 increased when compared to 2015 and 2014, primarily due to increases in the fair values and expected payouts of our PSUs. As of December 31, 2016, we estimate that $51 million of currently unrecognized compensation expense will be recognized over a weighted average period of 1.5 years for our unvested RSU, PSU and stock option awards issued and outstanding.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11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Incentive Plans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and diluted earnings per share were computed using the following common share data for the years ended December 31 (shares in millions):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452.7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446.5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455.9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465.6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w w:val="93"/>
              </w:rPr>
              <w:t>Fair Value Measurements at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92"/>
              </w:rPr>
              <w:t>December 31, 2016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760" w:type="dxa"/>
            <w:vAlign w:val="bottom"/>
          </w:tcPr>
          <w:p>
            <w:pPr>
              <w:spacing w:after="0"/>
              <w:rPr>
                <w:sz w:val="10"/>
                <w:szCs w:val="10"/>
                <w:color w:val="auto"/>
              </w:rPr>
            </w:pPr>
          </w:p>
        </w:tc>
        <w:tc>
          <w:tcPr>
            <w:tcW w:w="144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Prices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60" w:type="dxa"/>
            <w:vAlign w:val="bottom"/>
          </w:tcPr>
          <w:p>
            <w:pPr>
              <w:spacing w:after="0"/>
              <w:rPr>
                <w:sz w:val="12"/>
                <w:szCs w:val="12"/>
                <w:color w:val="auto"/>
              </w:rPr>
            </w:pP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Markets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spacing w:after="0"/>
              <w:rPr>
                <w:sz w:val="20"/>
                <w:szCs w:val="20"/>
                <w:color w:val="auto"/>
              </w:rPr>
            </w:pPr>
            <w:r>
              <w:rPr>
                <w:rFonts w:ascii="Arial" w:cs="Arial" w:eastAsia="Arial" w:hAnsi="Arial"/>
                <w:sz w:val="18"/>
                <w:szCs w:val="18"/>
                <w:color w:val="auto"/>
              </w:rPr>
              <w:t>$ 35</w:t>
            </w:r>
          </w:p>
        </w:tc>
        <w:tc>
          <w:tcPr>
            <w:tcW w:w="38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Fixed-income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preferred stock</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35</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w w:val="93"/>
              </w:rPr>
              <w:t>Fair Value Measurements at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left="280"/>
              <w:spacing w:after="0"/>
              <w:rPr>
                <w:sz w:val="20"/>
                <w:szCs w:val="20"/>
                <w:color w:val="auto"/>
              </w:rPr>
            </w:pPr>
            <w:r>
              <w:rPr>
                <w:rFonts w:ascii="Arial" w:cs="Arial" w:eastAsia="Arial" w:hAnsi="Arial"/>
                <w:sz w:val="14"/>
                <w:szCs w:val="14"/>
                <w:b w:val="1"/>
                <w:bCs w:val="1"/>
                <w:color w:val="auto"/>
                <w:w w:val="92"/>
              </w:rPr>
              <w:t>December 31, 2015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760" w:type="dxa"/>
            <w:vAlign w:val="bottom"/>
          </w:tcPr>
          <w:p>
            <w:pPr>
              <w:spacing w:after="0"/>
              <w:rPr>
                <w:sz w:val="10"/>
                <w:szCs w:val="10"/>
                <w:color w:val="auto"/>
              </w:rPr>
            </w:pPr>
          </w:p>
        </w:tc>
        <w:tc>
          <w:tcPr>
            <w:tcW w:w="144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Prices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760" w:type="dxa"/>
            <w:vAlign w:val="bottom"/>
          </w:tcPr>
          <w:p>
            <w:pPr>
              <w:spacing w:after="0"/>
              <w:rPr>
                <w:sz w:val="12"/>
                <w:szCs w:val="12"/>
                <w:color w:val="auto"/>
              </w:rPr>
            </w:pP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Markets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1"/>
              </w:rPr>
              <w:t>(Level 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jc w:val="right"/>
              <w:spacing w:after="0"/>
              <w:rPr>
                <w:sz w:val="20"/>
                <w:szCs w:val="20"/>
                <w:color w:val="auto"/>
              </w:rPr>
            </w:pPr>
            <w:r>
              <w:rPr>
                <w:rFonts w:ascii="Arial" w:cs="Arial" w:eastAsia="Arial" w:hAnsi="Arial"/>
                <w:sz w:val="18"/>
                <w:szCs w:val="18"/>
                <w:color w:val="auto"/>
              </w:rPr>
              <w:t>$ 35</w:t>
            </w:r>
          </w:p>
        </w:tc>
        <w:tc>
          <w:tcPr>
            <w:tcW w:w="38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79"/>
              </w:rPr>
              <w:t>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Fixed-income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derivatives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Redeemable preferred stock</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Money Market Funds</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invest portions of our restricted trust and escrow account balances in money market funds. We measure the fair value of these investments using quoted prices in active markets for identical assets. The fair value of our money market funds approximates our cost basis in the investments.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Available-for-Sale Securities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Available-for-sale securities are primarily related to the restricted trust funds that were created to settle certain of our final capping, closure, post-closure or environmental remediation obligations, which are discussed further in Note 20. These trust funds are invested in U.S. Treasury securities and equity and bond funds.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Fixed-Income Securities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invest a portion of our restricted trust and escrow account balances in fixed-income securities, including U.S. Treasury securities, U.S. agency securities, municipal securities and mortgage- and asset-backed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measure the fair value of these securities using quoted prices for identical or similar assets in inactive markets. The fair value of our fixed-income securities approximates our cost basis in these investments.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March 2016, we terminated our cross-currency swaps. Previously, our cross-currency swaps were valued using a third-party pricing model that incorporated information about forward Canadian dollar rates, or observable market data, as of the reporting date. The third-party pricing model used to value our cross-currency swaps also incorporated Company and counterparty credit valuation adjustments, as appropriate. Counterparties to these contracts were financial institutions who participated in our $2.25 billion revolving credit facility. Valuations fluctuated from period-to-period due to volatility in the Canadian dollar to U.S. dollar exchange rate over the term of the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Notes 8 and 14 for additional information regarding the derivative instruments discussed above.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Redeemable Preferred Stock</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Redeemable preferred stock is primarily related to a noncontrolling investment in an unconsolidated entity and is included in “Investments in unconsolidated entities” in our Consolidated Balance Sheets. The fair value of our investment has been measured based on third-party investors’ recent or pending transactions in these securities, which is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Redeemable preferred stock also includes stock received in conjunction with the 2014 sale of our Puerto Rico operations, as discussed in Note 19.</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At December 31, 2016 and 2015, the carrying value of our debt was approximately $9.3 billion and $8.9 billion, respectively. The estimated fair value of our debt was approximately $9.7 billion and $9.2 billion at December 31, 2016 and 2015, respectively. The fair value of our fixed-rate debt is estimated by using a discounted cash flow approach and current market rates for similar types of instruments. The carrying value of our variable-rate debt approximates fair value due to the short-term nature of the interest rates. The increase in the fair value of our debt when comparing December 31, 2016 with December 31, 2015 is primarily related to $375 million of net borrowings during 2016.</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December 31, 2016 and 2015. These amounts have not been revalued since those dates, and current estimates of fair value could differ significantly from the amounts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Acquisitions and Divestitures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continue to pursue the acquisition of businesses that are accretive to our Solid Waste business and enhance and expand our existing service offerings. During the year ended December 31, 2016, we acquired 30</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businesses primarily related to our Solid Waste business. Total consideration, net of cash acquired, for all acquisitions was $604 million, which included $581 million in cash paid and other consideration of $23 million, primarily purchase price holdbacks. For businesses acquired in 2016, our estimated maximum obligations for contingent consideration was not material. In 2016, we also paid $4 million of contingent consideration for acquisitions completed prior to 2016. In addition, we paid $26 million of holdbacks, of which $16 million related to current year acquisitions.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consideration for our 2016 acquisitions was primarily allocated to $115 million of property and equipment, $212 million of other intangible assets and $280 million of goodwill. Other intangible assets included $185 million of customer and supplier relationships, $23 million of covenants not-to-compete and $4 million for a trade name. The goodwill is primarily a result of expected synergies from combining the acquired businesses with our existing operations and is tax deductible.</w:t>
      </w:r>
    </w:p>
    <w:p>
      <w:pPr>
        <w:spacing w:after="0" w:line="187" w:lineRule="exact"/>
        <w:rPr>
          <w:sz w:val="20"/>
          <w:szCs w:val="20"/>
          <w:color w:val="auto"/>
        </w:rPr>
      </w:pPr>
    </w:p>
    <w:p>
      <w:pPr>
        <w:ind w:left="460" w:right="60" w:firstLine="438"/>
        <w:spacing w:after="0" w:line="279" w:lineRule="auto"/>
        <w:rPr>
          <w:sz w:val="20"/>
          <w:szCs w:val="20"/>
          <w:color w:val="auto"/>
        </w:rPr>
      </w:pPr>
      <w:r>
        <w:rPr>
          <w:rFonts w:ascii="Arial" w:cs="Arial" w:eastAsia="Arial" w:hAnsi="Arial"/>
          <w:sz w:val="17"/>
          <w:szCs w:val="17"/>
          <w:i w:val="1"/>
          <w:iCs w:val="1"/>
          <w:color w:val="auto"/>
        </w:rPr>
        <w:t>Southern Waste Systems/Sun Recyclin</w:t>
      </w:r>
      <w:r>
        <w:rPr>
          <w:rFonts w:ascii="Arial" w:cs="Arial" w:eastAsia="Arial" w:hAnsi="Arial"/>
          <w:sz w:val="17"/>
          <w:szCs w:val="17"/>
          <w:color w:val="auto"/>
        </w:rPr>
        <w:t>g</w:t>
      </w:r>
      <w:r>
        <w:rPr>
          <w:rFonts w:ascii="Arial" w:cs="Arial" w:eastAsia="Arial" w:hAnsi="Arial"/>
          <w:sz w:val="17"/>
          <w:szCs w:val="17"/>
          <w:i w:val="1"/>
          <w:iCs w:val="1"/>
          <w:color w:val="auto"/>
        </w:rPr>
        <w:t xml:space="preserve"> (“SWS”) </w:t>
      </w:r>
      <w:r>
        <w:rPr>
          <w:rFonts w:ascii="Arial" w:cs="Arial" w:eastAsia="Arial" w:hAnsi="Arial"/>
          <w:sz w:val="17"/>
          <w:szCs w:val="17"/>
          <w:color w:val="auto"/>
        </w:rPr>
        <w:t>— On January 8, 2016, Waste Management Inc. of Florida, a wholly-owned subsidiary of WM,</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$2.25 billion revolving credit facility.</w:t>
      </w:r>
    </w:p>
    <w:p>
      <w:pPr>
        <w:spacing w:after="0" w:line="171" w:lineRule="exact"/>
        <w:rPr>
          <w:sz w:val="20"/>
          <w:szCs w:val="20"/>
          <w:color w:val="auto"/>
        </w:rPr>
      </w:pPr>
    </w:p>
    <w:p>
      <w:pPr>
        <w:ind w:left="460" w:right="80" w:firstLine="438"/>
        <w:spacing w:after="0" w:line="286" w:lineRule="auto"/>
        <w:rPr>
          <w:sz w:val="20"/>
          <w:szCs w:val="20"/>
          <w:color w:val="auto"/>
        </w:rPr>
      </w:pPr>
      <w:r>
        <w:rPr>
          <w:rFonts w:ascii="Arial" w:cs="Arial" w:eastAsia="Arial" w:hAnsi="Arial"/>
          <w:sz w:val="17"/>
          <w:szCs w:val="17"/>
          <w:color w:val="auto"/>
        </w:rPr>
        <w:t>Total consideration for SWS was allocated to $93 million of property and equipment, $182 million of other intangible assets and $250 million of goodwill. The acquisition accounting for this transaction was finalized in the third quarter of 2016. There were no significant measurement period adjustments recorded in 2016. The goodwill has been assigned to our Florida Area, in Tier 3, and is tax deductible.</w:t>
      </w:r>
    </w:p>
    <w:p>
      <w:pPr>
        <w:spacing w:after="0" w:line="166" w:lineRule="exact"/>
        <w:rPr>
          <w:sz w:val="20"/>
          <w:szCs w:val="20"/>
          <w:color w:val="auto"/>
        </w:rPr>
      </w:pPr>
    </w:p>
    <w:p>
      <w:pPr>
        <w:ind w:left="460" w:right="160" w:firstLine="438"/>
        <w:spacing w:after="0" w:line="264" w:lineRule="auto"/>
        <w:rPr>
          <w:sz w:val="20"/>
          <w:szCs w:val="20"/>
          <w:color w:val="auto"/>
        </w:rPr>
      </w:pPr>
      <w:r>
        <w:rPr>
          <w:rFonts w:ascii="Arial" w:cs="Arial" w:eastAsia="Arial" w:hAnsi="Arial"/>
          <w:sz w:val="18"/>
          <w:szCs w:val="18"/>
          <w:color w:val="auto"/>
        </w:rPr>
        <w:t>Since the acquisition date in 2016, SWS contributed revenues of $148 million for the year ended December 31, 2016, which are included in our Consolidated Statement of Operations. The acquired operations have not materially affected our “Consolidated net income” for the year ended December 31, 2016.</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Contingent consideration obligations are primarily based on achievement by the acquired businesses of certain negotiated goals, which generally include targeted financial metrics. As of December 31, 2016 and 2015, the balance of our estimated contingent consideration obligations was $37 million and $96 million, respectively. The decrease in this balance is primarily due to adjustments to write down our estimated obligations to fair value, including a $47 million decrease resulting from the finalization of our purchase accounting that occurred during the measurement period, see Note 21 for further discussion, and post measurement period decreases to reflect changes in the estimated achievement of the targeted financial metrics.</w:t>
      </w:r>
    </w:p>
    <w:p>
      <w:pPr>
        <w:spacing w:after="0" w:line="6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year ended December 31, 2015, we acquired 27 businesses primarily related to our Solid Waste business. Total consideration, net of cash acquired, for all acquisitions was $646 million, which included $537 million in cash paid, purchase price holdbacks of $13 million and a liability for contingent consideration with a preliminary estimated fair value of $96 million. Our estimated maximum obligations for the contingent cash payments were $126 million at the dates of acquisition. As of December 31, 2015, we had paid $13 million of these holdbacks and contingent consideration. In 2015, we also paid $4 million of contingent consideration associated with acquisitions completed prior to 2015.</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consideration for our 2015 acquisitions was primarily allocated to $243 million of property and equipment, $145 million of other intangible assets and $325 million of goodwill. Other intangible assets included $131 million of customer and supplier relationships, $8 million of covenants not-to-compete and $6 million of trade name. The goodwill is primarily a result of expected synergies from combining the acquired businesses with our existing operations and $166 million is tax deductible and $159 million is not tax deductible.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i w:val="1"/>
          <w:iCs w:val="1"/>
          <w:color w:val="auto"/>
        </w:rPr>
        <w:t xml:space="preserve">Deffenbaugh Disposal, Inc. (“Deffenbaugh”) </w:t>
      </w:r>
      <w:r>
        <w:rPr>
          <w:rFonts w:ascii="Arial" w:cs="Arial" w:eastAsia="Arial" w:hAnsi="Arial"/>
          <w:sz w:val="18"/>
          <w:szCs w:val="18"/>
          <w:color w:val="auto"/>
        </w:rPr>
        <w:t>— On March 26, 2015, we acquired Deffenbaugh, one of the largest privately owned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firms in the Midwest, for total consideration, net of cash acquired, of $400 million. Deffenbaugh’s assets include collection operations, transfer stations, recycling facilities and landfills. The acquisition accounting for this transaction was finalized in the first quarter of 2016. There were no significant measurement period adjustments recorded in 2016.</w:t>
      </w:r>
    </w:p>
    <w:p>
      <w:pPr>
        <w:spacing w:after="0" w:line="187" w:lineRule="exact"/>
        <w:rPr>
          <w:sz w:val="20"/>
          <w:szCs w:val="20"/>
          <w:color w:val="auto"/>
        </w:rPr>
      </w:pPr>
    </w:p>
    <w:p>
      <w:pPr>
        <w:jc w:val="both"/>
        <w:ind w:left="460" w:right="220" w:firstLine="438"/>
        <w:spacing w:after="0" w:line="264" w:lineRule="auto"/>
        <w:rPr>
          <w:sz w:val="20"/>
          <w:szCs w:val="20"/>
          <w:color w:val="auto"/>
        </w:rPr>
      </w:pPr>
      <w:r>
        <w:rPr>
          <w:rFonts w:ascii="Arial" w:cs="Arial" w:eastAsia="Arial" w:hAnsi="Arial"/>
          <w:sz w:val="18"/>
          <w:szCs w:val="18"/>
          <w:color w:val="auto"/>
        </w:rPr>
        <w:t>Total consideration for Deffenbaugh was allocated to $207 million of property and equipment, $159 million in goodwill, $100 million in other intangible assets, $50 million in other assets, including $15 million cash acquired, and $101 million in total liabilities. Goodwill has been assigned to our Areas, primarily Tier 3 and to a lesser extent Tier 1, and is not tax deductible.</w:t>
      </w:r>
    </w:p>
    <w:p>
      <w:pPr>
        <w:spacing w:after="0" w:line="181" w:lineRule="exact"/>
        <w:rPr>
          <w:sz w:val="20"/>
          <w:szCs w:val="20"/>
          <w:color w:val="auto"/>
        </w:rPr>
      </w:pPr>
    </w:p>
    <w:p>
      <w:pPr>
        <w:ind w:left="460" w:right="140" w:firstLine="438"/>
        <w:spacing w:after="0" w:line="277" w:lineRule="auto"/>
        <w:rPr>
          <w:sz w:val="20"/>
          <w:szCs w:val="20"/>
          <w:color w:val="auto"/>
        </w:rPr>
      </w:pPr>
      <w:r>
        <w:rPr>
          <w:rFonts w:ascii="Arial" w:cs="Arial" w:eastAsia="Arial" w:hAnsi="Arial"/>
          <w:sz w:val="18"/>
          <w:szCs w:val="18"/>
          <w:color w:val="auto"/>
        </w:rPr>
        <w:t>The following table presents the fair value assigned to other intangible assets for the Deffenbaugh and SWS acquisitions, respectively, (amounts in millions, except for amortization periods):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gridSpan w:val="3"/>
          </w:tcPr>
          <w:p>
            <w:pPr>
              <w:ind w:left="320"/>
              <w:spacing w:after="0"/>
              <w:rPr>
                <w:sz w:val="20"/>
                <w:szCs w:val="20"/>
                <w:color w:val="auto"/>
              </w:rPr>
            </w:pPr>
            <w:r>
              <w:rPr>
                <w:rFonts w:ascii="Arial" w:cs="Arial" w:eastAsia="Arial" w:hAnsi="Arial"/>
                <w:sz w:val="14"/>
                <w:szCs w:val="14"/>
                <w:b w:val="1"/>
                <w:bCs w:val="1"/>
                <w:color w:val="auto"/>
              </w:rPr>
              <w:t>Deffenbaugh</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rPr>
              <w:t>SWS</w:t>
            </w: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8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5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tcPr>
          <w:p>
            <w:pPr>
              <w:spacing w:after="0"/>
              <w:rPr>
                <w:sz w:val="12"/>
                <w:szCs w:val="12"/>
                <w:color w:val="auto"/>
              </w:rPr>
            </w:pPr>
          </w:p>
        </w:tc>
        <w:tc>
          <w:tcPr>
            <w:tcW w:w="19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Periods</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Periods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(in Years)</w:t>
            </w:r>
          </w:p>
        </w:tc>
        <w:tc>
          <w:tcPr>
            <w:tcW w:w="8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9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8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4580" w:type="dxa"/>
            <w:vAlign w:val="bottom"/>
          </w:tcPr>
          <w:p>
            <w:pPr>
              <w:ind w:left="360"/>
              <w:spacing w:after="0"/>
              <w:rPr>
                <w:sz w:val="20"/>
                <w:szCs w:val="20"/>
                <w:color w:val="auto"/>
              </w:rPr>
            </w:pPr>
            <w:r>
              <w:rPr>
                <w:rFonts w:ascii="Arial" w:cs="Arial" w:eastAsia="Arial" w:hAnsi="Arial"/>
                <w:sz w:val="18"/>
                <w:szCs w:val="18"/>
                <w:color w:val="auto"/>
              </w:rPr>
              <w:t>Total other intangible assets subject to</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4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800" w:type="dxa"/>
            <w:vAlign w:val="bottom"/>
            <w:gridSpan w:val="3"/>
          </w:tcPr>
          <w:p>
            <w:pPr>
              <w:jc w:val="right"/>
              <w:ind w:right="8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following pro forma consolidated results of operations for the years ended December 31 have been prepared as if the acquisitions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Deffenbaugh and SWS occurred at January 1, 2015 (in millions, except per share amounts):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2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$13,611</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year ended December 31, 2014, we acquired 15 businesses related to our Solid Waste business. Total consideration, net of cash acquired, for all acquisitions was $32 million, which included $26 million in cash paid and a liability for contingent consideration with a preliminary estimated fair value of $6 million. Our estimated maximum obligations for the contingent cash payments were $6 million at the dates of acquisition. As of December 31, 2014, we had paid $4 million of this contingent consideration. In 2014, we also paid $5 million of contingent consideration associated with acquisitions completed prior to 2014.</w:t>
      </w:r>
    </w:p>
    <w:p>
      <w:pPr>
        <w:spacing w:after="0" w:line="188"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Total consideration for our 2014 acquisitions was primarily allocated to $6 million of property and equipment, $9 million of other intangible assets and $17 million of goodwill. Other intangible assets included $7 million of customer and supplier relationships and $2 million of covenants not-to-compete. The goodwill is primarily a result of expected synergies from combining the acquired businesses with our existing operations and is tax deductible.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In 2016 and 2015, the aggregate sales price for divestitures of operations was $2 million and $79 million and we recognized net losses of $9 million and net gains of $7 million, respectively. These divestitures were made as part of our continuous focus on improving or divesting certain non-strategic or underperforming operations. The remaining amounts reported in the Consolidated Statements of Cash Flows generally relate to the sale of fixed assets.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aggregate sales price for divestitures of operations was $2.09 billion in 2014, primarily related to (i) the sale of our Wheelabrator business; (ii) the sale of our Puerto Rico operations and (iii) the sale of certain landfill and collection operations in our Eastern Canada Area, as discussed further below. We recognized net gains on these divestitures of $515 million in 2014. The remaining amounts reported in the Consolidated Statement of Cash Flows generally relate to the sale of fixed assets.</w:t>
      </w:r>
    </w:p>
    <w:p>
      <w:pPr>
        <w:spacing w:after="0" w:line="187" w:lineRule="exact"/>
        <w:rPr>
          <w:sz w:val="20"/>
          <w:szCs w:val="20"/>
          <w:color w:val="auto"/>
        </w:rPr>
      </w:pPr>
    </w:p>
    <w:p>
      <w:pPr>
        <w:jc w:val="both"/>
        <w:ind w:left="460" w:firstLine="438"/>
        <w:spacing w:after="0" w:line="297" w:lineRule="auto"/>
        <w:rPr>
          <w:sz w:val="20"/>
          <w:szCs w:val="20"/>
          <w:color w:val="auto"/>
        </w:rPr>
      </w:pPr>
      <w:r>
        <w:rPr>
          <w:rFonts w:ascii="Arial" w:cs="Arial" w:eastAsia="Arial" w:hAnsi="Arial"/>
          <w:sz w:val="16"/>
          <w:szCs w:val="16"/>
          <w:color w:val="auto"/>
        </w:rPr>
        <w:t>On December 19, 2014, we sold our Wheelabrator business to an affiliate of Energy Capital Partners and received cash proceeds of $1.95 billion, net of cash divested, subject to certain post-closing adjustments. We recognized a gain of $519 million on this sale which is included within “(Income) expense from divestitures, asset impairments and unusual items” in the Consolidated Statement of Operations. For the year ended December 31, 2015, net adjustments to this gain were immaterial on a pre-tax basis. In conjunction with the sale, the Company entered into several agreements to dispose of a minimum number of tons of waste at certain Wheelabrator facilities. See Note 11 for further discussion of these agreements.</w:t>
      </w:r>
    </w:p>
    <w:p>
      <w:pPr>
        <w:spacing w:after="0" w:line="158"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During 2014, we also sold our Puerto Rico operations and received proceeds of $80 million, consisting of $65 million of cash and $15 million of preferred stock and recognized a loss of $25 million. In addition, we sold certain landfill and collection operations in our Eastern Canada Area and received cash proceeds of $39 million and recognized a gain of $18 million. The gain or loss on these divestitures is included within “(Income) expense from divestitures, asset impairments and unusual items” in the Consolidated Statement of Operations. The remaining proceeds from divestitures in 2014 were comprised substantially of cash.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Variable Interest Entities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is a description of our financial interests in both consolidated and unconsolidated variable interest entities that we consider significant:</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Low-Income Housing Properties and Refined Coal Facility Investments </w:t>
      </w:r>
      <w:r>
        <w:rPr>
          <w:rFonts w:ascii="Arial" w:cs="Arial" w:eastAsia="Arial" w:hAnsi="Arial"/>
          <w:sz w:val="18"/>
          <w:szCs w:val="18"/>
          <w:color w:val="auto"/>
        </w:rPr>
        <w:t>— We have significant financial interests in entities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low-income housing properties and a refined coal facility. We support the operations of these entities in exchange for a pro-rata share of the tax credits they generate. We do not consolidate these entities as we have determined we are not the primary beneficiary of these entities as we do not have the power to individually direct the activities of these entities. Accordingly, we account for these investments under the equity method of accounting. As of December 31, 2016 and 2015, our aggregate investment balance in these two entities was $84 million and $110 million, respectively. The debt balance related to our investment in low-income housing properties was $57 million and $80 million at December 31, 2016 and 2015, respectively. Additional information related to these investments is discussed in Note 9.</w:t>
      </w:r>
    </w:p>
    <w:p>
      <w:pPr>
        <w:spacing w:after="0" w:line="18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Trust Funds for Final Capping, Closure, Post-Closure or Environmental Remediation Obligations — </w:t>
      </w:r>
      <w:r>
        <w:rPr>
          <w:rFonts w:ascii="Arial" w:cs="Arial" w:eastAsia="Arial" w:hAnsi="Arial"/>
          <w:sz w:val="18"/>
          <w:szCs w:val="18"/>
          <w:color w:val="auto"/>
        </w:rPr>
        <w:t>We have significant financial interests in trust</w:t>
      </w:r>
      <w:r>
        <w:rPr>
          <w:rFonts w:ascii="Arial" w:cs="Arial" w:eastAsia="Arial" w:hAnsi="Arial"/>
          <w:sz w:val="18"/>
          <w:szCs w:val="18"/>
          <w:i w:val="1"/>
          <w:iCs w:val="1"/>
          <w:color w:val="auto"/>
        </w:rPr>
        <w:t xml:space="preserve"> </w:t>
      </w:r>
      <w:r>
        <w:rPr>
          <w:rFonts w:ascii="Arial" w:cs="Arial" w:eastAsia="Arial" w:hAnsi="Arial"/>
          <w:sz w:val="18"/>
          <w:szCs w:val="18"/>
          <w:color w:val="auto"/>
        </w:rPr>
        <w:t>funds that were created to settle certain of our final capping, closure, post-closure or environmental remediation obligations. Certain of the funds have been established for the benefit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of both the Company and the host community in which we operate. We have determined that these trust funds are variable interest entities; however, we do not consolidate these trust funds as we are not the primary beneficiary of these entities because either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Our investments and receivables related to these trusts had an aggregate carrying value of $93 million as of December 31, 2016 and 2015.</w:t>
      </w:r>
    </w:p>
    <w:p>
      <w:pPr>
        <w:spacing w:after="0" w:line="19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the party with primary responsibility to fund the related final capping, closure, post-closure or environmental remediation activities for these trust funds, we are exposed to risk of loss as a result of potential changes in the fair value of the assets of the trust. We currently expect the trust funds to continue to meet the statutory requirements for which they were established.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Trust Funds for Final Capping, Closure, Post-Closure or Environmental Remediation Obligations — </w:t>
      </w:r>
      <w:r>
        <w:rPr>
          <w:rFonts w:ascii="Arial" w:cs="Arial" w:eastAsia="Arial" w:hAnsi="Arial"/>
          <w:sz w:val="16"/>
          <w:szCs w:val="16"/>
          <w:color w:val="auto"/>
        </w:rPr>
        <w:t>We also have significant financial interests in trust</w:t>
      </w:r>
      <w:r>
        <w:rPr>
          <w:rFonts w:ascii="Arial" w:cs="Arial" w:eastAsia="Arial" w:hAnsi="Arial"/>
          <w:sz w:val="16"/>
          <w:szCs w:val="16"/>
          <w:i w:val="1"/>
          <w:iCs w:val="1"/>
          <w:color w:val="auto"/>
        </w:rPr>
        <w:t xml:space="preserve"> </w:t>
      </w:r>
      <w:r>
        <w:rPr>
          <w:rFonts w:ascii="Arial" w:cs="Arial" w:eastAsia="Arial" w:hAnsi="Arial"/>
          <w:sz w:val="16"/>
          <w:szCs w:val="16"/>
          <w:color w:val="auto"/>
        </w:rPr>
        <w:t>funds that were created to settle certain of our final capping, closure, post-closure or environmental remediation obligations of which we are the sole beneficiary of these restricted balances. We have determined that these trust funds are variable interest entities and we consolidate these trust funds as we are the primary beneficiary. We account for the trust funds for which we are the sole beneficiary as long-term “Other assets” in our Consolidated Balance Sheets. We reflect our interests in the unrealized gains and losses on available-for-sale securities held by these trusts as a component of “Accumulated other comprehensive income (loss).” These trusts had a fair value of $95 million and $94 million at December 31, 2016 and 2015, respectively.</w:t>
      </w:r>
    </w:p>
    <w:p>
      <w:pPr>
        <w:spacing w:after="0" w:line="16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are also the party with primary responsibility to fund the related final capping, closure, post-closure or environmental remediation activities for these trust funds and we are exposed to risk of loss as a result of potential changes in the fair value of the assets of the trust. We currently expect the trust funds to continue to meet the statutory requirements for which they were established.</w:t>
      </w:r>
    </w:p>
    <w:p>
      <w:pPr>
        <w:spacing w:after="0" w:line="181"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i w:val="1"/>
          <w:iCs w:val="1"/>
          <w:color w:val="auto"/>
        </w:rPr>
        <w:t xml:space="preserve">Waste-to-Energy LLCs </w:t>
      </w:r>
      <w:r>
        <w:rPr>
          <w:rFonts w:ascii="Arial" w:cs="Arial" w:eastAsia="Arial" w:hAnsi="Arial"/>
          <w:sz w:val="16"/>
          <w:szCs w:val="16"/>
          <w:color w:val="auto"/>
        </w:rPr>
        <w:t>— In June 2000, two limited liability companies were established to purchase interests in existing leveraged lease financings at</w:t>
      </w:r>
      <w:r>
        <w:rPr>
          <w:rFonts w:ascii="Arial" w:cs="Arial" w:eastAsia="Arial" w:hAnsi="Arial"/>
          <w:sz w:val="16"/>
          <w:szCs w:val="16"/>
          <w:i w:val="1"/>
          <w:iCs w:val="1"/>
          <w:color w:val="auto"/>
        </w:rPr>
        <w:t xml:space="preserve"> </w:t>
      </w:r>
      <w:r>
        <w:rPr>
          <w:rFonts w:ascii="Arial" w:cs="Arial" w:eastAsia="Arial" w:hAnsi="Arial"/>
          <w:sz w:val="16"/>
          <w:szCs w:val="16"/>
          <w:color w:val="auto"/>
        </w:rPr>
        <w:t>three waste-to-energy facilities that we leased, operated and maintained. We initially owned a 0.5% interest in one of the LLCs (“LLC I”) and a 0.25% interest in the second LLC (“LLC II”). John Hancock Life Insurance Company (“Hancock”) owned 99.5% of LLC I and 99.75% of LLC II was owned by LLC I and the CIT Group (“CIT”). We determined that we were the primary beneficiary of the LLCs and consolidated these entities in our Consolidated Financial Statements because (i) all of the equity owners of the LLCs were considered related parties for purposes of applying this accounting guidance;</w:t>
      </w:r>
    </w:p>
    <w:p>
      <w:pPr>
        <w:spacing w:after="0" w:line="2" w:lineRule="exact"/>
        <w:rPr>
          <w:sz w:val="20"/>
          <w:szCs w:val="20"/>
          <w:color w:val="auto"/>
        </w:rPr>
      </w:pPr>
    </w:p>
    <w:p>
      <w:pPr>
        <w:ind w:right="40" w:firstLine="8"/>
        <w:spacing w:after="0" w:line="295" w:lineRule="auto"/>
        <w:tabs>
          <w:tab w:leader="none" w:pos="2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equity owners shared power over the significant activities of the LLCs and (iii) we were the entity within the related party group whose activities were most closely associated with the LLCs. During the year ended December 31, 2014 we recognized a reduction in earnings of $39 million for Hancock’s and CIT’s noncontrolling interests in the LLCs’ earnings, which was included in our consolidated net income. The LLCs’ earnings related to the rental income generated from leasing the facilities to our subsidiaries, reduced by depreciation expense. The LLCs’ rental income was eliminated in WM’s consolidation.</w:t>
      </w:r>
    </w:p>
    <w:p>
      <w:pPr>
        <w:spacing w:after="0" w:line="1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December 2014, we purchased the noncontrolling interests in the LLCs from Hancock and CIT. The LLCs were then subsequently sold as part of the divestiture of our Wheelabrator business. See Note 19 for further discussion of the sale of our Wheelabrator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and Related Information</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6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2015, we analyzed the Areas’ income from operations margins for purposes of segment reporting and realigned our Solid Waste tiers to reflect recent changes in their relative economic characteristics and prospects. These changes were the result of various factors including acquisitions, divestitures, business mix and the economic climate of various geographies. In 2016, there were no realignments of our Solid Waste tiers.</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Tier 1 is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Wheelabrator business, which provides waste-to-energy services and manages waste-to-energy facilities and independent power production plants, was a separate reportable segment until the sale of the business in 2014, as it met the quantitative disclosure thresholds.</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and for the years ended December 31 is shown in the following table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4"/>
                <w:szCs w:val="14"/>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Operating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Operating</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Expenditures</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Revenues</w:t>
            </w:r>
          </w:p>
        </w:tc>
        <w:tc>
          <w:tcPr>
            <w:tcW w:w="36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Revenues(c)</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(d),(e)</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(g),(h)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3,391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13,609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21,137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Tier 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5,083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4,227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Tier 3</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4,898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15,350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15,350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3,516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Other(a)</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2,191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16,457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16,457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68"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Our “Other” net operating revenues and “Other” income from operations include (i) our Strategic Business Solutions (“WMSBS”) organization; (ii) those elements of our landfill gas-to-energy operations and third-party subcontract and administration revenues managed by our Energy and Environmental Services and WM Renewable Energy organizations that are not included in the operations of our reportable segments; (iii) our recycling brokerage services and (iv) our expanded service offerings and solutions, such as portable self-storage and long distance moving services, fluorescent lamp recycling and interests we hold in oil and gas producing properties. In addition, our “Other” income from operations reflects the results of non-operating entities that provide financial assurance and self-insurance support for our Solid Waste business.</w:t>
      </w:r>
    </w:p>
    <w:p>
      <w:pPr>
        <w:spacing w:after="0" w:line="1" w:lineRule="exact"/>
        <w:rPr>
          <w:rFonts w:ascii="Arial" w:cs="Arial" w:eastAsia="Arial" w:hAnsi="Arial"/>
          <w:sz w:val="17"/>
          <w:szCs w:val="17"/>
          <w:color w:val="auto"/>
        </w:rPr>
      </w:pPr>
    </w:p>
    <w:p>
      <w:pPr>
        <w:ind w:left="460" w:right="180" w:hanging="452"/>
        <w:spacing w:after="0" w:line="277"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right="320"/>
        <w:spacing w:after="0" w:line="258" w:lineRule="auto"/>
        <w:rPr>
          <w:sz w:val="20"/>
          <w:szCs w:val="20"/>
          <w:color w:val="auto"/>
        </w:rPr>
      </w:pPr>
      <w:r>
        <w:rPr>
          <w:rFonts w:ascii="Arial" w:cs="Arial" w:eastAsia="Arial" w:hAnsi="Arial"/>
          <w:sz w:val="18"/>
          <w:szCs w:val="18"/>
          <w:color w:val="auto"/>
        </w:rPr>
        <w:t>associated with our long-term incentive program and any administrative expenses or revisions to our estimated obligations associated with divested operations.</w:t>
      </w:r>
    </w:p>
    <w:p>
      <w:pPr>
        <w:spacing w:after="0" w:line="1" w:lineRule="exact"/>
        <w:rPr>
          <w:sz w:val="20"/>
          <w:szCs w:val="20"/>
          <w:color w:val="auto"/>
        </w:rPr>
      </w:pPr>
    </w:p>
    <w:p>
      <w:pPr>
        <w:ind w:left="460" w:right="68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ind w:left="460" w:right="14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In 2014, we recognized a $519 million gain on the sale of our Wheelabrator business. Refer to Notes 12 and 13 for explanations of certain other transactions and events affecting our operating results.</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is as follows (in millions):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900" w:type="dxa"/>
            <w:vAlign w:val="bottom"/>
            <w:gridSpan w:val="2"/>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as reported above</w:t>
            </w:r>
          </w:p>
        </w:tc>
        <w:tc>
          <w:tcPr>
            <w:tcW w:w="1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$21,137</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$20,906</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$21,843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Arial" w:cs="Arial" w:eastAsia="Arial" w:hAnsi="Arial"/>
                <w:sz w:val="17"/>
                <w:szCs w:val="17"/>
                <w:color w:val="auto"/>
              </w:rPr>
              <w:t>Elimination of intercompany investments and advances</w:t>
            </w:r>
          </w:p>
        </w:tc>
        <w:tc>
          <w:tcPr>
            <w:tcW w:w="14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(278)</w:t>
            </w:r>
          </w:p>
        </w:tc>
        <w:tc>
          <w:tcPr>
            <w:tcW w:w="1460" w:type="dxa"/>
            <w:vAlign w:val="bottom"/>
            <w:gridSpan w:val="3"/>
          </w:tcPr>
          <w:p>
            <w:pPr>
              <w:jc w:val="right"/>
              <w:ind w:right="500"/>
              <w:spacing w:after="0"/>
              <w:rPr>
                <w:sz w:val="20"/>
                <w:szCs w:val="20"/>
                <w:color w:val="auto"/>
              </w:rPr>
            </w:pPr>
            <w:r>
              <w:rPr>
                <w:rFonts w:ascii="Arial" w:cs="Arial" w:eastAsia="Arial" w:hAnsi="Arial"/>
                <w:sz w:val="17"/>
                <w:szCs w:val="17"/>
                <w:color w:val="auto"/>
              </w:rPr>
              <w:t>(539)</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(591)</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Total assets, per Consolidated Balance Sheet</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20,859</w:t>
            </w: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20,367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21,252</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93"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Goodwill is included within each segment’s total assets. For segment reporting purposes, our material recovery facilities are included as a component of their respective Areas and our recycling brokerage services is included as part of our “Other” operations. The goodwill associated with our acquisition of Deffenbaugh in 2015 has been assigned to our Areas, primarily Tier 3 and to a lesser extent Tier 1. The goodwill associated with our acquisition of SWS in 2016 has been assigned to our Florida Area, in Tier 3. Other adjustments in 2016 relate to the finalization of purchase accounting for acquisitions executed in 2015. These adjustments primarily resulted in a decrease in the related contingent consideration liability. See Note 19 for additional information on our acquisitions. The following table presents changes in goodwill during 2015 and 2016 by reportable segment (in millions):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Solid Waste</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Other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Tier 1</w:t>
            </w:r>
          </w:p>
        </w:tc>
        <w:tc>
          <w:tcPr>
            <w:tcW w:w="300" w:type="dxa"/>
            <w:vAlign w:val="bottom"/>
          </w:tcPr>
          <w:p>
            <w:pPr>
              <w:spacing w:after="0"/>
              <w:rPr>
                <w:sz w:val="12"/>
                <w:szCs w:val="12"/>
                <w:color w:val="auto"/>
              </w:rPr>
            </w:pPr>
          </w:p>
        </w:tc>
        <w:tc>
          <w:tcPr>
            <w:tcW w:w="8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Tier 2</w:t>
            </w: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Tier 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December 31, 2014</w:t>
            </w:r>
          </w:p>
        </w:tc>
        <w:tc>
          <w:tcPr>
            <w:tcW w:w="20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$2,178</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$1,795</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$1,662</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$ 105</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$5,740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Acquired goodwill</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3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151</w:t>
            </w:r>
          </w:p>
        </w:tc>
        <w:tc>
          <w:tcPr>
            <w:tcW w:w="280" w:type="dxa"/>
            <w:vAlign w:val="bottom"/>
          </w:tcPr>
          <w:p>
            <w:pPr>
              <w:spacing w:after="0"/>
              <w:rPr>
                <w:sz w:val="17"/>
                <w:szCs w:val="17"/>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105</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Divested goodwill</w:t>
            </w:r>
          </w:p>
        </w:tc>
        <w:tc>
          <w:tcPr>
            <w:tcW w:w="2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20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2015</w:t>
            </w:r>
          </w:p>
        </w:tc>
        <w:tc>
          <w:tcPr>
            <w:tcW w:w="27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$2,190</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$1,772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$1,812</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$ 210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$5,984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Acquired goodwill</w:t>
            </w:r>
          </w:p>
        </w:tc>
        <w:tc>
          <w:tcPr>
            <w:tcW w:w="2720" w:type="dxa"/>
            <w:vAlign w:val="bottom"/>
            <w:gridSpan w:val="3"/>
          </w:tcPr>
          <w:p>
            <w:pPr>
              <w:jc w:val="right"/>
              <w:ind w:right="220"/>
              <w:spacing w:after="0"/>
              <w:rPr>
                <w:sz w:val="20"/>
                <w:szCs w:val="20"/>
                <w:color w:val="auto"/>
              </w:rPr>
            </w:pPr>
            <w:r>
              <w:rPr>
                <w:rFonts w:ascii="Arial" w:cs="Arial" w:eastAsia="Arial" w:hAnsi="Arial"/>
                <w:sz w:val="17"/>
                <w:szCs w:val="17"/>
                <w:color w:val="auto"/>
              </w:rPr>
              <w:t>11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3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254</w:t>
            </w:r>
          </w:p>
        </w:tc>
        <w:tc>
          <w:tcPr>
            <w:tcW w:w="280" w:type="dxa"/>
            <w:vAlign w:val="bottom"/>
          </w:tcPr>
          <w:p>
            <w:pPr>
              <w:spacing w:after="0"/>
              <w:rPr>
                <w:sz w:val="17"/>
                <w:szCs w:val="17"/>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7"/>
                <w:szCs w:val="17"/>
                <w:color w:val="auto"/>
              </w:rPr>
              <w:t>3</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Divested goodwill</w:t>
            </w:r>
          </w:p>
        </w:tc>
        <w:tc>
          <w:tcPr>
            <w:tcW w:w="2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Impairments</w:t>
            </w:r>
          </w:p>
        </w:tc>
        <w:tc>
          <w:tcPr>
            <w:tcW w:w="20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40"/>
              <w:spacing w:after="0"/>
              <w:rPr>
                <w:sz w:val="20"/>
                <w:szCs w:val="20"/>
                <w:color w:val="auto"/>
              </w:rPr>
            </w:pPr>
            <w:r>
              <w:rPr>
                <w:rFonts w:ascii="Arial" w:cs="Arial" w:eastAsia="Arial" w:hAnsi="Arial"/>
                <w:sz w:val="17"/>
                <w:szCs w:val="17"/>
                <w:color w:val="auto"/>
              </w:rPr>
              <w:t>(12)</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Other adjustments</w:t>
            </w:r>
          </w:p>
        </w:tc>
        <w:tc>
          <w:tcPr>
            <w:tcW w:w="20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40"/>
              <w:spacing w:after="0"/>
              <w:rPr>
                <w:sz w:val="20"/>
                <w:szCs w:val="20"/>
                <w:color w:val="auto"/>
              </w:rPr>
            </w:pPr>
            <w:r>
              <w:rPr>
                <w:rFonts w:ascii="Arial" w:cs="Arial" w:eastAsia="Arial" w:hAnsi="Arial"/>
                <w:sz w:val="17"/>
                <w:szCs w:val="17"/>
                <w:color w:val="auto"/>
              </w:rPr>
              <w:t>(46)</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2016</w:t>
            </w:r>
          </w:p>
        </w:tc>
        <w:tc>
          <w:tcPr>
            <w:tcW w:w="27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2,203</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1,792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2,065</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$ 155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6,215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for the years ended December 31 are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Recycling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Intercompany(b)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4"/>
              </w:rPr>
              <w:t>(2,637)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(2,389)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(2,461)</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13,609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12,961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Energy and Environmental Services organization, including our construction and remediation services and our services associated with the disposal of fly ash and (iv) our expanded service offerings and solutions, such as portable self-storage and long distance moving services, and interests we hold in oil and gas producing properties.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within the Consolidated Financial Statements included herein.</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Net operating revenues relating to operations in the United States and Puerto Rico, and Canada for the years ended December 31 are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86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$12,915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$12,196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12,961</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left="9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13,996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sold our Puerto Rico operations in 2014. Refer to Note 19 for additional information.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Property and equipment, net of accumulated depreciation and amortization, relating to operations in the United States and Puerto Rico, and Canada for the years ended December 31 are as follows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Puerto Rico(a)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$10,040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r>
      <w:tr>
        <w:trPr>
          <w:trHeight w:val="27"/>
        </w:trPr>
        <w:tc>
          <w:tcPr>
            <w:tcW w:w="6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10,657</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580" w:right="4460" w:hanging="5572"/>
        <w:spacing w:after="0" w:line="490" w:lineRule="auto"/>
        <w:tabs>
          <w:tab w:leader="none" w:pos="4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sold our Puerto Rico operations in 2014. Refer to Note 19 for additional information. 130</w:t>
      </w:r>
    </w:p>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quarterly results of operations for 2016 and 2015 (in millions, except per share amounts):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First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Second</w:t>
            </w:r>
          </w:p>
        </w:tc>
        <w:tc>
          <w:tcPr>
            <w:tcW w:w="2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5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Quarter</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Quarter</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revenues</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$3,176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$3,425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$3,548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$3,460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256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304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0.58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0.68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0.76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0.58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$3,040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$3,315</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$3,360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20" w:type="dxa"/>
            <w:vAlign w:val="bottom"/>
            <w:gridSpan w:val="3"/>
          </w:tcPr>
          <w:p>
            <w:pPr>
              <w:jc w:val="right"/>
              <w:ind w:right="420"/>
              <w:spacing w:after="0"/>
              <w:rPr>
                <w:sz w:val="20"/>
                <w:szCs w:val="20"/>
                <w:color w:val="auto"/>
              </w:rPr>
            </w:pPr>
            <w:r>
              <w:rPr>
                <w:rFonts w:ascii="Arial" w:cs="Arial" w:eastAsia="Arial" w:hAnsi="Arial"/>
                <w:sz w:val="18"/>
                <w:szCs w:val="18"/>
                <w:color w:val="auto"/>
              </w:rPr>
              <w:t>440</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601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(129)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335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(0.28)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0.74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0.61</w:t>
            </w:r>
          </w:p>
        </w:tc>
      </w:tr>
    </w:tbl>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8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2016</w:t>
      </w:r>
    </w:p>
    <w:p>
      <w:pPr>
        <w:spacing w:after="0" w:line="131" w:lineRule="exact"/>
        <w:rPr>
          <w:sz w:val="20"/>
          <w:szCs w:val="20"/>
          <w:color w:val="auto"/>
        </w:rPr>
      </w:pPr>
    </w:p>
    <w:p>
      <w:pPr>
        <w:ind w:left="900" w:right="24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recognition of pre-tax charges of $45 million, primarily related to the impairment of minority-owned, cost method investments in waste diversion technology companies. These impairments were substantially nondeductible for income taxes and had a negative impact of $0.10 on our diluted earnings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2016</w:t>
      </w:r>
    </w:p>
    <w:p>
      <w:pPr>
        <w:spacing w:after="0" w:line="131" w:lineRule="exact"/>
        <w:rPr>
          <w:sz w:val="20"/>
          <w:szCs w:val="20"/>
          <w:color w:val="auto"/>
        </w:rPr>
      </w:pPr>
    </w:p>
    <w:p>
      <w:pPr>
        <w:ind w:left="900" w:hanging="325"/>
        <w:spacing w:after="0" w:line="279"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recognition of pre-tax charges of $106 million consisting primarily of (i) a $43 million impairment due to a loss of expected volumes for a landfill; (ii) a $42 million charge to adjust our subsidiary’s estimated environmental remediation liability related to a closed site in Harris County, Texas; (iii) a $10 million goodwill impairment charge related to our LampTracker</w:t>
      </w:r>
      <w:r>
        <w:rPr>
          <w:rFonts w:ascii="Arial" w:cs="Arial" w:eastAsia="Arial" w:hAnsi="Arial"/>
          <w:sz w:val="14"/>
          <w:szCs w:val="14"/>
          <w:color w:val="auto"/>
        </w:rPr>
        <w:t>®</w:t>
      </w:r>
      <w:r>
        <w:rPr>
          <w:rFonts w:ascii="Arial" w:cs="Arial" w:eastAsia="Arial" w:hAnsi="Arial"/>
          <w:sz w:val="17"/>
          <w:szCs w:val="17"/>
          <w:color w:val="auto"/>
        </w:rPr>
        <w:t xml:space="preserve"> reporting unit and (iv) an $8 million loss on the sale of a majority-owned organics company. These charges had a negative impact of $0.16 on our diluted earnings per share.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2015</w:t>
      </w:r>
    </w:p>
    <w:p>
      <w:pPr>
        <w:spacing w:after="0" w:line="131" w:lineRule="exact"/>
        <w:rPr>
          <w:sz w:val="20"/>
          <w:szCs w:val="20"/>
          <w:color w:val="auto"/>
        </w:rPr>
      </w:pPr>
    </w:p>
    <w:p>
      <w:pPr>
        <w:ind w:left="900" w:right="180" w:hanging="325"/>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recognition of a pre-tax loss of $550 million associated with the early extinguishment of almost $2 billion of our high-coupon senior notes through make-whole redemption and cash tender offers. These charges had a negative impact of $0.74 on our diluted loss per share.</w:t>
      </w:r>
    </w:p>
    <w:p>
      <w:pPr>
        <w:spacing w:after="0" w:line="29"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recognition of pre-tax charges of $14 million associated with divestitures, impairments and restructuring, which include a $7 million net loss associated with the sale of our Wheelabrator business in December 2014 and a $5 million impairment charge related to a landfill in our Western Canada Area. These charges had a negative impact of $0.03 on our diluted loss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2015</w:t>
      </w:r>
    </w:p>
    <w:p>
      <w:pPr>
        <w:spacing w:after="0" w:line="131" w:lineRule="exact"/>
        <w:rPr>
          <w:sz w:val="20"/>
          <w:szCs w:val="20"/>
          <w:color w:val="auto"/>
        </w:rPr>
      </w:pPr>
    </w:p>
    <w:p>
      <w:pPr>
        <w:ind w:left="900" w:right="18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recognition of a $55 million charge associated with the withdrawal from certain underfunded Multiemployer Pension Plans had a negative impact of $0.07 on our diluted earnings per share.</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recognition of net pre-tax losses of $6 million primarily related to the impairment of various recycling assets and certain adjustments associated with the sale of our Wheelabrator business. Combined, these charges had a favorable after-tax impact of $0.01 on our diluted earnings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2015</w:t>
      </w:r>
    </w:p>
    <w:p>
      <w:pPr>
        <w:spacing w:after="0" w:line="131" w:lineRule="exact"/>
        <w:rPr>
          <w:sz w:val="20"/>
          <w:szCs w:val="20"/>
          <w:color w:val="auto"/>
        </w:rPr>
      </w:pPr>
    </w:p>
    <w:p>
      <w:pPr>
        <w:ind w:left="900" w:right="6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recognition of $70 million of pre-tax charges primarily to impair our oil and gas producing properties, which negatively affected our diluted earnings per share by $0.09.</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recognition of $8 million of pre-tax restructuring charges and a $4 million other-than-temporary decline in the value of a minority-owned, cost method investment in a waste diversion technology company. These charges had a negative impact of $0.02 on our diluted earnings per share.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Condensed Consolidating Financial Statements</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WM</w:t>
            </w:r>
          </w:p>
        </w:tc>
        <w:tc>
          <w:tcPr>
            <w:tcW w:w="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480" w:type="dxa"/>
            <w:vAlign w:val="bottom"/>
            <w:vMerge w:val="restart"/>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Holdings</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10,950</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19,924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20,331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Advances to affiliates(a)</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7,489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19,943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(53,255</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380" w:type="dxa"/>
            <w:vAlign w:val="bottom"/>
            <w:gridSpan w:val="7"/>
            <w:shd w:val="clear" w:color="auto" w:fill="CCEEFF"/>
          </w:tcPr>
          <w:p>
            <w:pPr>
              <w:ind w:left="40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Long-term debt, less current portion(a)</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2,360</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affiliates(a)</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13,350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19,945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13,930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20,330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(40,255)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Advances to affiliates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5,777</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19,875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(34,478)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5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20,366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33,805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conjunction with the preparation of our June 30, 2016 Condensed Consolidating Balance Sheet, we identified and corrected the presentation of</w:t>
      </w:r>
    </w:p>
    <w:p>
      <w:pPr>
        <w:spacing w:after="0" w:line="34" w:lineRule="exact"/>
        <w:rPr>
          <w:rFonts w:ascii="Arial" w:cs="Arial" w:eastAsia="Arial" w:hAnsi="Arial"/>
          <w:sz w:val="17"/>
          <w:szCs w:val="17"/>
          <w:color w:val="auto"/>
        </w:rPr>
      </w:pPr>
    </w:p>
    <w:p>
      <w:pPr>
        <w:ind w:left="460" w:right="100"/>
        <w:spacing w:after="0" w:line="255" w:lineRule="auto"/>
        <w:rPr>
          <w:rFonts w:ascii="Arial" w:cs="Arial" w:eastAsia="Arial" w:hAnsi="Arial"/>
          <w:sz w:val="17"/>
          <w:szCs w:val="17"/>
          <w:color w:val="auto"/>
        </w:rPr>
      </w:pPr>
      <w:r>
        <w:rPr>
          <w:rFonts w:ascii="Arial" w:cs="Arial" w:eastAsia="Arial" w:hAnsi="Arial"/>
          <w:sz w:val="18"/>
          <w:szCs w:val="18"/>
          <w:color w:val="auto"/>
        </w:rPr>
        <w:t>$126 million of tax-exempt bonds previously reported in Non-Guarantor Subsidiaries’ rather than WM’s “Long-term debt, less current portion,” which had corresponding impacts on “Advances to affiliates” and “Due to affiliates.” This immaterial correction has been reflected in our 2016 Condensed Consolidating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WM</w:t>
            </w:r>
          </w:p>
        </w:tc>
        <w:tc>
          <w:tcPr>
            <w:tcW w:w="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480" w:type="dxa"/>
            <w:vAlign w:val="bottom"/>
            <w:vMerge w:val="restart"/>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Holdings</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10,665</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affiliates(b)</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18,557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18,925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Advances to affiliates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12,113</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(12,113)</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18,583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32,419</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(49,595</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380" w:type="dxa"/>
            <w:vAlign w:val="bottom"/>
            <w:gridSpan w:val="7"/>
            <w:shd w:val="clear" w:color="auto" w:fill="CCEEFF"/>
          </w:tcPr>
          <w:p>
            <w:pPr>
              <w:ind w:left="40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2,571</w:t>
            </w: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8,676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affiliates(b)</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12,588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(17,963)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18,537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14,037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(17,963)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18,571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Advances to affiliates(b)</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(5,299)</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5,850</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18,571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18,382</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(31,632)</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5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18,583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18,960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32,419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79"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conjunction with the preparation of our September 30, 2016 Condensed Consolidating Balance Sheet, we identified $5.9 billion of intercompany loans between WM and Non-Guarantor Subsidiaries previously included in “Due to affiliates” and “Advances to affiliates” that based on intent are not expected to be collected, and as such are being presented as part of “Equity” in WM’s and Non-Guarantor Subsidiaries’ balance sheet. Accordingly, the 2015 Condensed Consolidating Balance Sheet included herein has been revised to reflect this presentation.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WM</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 Ended December 31, 2016</w:t>
            </w: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13,609</w:t>
            </w:r>
          </w:p>
        </w:tc>
        <w:tc>
          <w:tcPr>
            <w:tcW w:w="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13,609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Costs and expenses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11,313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center"/>
              <w:ind w:left="183"/>
              <w:spacing w:after="0" w:line="162" w:lineRule="exact"/>
              <w:rPr>
                <w:sz w:val="20"/>
                <w:szCs w:val="20"/>
                <w:color w:val="auto"/>
              </w:rPr>
            </w:pPr>
            <w:r>
              <w:rPr>
                <w:rFonts w:ascii="Arial" w:cs="Arial" w:eastAsia="Arial" w:hAnsi="Arial"/>
                <w:sz w:val="15"/>
                <w:szCs w:val="15"/>
                <w:color w:val="auto"/>
                <w:w w:val="93"/>
              </w:rPr>
              <w:t>—</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11,313</w:t>
            </w:r>
          </w:p>
        </w:tc>
        <w:tc>
          <w:tcPr>
            <w:tcW w:w="0" w:type="dxa"/>
            <w:vAlign w:val="bottom"/>
          </w:tcPr>
          <w:p>
            <w:pPr>
              <w:spacing w:after="0"/>
              <w:rPr>
                <w:sz w:val="1"/>
                <w:szCs w:val="1"/>
                <w:color w:val="auto"/>
              </w:rPr>
            </w:pPr>
          </w:p>
        </w:tc>
      </w:tr>
      <w:tr>
        <w:trPr>
          <w:trHeight w:val="176"/>
        </w:trPr>
        <w:tc>
          <w:tcPr>
            <w:tcW w:w="5860" w:type="dxa"/>
            <w:vAlign w:val="bottom"/>
            <w:gridSpan w:val="2"/>
          </w:tcPr>
          <w:p>
            <w:pPr>
              <w:spacing w:after="0" w:line="169" w:lineRule="exact"/>
              <w:rPr>
                <w:sz w:val="20"/>
                <w:szCs w:val="20"/>
                <w:color w:val="auto"/>
              </w:rPr>
            </w:pPr>
            <w:r>
              <w:rPr>
                <w:rFonts w:ascii="Arial" w:cs="Arial" w:eastAsia="Arial" w:hAnsi="Arial"/>
                <w:sz w:val="15"/>
                <w:szCs w:val="15"/>
                <w:color w:val="auto"/>
              </w:rPr>
              <w:t>Income from operations</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2,296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center"/>
              <w:ind w:left="183"/>
              <w:spacing w:after="0" w:line="169" w:lineRule="exact"/>
              <w:rPr>
                <w:sz w:val="20"/>
                <w:szCs w:val="20"/>
                <w:color w:val="auto"/>
              </w:rPr>
            </w:pPr>
            <w:r>
              <w:rPr>
                <w:rFonts w:ascii="Arial" w:cs="Arial" w:eastAsia="Arial" w:hAnsi="Arial"/>
                <w:sz w:val="15"/>
                <w:szCs w:val="15"/>
                <w:color w:val="auto"/>
                <w:w w:val="93"/>
              </w:rPr>
              <w:t>—</w:t>
            </w:r>
          </w:p>
        </w:tc>
        <w:tc>
          <w:tcPr>
            <w:tcW w:w="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(303)</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(20)</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Loss on early extinguishment of debt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 provision</w:t>
            </w:r>
          </w:p>
        </w:tc>
        <w:tc>
          <w:tcPr>
            <w:tcW w:w="80" w:type="dxa"/>
            <w:vAlign w:val="bottom"/>
          </w:tcPr>
          <w:p>
            <w:pPr>
              <w:spacing w:after="0"/>
              <w:rPr>
                <w:sz w:val="14"/>
                <w:szCs w:val="14"/>
                <w:color w:val="auto"/>
              </w:rPr>
            </w:pPr>
          </w:p>
        </w:tc>
        <w:tc>
          <w:tcPr>
            <w:tcW w:w="360" w:type="dxa"/>
            <w:vAlign w:val="bottom"/>
          </w:tcPr>
          <w:p>
            <w:pPr>
              <w:jc w:val="right"/>
              <w:spacing w:after="0" w:line="162" w:lineRule="exact"/>
              <w:rPr>
                <w:sz w:val="20"/>
                <w:szCs w:val="20"/>
                <w:color w:val="auto"/>
              </w:rPr>
            </w:pPr>
            <w:r>
              <w:rPr>
                <w:rFonts w:ascii="Arial" w:cs="Arial" w:eastAsia="Arial" w:hAnsi="Arial"/>
                <w:sz w:val="15"/>
                <w:szCs w:val="15"/>
                <w:color w:val="auto"/>
                <w:w w:val="90"/>
              </w:rPr>
              <w:t>1,367</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2" w:lineRule="exact"/>
              <w:rPr>
                <w:sz w:val="20"/>
                <w:szCs w:val="20"/>
                <w:color w:val="auto"/>
              </w:rPr>
            </w:pPr>
            <w:r>
              <w:rPr>
                <w:rFonts w:ascii="Arial" w:cs="Arial" w:eastAsia="Arial" w:hAnsi="Arial"/>
                <w:sz w:val="15"/>
                <w:szCs w:val="15"/>
                <w:color w:val="auto"/>
              </w:rPr>
              <w:t>1,381</w:t>
            </w: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6"/>
              </w:rPr>
              <w:t>(2,748)</w:t>
            </w:r>
          </w:p>
        </w:tc>
        <w:tc>
          <w:tcPr>
            <w:tcW w:w="220" w:type="dxa"/>
            <w:vAlign w:val="bottom"/>
          </w:tcPr>
          <w:p>
            <w:pPr>
              <w:spacing w:after="0"/>
              <w:rPr>
                <w:sz w:val="14"/>
                <w:szCs w:val="14"/>
                <w:color w:val="auto"/>
              </w:rPr>
            </w:pPr>
          </w:p>
        </w:tc>
        <w:tc>
          <w:tcPr>
            <w:tcW w:w="6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(94)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w w:val="90"/>
              </w:rPr>
              <w:t>1,063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1,361</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(150)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(2,748)</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1,063</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1,361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2,146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(2,748)</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(119)</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(8)</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769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642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1,182</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1,369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1,377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(2,748)</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attributable to Waste Management, Inc.</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1,182</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1,369</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1,379</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(2,748)</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Year Ended December 31, 2015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12,961</w:t>
            </w:r>
          </w:p>
        </w:tc>
        <w:tc>
          <w:tcPr>
            <w:tcW w:w="44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12,961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10,917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10,916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operations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2,044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Arial" w:cs="Arial" w:eastAsia="Arial" w:hAnsi="Arial"/>
                <w:sz w:val="15"/>
                <w:szCs w:val="15"/>
                <w:color w:val="auto"/>
              </w:rPr>
              <w:t>Other income (expense):</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(298)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Loss on early extinguishment of debt</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(500)</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 provision</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1,245</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1,289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(2,534)</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447</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1,215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(113)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(2,534)</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(985)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447</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1,216</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1,931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(2,534)</w:t>
            </w:r>
          </w:p>
        </w:tc>
        <w:tc>
          <w:tcPr>
            <w:tcW w:w="2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(306)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643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753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1,245</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1,288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(2,534)</w:t>
            </w:r>
          </w:p>
        </w:tc>
        <w:tc>
          <w:tcPr>
            <w:tcW w:w="22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Net income attributable to Waste Management, Inc.</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753</w:t>
            </w:r>
          </w:p>
        </w:tc>
        <w:tc>
          <w:tcPr>
            <w:tcW w:w="48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1,245</w:t>
            </w: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1,289</w:t>
            </w:r>
          </w:p>
        </w:tc>
        <w:tc>
          <w:tcPr>
            <w:tcW w:w="440" w:type="dxa"/>
            <w:vAlign w:val="bottom"/>
            <w:gridSpan w:val="2"/>
          </w:tcPr>
          <w:p>
            <w:pPr>
              <w:ind w:left="200"/>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(2,534)</w:t>
            </w: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Year Ended December 31, 2014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Arial" w:cs="Arial" w:eastAsia="Arial" w:hAnsi="Arial"/>
                <w:sz w:val="15"/>
                <w:szCs w:val="15"/>
                <w:color w:val="auto"/>
              </w:rPr>
              <w:t>Operating revenues</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5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13,996</w:t>
            </w:r>
          </w:p>
        </w:tc>
        <w:tc>
          <w:tcPr>
            <w:tcW w:w="44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13,996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Costs and expenses</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(459)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12,156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11,697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Income from operations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4"/>
              <w:spacing w:after="0" w:line="169"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459</w:t>
            </w:r>
          </w:p>
        </w:tc>
        <w:tc>
          <w:tcPr>
            <w:tcW w:w="100" w:type="dxa"/>
            <w:vAlign w:val="bottom"/>
          </w:tcPr>
          <w:p>
            <w:pPr>
              <w:spacing w:after="0"/>
              <w:rPr>
                <w:sz w:val="15"/>
                <w:szCs w:val="15"/>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1,840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20"/>
              <w:spacing w:after="0" w:line="169"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2,299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income (expense):</w:t>
            </w:r>
          </w:p>
        </w:tc>
        <w:tc>
          <w:tcPr>
            <w:tcW w:w="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(351)</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(31)</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Equity in earnings of subsidiaries, net of tax provision</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1,510</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1,070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(2,580)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1,159</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5"/>
                <w:szCs w:val="15"/>
                <w:color w:val="auto"/>
              </w:rPr>
              <w:t>1,039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(166)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5"/>
                <w:szCs w:val="15"/>
                <w:color w:val="auto"/>
                <w:w w:val="96"/>
              </w:rPr>
              <w:t>(2,580)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w w:val="90"/>
              </w:rPr>
              <w:t>1,159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1,498</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1,674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(2,580)</w:t>
            </w:r>
          </w:p>
        </w:tc>
        <w:tc>
          <w:tcPr>
            <w:tcW w:w="2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Provision for (benefit from) income taxes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564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220"/>
              <w:spacing w:after="0" w:line="162" w:lineRule="exact"/>
              <w:rPr>
                <w:sz w:val="20"/>
                <w:szCs w:val="20"/>
                <w:color w:val="auto"/>
              </w:rPr>
            </w:pPr>
            <w:r>
              <w:rPr>
                <w:rFonts w:ascii="Arial" w:cs="Arial" w:eastAsia="Arial" w:hAnsi="Arial"/>
                <w:sz w:val="15"/>
                <w:szCs w:val="15"/>
                <w:color w:val="auto"/>
                <w:w w:val="93"/>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5"/>
                <w:szCs w:val="15"/>
                <w:color w:val="auto"/>
              </w:rPr>
              <w:t>Consolidated net income</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w w:val="90"/>
              </w:rPr>
              <w:t>1,298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1,510</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1,110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(2,580)</w:t>
            </w:r>
          </w:p>
        </w:tc>
        <w:tc>
          <w:tcPr>
            <w:tcW w:w="22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1,338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Less: Net income (loss) attributable to noncontrolling interests</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center"/>
              <w:ind w:left="183"/>
              <w:spacing w:after="0" w:line="162" w:lineRule="exact"/>
              <w:rPr>
                <w:sz w:val="20"/>
                <w:szCs w:val="20"/>
                <w:color w:val="auto"/>
              </w:rPr>
            </w:pPr>
            <w:r>
              <w:rPr>
                <w:rFonts w:ascii="Arial" w:cs="Arial" w:eastAsia="Arial" w:hAnsi="Arial"/>
                <w:sz w:val="15"/>
                <w:szCs w:val="15"/>
                <w:color w:val="auto"/>
                <w:w w:val="93"/>
              </w:rPr>
              <w:t>—</w:t>
            </w:r>
          </w:p>
        </w:tc>
        <w:tc>
          <w:tcPr>
            <w:tcW w:w="4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Arial" w:cs="Arial" w:eastAsia="Arial" w:hAnsi="Arial"/>
                <w:sz w:val="15"/>
                <w:szCs w:val="15"/>
                <w:color w:val="auto"/>
              </w:rPr>
              <w:t>Net income attributable to Waste Management, Inc.</w:t>
            </w: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w w:val="90"/>
              </w:rPr>
              <w:t>1,298</w:t>
            </w:r>
          </w:p>
        </w:tc>
        <w:tc>
          <w:tcPr>
            <w:tcW w:w="48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1,510</w:t>
            </w: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1,070</w:t>
            </w:r>
          </w:p>
        </w:tc>
        <w:tc>
          <w:tcPr>
            <w:tcW w:w="440" w:type="dxa"/>
            <w:vAlign w:val="bottom"/>
            <w:gridSpan w:val="2"/>
          </w:tcPr>
          <w:p>
            <w:pPr>
              <w:ind w:left="200"/>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6"/>
              </w:rPr>
              <w:t>(2,580)</w:t>
            </w:r>
          </w:p>
        </w:tc>
        <w:tc>
          <w:tcPr>
            <w:tcW w:w="2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WM</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Holdings</w:t>
            </w:r>
          </w:p>
        </w:tc>
        <w:tc>
          <w:tcPr>
            <w:tcW w:w="10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Subsidiaries</w:t>
            </w: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2016</w:t>
            </w: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1,189</w:t>
            </w:r>
          </w:p>
        </w:tc>
        <w:tc>
          <w:tcPr>
            <w:tcW w:w="30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$ 1,369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(2,748)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1,189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$ 1,369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762</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$ 1,245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(2,534)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$ 1,245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1,300</w:t>
            </w:r>
          </w:p>
        </w:tc>
        <w:tc>
          <w:tcPr>
            <w:tcW w:w="30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$ 1,510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$ 1,510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WM(c)</w:t>
            </w:r>
          </w:p>
        </w:tc>
        <w:tc>
          <w:tcPr>
            <w:tcW w:w="16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Holdings(c)</w:t>
            </w:r>
          </w:p>
        </w:tc>
        <w:tc>
          <w:tcPr>
            <w:tcW w:w="20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1"/>
              </w:rPr>
              <w:t>Subsidiaries(c)</w:t>
            </w: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1,182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1,369</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(1,367)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ind w:left="340"/>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520"/>
              <w:spacing w:after="0"/>
              <w:rPr>
                <w:sz w:val="20"/>
                <w:szCs w:val="20"/>
                <w:color w:val="auto"/>
              </w:rPr>
            </w:pPr>
            <w:r>
              <w:rPr>
                <w:rFonts w:ascii="Arial" w:cs="Arial" w:eastAsia="Arial" w:hAnsi="Arial"/>
                <w:sz w:val="18"/>
                <w:szCs w:val="18"/>
                <w:color w:val="auto"/>
              </w:rPr>
              <w:t>cash divested)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receipts from restricted trust and escrow accounts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580" w:right="3620" w:hanging="5572"/>
        <w:spacing w:after="0" w:line="449" w:lineRule="auto"/>
        <w:tabs>
          <w:tab w:leader="none" w:pos="4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WM(d)</w:t>
            </w:r>
          </w:p>
        </w:tc>
        <w:tc>
          <w:tcPr>
            <w:tcW w:w="160" w:type="dxa"/>
            <w:vAlign w:val="bottom"/>
          </w:tcPr>
          <w:p>
            <w:pPr>
              <w:spacing w:after="0"/>
              <w:rPr>
                <w:sz w:val="14"/>
                <w:szCs w:val="14"/>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Holdings(d)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Subsidiaries(d)</w:t>
            </w:r>
          </w:p>
        </w:tc>
        <w:tc>
          <w:tcPr>
            <w:tcW w:w="1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(2,534)</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(1,245)</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(1,289)</w:t>
            </w:r>
          </w:p>
        </w:tc>
        <w:tc>
          <w:tcPr>
            <w:tcW w:w="3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w w:val="97"/>
              </w:rPr>
              <w:t>Proceeds from divestitures of businesses and other assets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520"/>
              <w:spacing w:after="0"/>
              <w:rPr>
                <w:sz w:val="20"/>
                <w:szCs w:val="20"/>
                <w:color w:val="auto"/>
              </w:rPr>
            </w:pPr>
            <w:r>
              <w:rPr>
                <w:rFonts w:ascii="Arial" w:cs="Arial" w:eastAsia="Arial" w:hAnsi="Arial"/>
                <w:sz w:val="18"/>
                <w:szCs w:val="18"/>
                <w:color w:val="auto"/>
              </w:rPr>
              <w:t>of cash divested)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receipts from restricted trust and escrow accounts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2,337</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(2,764)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(1,235)</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5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(1,235)</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We have revised the prior year presentation to reflect all relevant cash flow activities in the Non-Guarantor Subsidiaries column.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WM(e)</w:t>
            </w:r>
          </w:p>
        </w:tc>
        <w:tc>
          <w:tcPr>
            <w:tcW w:w="16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Holdings(e)</w:t>
            </w:r>
          </w:p>
        </w:tc>
        <w:tc>
          <w:tcPr>
            <w:tcW w:w="20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1"/>
              </w:rPr>
              <w:t>Subsidiaries(e)</w:t>
            </w: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net income</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$ 1,298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1,510</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Equity in earnings of subsidiaries, net of tax provision</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(1,510)</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13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2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340"/>
              <w:spacing w:after="0" w:line="201" w:lineRule="exact"/>
              <w:rPr>
                <w:sz w:val="20"/>
                <w:szCs w:val="20"/>
                <w:color w:val="auto"/>
              </w:rPr>
            </w:pPr>
            <w:r>
              <w:rPr>
                <w:rFonts w:ascii="Arial" w:cs="Arial" w:eastAsia="Arial" w:hAnsi="Arial"/>
                <w:sz w:val="18"/>
                <w:szCs w:val="18"/>
                <w:color w:val="auto"/>
                <w:w w:val="93"/>
              </w:rPr>
              <w:t>Proceeds from divestitures of businesses and other assets (net of</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520"/>
              <w:spacing w:after="0"/>
              <w:rPr>
                <w:sz w:val="20"/>
                <w:szCs w:val="20"/>
                <w:color w:val="auto"/>
              </w:rPr>
            </w:pPr>
            <w:r>
              <w:rPr>
                <w:rFonts w:ascii="Arial" w:cs="Arial" w:eastAsia="Arial" w:hAnsi="Arial"/>
                <w:sz w:val="18"/>
                <w:szCs w:val="18"/>
                <w:color w:val="auto"/>
              </w:rPr>
              <w:t>cash divested)</w:t>
            </w:r>
          </w:p>
        </w:tc>
        <w:tc>
          <w:tcPr>
            <w:tcW w:w="280" w:type="dxa"/>
            <w:vAlign w:val="bottom"/>
          </w:tcPr>
          <w:p>
            <w:pPr>
              <w:spacing w:after="0"/>
              <w:rPr>
                <w:sz w:val="20"/>
                <w:szCs w:val="20"/>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Net receipts from restricted trust and escrow accounts and other,</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2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Common stock repurchase program</w:t>
            </w:r>
          </w:p>
        </w:tc>
        <w:tc>
          <w:tcPr>
            <w:tcW w:w="2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28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(Increase) decrease in intercompany and investments, net</w:t>
            </w:r>
          </w:p>
        </w:tc>
        <w:tc>
          <w:tcPr>
            <w:tcW w:w="2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$ 1,235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 We have revised the prior year presentation to reflect all relevant cash flow activities in the Non-Guarantor Subsidiaries column.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New Accounting Standards Pending Adoption (Unaudited)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In October 2016, the FASB issued amended authoritative guidance associated with the timing of recognition of income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intra-entity transfers of assets other than inventory. The amended guidance requires the recognition of income taxes when the transfer of the asset occurs, which replaces current U.S. Generally Accepted Accounting Principles (“GAAP”) that defers the recognition of income taxes until the transferred asset is sold to a third party or otherwise recovered through use. The amended guidance is effective for the Company on January 1, 2018, with early adoption permitted. We are in the process of assessing the provisions of this amended guidance; however, we currently do not expect that the adoption of this amended guidance will have a material impact on our consolidated financial statements.</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amended authoritative guidance associated with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payments in the statement of cash flows. In November 2016, the FASB issued additional guidance on the presentation of restricted cash and cash equivalents in the statement of cash flows. The objective of both amendments was to reduce existing diversity in practice. The amended guidance is effective for the Company on January 1, 2018, with early adoption permitted. We are in the process of assessing the provisions of this amended guidance; however, we currently do not expect that the adoption of this amended guidance will have a material impact on our consolidated financial statements.</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amended authoritative guidance associated with the measurement of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the amended guidance and evaluating the timing and impact on our consolidated financial statements.</w:t>
      </w:r>
    </w:p>
    <w:p>
      <w:pPr>
        <w:spacing w:after="0" w:line="15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 xml:space="preserve">Stock Compensation — </w:t>
      </w:r>
      <w:r>
        <w:rPr>
          <w:rFonts w:ascii="Arial" w:cs="Arial" w:eastAsia="Arial" w:hAnsi="Arial"/>
          <w:sz w:val="16"/>
          <w:szCs w:val="16"/>
          <w:color w:val="auto"/>
        </w:rPr>
        <w:t>In March 2016, the FASB issued amended authoritative guidance associated with stock-based compensation as part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to reduce the cost and complexity of compliance with GAAP, while maintaining or improving the usefulness of the information provided. The amended guidance changes both the accounting and financial reporting for certain income tax impacts of stock-based compensation. All excess tax benefits and tax deficiencies will be required to be recognized as an income tax benefit or provision rather than as a component of equity. The guidance also provides for changes in the calculation of forfeitures related to the expense of stock-based compensation. The amended guidance is effective for the Company on January 1, 2017. The adoption of this amended guidance will not have a material impact on our consolidated financial statements.</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amended authoritative guidance associated with lease accounting. The amended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with early adoption permitted. We are assessing the provisions of the amended guidance and evaluating the timing and impact on our consolidated financial statements and disclosures.</w:t>
      </w:r>
    </w:p>
    <w:p>
      <w:pPr>
        <w:spacing w:after="0" w:line="188"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In January 2016, the FASB issued amended authoritative guidance associated with the recognition and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liabilities. The amended guidance will require certain equity investments that are not consolidated to be measured at fair value with changes in fair value recognized in net income rather than as a component of accumulated other comprehensive income. The amended guidance 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effective for the Company on January 1, 2018, with early adoption permitted. We are assessing the provisions of the amended guidance and evaluating the timing and impact on our consolidated financial statements.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amended authoritative guidance associated with revenue recognition. The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To assess the impact of the standard, we utilized internal resources to lead the implementation effort and supplemented them with external resources. Our internal resources read the amended guidance, attended trainings and consulted with non-authoritative groups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 We have completed our preliminary review of all contracts and are in the process of compiling and summarizing the results to determine whether additional review and analysis is necessary.</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Based on our work to date, we believe we have identified all material contract types and costs that may be impacted by this amended guidance. We expect to quantify and disclose the expected impact, if any, of adopting this amended guidance in the third quarter Form 10-Q. While we are still evaluating the impact of the amended guidance, we currently do not expect it to have a material impact on operating revenues.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Upon adoption of the amended guidance, we anticipate recognizing an asset from the capitalization of sales incentives as contract acquisitions costs. Under the amended guidance, sales incentives will be capitalized and amortized over the expected life of the customer relationship. Currently, the Company expenses approximately $65 million in sales incentives annually. As noted above, we are still evaluating other possible impacts on our consolidated financial statements, including potential changes in the classification of certain revenue streams currently reported on a gross basis and on our disclosures. The Company is also currently planning to adopt the amended guidance using the modified retrospective method as of January 1, 2018.</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2016 (the end of the period covered by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Management’s report on our internal control over financial reporting can be found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report. Ernst &amp; Young LLP, an independent registered public accounting firm, has audited the effectiveness of our internal control over financial reporting as of December 31, 2016 as stated in their report, which appears in Item 8 of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Management, together with our CEO and CFO, evaluated the changes in our internal control over financial reporting during the quarter ended December 31, 2016. We determined that there were no changes in our internal control over financial reporting during the quarter ended December 31, 2016 that have materially affected, or are reasonably likely to materially affect, our internal control over financial reporting.</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sections entitled “Board of Directors,” “Section 16(a) Beneficial Ownership Reporting Compliance,” and “Executive Officers,” in the Company’s definitive Proxy Statement for its 2017 Annual Meeting of Stockholders (the “Proxy Statement”), to be held May 12, 2017. The Proxy Statement will be filed with the SEC within 120 days of the end of our fiscal year.</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Non-Employee Director Compensation,” “— Compensation Committee Report,” “— Compensation Committee Interlocks and Insider Participation,” “Executive Compensation — Compensation Discussion and Analysis” and “— Executive Compensation Tables” in the Proxy Statement.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jc w:val="center"/>
        <w:ind w:right="7460"/>
        <w:spacing w:after="0"/>
        <w:tabs>
          <w:tab w:leader="none" w:pos="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(a) (1) Consolidated Financial Statements:</w:t>
      </w:r>
    </w:p>
    <w:p>
      <w:pPr>
        <w:spacing w:after="0" w:line="131" w:lineRule="exact"/>
        <w:rPr>
          <w:sz w:val="20"/>
          <w:szCs w:val="20"/>
          <w:color w:val="auto"/>
        </w:rPr>
      </w:pPr>
    </w:p>
    <w:p>
      <w:pPr>
        <w:ind w:left="4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Reports of Independent Registered Public Accounting Firm</w:t>
        </w:r>
      </w:hyperlink>
    </w:p>
    <w:p>
      <w:pPr>
        <w:spacing w:after="0" w:line="23" w:lineRule="exact"/>
        <w:rPr>
          <w:sz w:val="20"/>
          <w:szCs w:val="20"/>
          <w:color w:val="auto"/>
        </w:rPr>
      </w:pPr>
    </w:p>
    <w:p>
      <w:pPr>
        <w:ind w:left="4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 as of December 31, 2016 and 2015</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Operations for the years ended December 31, 2016, 2015 and 2014</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Comprehensive Income for the years ended December 31, 2016, 2015 and 2014</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Cash Flows for the years ended December 31, 2016, 2015 and 2014</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Changes in Equity for the years ended December 31, 2016, 2015 and 2014</w:t>
        </w:r>
      </w:hyperlink>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Notes to Consolidated Financial Statements</w:t>
        </w:r>
      </w:hyperlink>
    </w:p>
    <w:p>
      <w:pPr>
        <w:spacing w:after="0" w:line="103" w:lineRule="exact"/>
        <w:rPr>
          <w:sz w:val="20"/>
          <w:szCs w:val="20"/>
          <w:color w:val="auto"/>
        </w:rPr>
      </w:pPr>
    </w:p>
    <w:p>
      <w:pPr>
        <w:ind w:left="700" w:hanging="236"/>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Consolidated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97"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4"/>
                <w:szCs w:val="14"/>
                <w:color w:val="auto"/>
              </w:rPr>
            </w:pPr>
          </w:p>
        </w:tc>
        <w:tc>
          <w:tcPr>
            <w:tcW w:w="4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Title</w:t>
            </w:r>
          </w:p>
        </w:tc>
        <w:tc>
          <w:tcPr>
            <w:tcW w:w="1660" w:type="dxa"/>
            <w:vAlign w:val="bottom"/>
            <w:gridSpan w:val="3"/>
          </w:tcPr>
          <w:p>
            <w:pPr>
              <w:jc w:val="center"/>
              <w:ind w:left="23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JAMES C. FISH, JR.</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President, Chief Executive Officer and Director (Principal</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6"/>
              </w:rPr>
              <w:t>James C. Fish, Jr.</w:t>
            </w:r>
          </w:p>
        </w:tc>
        <w:tc>
          <w:tcPr>
            <w:tcW w:w="488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Executive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DEVINA A. RANKIN</w:t>
            </w:r>
          </w:p>
        </w:tc>
        <w:tc>
          <w:tcPr>
            <w:tcW w:w="48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Vice President, Treasurer and Acting Chief Financial Officer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3"/>
              </w:rPr>
              <w:t>Devina A. Rankin</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(Principal Financial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DARREN K. SHADE</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Vice President and Chief Accounting Officer (Principal</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9"/>
              </w:rPr>
              <w:t>Darren K. Shade</w:t>
            </w:r>
          </w:p>
        </w:tc>
        <w:tc>
          <w:tcPr>
            <w:tcW w:w="48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Accounting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BRADBURY H. ANDERSON</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Bradbury H. Anderson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FRANK M. CLARK, JR.</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4"/>
              </w:rPr>
              <w:t>Frank M. Clark</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ANDRÉS R. GLUSKI</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3"/>
              </w:rPr>
              <w:t>Andrés R. Gluski</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PARTICK W. GROSS</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Patrick W. Gross</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VICTORIA M. HOLT</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8"/>
              </w:rPr>
              <w:t>Victoria M. Holt</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KATHLEEN M. MAZZARELLA</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2"/>
              </w:rPr>
              <w:t>Kathleen M. Mazzarella</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JOHN C. POPE</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87"/>
              </w:rPr>
              <w:t>John C. Pope</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THOMAS H. WEIDEMEYER</w:t>
            </w:r>
          </w:p>
        </w:tc>
        <w:tc>
          <w:tcPr>
            <w:tcW w:w="488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1660" w:type="dxa"/>
            <w:vAlign w:val="bottom"/>
            <w:gridSpan w:val="3"/>
          </w:tcPr>
          <w:p>
            <w:pPr>
              <w:jc w:val="center"/>
              <w:ind w:left="251"/>
              <w:spacing w:after="0"/>
              <w:rPr>
                <w:sz w:val="20"/>
                <w:szCs w:val="20"/>
                <w:color w:val="auto"/>
              </w:rPr>
            </w:pPr>
            <w:r>
              <w:rPr>
                <w:rFonts w:ascii="Arial" w:cs="Arial" w:eastAsia="Arial" w:hAnsi="Arial"/>
                <w:sz w:val="18"/>
                <w:szCs w:val="18"/>
                <w:color w:val="auto"/>
                <w:w w:val="89"/>
              </w:rPr>
              <w:t>February 16, 2017</w:t>
            </w:r>
          </w:p>
        </w:tc>
      </w:tr>
      <w:tr>
        <w:trPr>
          <w:trHeight w:val="224"/>
        </w:trPr>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0"/>
              </w:rPr>
              <w:t>Thomas H. Weidemeyer</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jc w:val="right"/>
              <w:ind w:right="791"/>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audited the consolidated financial statements of Waste Management, Inc. as of December 31, 2016 and 2015, and for each of the three years in the period ended December 31, 2016, and have issued our report thereon dated February 16, 2017 (included elsewhere in this Form 10-K). Our audits also included the financial statement schedule listed in Item 15(a)(2) of this Form 10-K. This schedule is the responsibility of the Company’s management. Our responsibility is to express an opinion on this schedule based on our audits.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Balance</w:t>
            </w:r>
          </w:p>
        </w:tc>
        <w:tc>
          <w:tcPr>
            <w:tcW w:w="76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Charged</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Accounts</w:t>
            </w: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Written</w:t>
            </w: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Beginning</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to</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Off/Use of</w:t>
            </w:r>
          </w:p>
        </w:tc>
        <w:tc>
          <w:tcPr>
            <w:tcW w:w="6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3"/>
              <w:spacing w:after="0"/>
              <w:rPr>
                <w:sz w:val="20"/>
                <w:szCs w:val="20"/>
                <w:color w:val="auto"/>
              </w:rPr>
            </w:pPr>
            <w:r>
              <w:rPr>
                <w:rFonts w:ascii="Arial" w:cs="Arial" w:eastAsia="Arial" w:hAnsi="Arial"/>
                <w:sz w:val="14"/>
                <w:szCs w:val="14"/>
                <w:b w:val="1"/>
                <w:bCs w:val="1"/>
                <w:color w:val="auto"/>
                <w:w w:val="88"/>
              </w:rPr>
              <w:t>of Year</w:t>
            </w:r>
          </w:p>
        </w:tc>
        <w:tc>
          <w:tcPr>
            <w:tcW w:w="76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Reserve</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2014</w:t>
            </w:r>
          </w:p>
        </w:tc>
        <w:tc>
          <w:tcPr>
            <w:tcW w:w="4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Reserves for doubtful accounts(a)</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72"/>
              </w:rPr>
              <w:t>(45)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2015</w:t>
            </w:r>
          </w:p>
        </w:tc>
        <w:tc>
          <w:tcPr>
            <w:tcW w:w="4180" w:type="dxa"/>
            <w:vAlign w:val="bottom"/>
          </w:tcPr>
          <w:p>
            <w:pPr>
              <w:ind w:left="40"/>
              <w:spacing w:after="0"/>
              <w:rPr>
                <w:sz w:val="20"/>
                <w:szCs w:val="20"/>
                <w:color w:val="auto"/>
              </w:rPr>
            </w:pPr>
            <w:r>
              <w:rPr>
                <w:rFonts w:ascii="Arial" w:cs="Arial" w:eastAsia="Arial" w:hAnsi="Arial"/>
                <w:sz w:val="18"/>
                <w:szCs w:val="18"/>
                <w:color w:val="auto"/>
              </w:rPr>
              <w:t>— Reserves for doubtful accounts(a)</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Reserves for doubtful accounts(a)</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2014</w:t>
            </w:r>
          </w:p>
        </w:tc>
        <w:tc>
          <w:tcPr>
            <w:tcW w:w="4180" w:type="dxa"/>
            <w:vAlign w:val="bottom"/>
          </w:tcPr>
          <w:p>
            <w:pPr>
              <w:ind w:left="40"/>
              <w:spacing w:after="0"/>
              <w:rPr>
                <w:sz w:val="20"/>
                <w:szCs w:val="20"/>
                <w:color w:val="auto"/>
              </w:rPr>
            </w:pPr>
            <w:r>
              <w:rPr>
                <w:rFonts w:ascii="Arial" w:cs="Arial" w:eastAsia="Arial" w:hAnsi="Arial"/>
                <w:sz w:val="18"/>
                <w:szCs w:val="18"/>
                <w:color w:val="auto"/>
              </w:rPr>
              <w:t>— Merger and restructuring accruals(b)</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Merger and restructuring accruals(b)</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4180" w:type="dxa"/>
            <w:vAlign w:val="bottom"/>
          </w:tcPr>
          <w:p>
            <w:pPr>
              <w:ind w:left="40"/>
              <w:spacing w:after="0"/>
              <w:rPr>
                <w:sz w:val="20"/>
                <w:szCs w:val="20"/>
                <w:color w:val="auto"/>
              </w:rPr>
            </w:pPr>
            <w:r>
              <w:rPr>
                <w:rFonts w:ascii="Arial" w:cs="Arial" w:eastAsia="Arial" w:hAnsi="Arial"/>
                <w:sz w:val="18"/>
                <w:szCs w:val="18"/>
                <w:color w:val="auto"/>
              </w:rPr>
              <w:t>— Merger and restructuring accruals(b)</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Included in “Accrued liabilities” in our Consolidated Balance Sheets. These accruals represent employee severance and benefit costs and transitional costs.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5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gridSpan w:val="3"/>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3.1</w:t>
            </w:r>
          </w:p>
        </w:tc>
        <w:tc>
          <w:tcPr>
            <w:tcW w:w="50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880" w:type="dxa"/>
            <w:vAlign w:val="bottom"/>
          </w:tcPr>
          <w:p>
            <w:pPr>
              <w:ind w:left="340"/>
              <w:spacing w:after="0" w:line="195" w:lineRule="exact"/>
              <w:rPr>
                <w:sz w:val="20"/>
                <w:szCs w:val="20"/>
                <w:color w:val="auto"/>
              </w:rPr>
            </w:pPr>
            <w:r>
              <w:rPr>
                <w:rFonts w:ascii="Arial" w:cs="Arial" w:eastAsia="Arial" w:hAnsi="Arial"/>
                <w:sz w:val="18"/>
                <w:szCs w:val="18"/>
                <w:color w:val="auto"/>
                <w:w w:val="86"/>
              </w:rPr>
              <w:t>Third Restated Certificate of Incorporation of Waste Management,</w:t>
            </w:r>
          </w:p>
        </w:tc>
        <w:tc>
          <w:tcPr>
            <w:tcW w:w="70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Inc.</w:t>
            </w:r>
          </w:p>
        </w:tc>
        <w:tc>
          <w:tcPr>
            <w:tcW w:w="4540" w:type="dxa"/>
            <w:vAlign w:val="bottom"/>
          </w:tcPr>
          <w:p>
            <w:pPr>
              <w:spacing w:after="0" w:line="195" w:lineRule="exact"/>
              <w:rPr>
                <w:sz w:val="20"/>
                <w:szCs w:val="20"/>
                <w:color w:val="auto"/>
              </w:rPr>
            </w:pPr>
            <w:r>
              <w:rPr>
                <w:rFonts w:ascii="Arial" w:cs="Arial" w:eastAsia="Arial" w:hAnsi="Arial"/>
                <w:sz w:val="18"/>
                <w:szCs w:val="18"/>
                <w:color w:val="auto"/>
                <w:w w:val="92"/>
              </w:rPr>
              <w:t>[incorporated by reference to Exhibit 3.1 to Form 10-Q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quarter ended June 30, 2010].</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Amended and Restated By-laws of Waste Management, Inc. [incorporated by reference to Exhibit 3.2 to Form 8-K dated November 10,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2015].</w:t>
            </w:r>
          </w:p>
        </w:tc>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Specimen Stock Certificate [incorporated by reference to Exhibit 4.1 to Form 10-K for the year ended December 31, 1998].</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5"/>
              </w:rPr>
              <w:t>Third Restated Certificate of Incorporation of Waste Management Holdings, Inc. [incorporated by reference to Exhibit 4.2 to Form</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10-K for the year ended December 31, 2014].</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2"/>
              </w:rPr>
              <w:t>Amended and Restated By-laws of Waste Management Holdings, Inc. [incorporated by reference to Exhibit 4.3 to Form 10-Q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quarter ended June 30, 2014].</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3"/>
              </w:rPr>
              <w:t>Indenture for Subordinated Debt Securities dated February 3, 1997, among the Registrant and The Bank of New York Mellon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Company, N.A. (the current successor to Texas Commerce Bank National Association), as trustee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4.1 to Form 8-K dated February 7, 1997].</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6"/>
              </w:rPr>
              <w:t>Indenture for Senior Debt Securities dated September 10, 1997, among the Registrant and The Bank of New York Mellon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Company, N.A. (the current successor to Texas Commerce Bank National Association), as trustee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4.1 to Form 8-K dated September 10, 1997].</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Officers’ Certificate delivered pursuant to Section 301 of the Indenture dated September 10, 1997 by and between Waste Management,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Inc. and The Bank of New York Mellon Trust Company, N.A., as Trustee, establishing the terms and form of Waste Management, Inc.’s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8"/>
              </w:rPr>
              <w:t>2.400% Senior Notes due 2023 [incorporated by reference to Exhibit 4.1 to Form 10-Q for the quarter ended June 30, 2016.]</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6"/>
              </w:rPr>
              <w:t>Guarantee Agreement by Waste Management Holdings, Inc. in favor of The Bank of New York Mellon Trust Company, N.A.,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1"/>
              </w:rPr>
              <w:t>Trustee for the holders of Waste Management, Inc.’s 2.400% Senior Notes due 2023 [incorporated by reference to Exhibit 4.2 to Form</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10-Q for the quarter ended June 30, 2016].</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1"/>
              </w:rPr>
              <w:t>Schedule of Officers’ Certificates delivered pursuant to Section 301 of the Indenture dated September 10, 1997 establishing the terms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0"/>
              </w:rPr>
              <w:t>and form of Waste Management, Inc.’s Senior Notes. Waste Management and its subsidiaries are parties to debt instruments that have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1"/>
              </w:rPr>
              <w:t>not been filed with the SEC under which the total amount of securities authorized under any single instrument does not exceed 10%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3"/>
              </w:rPr>
              <w:t>the total assets of Waste Management and its subsidiaries on a consolidated basis. Pursuant to paragraph 4(iii)(A) of Item 601(b)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Regulation S-K, Waste Management agrees to furnish a copy of such instruments to the SEC upon request.</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rPr>
              <w:t>2014 Stock Incentive Plan [incorporated by reference to Exhibit 10.1 to Form 8-K dated May 13, 2014].</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3"/>
              </w:rPr>
              <w:t>2009 Stock Incentive Plan [incorporated by reference to Appendix B to the Proxy Statement on Schedule 14A filed March 25, 2009].</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4"/>
              </w:rPr>
              <w:t>2005 Annual Incentive Plan [incorporated by reference to Appendix D to the Proxy Statement on Schedule 14A filed April 8, 2004].</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5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340"/>
              <w:spacing w:after="0"/>
              <w:rPr>
                <w:sz w:val="20"/>
                <w:szCs w:val="20"/>
                <w:color w:val="auto"/>
              </w:rPr>
            </w:pPr>
            <w:r>
              <w:rPr>
                <w:rFonts w:ascii="Arial" w:cs="Arial" w:eastAsia="Arial" w:hAnsi="Arial"/>
                <w:sz w:val="18"/>
                <w:szCs w:val="18"/>
                <w:color w:val="auto"/>
                <w:w w:val="91"/>
              </w:rPr>
              <w:t>Waste Management, Inc. Employee Stock Purchase Plan [incorporated by reference to Exhibit 10.1 to Form 8-K dated May 15, 2015].</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ind w:left="4300"/>
              <w:spacing w:after="0"/>
              <w:rPr>
                <w:sz w:val="20"/>
                <w:szCs w:val="20"/>
                <w:color w:val="auto"/>
              </w:rPr>
            </w:pPr>
            <w:r>
              <w:rPr>
                <w:rFonts w:ascii="Arial" w:cs="Arial" w:eastAsia="Arial" w:hAnsi="Arial"/>
                <w:sz w:val="18"/>
                <w:szCs w:val="18"/>
                <w:color w:val="auto"/>
              </w:rPr>
              <w:t>147</w:t>
            </w: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0"/>
              </w:rPr>
              <w:t>First Amendment to Waste Management, Inc. Employee Stock Purchase Plan effective as of July 1, 2015 [incorporated by reference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Exhibit 10.5 to Form 10-K for the year ended December 31, 2015].</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89"/>
              </w:rPr>
              <w:t>Waste Management, Inc. 409A Deferral Savings Plan as Amended and Restated effective January 1, 2014 [incorporated by reference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Exhibit 10.2 to Form 10-Q for the quarter ended March 31, 2014].</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$2.25 Billion Third Amended and Restated Revolving Credit Agreement dated as of July 10, 2015 by and among Waste Management,</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Inc. and Waste Management Holdings, Inc. and certain banks party thereto, Bank of America, N.A., as administrative agent, JPMorgan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Chase Bank, N.A. and Barclays Bank PLC, as syndication agents, BNP Paribas, Citibank, N.A., Deutsche Bank Securities Inc., The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Bank of Tokyo-Mitsubishi UFJ, Ltd., Mizuho Bank, Ltd., U.S. Bank National Association and Wells Fargo Bank, National Association,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as co-documentation agents and J.P. Morgan Securities LLC, Merrill Lynch, Pierce, Fenner &amp; Smith Incorporated, and Barclays Bank</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PLC, as lead arrangers and joint bookrunners [incorporated by reference to Exhibit 10.1 to Form 8-K dated July 10, 2015].</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2"/>
              </w:rPr>
              <w:t>CDN$650 Million Credit Facilities Credit Agreement by and among Waste Management of Canada Corporation and WM Quebec Inc.,</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as borrowers, Waste Management, Inc. and Waste Management Holdings, Inc., as guarantors, The Bank of Nova Scotia, as</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administrative agent, JP Morgan Chase Bank, N.A., Bank of America, N.A. and PNC Bank, National Association, as co-syndication</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agents, the Bank of Nova Scotia, J.P. Morgan Securities LLC, Merrill, Lynch, Pierce, Fenner &amp; Smith Incorporated and PNC Capital</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Markets LLC, as joint lead arrangers and joint bookrunners and the Lenders from time to time party thereto [incorporated by reference</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to Exhibit 10.2 to Form 10-Q for the quarter ended September 30, 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9"/>
              </w:rPr>
              <w:t>First Amendment Agreement to CDN$650 Credit Facilities Credit Agreement by and among Waste Management of Canada</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Corporation and WM Quebec Inc., as borrowers, Waste Management, Inc. and Waste Management Holdings, Inc., as guarantors, the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Lenders from time to time party thereto, and The Bank of Nova Scotia, as administrative agent [incorporated by reference to Exhibit</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10.3 to Form 10-Q for the quarter ended September 30, 2013].</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CDN$509,500,000 Credit Facilities Amended and Restated Credit Agreement by and among Waste Management of Canada</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Corporation and WM Quebec Inc., as borrowers, Waste Management, Inc. and Waste Management Holdings, Inc., as guarantors, The</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1"/>
              </w:rPr>
              <w:t>Bank of Nova Scotia, as administrative agent, JPMorgan Chase Bank, N.A., Bank of America, N.A. and PNC Bank Canada Branch, as</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4"/>
              </w:rPr>
              <w:t>co-syndication agents, The Bank of Nova Scotia, JPMorgan Chase Bank, N.A., Merrill Lynch, Pierce, Fenner &amp; Smith Incorporated</w:t>
            </w: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w w:val="98"/>
              </w:rPr>
              <w:t>and PNC Capital Markets LLC, as joint lead arrangers and joint bookrunners and the Lenders from time to time party thereto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[incorporated by reference to Exhibit 10.1 to Form 8-K dated March 24, 2016].</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Commercial Paper Dealer Agreement, substantially in the form as executed with each of Mizuho Securities USA Inc., Merrill Lynch,</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Pierce, Fenner &amp; Smith Incorporated, and J.P. Morgan Securities LLC, as Dealer, dated August 22, 2016.</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0"/>
              </w:rPr>
              <w:t>Commercial Paper Issuing and Paying Agent Agreement between Waste Management, Inc. and Bank of America, National Association</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dated August 15, 2016.</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4"/>
              </w:rPr>
              <w:t>Employment Agreement between the Company and David Steiner dated May 6, 2002 [incorporated by reference to Exhibit 10.1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Form 10-Q for the quarter ended March 31,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9940" w:type="dxa"/>
            <w:vAlign w:val="bottom"/>
          </w:tcPr>
          <w:p>
            <w:pPr>
              <w:ind w:left="160"/>
              <w:spacing w:after="0"/>
              <w:rPr>
                <w:sz w:val="20"/>
                <w:szCs w:val="20"/>
                <w:color w:val="auto"/>
              </w:rPr>
            </w:pPr>
            <w:r>
              <w:rPr>
                <w:rFonts w:ascii="Arial" w:cs="Arial" w:eastAsia="Arial" w:hAnsi="Arial"/>
                <w:sz w:val="18"/>
                <w:szCs w:val="18"/>
                <w:color w:val="auto"/>
                <w:w w:val="93"/>
              </w:rPr>
              <w:t>Separation and Release Agreement between the Company and David Steiner dated January 6, 2017 [incorporated by reference to</w:t>
            </w:r>
          </w:p>
        </w:tc>
      </w:tr>
      <w:tr>
        <w:trPr>
          <w:trHeight w:val="230"/>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Exhibit 10.1 to Form 8-K dated January 6, 2017].</w:t>
            </w:r>
          </w:p>
        </w:tc>
      </w:tr>
      <w:tr>
        <w:trPr>
          <w:trHeight w:val="36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40" w:type="dxa"/>
            <w:vAlign w:val="bottom"/>
          </w:tcPr>
          <w:p>
            <w:pPr>
              <w:ind w:left="4120"/>
              <w:spacing w:after="0"/>
              <w:rPr>
                <w:sz w:val="20"/>
                <w:szCs w:val="20"/>
                <w:color w:val="auto"/>
              </w:rPr>
            </w:pPr>
            <w:r>
              <w:rPr>
                <w:rFonts w:ascii="Arial" w:cs="Arial" w:eastAsia="Arial" w:hAnsi="Arial"/>
                <w:sz w:val="18"/>
                <w:szCs w:val="18"/>
                <w:color w:val="auto"/>
              </w:rPr>
              <w:t>148</w:t>
            </w: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   Employment Agreement between the Company and James E. Trevathan dated June 1, 2000 [incorporated by reference to Exhibit 10.20</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to Form 10-K for the year ended December 31, 2000].</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   Amendment to Employment Agreement between the Company and James E. Trevathan [incorporated by reference to Exhibit 10.3 to</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Form 8-K dated March 9, 2011].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   Employment Agreement between the Company and James C. Fish, Jr. dated August 15, 2011 [incorporated by reference to Exhibit 10.2</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to Form 10-Q for the quarter ended September 30, 2011].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   First Amendment to Employment Agreement between the Company and James C. Fish, Jr. dated July 20, 2012 [incorporated by</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reference to Exhibit 10.3 to Form 10-Q for the quarter ended June 30, 2012].</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   Employment Agreement between the Company and Jeff Harris dated December 1, 2006 [incorporated by reference to Exhibit 10.1 to</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Form 8-K dated December 1, 2006].</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   Amendment to Employment Agreement by and between the Company and Jeff Harris [incorporated by reference to Exhibit 10.6 to</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Form 10-Q for the quarter ended March 30, 2011].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   Employment Agreement between the Company and John Morris dated June 18, 2012 [incorporated by reference to Exhibit 10.4 to</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Form 10-Q for the quarter ended June 30, 2012].</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   Employment Agreement between the Company and Barry H. Caldwell dated September 23, 2002 [incorporated by reference to Exhibit</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10.24 to Form 10-K for the year ended December 31,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240"/>
              <w:spacing w:after="0"/>
              <w:rPr>
                <w:sz w:val="20"/>
                <w:szCs w:val="20"/>
                <w:color w:val="auto"/>
              </w:rPr>
            </w:pPr>
            <w:r>
              <w:rPr>
                <w:rFonts w:ascii="Arial" w:cs="Arial" w:eastAsia="Arial" w:hAnsi="Arial"/>
                <w:sz w:val="18"/>
                <w:szCs w:val="18"/>
                <w:color w:val="auto"/>
              </w:rPr>
              <w:t>—   Employment Offer Letter to Charles Boettcher dated August 5, 2016.</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   Employment Agreement between the Company and Puneet Bhasin dated December 7, 2009 [incorporated by reference to Exhibit 10.12</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to Form 10-K for the year ended December 31, 2009].</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   Employment Agreement between the Company and Mark Schwartz dated July 5, 2012 [incorporated by reference to Exhibit 10.5 to</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Form 10-Q for the quarter ended June 30, 2012].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   Separation and Release Agreement between USA Waste Management Resources, LLC and Mark Schwartz dated January 1, 2017.</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240"/>
              <w:spacing w:after="0"/>
              <w:rPr>
                <w:sz w:val="20"/>
                <w:szCs w:val="20"/>
                <w:color w:val="auto"/>
              </w:rPr>
            </w:pPr>
            <w:r>
              <w:rPr>
                <w:rFonts w:ascii="Arial" w:cs="Arial" w:eastAsia="Arial" w:hAnsi="Arial"/>
                <w:sz w:val="18"/>
                <w:szCs w:val="18"/>
                <w:color w:val="auto"/>
                <w:w w:val="97"/>
              </w:rPr>
              <w:t>—   Employment Agreement between the Company and Don P. Carpenter dated July 31, 2000, as amended by First Amendment to</w:t>
            </w:r>
          </w:p>
        </w:tc>
      </w:tr>
      <w:tr>
        <w:trPr>
          <w:trHeight w:val="216"/>
        </w:trPr>
        <w:tc>
          <w:tcPr>
            <w:tcW w:w="820" w:type="dxa"/>
            <w:vAlign w:val="bottom"/>
          </w:tcPr>
          <w:p>
            <w:pPr>
              <w:spacing w:after="0"/>
              <w:rPr>
                <w:sz w:val="18"/>
                <w:szCs w:val="18"/>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w w:val="93"/>
              </w:rPr>
              <w:t>Employment Agreement between USA Waste-Management Resources, LLC and Don P. Carpenter effective as of August 24, 2012</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[incorporated by reference to Exhibit 10.23 to Form 10-K for the year ended December 31, 2012].</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   Form of Director and Executive Officer Indemnity Agreement [incorporated by reference to Exhibit 10.43 to Form 10-K for the year</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ended December 31, 2012].</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   Form of 2014 Senior Leadership Team Award Agreement for Long Term Incentive Compensation under the Waste Management, Inc.</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2009 Stock Incentive Plan [incorporated by reference to Exhibit 10.1 to Form 8-K dated March 7, 2014].</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   Form of 2015 Senior Leadership Team Award Agreement [incorporated by reference to Exhibit 10.1 to Form 8-K dated February 25,</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2015].</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   Form of 2016 Senior Leadership Team Award Agreement [incorporated by reference to Exhibit 10.1 to Form 8-K dated February 26,</w:t>
            </w:r>
          </w:p>
        </w:tc>
      </w:tr>
      <w:tr>
        <w:trPr>
          <w:trHeight w:val="230"/>
        </w:trPr>
        <w:tc>
          <w:tcPr>
            <w:tcW w:w="820" w:type="dxa"/>
            <w:vAlign w:val="bottom"/>
          </w:tcPr>
          <w:p>
            <w:pPr>
              <w:spacing w:after="0"/>
              <w:rPr>
                <w:sz w:val="20"/>
                <w:szCs w:val="20"/>
                <w:color w:val="auto"/>
              </w:rPr>
            </w:pPr>
          </w:p>
        </w:tc>
        <w:tc>
          <w:tcPr>
            <w:tcW w:w="10480" w:type="dxa"/>
            <w:vAlign w:val="bottom"/>
          </w:tcPr>
          <w:p>
            <w:pPr>
              <w:ind w:left="700"/>
              <w:spacing w:after="0"/>
              <w:rPr>
                <w:sz w:val="20"/>
                <w:szCs w:val="20"/>
                <w:color w:val="auto"/>
              </w:rPr>
            </w:pPr>
            <w:r>
              <w:rPr>
                <w:rFonts w:ascii="Arial" w:cs="Arial" w:eastAsia="Arial" w:hAnsi="Arial"/>
                <w:sz w:val="18"/>
                <w:szCs w:val="18"/>
                <w:color w:val="auto"/>
              </w:rPr>
              <w:t>2016].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240"/>
              <w:spacing w:after="0"/>
              <w:rPr>
                <w:sz w:val="20"/>
                <w:szCs w:val="20"/>
                <w:color w:val="auto"/>
              </w:rPr>
            </w:pPr>
            <w:r>
              <w:rPr>
                <w:rFonts w:ascii="Arial" w:cs="Arial" w:eastAsia="Arial" w:hAnsi="Arial"/>
                <w:sz w:val="18"/>
                <w:szCs w:val="18"/>
                <w:color w:val="auto"/>
              </w:rPr>
              <w:t>—   Form of 2016 Individual Restricted Stock Unit Award Agreement.</w:t>
            </w:r>
          </w:p>
        </w:tc>
      </w:tr>
      <w:tr>
        <w:trPr>
          <w:trHeight w:val="365"/>
        </w:trPr>
        <w:tc>
          <w:tcPr>
            <w:tcW w:w="82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149</w:t>
            </w:r>
          </w:p>
        </w:tc>
      </w:tr>
    </w:tbl>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Subsidiaries of the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Consent of Independent Registered Public Accounting Firm.</w:t>
            </w:r>
          </w:p>
        </w:tc>
      </w:tr>
      <w:tr>
        <w:trPr>
          <w:trHeight w:val="310"/>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w w:val="90"/>
              </w:rPr>
              <w:t>—  Certification Pursuant to Rule 13a-14(a) and 15d-14(a) under the Securities Exchange Act of 1934, as amended, of James C. Fish, Jr.,</w:t>
            </w:r>
          </w:p>
        </w:tc>
      </w:tr>
      <w:tr>
        <w:trPr>
          <w:trHeight w:val="230"/>
        </w:trPr>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w w:val="91"/>
              </w:rPr>
              <w:t>—  Certification Pursuant to Rule 13a-14(a) and 15d-14(a) under the Securities Exchange Act of 1934, as amended, of Devina A. Rankin,</w:t>
            </w:r>
          </w:p>
        </w:tc>
      </w:tr>
      <w:tr>
        <w:trPr>
          <w:trHeight w:val="230"/>
        </w:trPr>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Arial" w:cs="Arial" w:eastAsia="Arial" w:hAnsi="Arial"/>
                <w:sz w:val="18"/>
                <w:szCs w:val="18"/>
                <w:color w:val="auto"/>
              </w:rPr>
              <w:t>Vice President, Treasurer and Acting Chief Financial Officer.</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Certification Pursuant to 18 U.S.C. §1350 of James C. Fish, Jr., President and Chief Executive Officer.</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w w:val="98"/>
              </w:rPr>
              <w:t>—  Certification Pursuant to 18 U.S.C. §1350 of Devina A. Rankin, Vice President, Treasurer and Acting Chief Financial Officer.</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95*</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Mine Safety Disclosures.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
          </w:tcPr>
          <w:p>
            <w:pPr>
              <w:ind w:left="20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or compensatory plan or arrangement.</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59" w:right="499" w:bottom="1440" w:gutter="0" w:footer="0" w:header="0"/>
        </w:sectPr>
      </w:pPr>
    </w:p>
    <w:bookmarkStart w:id="150" w:name="page151"/>
    <w:bookmarkEnd w:id="150"/>
    <w:p>
      <w:pPr>
        <w:ind w:left="10600"/>
        <w:spacing w:after="0"/>
        <w:rPr>
          <w:sz w:val="20"/>
          <w:szCs w:val="20"/>
          <w:color w:val="auto"/>
        </w:rPr>
      </w:pPr>
      <w:r>
        <w:rPr>
          <w:rFonts w:ascii="Arial" w:cs="Arial" w:eastAsia="Arial" w:hAnsi="Arial"/>
          <w:sz w:val="16"/>
          <w:szCs w:val="16"/>
          <w:b w:val="1"/>
          <w:bCs w:val="1"/>
          <w:color w:val="auto"/>
        </w:rPr>
        <w:t>Exhibit 4.8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20" w:type="dxa"/>
            <w:vAlign w:val="bottom"/>
            <w:gridSpan w:val="2"/>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Amount</w:t>
            </w: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(per annum)</w:t>
            </w:r>
          </w:p>
        </w:tc>
        <w:tc>
          <w:tcPr>
            <w:tcW w:w="1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Issue Date</w:t>
            </w:r>
          </w:p>
        </w:tc>
        <w:tc>
          <w:tcPr>
            <w:tcW w:w="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CUSIP</w:t>
            </w:r>
          </w:p>
        </w:tc>
        <w:tc>
          <w:tcPr>
            <w:tcW w:w="9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87"/>
              </w:rPr>
              <w:t>Interest Payment Dates</w:t>
            </w:r>
          </w:p>
        </w:tc>
        <w:tc>
          <w:tcPr>
            <w:tcW w:w="24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$ 600 million</w:t>
            </w:r>
          </w:p>
        </w:tc>
        <w:tc>
          <w:tcPr>
            <w:tcW w:w="1040" w:type="dxa"/>
            <w:vAlign w:val="bottom"/>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4"/>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7/17/1998</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7/15/2028</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902917AH6</w:t>
            </w:r>
          </w:p>
        </w:tc>
        <w:tc>
          <w:tcPr>
            <w:tcW w:w="900" w:type="dxa"/>
            <w:vAlign w:val="bottom"/>
            <w:shd w:val="clear" w:color="auto" w:fill="CCEEFF"/>
          </w:tcPr>
          <w:p>
            <w:pPr>
              <w:spacing w:after="0"/>
              <w:rPr>
                <w:sz w:val="18"/>
                <w:szCs w:val="18"/>
                <w:color w:val="auto"/>
              </w:rPr>
            </w:pPr>
          </w:p>
        </w:tc>
        <w:tc>
          <w:tcPr>
            <w:tcW w:w="16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January 15; July 15</w:t>
            </w:r>
          </w:p>
        </w:tc>
        <w:tc>
          <w:tcPr>
            <w:tcW w:w="240" w:type="dxa"/>
            <w:vAlign w:val="bottom"/>
            <w:shd w:val="clear" w:color="auto" w:fill="CCEEFF"/>
          </w:tcPr>
          <w:p>
            <w:pPr>
              <w:spacing w:after="0"/>
              <w:rPr>
                <w:sz w:val="18"/>
                <w:szCs w:val="18"/>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$ 250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12/21/1999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5/15/2029</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94106LAG4</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5/21/2002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5/15/2032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94106LAN9</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6.10%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3/6/2008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3/15/2018**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94106LAS8</w:t>
            </w:r>
          </w:p>
        </w:tc>
        <w:tc>
          <w:tcPr>
            <w:tcW w:w="1640" w:type="dxa"/>
            <w:vAlign w:val="bottom"/>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11/12/2009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11/30/2039**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94106LAV1</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30; November 30</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6/8/2010</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6/30/2020**</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94106LAW9</w:t>
            </w: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3"/>
              </w:rPr>
              <w:t>June 30; December 30</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2/28/2011</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3/1/2021**</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941063AQ2</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2.90%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9/12/2012</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9/15/2022**</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94106LAY5</w:t>
            </w:r>
          </w:p>
        </w:tc>
        <w:tc>
          <w:tcPr>
            <w:tcW w:w="1640" w:type="dxa"/>
            <w:vAlign w:val="bottom"/>
          </w:tcPr>
          <w:p>
            <w:pPr>
              <w:ind w:left="80"/>
              <w:spacing w:after="0"/>
              <w:rPr>
                <w:sz w:val="20"/>
                <w:szCs w:val="20"/>
                <w:color w:val="auto"/>
              </w:rPr>
            </w:pPr>
            <w:r>
              <w:rPr>
                <w:rFonts w:ascii="Arial" w:cs="Arial" w:eastAsia="Arial" w:hAnsi="Arial"/>
                <w:sz w:val="18"/>
                <w:szCs w:val="18"/>
                <w:color w:val="auto"/>
                <w:w w:val="88"/>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3.50%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5/8/2014</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5/15/2024**</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2"/>
              </w:rPr>
              <w:t>94106LAZ2</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3.125%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3/1/2025**</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94106LBA6</w:t>
            </w:r>
          </w:p>
        </w:tc>
        <w:tc>
          <w:tcPr>
            <w:tcW w:w="1640" w:type="dxa"/>
            <w:vAlign w:val="bottom"/>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3/1/2035**</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94106LBB4</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$ 750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4.10%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2/26/2015</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3/1/2045**</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94106LBC2</w:t>
            </w:r>
          </w:p>
        </w:tc>
        <w:tc>
          <w:tcPr>
            <w:tcW w:w="1640" w:type="dxa"/>
            <w:vAlign w:val="bottom"/>
          </w:tcPr>
          <w:p>
            <w:pPr>
              <w:ind w:left="160"/>
              <w:spacing w:after="0"/>
              <w:rPr>
                <w:sz w:val="20"/>
                <w:szCs w:val="20"/>
                <w:color w:val="auto"/>
              </w:rPr>
            </w:pPr>
            <w:r>
              <w:rPr>
                <w:rFonts w:ascii="Arial" w:cs="Arial" w:eastAsia="Arial" w:hAnsi="Arial"/>
                <w:sz w:val="18"/>
                <w:szCs w:val="18"/>
                <w:color w:val="auto"/>
                <w:w w:val="89"/>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5/16/2016</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5/15/2023**</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94106LBD0</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May 15; November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of these series of Senior Notes have been partially redeemed, such that the remaining outstanding principal amount of such Senior Notes as of</w:t>
      </w:r>
    </w:p>
    <w:p>
      <w:pPr>
        <w:spacing w:after="0" w:line="38" w:lineRule="exact"/>
        <w:rPr>
          <w:sz w:val="20"/>
          <w:szCs w:val="20"/>
          <w:color w:val="auto"/>
        </w:rPr>
      </w:pPr>
    </w:p>
    <w:p>
      <w:pPr>
        <w:ind w:left="460" w:right="380"/>
        <w:spacing w:after="0" w:line="250" w:lineRule="auto"/>
        <w:rPr>
          <w:sz w:val="20"/>
          <w:szCs w:val="20"/>
          <w:color w:val="auto"/>
        </w:rPr>
      </w:pPr>
      <w:r>
        <w:rPr>
          <w:rFonts w:ascii="Arial" w:cs="Arial" w:eastAsia="Arial" w:hAnsi="Arial"/>
          <w:sz w:val="18"/>
          <w:szCs w:val="18"/>
          <w:color w:val="auto"/>
        </w:rPr>
        <w:t>December 31, 2016 was $590.0 million due 2018, $394.9 million due 2028, $139.2 million due 2029, $210.4 million due 2032 and $273.6 million due 2039.</w:t>
      </w:r>
    </w:p>
    <w:p>
      <w:pPr>
        <w:spacing w:after="0" w:line="1" w:lineRule="exact"/>
        <w:rPr>
          <w:sz w:val="20"/>
          <w:szCs w:val="20"/>
          <w:color w:val="auto"/>
        </w:rPr>
      </w:pPr>
    </w:p>
    <w:p>
      <w:pPr>
        <w:ind w:left="460" w:hanging="452"/>
        <w:spacing w:after="0" w:line="255"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Commercial Paper Dealer Agreement</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Waste Management, Inc.</w:t>
      </w:r>
      <w:r>
        <w:rPr>
          <w:rFonts w:ascii="Arial" w:cs="Arial" w:eastAsia="Arial" w:hAnsi="Arial"/>
          <w:sz w:val="18"/>
          <w:szCs w:val="18"/>
          <w:color w:val="auto"/>
        </w:rPr>
        <w:t>, as Issuer,</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Waste Management Holdings, Inc.</w:t>
      </w:r>
      <w:r>
        <w:rPr>
          <w:rFonts w:ascii="Arial" w:cs="Arial" w:eastAsia="Arial" w:hAnsi="Arial"/>
          <w:sz w:val="18"/>
          <w:szCs w:val="18"/>
          <w:color w:val="auto"/>
        </w:rPr>
        <w:t>, as Guarantor</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[Dealer]</w:t>
      </w:r>
      <w:r>
        <w:rPr>
          <w:rFonts w:ascii="Arial" w:cs="Arial" w:eastAsia="Arial" w:hAnsi="Arial"/>
          <w:sz w:val="18"/>
          <w:szCs w:val="18"/>
          <w:color w:val="auto"/>
        </w:rPr>
        <w:t>, as Dealer</w:t>
      </w:r>
    </w:p>
    <w:p>
      <w:pPr>
        <w:spacing w:after="0" w:line="229" w:lineRule="exact"/>
        <w:rPr>
          <w:sz w:val="20"/>
          <w:szCs w:val="20"/>
          <w:color w:val="auto"/>
        </w:rPr>
      </w:pPr>
    </w:p>
    <w:p>
      <w:pPr>
        <w:jc w:val="center"/>
        <w:ind w:right="140"/>
        <w:spacing w:after="0" w:line="277" w:lineRule="auto"/>
        <w:rPr>
          <w:sz w:val="20"/>
          <w:szCs w:val="20"/>
          <w:color w:val="auto"/>
        </w:rPr>
      </w:pPr>
      <w:r>
        <w:rPr>
          <w:rFonts w:ascii="Arial" w:cs="Arial" w:eastAsia="Arial" w:hAnsi="Arial"/>
          <w:sz w:val="18"/>
          <w:szCs w:val="18"/>
          <w:color w:val="auto"/>
        </w:rPr>
        <w:t>Concerning Notes to be issued pursuant to an Issuing and Paying Agency Agreement dated as of [Date] between the Issuer and Bank of America, National Association, as Issuing and Paying Agent</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Dated as of [Date]</w:t>
      </w:r>
    </w:p>
    <w:p>
      <w:pPr>
        <w:sectPr>
          <w:pgSz w:w="11900" w:h="16838" w:orient="portrait"/>
          <w:cols w:equalWidth="0" w:num="1">
            <w:col w:w="11280"/>
          </w:cols>
          <w:pgMar w:left="380" w:top="121"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 Paper Dealer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4(a)(2) Program; Guaranteed</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This agreement (the “Agreement”) sets forth the understandings among the Issuer, the Guarantor and the Dealer, each named on the cover page hereof, in connection with the issuance and sale by the Issuer of its short-term promissory notes (the “Notes”) through the Dealer.</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Guarantor has agreed unconditionally and irrevocably to guarantee payment in full of the principal of and interest (if any) on all such Notes of the Issuer, pursuant to a guarantee, dated the date hereof, in the form of Exhibit D hereto (the “Guarantee”).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in this Agreement are defined in Section 6 hereof.</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Addendum to this Agreement, and any Annexes or Exhibits described in this Agreement or such Addendum, are hereby incorporated into this Agreement and made fully a part hereof.</w:t>
      </w:r>
    </w:p>
    <w:p>
      <w:pPr>
        <w:spacing w:after="0" w:line="315" w:lineRule="exact"/>
        <w:rPr>
          <w:sz w:val="20"/>
          <w:szCs w:val="20"/>
          <w:color w:val="auto"/>
        </w:rPr>
      </w:pPr>
    </w:p>
    <w:p>
      <w:pPr>
        <w:ind w:left="920" w:hanging="912"/>
        <w:spacing w:after="0"/>
        <w:tabs>
          <w:tab w:leader="none" w:pos="9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Offers, Sales and Resales of Notes.</w:t>
      </w:r>
    </w:p>
    <w:p>
      <w:pPr>
        <w:spacing w:after="0" w:line="134" w:lineRule="exact"/>
        <w:rPr>
          <w:rFonts w:ascii="Arial" w:cs="Arial" w:eastAsia="Arial" w:hAnsi="Arial"/>
          <w:sz w:val="18"/>
          <w:szCs w:val="18"/>
          <w:b w:val="1"/>
          <w:bCs w:val="1"/>
          <w:color w:val="auto"/>
        </w:rPr>
      </w:pPr>
    </w:p>
    <w:p>
      <w:pPr>
        <w:ind w:left="1700" w:right="140" w:hanging="797"/>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and the Guarantor contained herein or made pursuant hereto and on the terms and conditions and in the manner provided herein.</w:t>
      </w:r>
    </w:p>
    <w:p>
      <w:pPr>
        <w:spacing w:after="0" w:line="83" w:lineRule="exact"/>
        <w:rPr>
          <w:rFonts w:ascii="Arial" w:cs="Arial" w:eastAsia="Arial" w:hAnsi="Arial"/>
          <w:sz w:val="18"/>
          <w:szCs w:val="18"/>
          <w:b w:val="1"/>
          <w:bCs w:val="1"/>
          <w:color w:val="auto"/>
        </w:rPr>
      </w:pPr>
    </w:p>
    <w:p>
      <w:pPr>
        <w:ind w:left="1700" w:right="40" w:hanging="797"/>
        <w:spacing w:after="0" w:line="289"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So long as this Agreement shall remain in effect, and in addition to the limitations contained in Section 1.7 hereof, neither the Issuer nor the Guarantor shall, without the consent of the Dealer, offer, solicit or accept offers to purchase, or sell, any Notes except (a) in transactions with one or more dealers which may from time to time after the date hereof become dealers with respect to the Notes by executing with the Issuer and the Guarantor one or more agreements which contain provisions substantially identical to those contained in Section 1 of this Agreement, of which each of the Issuer and the Guarantor hereby undertakes to provide the Dealer prompt notice or (b) in transactions with the other dealers listed on the Addendum hereto, which are executing agreements with the Issuer and the Guarantor which contain provisions substantially identical to Section 1 of this Agreement contemporaneously herewith. In no event shall the Issuer or the Guarantor offer, solicit or accept offers to purchase, or sell, any Notes directly on its own behalf in transactions with persons other than broker-dealers as specifically permitted in this Section 1.2.</w:t>
      </w:r>
    </w:p>
    <w:p>
      <w:pPr>
        <w:spacing w:after="0" w:line="72" w:lineRule="exact"/>
        <w:rPr>
          <w:rFonts w:ascii="Arial" w:cs="Arial" w:eastAsia="Arial" w:hAnsi="Arial"/>
          <w:sz w:val="18"/>
          <w:szCs w:val="18"/>
          <w:b w:val="1"/>
          <w:bCs w:val="1"/>
          <w:color w:val="auto"/>
        </w:rPr>
      </w:pPr>
    </w:p>
    <w:p>
      <w:pPr>
        <w:ind w:left="1700" w:right="40" w:hanging="797"/>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7"/>
          <w:szCs w:val="17"/>
          <w:color w:val="auto"/>
        </w:rPr>
        <w:t>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the Private Placement Memorandum a pricing supplement or as otherwise agreed upon by the purchaser and the Issuer. The Notes shall not contain any provision for extension, renewal or automatic “rollover.”</w:t>
      </w:r>
    </w:p>
    <w:p>
      <w:pPr>
        <w:spacing w:after="0" w:line="77" w:lineRule="exact"/>
        <w:rPr>
          <w:rFonts w:ascii="Arial" w:cs="Arial" w:eastAsia="Arial" w:hAnsi="Arial"/>
          <w:sz w:val="18"/>
          <w:szCs w:val="18"/>
          <w:b w:val="1"/>
          <w:bCs w:val="1"/>
          <w:color w:val="auto"/>
        </w:rPr>
      </w:pPr>
    </w:p>
    <w:p>
      <w:pPr>
        <w:ind w:left="1700" w:right="200" w:hanging="79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1.4.The authentication and issuance of, and payment for, the Notes shall be effected in accordance with the Issuing and Paying Agency Agreement, and the Notes shall be either individual physical certificates or book-entry notes evidenced by one or more master notes (each, a “Master Note”) registered in the name of The Depository Trust Company (“DTC”) or its nominee, in the form or forms annexed to the Issuing and Paying Agency Agreement.</w:t>
      </w:r>
    </w:p>
    <w:p>
      <w:pPr>
        <w:spacing w:after="0" w:line="119" w:lineRule="exact"/>
        <w:rPr>
          <w:rFonts w:ascii="Arial" w:cs="Arial" w:eastAsia="Arial" w:hAnsi="Arial"/>
          <w:sz w:val="18"/>
          <w:szCs w:val="18"/>
          <w:b w:val="1"/>
          <w:bCs w:val="1"/>
          <w:color w:val="auto"/>
        </w:rPr>
      </w:pPr>
    </w:p>
    <w:p>
      <w:pPr>
        <w:ind w:left="11340" w:hanging="118"/>
        <w:spacing w:after="0"/>
        <w:tabs>
          <w:tab w:leader="none" w:pos="1134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2</w:t>
      </w:r>
    </w:p>
    <w:p>
      <w:pPr>
        <w:sectPr>
          <w:pgSz w:w="11900" w:h="16838" w:orient="portrait"/>
          <w:cols w:equalWidth="0" w:num="1">
            <w:col w:w="11420"/>
          </w:cols>
          <w:pgMar w:left="240" w:top="270" w:right="239" w:bottom="1440" w:gutter="0" w:footer="0" w:header="0"/>
        </w:sectPr>
      </w:pPr>
    </w:p>
    <w:bookmarkStart w:id="153" w:name="page154"/>
    <w:bookmarkEnd w:id="153"/>
    <w:p>
      <w:pPr>
        <w:ind w:left="500" w:right="20" w:hanging="796"/>
        <w:spacing w:after="0" w:line="288"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w:t>
      </w:r>
    </w:p>
    <w:p>
      <w:pPr>
        <w:spacing w:after="0" w:line="75" w:lineRule="exact"/>
        <w:rPr>
          <w:sz w:val="20"/>
          <w:szCs w:val="20"/>
          <w:color w:val="auto"/>
        </w:rPr>
      </w:pPr>
    </w:p>
    <w:p>
      <w:pPr>
        <w:ind w:left="500" w:right="300" w:hanging="796"/>
        <w:spacing w:after="0" w:line="277" w:lineRule="auto"/>
        <w:tabs>
          <w:tab w:leader="none" w:pos="4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Dealer, the Issuer and the Guarantor hereby establish and agree to observe the following procedures in connection with offers, sales and subsequent resales or other transfers of the Notes:</w:t>
      </w:r>
    </w:p>
    <w:p>
      <w:pPr>
        <w:spacing w:after="0" w:line="76" w:lineRule="exact"/>
        <w:rPr>
          <w:sz w:val="20"/>
          <w:szCs w:val="20"/>
          <w:color w:val="auto"/>
        </w:rPr>
      </w:pPr>
    </w:p>
    <w:p>
      <w:pPr>
        <w:ind w:left="1180" w:right="100" w:hanging="670"/>
        <w:spacing w:after="0" w:line="259"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Offers and sales of the Notes by or through the Dealer shall be made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92" w:lineRule="exact"/>
        <w:rPr>
          <w:rFonts w:ascii="Arial" w:cs="Arial" w:eastAsia="Arial" w:hAnsi="Arial"/>
          <w:sz w:val="18"/>
          <w:szCs w:val="18"/>
          <w:color w:val="auto"/>
        </w:rPr>
      </w:pPr>
    </w:p>
    <w:p>
      <w:pPr>
        <w:ind w:left="1180" w:right="200" w:hanging="670"/>
        <w:spacing w:after="0" w:line="277" w:lineRule="auto"/>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Resales and other transfers of the Notes by the holders thereof shall be made only in accordance with the restrictions in the legend described in clause (e) below.</w:t>
      </w:r>
    </w:p>
    <w:p>
      <w:pPr>
        <w:spacing w:after="0" w:line="75" w:lineRule="exact"/>
        <w:rPr>
          <w:rFonts w:ascii="Arial" w:cs="Arial" w:eastAsia="Arial" w:hAnsi="Arial"/>
          <w:sz w:val="18"/>
          <w:szCs w:val="18"/>
          <w:color w:val="auto"/>
        </w:rPr>
      </w:pPr>
    </w:p>
    <w:p>
      <w:pPr>
        <w:ind w:left="1180" w:right="40" w:hanging="670"/>
        <w:spacing w:after="0" w:line="289"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general solicitation or general advertising shall be used in connection with the offering of the Notes. Without limiting the generality of the foregoing, without the prior written approval of the Dealer, neither the Issuer nor the Guarantor shall issue any press release, make any other statement to any member of the press making reference to the Notes, the offer or sale of the Notes, the Guarantee or this Agreement or place or publish any “tombstone” or other advertisement relating to the Notes, the offer or sale of the Notes or the Guarantee. To the extent permitted by applicable securities laws, the Issuer and the Guarantor shall (i) omit the name of the Dealer from any publicly available filing by the Issuer or the Guarantor that makes reference to the Notes, the offer or sale of the Notes, the Guarantee or this Agreement, (ii) not include a copy of this Agreement in any such filing or as an exhibit thereto, and (iii) redact the name of the Dealer and any contact or other information that could identify the Dealer from any agreement or other information included in such filing.</w:t>
      </w:r>
    </w:p>
    <w:p>
      <w:pPr>
        <w:spacing w:after="0" w:line="72" w:lineRule="exact"/>
        <w:rPr>
          <w:rFonts w:ascii="Arial" w:cs="Arial" w:eastAsia="Arial" w:hAnsi="Arial"/>
          <w:sz w:val="16"/>
          <w:szCs w:val="16"/>
          <w:color w:val="auto"/>
        </w:rPr>
      </w:pPr>
    </w:p>
    <w:p>
      <w:pPr>
        <w:ind w:left="1180" w:right="180" w:hanging="670"/>
        <w:spacing w:after="0" w:line="312"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sale of Notes to any one purchaser shall be for less than $250,000 principal or face amount, and no Note shall be issued in a smaller principal or face amount. If the purchaser is a non-bank fiduciary or agent acting on behalf of others, each person for whom such purchaser is acting must purchase at least $250,000 principal or face amount of Notes.</w:t>
      </w:r>
    </w:p>
    <w:p>
      <w:pPr>
        <w:spacing w:after="0" w:line="52" w:lineRule="exact"/>
        <w:rPr>
          <w:rFonts w:ascii="Arial" w:cs="Arial" w:eastAsia="Arial" w:hAnsi="Arial"/>
          <w:sz w:val="16"/>
          <w:szCs w:val="16"/>
          <w:color w:val="auto"/>
        </w:rPr>
      </w:pPr>
    </w:p>
    <w:p>
      <w:pPr>
        <w:ind w:left="1180" w:right="240" w:hanging="670"/>
        <w:spacing w:after="0" w:line="302"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Offers and sales of the Notes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86" w:lineRule="exact"/>
        <w:rPr>
          <w:rFonts w:ascii="Arial" w:cs="Arial" w:eastAsia="Arial" w:hAnsi="Arial"/>
          <w:sz w:val="16"/>
          <w:szCs w:val="16"/>
          <w:color w:val="auto"/>
        </w:rPr>
      </w:pPr>
    </w:p>
    <w:p>
      <w:pPr>
        <w:ind w:left="10140" w:hanging="118"/>
        <w:spacing w:after="0"/>
        <w:tabs>
          <w:tab w:leader="none" w:pos="1014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3</w:t>
      </w:r>
    </w:p>
    <w:p>
      <w:pPr>
        <w:sectPr>
          <w:pgSz w:w="11900" w:h="16838" w:orient="portrait"/>
          <w:cols w:equalWidth="0" w:num="1">
            <w:col w:w="10220"/>
          </w:cols>
          <w:pgMar w:left="1440" w:top="274" w:right="239" w:bottom="1440" w:gutter="0" w:footer="0" w:header="0"/>
        </w:sectPr>
      </w:pPr>
    </w:p>
    <w:bookmarkStart w:id="154" w:name="page155"/>
    <w:bookmarkEnd w:id="154"/>
    <w:p>
      <w:pPr>
        <w:jc w:val="both"/>
        <w:ind w:left="1460" w:right="280" w:hanging="670"/>
        <w:spacing w:after="0" w:line="255" w:lineRule="auto"/>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Dealer shall furnish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the Guarantor and the Dealer and shall provide the names, addresses and telephone numbers of the persons from whom information regarding the Issuer and the Guarantor may be obtained.</w:t>
      </w:r>
    </w:p>
    <w:p>
      <w:pPr>
        <w:spacing w:after="0" w:line="98" w:lineRule="exact"/>
        <w:rPr>
          <w:rFonts w:ascii="Arial" w:cs="Arial" w:eastAsia="Arial" w:hAnsi="Arial"/>
          <w:sz w:val="18"/>
          <w:szCs w:val="18"/>
          <w:color w:val="auto"/>
        </w:rPr>
      </w:pPr>
    </w:p>
    <w:p>
      <w:pPr>
        <w:ind w:left="1460" w:right="340" w:hanging="670"/>
        <w:spacing w:after="0" w:line="257" w:lineRule="auto"/>
        <w:tabs>
          <w:tab w:leader="none" w:pos="1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Issuer and the Guarantor, jointly and severally, agree for the benefit of the Dealer and each of the holders and prospective purchasers from time to time of the Notes that, if at any time both the Issuer and the Guarantor shall not be subject to Section 13 or 15(d) of the Exchange Act, the Issuer and the Guarantor will furnish, upon request and at their expense, to the Dealer and to holders and prospective purchasers of Notes information required by Rule 144A(d)(4)(i) in compliance with Rule 144A(d).</w:t>
      </w:r>
    </w:p>
    <w:p>
      <w:pPr>
        <w:spacing w:after="0" w:line="93" w:lineRule="exact"/>
        <w:rPr>
          <w:rFonts w:ascii="Arial" w:cs="Arial" w:eastAsia="Arial" w:hAnsi="Arial"/>
          <w:sz w:val="18"/>
          <w:szCs w:val="18"/>
          <w:color w:val="auto"/>
        </w:rPr>
      </w:pPr>
    </w:p>
    <w:p>
      <w:pPr>
        <w:jc w:val="both"/>
        <w:ind w:left="1460" w:right="120" w:hanging="670"/>
        <w:spacing w:after="0" w:line="279" w:lineRule="auto"/>
        <w:tabs>
          <w:tab w:leader="none" w:pos="1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the event that any Note offered or to be offered by the Dealer would be ineligible for resale under Rule 144A, the Issuer shall promptly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76" w:lineRule="exact"/>
        <w:rPr>
          <w:rFonts w:ascii="Arial" w:cs="Arial" w:eastAsia="Arial" w:hAnsi="Arial"/>
          <w:sz w:val="17"/>
          <w:szCs w:val="17"/>
          <w:color w:val="auto"/>
        </w:rPr>
      </w:pPr>
    </w:p>
    <w:p>
      <w:pPr>
        <w:ind w:left="1460" w:right="80" w:hanging="670"/>
        <w:spacing w:after="0" w:line="289" w:lineRule="auto"/>
        <w:tabs>
          <w:tab w:leader="none" w:pos="1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Issuer and the Guarantor represent that neither the Issuer nor the Guarantor is currently issuing commercial paper in the United States market in reliance upon the exemption provided by Section 3(a)(3) of the Securities Act. The Issuer and the Guarantor agree that, if the Issuer or the Guarantor shall issue commercial paper after the date hereof in reliance upon such exemption (a) the proceeds from the sale of the Notes will be segregated from the proceeds of the sale of any such commercial paper by being placed in a separate account; (b) the Issuer and the Guarantor will institute appropriate corporate procedures to ensure that the offers and sales of notes issued by the Issuer or the Guarantor, as the case may be, pursuant to the Section 3(a)(3) exemption are not integrated with offerings and sales of Notes hereunder; and (c) the Issuer and the Guarantor will comply with each of the requirements of Section 3(a)(3) of the Securities Act in selling commercial paper or other short-term debt securities other than the Notes in the United States.</w:t>
      </w:r>
    </w:p>
    <w:p>
      <w:pPr>
        <w:spacing w:after="0" w:line="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Each of the Issuer and the Guarantor hereby represents and warrants to the Dealer, in connection with offers, sales and resales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Notes, as follows:</w:t>
      </w:r>
    </w:p>
    <w:p>
      <w:pPr>
        <w:spacing w:after="0" w:line="116" w:lineRule="exact"/>
        <w:rPr>
          <w:sz w:val="20"/>
          <w:szCs w:val="20"/>
          <w:color w:val="auto"/>
        </w:rPr>
      </w:pPr>
    </w:p>
    <w:p>
      <w:pPr>
        <w:ind w:left="1460" w:right="40" w:hanging="670"/>
        <w:spacing w:after="0" w:line="287" w:lineRule="auto"/>
        <w:tabs>
          <w:tab w:leader="none" w:pos="1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Issuer and the Guarantor hereby confirm to the Dealer that (except as permitted by Section 1.6(i)) within the preceding six months neither the Issuer nor the Guarantor nor any person other than the Dealer or the other dealers referred to in Section 1.2 hereof acting on behalf of the Issuer or the Guarantor has offered or sold any Notes, or any substantially similar security of the Issuer or the Guarantor (including, without limitation, medium-term notes issued by the Issuer or the Guarantor), to, or solicited offers to buy any such security from, any person other than the Dealer or the other dealers referred to in Section 1.2 hereof. The Issuer and the Guarantor also agree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the Guarantor nor any person other than the Dealer or the other dealers referred to in Section 1.2 hereof (except as contemplated by Section 1.2 hereof) will offer the Notes or any substantially similar security of the Issuer or the Guarantor for sale to, or solicit offers to buy any such security from, any person other than the Dealer or</w:t>
      </w:r>
    </w:p>
    <w:p>
      <w:pPr>
        <w:spacing w:after="0" w:line="105" w:lineRule="exact"/>
        <w:rPr>
          <w:rFonts w:ascii="Arial" w:cs="Arial" w:eastAsia="Arial" w:hAnsi="Arial"/>
          <w:sz w:val="16"/>
          <w:szCs w:val="16"/>
          <w:color w:val="auto"/>
        </w:rPr>
      </w:pPr>
    </w:p>
    <w:p>
      <w:pPr>
        <w:ind w:left="10420" w:hanging="118"/>
        <w:spacing w:after="0"/>
        <w:tabs>
          <w:tab w:leader="none" w:pos="1042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4</w:t>
      </w:r>
    </w:p>
    <w:p>
      <w:pPr>
        <w:sectPr>
          <w:pgSz w:w="11900" w:h="16838" w:orient="portrait"/>
          <w:cols w:equalWidth="0" w:num="1">
            <w:col w:w="10500"/>
          </w:cols>
          <w:pgMar w:left="1160" w:top="274" w:right="239" w:bottom="1440" w:gutter="0" w:footer="0" w:header="0"/>
        </w:sectPr>
      </w:pPr>
    </w:p>
    <w:bookmarkStart w:id="155" w:name="page156"/>
    <w:bookmarkEnd w:id="155"/>
    <w:p>
      <w:pPr>
        <w:ind w:left="2392"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dealers referred to in Section 1.2 hereof, it being understood that such agreement is made with a view to bringing the offer and sale of the Notes within the exemption provided by Section 4(a)(2) of the Securities Act and shall survive any termination of this Agreement. Each of the Issuer and the Guarantor hereby represent and warrant that it has not taken or omitted to take, and will not take or omit to take, any action that would cause the offering and sale of Notes hereunder to be integrated with any other offering of securities, whether such offering is made by the Issuer or the Guarantor or some other party or parties.</w:t>
      </w:r>
    </w:p>
    <w:p>
      <w:pPr>
        <w:spacing w:after="0" w:line="99" w:lineRule="exact"/>
        <w:rPr>
          <w:sz w:val="20"/>
          <w:szCs w:val="20"/>
          <w:color w:val="auto"/>
        </w:rPr>
      </w:pPr>
    </w:p>
    <w:p>
      <w:pPr>
        <w:ind w:left="2372" w:right="60" w:hanging="670"/>
        <w:spacing w:after="0" w:line="287" w:lineRule="auto"/>
        <w:tabs>
          <w:tab w:leader="none" w:pos="237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a manner or in circumstances which would constitute non-compliance by the Dealer with the provisions of Regulation T.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313" w:lineRule="exact"/>
        <w:rPr>
          <w:rFonts w:ascii="Arial" w:cs="Arial" w:eastAsia="Arial" w:hAnsi="Arial"/>
          <w:sz w:val="16"/>
          <w:szCs w:val="16"/>
          <w:color w:val="auto"/>
        </w:rPr>
      </w:pPr>
    </w:p>
    <w:p>
      <w:pPr>
        <w:ind w:left="912" w:hanging="912"/>
        <w:spacing w:after="0"/>
        <w:tabs>
          <w:tab w:leader="none" w:pos="91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Issuer and the Guarantor.</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Each of the Issuer and the Guarantor represents and warrants as to itself that:</w:t>
      </w:r>
    </w:p>
    <w:p>
      <w:pPr>
        <w:spacing w:after="0" w:line="130" w:lineRule="exact"/>
        <w:rPr>
          <w:rFonts w:ascii="Arial" w:cs="Arial" w:eastAsia="Arial" w:hAnsi="Arial"/>
          <w:sz w:val="18"/>
          <w:szCs w:val="18"/>
          <w:b w:val="1"/>
          <w:bCs w:val="1"/>
          <w:color w:val="auto"/>
        </w:rPr>
      </w:pPr>
    </w:p>
    <w:p>
      <w:pPr>
        <w:ind w:left="1692" w:right="60" w:hanging="79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2.1.The Issuer is a corporation duly organized, validly existing and in good standing under the laws of the jurisdiction of its incorporation and has all the requisite corporate power and authority to execute, deliver and perform its obligations under the Notes, this Agreement and the Issuing and Paying Agency Agreement.</w:t>
      </w:r>
    </w:p>
    <w:p>
      <w:pPr>
        <w:spacing w:after="0" w:line="86" w:lineRule="exact"/>
        <w:rPr>
          <w:rFonts w:ascii="Arial" w:cs="Arial" w:eastAsia="Arial" w:hAnsi="Arial"/>
          <w:sz w:val="18"/>
          <w:szCs w:val="18"/>
          <w:b w:val="1"/>
          <w:bCs w:val="1"/>
          <w:color w:val="auto"/>
        </w:rPr>
      </w:pPr>
    </w:p>
    <w:p>
      <w:pPr>
        <w:ind w:left="1692" w:right="700" w:hanging="79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2.2.The Guarantor is a corporation duly organized, validly existing and in good standing under the laws of the jurisdiction of its incorporation and has all the requisite corporate power and authority to execute, deliver and perform its obligations under the Guarantee, this Agreement and the Issuing and Paying Agency Agreement.</w:t>
      </w:r>
    </w:p>
    <w:p>
      <w:pPr>
        <w:spacing w:after="0" w:line="86" w:lineRule="exact"/>
        <w:rPr>
          <w:rFonts w:ascii="Arial" w:cs="Arial" w:eastAsia="Arial" w:hAnsi="Arial"/>
          <w:sz w:val="18"/>
          <w:szCs w:val="18"/>
          <w:b w:val="1"/>
          <w:bCs w:val="1"/>
          <w:color w:val="auto"/>
        </w:rPr>
      </w:pPr>
    </w:p>
    <w:p>
      <w:pPr>
        <w:ind w:left="1692" w:right="40" w:hanging="79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2.3.This Agreement and the Issuing and Paying Agency Agreement have been duly authorized, executed and delivered by the Issuer and the Guarantor and constitute legal, valid and binding obligations of the Issuer and the Guarantor enforceable against the Issuer and the Guarantor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93" w:lineRule="exact"/>
        <w:rPr>
          <w:rFonts w:ascii="Arial" w:cs="Arial" w:eastAsia="Arial" w:hAnsi="Arial"/>
          <w:sz w:val="18"/>
          <w:szCs w:val="18"/>
          <w:b w:val="1"/>
          <w:bCs w:val="1"/>
          <w:color w:val="auto"/>
        </w:rPr>
      </w:pPr>
    </w:p>
    <w:p>
      <w:pPr>
        <w:ind w:left="1692" w:right="240" w:hanging="797"/>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2.4.</w:t>
      </w:r>
      <w:r>
        <w:rPr>
          <w:rFonts w:ascii="Arial" w:cs="Arial" w:eastAsia="Arial" w:hAnsi="Arial"/>
          <w:sz w:val="16"/>
          <w:szCs w:val="16"/>
          <w:color w:val="auto"/>
        </w:rPr>
        <w:t>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59" w:lineRule="exact"/>
        <w:rPr>
          <w:rFonts w:ascii="Arial" w:cs="Arial" w:eastAsia="Arial" w:hAnsi="Arial"/>
          <w:sz w:val="18"/>
          <w:szCs w:val="18"/>
          <w:b w:val="1"/>
          <w:bCs w:val="1"/>
          <w:color w:val="auto"/>
        </w:rPr>
      </w:pPr>
    </w:p>
    <w:p>
      <w:pPr>
        <w:jc w:val="right"/>
        <w:ind w:left="1692" w:right="680" w:hanging="797"/>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2.5.</w:t>
      </w:r>
      <w:r>
        <w:rPr>
          <w:rFonts w:ascii="Arial" w:cs="Arial" w:eastAsia="Arial" w:hAnsi="Arial"/>
          <w:sz w:val="16"/>
          <w:szCs w:val="16"/>
          <w:color w:val="auto"/>
        </w:rPr>
        <w:t>The Guarantee has been duly authorized, and when the Notes have been issued as provided in the Issuing and Paying Agency Agreement, will be duly executed and delivered by the Guarantor and constitute the legal, valid and binding obligation of the</w:t>
      </w:r>
    </w:p>
    <w:p>
      <w:pPr>
        <w:spacing w:after="0" w:line="56" w:lineRule="exact"/>
        <w:rPr>
          <w:rFonts w:ascii="Arial" w:cs="Arial" w:eastAsia="Arial" w:hAnsi="Arial"/>
          <w:sz w:val="18"/>
          <w:szCs w:val="18"/>
          <w:b w:val="1"/>
          <w:bCs w:val="1"/>
          <w:color w:val="auto"/>
        </w:rPr>
      </w:pPr>
    </w:p>
    <w:p>
      <w:pPr>
        <w:ind w:left="11332" w:hanging="118"/>
        <w:spacing w:after="0"/>
        <w:tabs>
          <w:tab w:leader="none" w:pos="11332" w:val="left"/>
        </w:tabs>
        <w:numPr>
          <w:ilvl w:val="2"/>
          <w:numId w:val="112"/>
        </w:numPr>
        <w:rPr>
          <w:rFonts w:ascii="Arial" w:cs="Arial" w:eastAsia="Arial" w:hAnsi="Arial"/>
          <w:sz w:val="14"/>
          <w:szCs w:val="14"/>
          <w:color w:val="auto"/>
        </w:rPr>
      </w:pPr>
      <w:r>
        <w:rPr>
          <w:rFonts w:ascii="Arial" w:cs="Arial" w:eastAsia="Arial" w:hAnsi="Arial"/>
          <w:sz w:val="14"/>
          <w:szCs w:val="14"/>
          <w:color w:val="auto"/>
        </w:rPr>
        <w:t>5</w:t>
      </w:r>
    </w:p>
    <w:p>
      <w:pPr>
        <w:sectPr>
          <w:pgSz w:w="11900" w:h="16838" w:orient="portrait"/>
          <w:cols w:equalWidth="0" w:num="1">
            <w:col w:w="11412"/>
          </w:cols>
          <w:pgMar w:left="248" w:top="274" w:right="239" w:bottom="1440" w:gutter="0" w:footer="0" w:header="0"/>
        </w:sectPr>
      </w:pPr>
    </w:p>
    <w:bookmarkStart w:id="156" w:name="page157"/>
    <w:bookmarkEnd w:id="156"/>
    <w:p>
      <w:pPr>
        <w:ind w:left="780"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 enforceable against the Guarantor in accordance with its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87" w:lineRule="exact"/>
        <w:rPr>
          <w:sz w:val="20"/>
          <w:szCs w:val="20"/>
          <w:color w:val="auto"/>
        </w:rPr>
      </w:pPr>
    </w:p>
    <w:p>
      <w:pPr>
        <w:ind w:left="780" w:right="60" w:hanging="796"/>
        <w:spacing w:after="0" w:line="312" w:lineRule="auto"/>
        <w:tabs>
          <w:tab w:leader="none" w:pos="7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offer and sale of the Notes and the Guarantee in the manner contemplated hereby do not require registration of the Notes or the Guarantee under the Securities Act, pursuant to the exemption from registration contained in Section 4(a)(2) thereof, and no indenture in respect of the Notes or the Guarantee is required to be qualified under the Trust Indenture Act of 1939, as amended.</w:t>
      </w:r>
    </w:p>
    <w:p>
      <w:pPr>
        <w:spacing w:after="0" w:line="52" w:lineRule="exact"/>
        <w:rPr>
          <w:sz w:val="20"/>
          <w:szCs w:val="20"/>
          <w:color w:val="auto"/>
        </w:rPr>
      </w:pPr>
    </w:p>
    <w:p>
      <w:pPr>
        <w:ind w:left="780" w:right="120" w:hanging="796"/>
        <w:spacing w:after="0" w:line="277" w:lineRule="auto"/>
        <w:tabs>
          <w:tab w:leader="none" w:pos="7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 xml:space="preserve">The Notes and the Guarantee will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indebtedness of the Issuer and the Guarantor, respectively.</w:t>
      </w:r>
    </w:p>
    <w:p>
      <w:pPr>
        <w:spacing w:after="0" w:line="76" w:lineRule="exact"/>
        <w:rPr>
          <w:sz w:val="20"/>
          <w:szCs w:val="20"/>
          <w:color w:val="auto"/>
        </w:rPr>
      </w:pPr>
    </w:p>
    <w:p>
      <w:pPr>
        <w:ind w:left="780" w:right="160" w:hanging="796"/>
        <w:spacing w:after="0" w:line="259" w:lineRule="auto"/>
        <w:tabs>
          <w:tab w:leader="none" w:pos="7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No consent or action of, or filing or registration with, any governmental or public regulatory body or authority, including the SEC, is required to authorize, or is otherwise required in connection with the execution, delivery or performance of, this Agreement, the Notes, the Guarantee or the Issuing and Paying Agency Agreement, except as may be required by the securities or Blue Sky laws of the various states in connection with the offer and sale of the Notes.</w:t>
      </w:r>
    </w:p>
    <w:p>
      <w:pPr>
        <w:spacing w:after="0" w:line="92" w:lineRule="exact"/>
        <w:rPr>
          <w:sz w:val="20"/>
          <w:szCs w:val="20"/>
          <w:color w:val="auto"/>
        </w:rPr>
      </w:pPr>
    </w:p>
    <w:p>
      <w:pPr>
        <w:ind w:left="780" w:right="60" w:hanging="796"/>
        <w:spacing w:after="0" w:line="287" w:lineRule="auto"/>
        <w:tabs>
          <w:tab w:leader="none" w:pos="7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Neither the execution and delivery of this Agreement, the Guarantee and the Issuing and Paying Agency Agreement, nor the issuance of the Notes in accordance with the Issuing and Paying Agency Agreement, nor the fulfillment of or compliance with the terms and provisions hereof or thereof by the Issuer or the Guarantor, will (i) result in the creation or imposition of any mortgage, lien, charge or encumbrance of any nature whatsoever upon any of the properties or assets of the Issuer or the Guarantor, or (ii) violate or result in a breach or a default under any of the terms of the charter documents or by-laws of the Issuer or the Guarantor, any contract or instrument to which the Issuer or the Guarantor is a party or by which the Issuer or the Guarantor or the Issuer’s or the Guarantor’s property is bound, or any law or regulation, or any order, writ, injunction or decree of any court or government instrumentality, to which the Issuer or the Guarantor is subject or by which the Issuer or the Guarantor or the Issuer’s or the Guarantor’s property is bound, which breach or default might have a material adverse effect on the business, assets, operations or financial condition of the Issuer and its subsidiaries, taken as a whole, or the ability of the Issuer or the Guarantor to perform its obligations under this Agreement, the Notes, the Guarantee or the Issuing and Paying Agency Agreement.</w:t>
      </w:r>
    </w:p>
    <w:p>
      <w:pPr>
        <w:spacing w:after="0" w:line="78" w:lineRule="exact"/>
        <w:rPr>
          <w:sz w:val="20"/>
          <w:szCs w:val="20"/>
          <w:color w:val="auto"/>
        </w:rPr>
      </w:pPr>
    </w:p>
    <w:p>
      <w:pPr>
        <w:ind w:left="780" w:right="80" w:hanging="796"/>
        <w:spacing w:after="0" w:line="276" w:lineRule="auto"/>
        <w:tabs>
          <w:tab w:leader="none" w:pos="7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Except as disclosed in the Company Information, there is no litigation or governmental proceeding pending, or to the knowledge of the Issuer or the Guarantor threatened, against or affecting the Issuer or the Guarantor or any of the Issuer’s or the Guarantor’s subsidiaries which might result in a material adverse change in the business, assets, operations or financial condition of the Issuer and its subsidiaries taken as a whole, or the ability of the Issuer or the Guarantor to perform its obligations under this Agreement, the Notes, the Guarantee or the Issuing and Paying Agency Agreement.</w:t>
      </w:r>
    </w:p>
    <w:p>
      <w:pPr>
        <w:spacing w:after="0" w:line="78" w:lineRule="exact"/>
        <w:rPr>
          <w:sz w:val="20"/>
          <w:szCs w:val="20"/>
          <w:color w:val="auto"/>
        </w:rPr>
      </w:pPr>
    </w:p>
    <w:p>
      <w:pPr>
        <w:ind w:left="780" w:right="400" w:hanging="796"/>
        <w:spacing w:after="0" w:line="277" w:lineRule="auto"/>
        <w:tabs>
          <w:tab w:leader="none" w:pos="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Neither the Issuer nor the Guarantor is an “investment company” within the meaning of the Investment Company Act of 1940, as amended.</w:t>
      </w:r>
    </w:p>
    <w:p>
      <w:pPr>
        <w:spacing w:after="0" w:line="76" w:lineRule="exact"/>
        <w:rPr>
          <w:sz w:val="20"/>
          <w:szCs w:val="20"/>
          <w:color w:val="auto"/>
        </w:rPr>
      </w:pPr>
    </w:p>
    <w:p>
      <w:pPr>
        <w:ind w:left="780" w:right="220" w:hanging="796"/>
        <w:spacing w:after="0" w:line="264" w:lineRule="auto"/>
        <w:tabs>
          <w:tab w:leader="none" w:pos="7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Neither the Private Placement Memorandum (other than any Dealer Information) nor the Company Information contains any untrue statement of a material fact, or omits to state a material fact necessary to make the statements therein, in light of the circumstances under which they were made, not misleading.</w:t>
      </w:r>
    </w:p>
    <w:p>
      <w:pPr>
        <w:spacing w:after="0" w:line="87" w:lineRule="exact"/>
        <w:rPr>
          <w:sz w:val="20"/>
          <w:szCs w:val="20"/>
          <w:color w:val="auto"/>
        </w:rPr>
      </w:pPr>
    </w:p>
    <w:p>
      <w:pPr>
        <w:ind w:left="780" w:right="40" w:hanging="796"/>
        <w:spacing w:after="0" w:line="259" w:lineRule="auto"/>
        <w:tabs>
          <w:tab w:leader="none" w:pos="7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Neither the Issuer nor the Guarantor nor any of the Issuer’s or the Guarantor’s subsidiaries nor, to the knowledge of the Issuer or the Guarantor, any director, officer, agent, employee, representative or affiliate of the Issuer or any of its subsidiaries ( i) has used any corporate funds for any unlawful contribution, gift, entertainment or other unlawful expense relating to political activity; (ii) has made any direct or indirect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500"/>
          </w:cols>
          <w:pgMar w:left="1160" w:top="274" w:right="239" w:bottom="1440" w:gutter="0" w:footer="0" w:header="0"/>
        </w:sectPr>
      </w:pPr>
    </w:p>
    <w:bookmarkStart w:id="157" w:name="page158"/>
    <w:bookmarkEnd w:id="157"/>
    <w:p>
      <w:pPr>
        <w:ind w:left="78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could result in a violation by such persons of the OECD Convention on Combating Bribery of Foreign Public Officials in International Business Transactions, the Foreign Corrupt Practices Act of 1977, as amended, and the rules and regulations thereunder (collectively, the “FCPA”) or the U.K. Bribery Act 2010 (the “Bribery Act”) or similar law or regulation of any other relevant jurisdiction; and neither the Issuer nor the Guarantor nor any of the Issuer’s or the Guarantor’s subsidiaries nor to the knowledge of the Issuer or the Guarantor, any director, officer, agent, employee, representative or affiliate of the Issuer or any of its subsidiaries s aware of or has taken any action, directly or indirectly, that could result in a sanction for violation by such persons of the OECD Convention on Combating Bribery of Foreign Public Officials in International Business Transactions, the FCPA or the Bribery Act or similar law or regulation of any other relevant jurisdiction; and the Issuer, the Guarantor and the Issuer’s and the Guarantor’s subsidiaries and affiliates have each conducted their businesses in compliance with the FCPA, the Bribery Act and any applicable similar law or regulation and have instituted and maintain policies and procedures that are designed to ensure, and which are reasonably expected to continue to ensure, continued compliance therewith.</w:t>
      </w:r>
    </w:p>
    <w:p>
      <w:pPr>
        <w:spacing w:after="0" w:line="80" w:lineRule="exact"/>
        <w:rPr>
          <w:sz w:val="20"/>
          <w:szCs w:val="20"/>
          <w:color w:val="auto"/>
        </w:rPr>
      </w:pPr>
    </w:p>
    <w:p>
      <w:pPr>
        <w:ind w:left="780" w:right="60" w:hanging="796"/>
        <w:spacing w:after="0" w:line="289" w:lineRule="auto"/>
        <w:tabs>
          <w:tab w:leader="none" w:pos="7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The operations of the Issuer, the Guarantor and the Issuer’s and the Guarantor’s subsidiaries are and have been conducted at all times in compliance with applicable financial recordkeeping and reporting requirements, including, without limitation, those of the Bank Secrecy Act, as amended by Title III of the Uniting and Strengthening America by Providing Appropriate Tools Required to Intercept and Obstruct Terrorism Act of 2001 and the Currency and Foreign Transactions Reporting Act of 1970, as amended, and the applicable money laundering statutes of jurisdictions where the Issuer, the Guarantor and the Issuer’s and the Guarantor’s subsidiaries conduct business, and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Issuer or any of its subsidiaries with respect to the Money Laundering Laws is pending or, to the knowledge of the Issuer or the Guarantor, threatened.</w:t>
      </w:r>
    </w:p>
    <w:p>
      <w:pPr>
        <w:spacing w:after="0" w:line="72" w:lineRule="exact"/>
        <w:rPr>
          <w:sz w:val="20"/>
          <w:szCs w:val="20"/>
          <w:color w:val="auto"/>
        </w:rPr>
      </w:pPr>
    </w:p>
    <w:p>
      <w:pPr>
        <w:ind w:left="780" w:right="20" w:hanging="796"/>
        <w:spacing w:after="0" w:line="269" w:lineRule="auto"/>
        <w:tabs>
          <w:tab w:leader="none" w:pos="7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Neither the Issuer nor the Guarantor nor any of the Issuer’s or the Guarantor’s subsidiaries nor to the knowledge of the Issuer or the Guarantor, any director, officer, agent, employee, representative or affiliate of the Issuer or the Guarantor or any of the Issuer’s or the Guarantor’s subsidiaries (i) is currently the subject of any sanctions administered or imposed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or the United Kingdom (including sanctions administered or enforced by Her Majesty’s Treasury) or other relevant sanctions authority (collectively, “Sanctions” and such persons, “Sanctioned Persons”) or (ii) will directly or indirectly, use the proceeds of the Notes, or lend, contribute or otherwise make available such proceeds to any subsidiary, joint venture partner or other person (x) to fund or facilitate any activities or business of or with any person or in any country or territory that, at the time of such funding or facilitation, is the subject of Sanctions, or (y) in any manner that will result in a violation of any economic Sanctions by, or could result in the imposition of Sanctions against, any person (including any person participating in the offering of Notes, whether as dealer, advisor, investor or otherwise).</w:t>
      </w:r>
    </w:p>
    <w:p>
      <w:pPr>
        <w:spacing w:after="0" w:line="85" w:lineRule="exact"/>
        <w:rPr>
          <w:sz w:val="20"/>
          <w:szCs w:val="20"/>
          <w:color w:val="auto"/>
        </w:rPr>
      </w:pPr>
    </w:p>
    <w:p>
      <w:pPr>
        <w:ind w:left="780" w:right="240" w:hanging="796"/>
        <w:spacing w:after="0" w:line="277" w:lineRule="auto"/>
        <w:tabs>
          <w:tab w:leader="none" w:pos="7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Neither the Issuer nor the Guarantor nor any of the Issuer’s or the Guarantor’s subsidiaries nor to the knowledge of the Issuer or the Guarantor, any director, officer,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500"/>
          </w:cols>
          <w:pgMar w:left="1160" w:top="274" w:right="239" w:bottom="1440" w:gutter="0" w:footer="0" w:header="0"/>
        </w:sectPr>
      </w:pPr>
    </w:p>
    <w:bookmarkStart w:id="158" w:name="page159"/>
    <w:bookmarkEnd w:id="158"/>
    <w:p>
      <w:pPr>
        <w:ind w:left="1692"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employee, representative or affiliate of the Issuer or the Guarantor or any of the Issuer’s or the Guarantor’s subsidiaries, is a person that is, or is 50% or more owned or otherwise controlled by a person that is: (i) the subject of any Sanctions; or (ii) located, organized or resident in a country or territory that is, or whose government is, the subject of Sanctions (including, without limitation, Burma, Crimea, Cuba, Iran, North Korea, Sudan, and Syria) (collectively, “Sanctioned Countries” and each, a “Sanctioned Country”).</w:t>
      </w:r>
    </w:p>
    <w:p>
      <w:pPr>
        <w:spacing w:after="0" w:line="60" w:lineRule="exact"/>
        <w:rPr>
          <w:sz w:val="20"/>
          <w:szCs w:val="20"/>
          <w:color w:val="auto"/>
        </w:rPr>
      </w:pPr>
    </w:p>
    <w:p>
      <w:pPr>
        <w:ind w:left="1692" w:right="120" w:hanging="796"/>
        <w:spacing w:after="0" w:line="255" w:lineRule="auto"/>
        <w:tabs>
          <w:tab w:leader="none" w:pos="1672"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Except as disclosed in the Company Information or as has been disclosed to the Dealer or is not material to the analysis under any Sanctions, neither the Issuer nor the Guarantor any of the Issuer’s or the Guarantor’s subsidiaries or affiliates has engaged in any dealings or transactions with or for the benefit of a Sanctioned Person, or with or in a Sanctioned Country, in the preceding 3 years, nor does the Issuer, the Guarantor or any of the Issuer’s or the Guarantor’s subsidiaries or affiliates have any plans to increase its dealings or transactions, or commence dealings or transaction, with or for the benefit of Sanctioned Persons, or with or in Sanctioned Countries.</w:t>
      </w:r>
    </w:p>
    <w:p>
      <w:pPr>
        <w:spacing w:after="0" w:line="99" w:lineRule="exact"/>
        <w:rPr>
          <w:sz w:val="20"/>
          <w:szCs w:val="20"/>
          <w:color w:val="auto"/>
        </w:rPr>
      </w:pPr>
    </w:p>
    <w:p>
      <w:pPr>
        <w:ind w:left="1692" w:right="80" w:hanging="796"/>
        <w:spacing w:after="0" w:line="287" w:lineRule="auto"/>
        <w:tabs>
          <w:tab w:leader="none" w:pos="1672"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Each (a) issuance of Notes by the Issuer hereunder and (b) amendment or supplement of the Private Placement Memorandum shall be deemed a representation and warranty by each of the Issuer and the Guarantor to the Dealer, as of the date thereof, that, both before and after giving effect to such issuance and after giving effect to such amendment or supplement, (i) the representations and warranties given by the Issuer and the Guarantor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and are guaranteed pursuant to the Guarantee, (iii) in the case of an issuance of Notes, since the date of the most recent Private Placement Memorandum, there has been no material adverse change in the business, assets, operations or financial condition of the Issuer and its subsidiaries, taken as a whole, which has not been disclosed to the Dealer in writing and (iv) neither the Issuer nor the Guarantor is in default of any of its obligations hereunder or under the Notes, the Guarantee or the Issuing and Paying Agency Agreement.</w:t>
      </w:r>
    </w:p>
    <w:p>
      <w:pPr>
        <w:spacing w:after="0" w:line="313" w:lineRule="exact"/>
        <w:rPr>
          <w:sz w:val="20"/>
          <w:szCs w:val="20"/>
          <w:color w:val="auto"/>
        </w:rPr>
      </w:pPr>
    </w:p>
    <w:p>
      <w:pPr>
        <w:ind w:left="912" w:hanging="912"/>
        <w:spacing w:after="0"/>
        <w:tabs>
          <w:tab w:leader="none" w:pos="91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and Agreements of the Issuer and the Guarantor.</w:t>
      </w:r>
    </w:p>
    <w:p>
      <w:pPr>
        <w:spacing w:after="0" w:line="121" w:lineRule="exact"/>
        <w:rPr>
          <w:rFonts w:ascii="Arial" w:cs="Arial" w:eastAsia="Arial" w:hAnsi="Arial"/>
          <w:sz w:val="18"/>
          <w:szCs w:val="18"/>
          <w:b w:val="1"/>
          <w:bCs w:val="1"/>
          <w:color w:val="auto"/>
        </w:rPr>
      </w:pPr>
    </w:p>
    <w:p>
      <w:pPr>
        <w:ind w:left="912"/>
        <w:spacing w:after="0"/>
        <w:rPr>
          <w:rFonts w:ascii="Arial" w:cs="Arial" w:eastAsia="Arial" w:hAnsi="Arial"/>
          <w:sz w:val="18"/>
          <w:szCs w:val="18"/>
          <w:b w:val="1"/>
          <w:bCs w:val="1"/>
          <w:color w:val="auto"/>
        </w:rPr>
      </w:pPr>
      <w:r>
        <w:rPr>
          <w:rFonts w:ascii="Arial" w:cs="Arial" w:eastAsia="Arial" w:hAnsi="Arial"/>
          <w:sz w:val="18"/>
          <w:szCs w:val="18"/>
          <w:color w:val="auto"/>
        </w:rPr>
        <w:t>Each of the Issuer and the Guarantor covenants and agrees as to itself that:</w:t>
      </w:r>
    </w:p>
    <w:p>
      <w:pPr>
        <w:spacing w:after="0" w:line="130" w:lineRule="exact"/>
        <w:rPr>
          <w:rFonts w:ascii="Arial" w:cs="Arial" w:eastAsia="Arial" w:hAnsi="Arial"/>
          <w:sz w:val="18"/>
          <w:szCs w:val="18"/>
          <w:b w:val="1"/>
          <w:bCs w:val="1"/>
          <w:color w:val="auto"/>
        </w:rPr>
      </w:pPr>
    </w:p>
    <w:p>
      <w:pPr>
        <w:ind w:left="1692" w:right="580" w:hanging="797"/>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7"/>
          <w:szCs w:val="17"/>
          <w:color w:val="auto"/>
        </w:rPr>
        <w:t>The Issuer and the Guarantor will give the Dealer prompt notice (but in any event prior to any subsequent issuance of Notes hereunder) of any amendment to, modification of or waiver with respect to, the Notes, the Guarantee or the Issuing and Paying Agency Agreement, including a complete copy of any such amendment, modification or waiver.</w:t>
      </w:r>
    </w:p>
    <w:p>
      <w:pPr>
        <w:spacing w:after="0" w:line="70" w:lineRule="exact"/>
        <w:rPr>
          <w:rFonts w:ascii="Arial" w:cs="Arial" w:eastAsia="Arial" w:hAnsi="Arial"/>
          <w:sz w:val="18"/>
          <w:szCs w:val="18"/>
          <w:b w:val="1"/>
          <w:bCs w:val="1"/>
          <w:color w:val="auto"/>
        </w:rPr>
      </w:pPr>
    </w:p>
    <w:p>
      <w:pPr>
        <w:ind w:left="1692" w:right="120" w:hanging="797"/>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The Issuer and the Guarantor shall notify the Dealer (by telephone, confirmed in writing) promptly, and in any event prior to any subsequent issuance of Notes hereunder, of (a) any downgrading or receipt of any notice of intended or potential downgrading or any review for potential change in the rating accorded any of the securities of the Issuer or the Guarantor by any nationally recognized statistical rating organization which has published a rating of the Notes) or (b) a material adverse change in the business, assets, operations or financial condition of the Issuer and its subsidiaries, taken as a whole, or the ability of the Issuer or the Guarantor to perform its obligations under this Agreement, the Notes, the Guarantee or the Issuing and Paying Agency Agreement.</w:t>
      </w:r>
    </w:p>
    <w:p>
      <w:pPr>
        <w:spacing w:after="0" w:line="70" w:lineRule="exact"/>
        <w:rPr>
          <w:rFonts w:ascii="Arial" w:cs="Arial" w:eastAsia="Arial" w:hAnsi="Arial"/>
          <w:sz w:val="18"/>
          <w:szCs w:val="18"/>
          <w:b w:val="1"/>
          <w:bCs w:val="1"/>
          <w:color w:val="auto"/>
        </w:rPr>
      </w:pPr>
    </w:p>
    <w:p>
      <w:pPr>
        <w:ind w:left="1692" w:right="340" w:hanging="797"/>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3.3.</w:t>
      </w:r>
      <w:r>
        <w:rPr>
          <w:rFonts w:ascii="Arial" w:cs="Arial" w:eastAsia="Arial" w:hAnsi="Arial"/>
          <w:sz w:val="17"/>
          <w:szCs w:val="17"/>
          <w:color w:val="auto"/>
        </w:rPr>
        <w:t>The Issuer and the Guarantor shall from time to time furnish to the Dealer such information as the Dealer may reasonably request, including, without limitation, any press releases or material provided by the Issuer or the Guarantor to any national</w:t>
      </w:r>
    </w:p>
    <w:p>
      <w:pPr>
        <w:spacing w:after="0" w:line="79" w:lineRule="exact"/>
        <w:rPr>
          <w:rFonts w:ascii="Arial" w:cs="Arial" w:eastAsia="Arial" w:hAnsi="Arial"/>
          <w:sz w:val="18"/>
          <w:szCs w:val="18"/>
          <w:b w:val="1"/>
          <w:bCs w:val="1"/>
          <w:color w:val="auto"/>
        </w:rPr>
      </w:pPr>
    </w:p>
    <w:p>
      <w:pPr>
        <w:ind w:left="11332" w:hanging="118"/>
        <w:spacing w:after="0"/>
        <w:tabs>
          <w:tab w:leader="none" w:pos="11332" w:val="left"/>
        </w:tabs>
        <w:numPr>
          <w:ilvl w:val="1"/>
          <w:numId w:val="113"/>
        </w:numPr>
        <w:rPr>
          <w:rFonts w:ascii="Arial" w:cs="Arial" w:eastAsia="Arial" w:hAnsi="Arial"/>
          <w:sz w:val="14"/>
          <w:szCs w:val="14"/>
          <w:color w:val="auto"/>
        </w:rPr>
      </w:pPr>
      <w:r>
        <w:rPr>
          <w:rFonts w:ascii="Arial" w:cs="Arial" w:eastAsia="Arial" w:hAnsi="Arial"/>
          <w:sz w:val="14"/>
          <w:szCs w:val="14"/>
          <w:color w:val="auto"/>
        </w:rPr>
        <w:t>8</w:t>
      </w:r>
    </w:p>
    <w:p>
      <w:pPr>
        <w:sectPr>
          <w:pgSz w:w="11900" w:h="16838" w:orient="portrait"/>
          <w:cols w:equalWidth="0" w:num="1">
            <w:col w:w="11412"/>
          </w:cols>
          <w:pgMar w:left="248" w:top="274" w:right="239" w:bottom="1440" w:gutter="0" w:footer="0" w:header="0"/>
        </w:sectPr>
      </w:pPr>
    </w:p>
    <w:bookmarkStart w:id="159" w:name="page160"/>
    <w:bookmarkEnd w:id="159"/>
    <w:p>
      <w:pPr>
        <w:ind w:left="780"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exchange or rating agency, regarding (i) the operations and financial condition of the Issuer or the Guarantor, (ii) the due authorization and execution of the Notes and the Guarantee, (iii) the Issuer’s ability to pay the Notes as they mature and (iv) the Guarantor’s ability to fulfill its obligations under the Guarantee.</w:t>
      </w:r>
    </w:p>
    <w:p>
      <w:pPr>
        <w:spacing w:after="0" w:line="87" w:lineRule="exact"/>
        <w:rPr>
          <w:sz w:val="20"/>
          <w:szCs w:val="20"/>
          <w:color w:val="auto"/>
        </w:rPr>
      </w:pPr>
    </w:p>
    <w:p>
      <w:pPr>
        <w:ind w:left="780" w:right="60" w:hanging="796"/>
        <w:spacing w:after="0" w:line="302" w:lineRule="auto"/>
        <w:tabs>
          <w:tab w:leader="none" w:pos="7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Issuer and the Guarantor will take all such action as the Dealer may reasonably request to ensure that each offer and each sale of the Notes will comply with any applicable state Blue Sky laws; provided, however, that neither the Issuer nor the Guarantor shall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60" w:lineRule="exact"/>
        <w:rPr>
          <w:sz w:val="20"/>
          <w:szCs w:val="20"/>
          <w:color w:val="auto"/>
        </w:rPr>
      </w:pPr>
    </w:p>
    <w:p>
      <w:pPr>
        <w:ind w:left="780" w:right="380" w:hanging="796"/>
        <w:spacing w:after="0" w:line="277" w:lineRule="auto"/>
        <w:tabs>
          <w:tab w:leader="none" w:pos="7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Neither the Issuer nor the Guarantor will be in default of any of its obligations hereunder or under the Notes, the Guarantee or the Issuing and Paying Agency Agreement, at any time that any of the Notes are outstanding.</w:t>
      </w:r>
    </w:p>
    <w:p>
      <w:pPr>
        <w:spacing w:after="0" w:line="76" w:lineRule="exact"/>
        <w:rPr>
          <w:sz w:val="20"/>
          <w:szCs w:val="20"/>
          <w:color w:val="auto"/>
        </w:rPr>
      </w:pPr>
    </w:p>
    <w:p>
      <w:pPr>
        <w:ind w:left="780" w:right="20" w:hanging="796"/>
        <w:spacing w:after="0" w:line="285" w:lineRule="auto"/>
        <w:tabs>
          <w:tab w:leader="none" w:pos="7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Issuer shall not issue Notes hereunder until the Dealer shall have received (a) opinions of counsel to the Issuer and the Guarantor, addressed to the Dealer, satisfactory in form and substance to the Dealer, (b) a copy of the executed Issuing and Paying Agency Agreement as then in effect, (c) a copy of the executed Guarantee, (d) a copy of the resolutions adopted by the Board of Directors of the Issuer and the Guarantor, satisfactory in form and substance to the Dealer and certified by the Secretary or similar officer of the Issuer or the Guarantor, as the case may be, authorizing execution and delivery by the Issuer and the Guarantor of this Agreement, the Issuing and Paying Agency Agreement, the Guarantee and the Notes and consummation by the Issuer and the Guarantor of the transactions contemplated hereby and thereby, (e) a certificate of the secretary, assistant secretary or other designated officer of each of the Issuer and the Guarantor certifying as to (i) the Issuer’s and the Guarantor’s organizational documents, and attaching true, correct and complete copies thereof, and (ii) the incumbency of the officers of the Issuer and the Guarantor authorized to execute and deliver this Agreement, the Issuing and Paying Agency Agreement, the Guarantee and the Notes, and take other action on behalf of the Issuer and the Guarantor in connection with the transactions contemplated thereby, (f) prior to the issuance of any book-entry Notes represented by a master note registered in the name of DTC or its nominee, a copy of the executed Letter of Representations among the Issuer, the Guarantor, the Issuing and Paying Agent and DTC and of the executed master note, (g) prior to the issuance of any Notes in physical form, a copy of such form (unless attached to this Agreement or the Issuing and Paying Agency Agreement), (h) confirmation of the then current rating assigned to the Notes by each nationally recognized statistical rating organization then rating the Notes, and (i) such other certificates, opinions, letters and documents as the Dealer shall have reasonably requested.</w:t>
      </w:r>
    </w:p>
    <w:p>
      <w:pPr>
        <w:spacing w:after="0" w:line="83" w:lineRule="exact"/>
        <w:rPr>
          <w:sz w:val="20"/>
          <w:szCs w:val="20"/>
          <w:color w:val="auto"/>
        </w:rPr>
      </w:pPr>
    </w:p>
    <w:p>
      <w:pPr>
        <w:ind w:left="780" w:right="60" w:hanging="796"/>
        <w:spacing w:after="0" w:line="259" w:lineRule="auto"/>
        <w:tabs>
          <w:tab w:leader="none" w:pos="7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The Issuer and the Guarantor, jointly and severally, shall reimburse the Dealer for all of the Dealer’s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92" w:lineRule="exact"/>
        <w:rPr>
          <w:sz w:val="20"/>
          <w:szCs w:val="20"/>
          <w:color w:val="auto"/>
        </w:rPr>
      </w:pPr>
    </w:p>
    <w:p>
      <w:pPr>
        <w:ind w:left="780" w:right="140" w:hanging="796"/>
        <w:spacing w:after="0" w:line="277" w:lineRule="auto"/>
        <w:tabs>
          <w:tab w:leader="none" w:pos="7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Neither the Issuer nor the Guarantor shall file a Form D (as referenced in Rule 503 under the Securities Act) at any time in respect of the offer or sale of the Notes.</w:t>
      </w:r>
    </w:p>
    <w:p>
      <w:pPr>
        <w:spacing w:after="0" w:line="76" w:lineRule="exact"/>
        <w:rPr>
          <w:sz w:val="20"/>
          <w:szCs w:val="20"/>
          <w:color w:val="auto"/>
        </w:rPr>
      </w:pPr>
    </w:p>
    <w:p>
      <w:pPr>
        <w:ind w:left="780" w:right="80" w:hanging="796"/>
        <w:spacing w:after="0" w:line="257" w:lineRule="auto"/>
        <w:tabs>
          <w:tab w:leader="none" w:pos="7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Without limiting any obligation of the Issuer or the Guarantor pursuant to this Agreement to provide the Dealer with credit and financial information, each of the Issuer and the Guarantor hereby acknowledges and agrees that the Dealer may share the Company Information and any other information or matters relating to the Issuer or the Guarantor or the transactions contemplated hereby with affiliates of the Dealer, including, but not limited to, [Dealer affiliate], and that such affiliates may likewise share information relating to the Issuer or the Guarantor or such transactions with the Dealer.</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0500"/>
          </w:cols>
          <w:pgMar w:left="1160" w:top="274" w:right="239" w:bottom="1440" w:gutter="0" w:footer="0" w:header="0"/>
        </w:sectPr>
      </w:pPr>
    </w:p>
    <w:bookmarkStart w:id="160" w:name="page161"/>
    <w:bookmarkEnd w:id="160"/>
    <w:p>
      <w:pPr>
        <w:ind w:left="912" w:hanging="912"/>
        <w:spacing w:after="0"/>
        <w:tabs>
          <w:tab w:leader="none" w:pos="91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w:t>
      </w:r>
    </w:p>
    <w:p>
      <w:pPr>
        <w:spacing w:after="0" w:line="134" w:lineRule="exact"/>
        <w:rPr>
          <w:rFonts w:ascii="Arial" w:cs="Arial" w:eastAsia="Arial" w:hAnsi="Arial"/>
          <w:sz w:val="18"/>
          <w:szCs w:val="18"/>
          <w:b w:val="1"/>
          <w:bCs w:val="1"/>
          <w:color w:val="auto"/>
        </w:rPr>
      </w:pPr>
    </w:p>
    <w:p>
      <w:pPr>
        <w:ind w:left="1692" w:hanging="79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4.1.The Private Placement Memorandum and its contents (other than the Dealer Information) shall be the sole responsibility of the Issuer and the Guarantor. The Private Placement Memorandum shall contain a statement expressly offering an opportunity for each prospective purchaser to ask questions of, and receive answers from, the Issuer and the Guarantor concerning the offering of Notes and to obtain relevant additional information which the Issuer or the Guarantor possesses or can acquire without unreasonable effort or expense.</w:t>
      </w:r>
    </w:p>
    <w:p>
      <w:pPr>
        <w:spacing w:after="0" w:line="93" w:lineRule="exact"/>
        <w:rPr>
          <w:rFonts w:ascii="Arial" w:cs="Arial" w:eastAsia="Arial" w:hAnsi="Arial"/>
          <w:sz w:val="18"/>
          <w:szCs w:val="18"/>
          <w:b w:val="1"/>
          <w:bCs w:val="1"/>
          <w:color w:val="auto"/>
        </w:rPr>
      </w:pPr>
    </w:p>
    <w:p>
      <w:pPr>
        <w:ind w:left="1692" w:right="400" w:hanging="797"/>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6"/>
          <w:szCs w:val="16"/>
          <w:color w:val="auto"/>
        </w:rPr>
        <w:t>Each of the Issuer and the Guarantor agrees to promptly furnish the Dealer the Company Information as it becomes available. Company Information that is publicly available on the SEC’s EDGAR system shall be deemed furnished to the Dealer hereunder.</w:t>
      </w:r>
    </w:p>
    <w:p>
      <w:pPr>
        <w:spacing w:after="0" w:line="29" w:lineRule="exact"/>
        <w:rPr>
          <w:rFonts w:ascii="Arial" w:cs="Arial" w:eastAsia="Arial" w:hAnsi="Arial"/>
          <w:sz w:val="18"/>
          <w:szCs w:val="18"/>
          <w:b w:val="1"/>
          <w:bCs w:val="1"/>
          <w:color w:val="auto"/>
        </w:rPr>
      </w:pPr>
    </w:p>
    <w:p>
      <w:pPr>
        <w:ind w:left="1692" w:right="140" w:hanging="79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4.3.a) Each of the Issuer and the Guarantor further agrees to notify the Dealer promptly upon the occurrence of any event relating to or affecting the Issuer or the Guarantor that would cause the Company Information then in existence to include an untrue statement of a material fact or to omit to state a material fact necessary in order to make the statements contained therein, in light of the circumstances under which they are made, not misleading.</w:t>
      </w:r>
    </w:p>
    <w:p>
      <w:pPr>
        <w:spacing w:after="0" w:line="78" w:lineRule="exact"/>
        <w:rPr>
          <w:rFonts w:ascii="Arial" w:cs="Arial" w:eastAsia="Arial" w:hAnsi="Arial"/>
          <w:sz w:val="18"/>
          <w:szCs w:val="18"/>
          <w:b w:val="1"/>
          <w:bCs w:val="1"/>
          <w:color w:val="auto"/>
        </w:rPr>
      </w:pPr>
    </w:p>
    <w:p>
      <w:pPr>
        <w:ind w:left="1712" w:right="160"/>
        <w:spacing w:after="0" w:line="291" w:lineRule="auto"/>
        <w:tabs>
          <w:tab w:leader="none" w:pos="190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In the event that the Issuer or the Guarantor gives the Dealer notice pursuant to Section 4.3(a) and (i) the Issuer is selling Notes in accordance with Section 1, (ii) the Dealer notifies the Issuer or the Guarantor that it then has Notes it is holding in inventory or</w:t>
      </w:r>
    </w:p>
    <w:p>
      <w:pPr>
        <w:ind w:left="1712" w:right="100"/>
        <w:spacing w:after="0" w:line="253" w:lineRule="auto"/>
        <w:rPr>
          <w:rFonts w:ascii="Arial" w:cs="Arial" w:eastAsia="Arial" w:hAnsi="Arial"/>
          <w:sz w:val="16"/>
          <w:szCs w:val="16"/>
          <w:color w:val="auto"/>
        </w:rPr>
      </w:pPr>
      <w:r>
        <w:rPr>
          <w:rFonts w:ascii="Arial" w:cs="Arial" w:eastAsia="Arial" w:hAnsi="Arial"/>
          <w:sz w:val="18"/>
          <w:szCs w:val="18"/>
          <w:color w:val="auto"/>
        </w:rPr>
        <w:t>(iii) any Notes are otherwise outstanding, the Issuer and the Guarantor agree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and the Guarantor shall make such supplement or amendment available to the Dealer.</w:t>
      </w:r>
    </w:p>
    <w:p>
      <w:pPr>
        <w:spacing w:after="0" w:line="83" w:lineRule="exact"/>
        <w:rPr>
          <w:rFonts w:ascii="Arial" w:cs="Arial" w:eastAsia="Arial" w:hAnsi="Arial"/>
          <w:sz w:val="16"/>
          <w:szCs w:val="16"/>
          <w:color w:val="auto"/>
        </w:rPr>
      </w:pPr>
    </w:p>
    <w:p>
      <w:pPr>
        <w:ind w:left="1712" w:right="120"/>
        <w:spacing w:after="0" w:line="273" w:lineRule="auto"/>
        <w:tabs>
          <w:tab w:leader="none" w:pos="189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the event that (i) the Issuer or the Guarantor gives the Dealer notice pursuant to Section 4.3(a), (ii)(A) the Issuer is not selling Notes in accordance with Section 1, (B) the Dealer does not notify the Issuer or the Guarantor that it is then holding Notes in inventory and (C) no Notes are otherwise outstanding, and (iii) the Issuer or the Guarantor chooses not to promptly amend or supplement the Private Placement Memorandum in the manner described in clause (b) above, then all solicitations and sales of Notes shall be suspended until such time as the Issuer and the Guarantor have so amended or supplemented the Private Placement Memorandum, and made such amendment or supplement available to the Dealer.</w:t>
      </w:r>
    </w:p>
    <w:p>
      <w:pPr>
        <w:spacing w:after="0" w:line="70" w:lineRule="exact"/>
        <w:rPr>
          <w:rFonts w:ascii="Arial" w:cs="Arial" w:eastAsia="Arial" w:hAnsi="Arial"/>
          <w:sz w:val="17"/>
          <w:szCs w:val="17"/>
          <w:color w:val="auto"/>
        </w:rPr>
      </w:pPr>
    </w:p>
    <w:p>
      <w:pPr>
        <w:ind w:left="1712" w:right="60"/>
        <w:spacing w:after="0" w:line="291" w:lineRule="auto"/>
        <w:tabs>
          <w:tab w:leader="none" w:pos="190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Without limiting the generality of Section 4.3(a), to the extent that the Private Placement Memorandum sets forth financial information of the Issuer or the Guarantor (other than financial information included in a report described in clause (i) of the definition of “Company Information” that (i) is incorporated by reference in the Private Placement Memorandum or (ii) the Private Placement Memorandum expressly states is being made available to holders and prospective purchasers of the Notes but is not otherwise set forth therein), the Issuer and the Guarantor shall review, amend and supplement the Private Placement Memorandum on a periodic basis, but no less than at least once annually, to incorporate current financial information of the Issuer and the Guarantor to the extent necessary to ensure that the information provided in the Private Placement Memorandum is accurate and complete.</w:t>
      </w:r>
    </w:p>
    <w:p>
      <w:pPr>
        <w:spacing w:after="0" w:line="99" w:lineRule="exact"/>
        <w:rPr>
          <w:rFonts w:ascii="Arial" w:cs="Arial" w:eastAsia="Arial" w:hAnsi="Arial"/>
          <w:sz w:val="16"/>
          <w:szCs w:val="16"/>
          <w:color w:val="auto"/>
        </w:rPr>
      </w:pPr>
    </w:p>
    <w:p>
      <w:pPr>
        <w:ind w:left="11232" w:hanging="108"/>
        <w:spacing w:after="0"/>
        <w:tabs>
          <w:tab w:leader="none" w:pos="11232" w:val="left"/>
        </w:tabs>
        <w:numPr>
          <w:ilvl w:val="2"/>
          <w:numId w:val="114"/>
        </w:numPr>
        <w:rPr>
          <w:rFonts w:ascii="Arial" w:cs="Arial" w:eastAsia="Arial" w:hAnsi="Arial"/>
          <w:sz w:val="16"/>
          <w:szCs w:val="16"/>
          <w:color w:val="auto"/>
        </w:rPr>
      </w:pPr>
      <w:r>
        <w:rPr>
          <w:rFonts w:ascii="Arial" w:cs="Arial" w:eastAsia="Arial" w:hAnsi="Arial"/>
          <w:sz w:val="16"/>
          <w:szCs w:val="16"/>
          <w:color w:val="auto"/>
        </w:rPr>
        <w:t>10</w:t>
      </w:r>
    </w:p>
    <w:p>
      <w:pPr>
        <w:sectPr>
          <w:pgSz w:w="11900" w:h="16838" w:orient="portrait"/>
          <w:cols w:equalWidth="0" w:num="1">
            <w:col w:w="11412"/>
          </w:cols>
          <w:pgMar w:left="248" w:top="270" w:right="239" w:bottom="1440" w:gutter="0" w:footer="0" w:header="0"/>
        </w:sectPr>
      </w:pPr>
    </w:p>
    <w:bookmarkStart w:id="161" w:name="page162"/>
    <w:bookmarkEnd w:id="161"/>
    <w:p>
      <w:pPr>
        <w:ind w:left="920" w:hanging="912"/>
        <w:spacing w:after="0"/>
        <w:tabs>
          <w:tab w:leader="none" w:pos="9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and Contribution.</w:t>
      </w:r>
    </w:p>
    <w:p>
      <w:pPr>
        <w:spacing w:after="0" w:line="134" w:lineRule="exact"/>
        <w:rPr>
          <w:rFonts w:ascii="Arial" w:cs="Arial" w:eastAsia="Arial" w:hAnsi="Arial"/>
          <w:sz w:val="18"/>
          <w:szCs w:val="18"/>
          <w:b w:val="1"/>
          <w:bCs w:val="1"/>
          <w:color w:val="auto"/>
        </w:rPr>
      </w:pPr>
    </w:p>
    <w:p>
      <w:pPr>
        <w:ind w:left="1700" w:right="80" w:hanging="797"/>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The Issuer and the Guarantor, jointly and severally, will indemnify and hold harmless the Dealer, as well as its and its affiliates’ shareholders, directors, agents, employees, officers, subsidiaries and affiliates, and each person who controls the Dealer within the meaning of the Exchange Act or the Securities Act (hereinafter the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Indemnitees arising out of or based upon (i) any allegation that the Private Placement Memorandum, the Company Information or any information provided by the Issuer or the Guarantor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the breach by the Issuer or the Guarantor of any agreement, covenant or representation made in or pursuant to this Agreement. This indemnification shall not apply to the extent that the Claim arises out of or is based upon (a) Dealer Information or (b) with respect to clause (ii) above only, the gross negligence or willful misconduct of an Indemnitee in the performance of, or failure to perform, its obligations under this Agreement, as determined by a final non-appealable judgment of a court of competent jurisdiction.</w:t>
      </w:r>
    </w:p>
    <w:p>
      <w:pPr>
        <w:spacing w:after="0" w:line="8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Provisions relating to claims made for indemnification under this Section 5 are set forth on Exhibit B to this Agreement.</w:t>
      </w:r>
    </w:p>
    <w:p>
      <w:pPr>
        <w:spacing w:after="0" w:line="130" w:lineRule="exact"/>
        <w:rPr>
          <w:rFonts w:ascii="Arial" w:cs="Arial" w:eastAsia="Arial" w:hAnsi="Arial"/>
          <w:sz w:val="18"/>
          <w:szCs w:val="18"/>
          <w:b w:val="1"/>
          <w:bCs w:val="1"/>
          <w:color w:val="auto"/>
        </w:rPr>
      </w:pPr>
    </w:p>
    <w:p>
      <w:pPr>
        <w:ind w:left="1700" w:right="120" w:hanging="797"/>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5.3.In order to provide for just and equitable contribution in circumstances in which the indemnification provided for in this Section 5 is held to be unavailable or insufficient to hold harmless the Indemnitees, although applicable in accordance with the terms of this Section 5, the Issuer and the Guarantor, jointly and severally, shall contribute to the aggregate costs incurred by the Dealer in connection with any Claim in the proportion of the respective economic interests of the Issuer and the Guarantor on the one hand and the Dealer on the other; provided, however, that such contribution by the Issuer and the Guarantor shall be in an amount such that the aggregate costs incurred by the Dealer do not exceed the aggregate of the commissions and fees earned by the Dealer hereunder with respect to the issue or issues of Notes to which such Claim relates. The respective economic interests shall be calculated by reference to the aggregate proceeds to the Issuer of the Notes issued hereunder and the aggregate commissions and fees earned by the Dealer hereunder.</w:t>
      </w:r>
    </w:p>
    <w:p>
      <w:pPr>
        <w:spacing w:after="0" w:line="341" w:lineRule="exact"/>
        <w:rPr>
          <w:rFonts w:ascii="Arial" w:cs="Arial" w:eastAsia="Arial" w:hAnsi="Arial"/>
          <w:sz w:val="18"/>
          <w:szCs w:val="18"/>
          <w:b w:val="1"/>
          <w:bCs w:val="1"/>
          <w:color w:val="auto"/>
        </w:rPr>
      </w:pPr>
    </w:p>
    <w:p>
      <w:pPr>
        <w:ind w:left="920" w:hanging="912"/>
        <w:spacing w:after="0"/>
        <w:tabs>
          <w:tab w:leader="none" w:pos="9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color w:val="auto"/>
        </w:rPr>
        <w:t>“Bribery Act” shall have the meaning set forth in Section 2.13.</w:t>
      </w:r>
    </w:p>
    <w:p>
      <w:pPr>
        <w:spacing w:after="0" w:line="13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6"/>
          <w:szCs w:val="16"/>
          <w:color w:val="auto"/>
        </w:rPr>
        <w:t>“Claim” shall have the meaning set forth in Section 5.1.</w:t>
      </w:r>
    </w:p>
    <w:p>
      <w:pPr>
        <w:spacing w:after="0" w:line="13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6.3.</w:t>
      </w:r>
      <w:r>
        <w:rPr>
          <w:rFonts w:ascii="Arial" w:cs="Arial" w:eastAsia="Arial" w:hAnsi="Arial"/>
          <w:sz w:val="16"/>
          <w:szCs w:val="16"/>
          <w:color w:val="auto"/>
        </w:rPr>
        <w:t>“Company Information” at any given time shall mean the Private Placement Memorandum together with, to the extent applicable,</w:t>
      </w:r>
    </w:p>
    <w:p>
      <w:pPr>
        <w:spacing w:after="0" w:line="23" w:lineRule="exact"/>
        <w:rPr>
          <w:rFonts w:ascii="Arial" w:cs="Arial" w:eastAsia="Arial" w:hAnsi="Arial"/>
          <w:sz w:val="18"/>
          <w:szCs w:val="18"/>
          <w:b w:val="1"/>
          <w:bCs w:val="1"/>
          <w:color w:val="auto"/>
        </w:rPr>
      </w:pPr>
    </w:p>
    <w:p>
      <w:pPr>
        <w:ind w:left="1700" w:right="40" w:firstLine="10"/>
        <w:spacing w:after="0" w:line="281" w:lineRule="auto"/>
        <w:tabs>
          <w:tab w:leader="none" w:pos="191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Issuer’s and the Guarantor’s most recent report on Form 10-K filed with the SEC and each report on Form 10-Q or 8-K filed by the Issuer or the Guarantor with the SEC since the most recent Form 10-K, (ii) the Issuer’s and the Guarantor’s most recent annual audited financial statements and each interim financial statement or report prepared subsequent thereto, if not included in item</w:t>
      </w:r>
    </w:p>
    <w:p>
      <w:pPr>
        <w:spacing w:after="0" w:line="2" w:lineRule="exact"/>
        <w:rPr>
          <w:rFonts w:ascii="Arial" w:cs="Arial" w:eastAsia="Arial" w:hAnsi="Arial"/>
          <w:sz w:val="16"/>
          <w:szCs w:val="16"/>
          <w:color w:val="auto"/>
        </w:rPr>
      </w:pPr>
    </w:p>
    <w:p>
      <w:pPr>
        <w:ind w:left="1700" w:right="140" w:firstLine="10"/>
        <w:spacing w:after="0" w:line="254" w:lineRule="auto"/>
        <w:tabs>
          <w:tab w:leader="none" w:pos="191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above, (iii) any other publicly available information filed by the Issuer, the Guarantor or any of their affiliates with the SEC or the New York Stock Exchange or provided to the Issuer’s shareholders, (iv) any other information or disclosure prepared pursuant to Section 4.3 hereof and (v) any information prepared or approved by the Issuer or the guarantor for dissemination to investors or potential investors in the Notes.</w:t>
      </w:r>
    </w:p>
    <w:p>
      <w:pPr>
        <w:spacing w:after="0" w:line="95"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“Current Issuing and Paying Agent” shall have the meaning set forth in Section 7.9(a).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270" w:right="239" w:bottom="1440" w:gutter="0" w:footer="0" w:header="0"/>
        </w:sectPr>
      </w:pPr>
    </w:p>
    <w:bookmarkStart w:id="162" w:name="page163"/>
    <w:bookmarkEnd w:id="162"/>
    <w:p>
      <w:pPr>
        <w:ind w:left="780" w:right="500" w:hanging="796"/>
        <w:spacing w:after="0" w:line="277" w:lineRule="auto"/>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6.5.</w:t>
      </w:r>
      <w:r>
        <w:rPr>
          <w:sz w:val="20"/>
          <w:szCs w:val="20"/>
          <w:color w:val="auto"/>
        </w:rPr>
        <w:tab/>
      </w:r>
      <w:r>
        <w:rPr>
          <w:rFonts w:ascii="Arial" w:cs="Arial" w:eastAsia="Arial" w:hAnsi="Arial"/>
          <w:sz w:val="18"/>
          <w:szCs w:val="18"/>
          <w:color w:val="auto"/>
        </w:rPr>
        <w:t>“Dealer Information” shall mean material concerning the Dealer provided by the Dealer in writing expressly for inclusion in the Private Placement Memorandum.</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“Exchange Act” shall mean the U.S. Securities Exchange Act of 1934, as amended.</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“FCPA” shall have the meaning set forth in Section 2.13.</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“Indemnitee” shall have the meaning set forth in Section 5.1.</w:t>
      </w:r>
    </w:p>
    <w:p>
      <w:pPr>
        <w:spacing w:after="0" w:line="131" w:lineRule="exact"/>
        <w:rPr>
          <w:sz w:val="20"/>
          <w:szCs w:val="20"/>
          <w:color w:val="auto"/>
        </w:rPr>
      </w:pPr>
    </w:p>
    <w:p>
      <w:pPr>
        <w:ind w:left="780" w:right="120" w:hanging="796"/>
        <w:spacing w:after="0" w:line="257" w:lineRule="auto"/>
        <w:tabs>
          <w:tab w:leader="none" w:pos="7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94" w:lineRule="exact"/>
        <w:rPr>
          <w:sz w:val="20"/>
          <w:szCs w:val="20"/>
          <w:color w:val="auto"/>
        </w:rPr>
      </w:pPr>
    </w:p>
    <w:p>
      <w:pPr>
        <w:ind w:left="780" w:right="340" w:hanging="796"/>
        <w:spacing w:after="0" w:line="308" w:lineRule="auto"/>
        <w:tabs>
          <w:tab w:leader="none" w:pos="7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7"/>
          <w:szCs w:val="17"/>
          <w:color w:val="auto"/>
        </w:rPr>
        <w:t>“Issuing and Paying Agency Agreement” shall mean the issuing and paying agency agreement described on the cover page of this Agreement, or any replacement thereof, as such agreement may be amended or supplemented from time to time.</w:t>
      </w:r>
    </w:p>
    <w:p>
      <w:pPr>
        <w:spacing w:after="0" w:line="52" w:lineRule="exact"/>
        <w:rPr>
          <w:sz w:val="20"/>
          <w:szCs w:val="20"/>
          <w:color w:val="auto"/>
        </w:rPr>
      </w:pPr>
    </w:p>
    <w:p>
      <w:pPr>
        <w:ind w:left="780" w:right="120" w:hanging="796"/>
        <w:spacing w:after="0" w:line="308" w:lineRule="auto"/>
        <w:tabs>
          <w:tab w:leader="none" w:pos="7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“Issuing and Paying Agent” shall mean the party designated as such on the cover page of this Agreement, or any successor thereto or replacement thereof, as issuing and paying agent under the Issuing and Paying Agency Agreement.</w:t>
      </w:r>
    </w:p>
    <w:p>
      <w:pPr>
        <w:spacing w:after="0" w:line="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“Money Laundering Laws” shall have the meaning set forth in Section 2.14.</w:t>
      </w:r>
    </w:p>
    <w:p>
      <w:pPr>
        <w:spacing w:after="0" w:line="131" w:lineRule="exact"/>
        <w:rPr>
          <w:sz w:val="20"/>
          <w:szCs w:val="20"/>
          <w:color w:val="auto"/>
        </w:rPr>
      </w:pPr>
    </w:p>
    <w:p>
      <w:pPr>
        <w:ind w:left="780" w:right="340" w:hanging="796"/>
        <w:spacing w:after="0" w:line="277" w:lineRule="auto"/>
        <w:tabs>
          <w:tab w:leader="none" w:pos="7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“Non-bank fiduciary or agent” shall mean a fiduciary or agent other than (a) a bank, as defined in Section 3(a)(2) of the Securities Act, or (b) a savings and loan association, as defined in Section 3(a)(5)(A) of the Securities Act.</w:t>
      </w:r>
    </w:p>
    <w:p>
      <w:pPr>
        <w:spacing w:after="0" w:line="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color w:val="auto"/>
        </w:rPr>
        <w:t>“Outstanding Notes” shall have the meaning set forth in Section 7.9 (b).</w:t>
      </w:r>
    </w:p>
    <w:p>
      <w:pPr>
        <w:spacing w:after="0" w:line="131" w:lineRule="exact"/>
        <w:rPr>
          <w:sz w:val="20"/>
          <w:szCs w:val="20"/>
          <w:color w:val="auto"/>
        </w:rPr>
      </w:pPr>
    </w:p>
    <w:p>
      <w:pPr>
        <w:ind w:left="780" w:hanging="796"/>
        <w:spacing w:after="0" w:line="302" w:lineRule="auto"/>
        <w:tabs>
          <w:tab w:leader="none" w:pos="76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6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“Qualified Institutional Buyer” shall have the meaning assigned to that term in Rule 144A under the Securities Act.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color w:val="auto"/>
        </w:rPr>
        <w:t>“Replacement” shall have the meaning set forth in Section 7.9(a).</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color w:val="auto"/>
        </w:rPr>
        <w:t>“Replacement Issuing and Paying Agent” shall have the meaning set forth in Section 7.9(a).</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color w:val="auto"/>
        </w:rPr>
        <w:t>“Replacement Issuing and Paying Agency Agreement” shall have the meaning set forth in Section 7.9(a).</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6"/>
          <w:szCs w:val="16"/>
          <w:color w:val="auto"/>
        </w:rPr>
        <w:t>“Rule 144A” shall mean Rule 144A under the Securities Act.</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“Sanctioned Countries” and “Sanctioned Country” shall have the meanings set forth in Section 2.16.</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“Sanctioned Persons” shall have the meaning set forth in Section 2.15.</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“Sanctions” shall have the meaning set forth in Section 2.15.</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color w:val="auto"/>
        </w:rPr>
        <w:t>“SEC” shall mean the U.S. Securities and Exchange Commission.</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color w:val="auto"/>
        </w:rPr>
        <w:t>“Securities Act” shall mean the U.S. Securities Act of 1933, as amended.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0500"/>
          </w:cols>
          <w:pgMar w:left="1160" w:top="274" w:right="239" w:bottom="1440" w:gutter="0" w:footer="0" w:header="0"/>
        </w:sectPr>
      </w:pPr>
    </w:p>
    <w:bookmarkStart w:id="163" w:name="page164"/>
    <w:bookmarkEnd w:id="163"/>
    <w:p>
      <w:pPr>
        <w:ind w:left="912" w:hanging="912"/>
        <w:spacing w:after="0"/>
        <w:tabs>
          <w:tab w:leader="none" w:pos="91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p>
    <w:p>
      <w:pPr>
        <w:spacing w:after="0" w:line="134" w:lineRule="exact"/>
        <w:rPr>
          <w:rFonts w:ascii="Arial" w:cs="Arial" w:eastAsia="Arial" w:hAnsi="Arial"/>
          <w:sz w:val="18"/>
          <w:szCs w:val="18"/>
          <w:b w:val="1"/>
          <w:bCs w:val="1"/>
          <w:color w:val="auto"/>
        </w:rPr>
      </w:pPr>
    </w:p>
    <w:p>
      <w:pPr>
        <w:ind w:left="1692" w:right="100" w:hanging="797"/>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7"/>
          <w:szCs w:val="17"/>
          <w:color w:val="auto"/>
        </w:rPr>
        <w:t>Unless otherwise expressly provided herein, all notices, requests, demands, consents and other communications hereunder among the parties hereto shall be in writing and shall be deemed given: (a) upon personal delivery, (b) three (3) business days after being mailed by certified or registered mail, postage prepaid, return receipt requested, (c) one (1) business day after being sent via a nationally recognized overnight courier service, or (d) upon delivery by facsimile or electronic mail (with confirmation by the transmitting equipment), in each case to the appropriate addresses and facsimile numbers set forth below (or at such other addresses and facsimile numbers as the parties may designate by written notice in accordance with this Section 7.1):</w:t>
      </w:r>
    </w:p>
    <w:p>
      <w:pPr>
        <w:spacing w:after="0" w:line="70"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For the Issuer and the Guarantor:</w:t>
      </w:r>
    </w:p>
    <w:p>
      <w:pPr>
        <w:sectPr>
          <w:pgSz w:w="11900" w:h="16838" w:orient="portrait"/>
          <w:cols w:equalWidth="0" w:num="1">
            <w:col w:w="11412"/>
          </w:cols>
          <w:pgMar w:left="248" w:top="270" w:right="239" w:bottom="1440" w:gutter="0" w:footer="0" w:header="0"/>
        </w:sectPr>
      </w:pPr>
    </w:p>
    <w:p>
      <w:pPr>
        <w:spacing w:after="0" w:line="252" w:lineRule="exact"/>
        <w:rPr>
          <w:sz w:val="20"/>
          <w:szCs w:val="20"/>
          <w:color w:val="auto"/>
        </w:rPr>
      </w:pPr>
    </w:p>
    <w:p>
      <w:pPr>
        <w:ind w:left="205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200" w:lineRule="exact"/>
        <w:rPr>
          <w:sz w:val="20"/>
          <w:szCs w:val="20"/>
          <w:color w:val="auto"/>
        </w:rPr>
      </w:pPr>
    </w:p>
    <w:p>
      <w:pPr>
        <w:sectPr>
          <w:pgSz w:w="11900" w:h="16838" w:orient="portrait"/>
          <w:cols w:equalWidth="0" w:num="2">
            <w:col w:w="3312" w:space="720"/>
            <w:col w:w="7380"/>
          </w:cols>
          <w:pgMar w:left="248" w:top="270" w:right="239" w:bottom="1440" w:gutter="0" w:footer="0" w:header="0"/>
          <w:type w:val="continuous"/>
        </w:sectPr>
      </w:pPr>
    </w:p>
    <w:p>
      <w:pPr>
        <w:spacing w:after="0" w:line="22" w:lineRule="exact"/>
        <w:rPr>
          <w:sz w:val="20"/>
          <w:szCs w:val="20"/>
          <w:color w:val="auto"/>
        </w:rPr>
      </w:pPr>
    </w:p>
    <w:p>
      <w:pPr>
        <w:ind w:left="205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2052"/>
        <w:spacing w:after="0"/>
        <w:rPr>
          <w:sz w:val="20"/>
          <w:szCs w:val="20"/>
          <w:color w:val="auto"/>
        </w:rPr>
      </w:pPr>
      <w:r>
        <w:rPr>
          <w:rFonts w:ascii="Arial" w:cs="Arial" w:eastAsia="Arial" w:hAnsi="Arial"/>
          <w:sz w:val="16"/>
          <w:szCs w:val="16"/>
          <w:color w:val="auto"/>
        </w:rPr>
        <w:t>Telephone number:</w:t>
      </w:r>
    </w:p>
    <w:p>
      <w:pPr>
        <w:spacing w:after="0" w:line="32" w:lineRule="exact"/>
        <w:rPr>
          <w:sz w:val="20"/>
          <w:szCs w:val="20"/>
          <w:color w:val="auto"/>
        </w:rPr>
      </w:pPr>
    </w:p>
    <w:p>
      <w:pPr>
        <w:ind w:left="2052"/>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2052"/>
        <w:spacing w:after="0"/>
        <w:rPr>
          <w:sz w:val="20"/>
          <w:szCs w:val="20"/>
          <w:color w:val="auto"/>
        </w:rPr>
      </w:pPr>
      <w:r>
        <w:rPr>
          <w:rFonts w:ascii="Arial" w:cs="Arial" w:eastAsia="Arial" w:hAnsi="Arial"/>
          <w:sz w:val="18"/>
          <w:szCs w:val="18"/>
          <w:color w:val="auto"/>
        </w:rPr>
        <w:t>Electronic mail: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713-394-2189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713-942-1580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Drankin@wm.com</w:t>
      </w:r>
    </w:p>
    <w:p>
      <w:pPr>
        <w:spacing w:after="0" w:line="222" w:lineRule="exact"/>
        <w:rPr>
          <w:sz w:val="20"/>
          <w:szCs w:val="20"/>
          <w:color w:val="auto"/>
        </w:rPr>
      </w:pPr>
    </w:p>
    <w:p>
      <w:pPr>
        <w:sectPr>
          <w:pgSz w:w="11900" w:h="16838" w:orient="portrait"/>
          <w:cols w:equalWidth="0" w:num="2">
            <w:col w:w="3452" w:space="580"/>
            <w:col w:w="7380"/>
          </w:cols>
          <w:pgMar w:left="248" w:top="270" w:right="239" w:bottom="1440" w:gutter="0" w:footer="0" w:header="0"/>
          <w:type w:val="continuous"/>
        </w:sectPr>
      </w:pPr>
    </w:p>
    <w:p>
      <w:pPr>
        <w:spacing w:after="0" w:line="11" w:lineRule="exact"/>
        <w:rPr>
          <w:sz w:val="20"/>
          <w:szCs w:val="20"/>
          <w:color w:val="auto"/>
        </w:rPr>
      </w:pPr>
    </w:p>
    <w:p>
      <w:pPr>
        <w:ind w:left="205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2052"/>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2052"/>
        <w:spacing w:after="0"/>
        <w:rPr>
          <w:sz w:val="20"/>
          <w:szCs w:val="20"/>
          <w:color w:val="auto"/>
        </w:rPr>
      </w:pPr>
      <w:r>
        <w:rPr>
          <w:rFonts w:ascii="Arial" w:cs="Arial" w:eastAsia="Arial" w:hAnsi="Arial"/>
          <w:sz w:val="17"/>
          <w:szCs w:val="17"/>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713-209-9710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GCLegal@wm.com</w:t>
      </w:r>
    </w:p>
    <w:p>
      <w:pPr>
        <w:spacing w:after="0" w:line="211" w:lineRule="exact"/>
        <w:rPr>
          <w:sz w:val="20"/>
          <w:szCs w:val="20"/>
          <w:color w:val="auto"/>
        </w:rPr>
      </w:pPr>
    </w:p>
    <w:p>
      <w:pPr>
        <w:sectPr>
          <w:pgSz w:w="11900" w:h="16838" w:orient="portrait"/>
          <w:cols w:equalWidth="0" w:num="2">
            <w:col w:w="3312" w:space="720"/>
            <w:col w:w="7380"/>
          </w:cols>
          <w:pgMar w:left="248" w:top="270" w:right="239" w:bottom="1440" w:gutter="0" w:footer="0" w:header="0"/>
          <w:type w:val="continuous"/>
        </w:sectPr>
      </w:pPr>
    </w:p>
    <w:p>
      <w:pPr>
        <w:spacing w:after="0" w:line="22"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For the Dealer:</w:t>
      </w:r>
    </w:p>
    <w:p>
      <w:pPr>
        <w:spacing w:after="0" w:line="225" w:lineRule="exact"/>
        <w:rPr>
          <w:sz w:val="20"/>
          <w:szCs w:val="20"/>
          <w:color w:val="auto"/>
        </w:rPr>
      </w:pPr>
    </w:p>
    <w:p>
      <w:pPr>
        <w:ind w:left="1992"/>
        <w:spacing w:after="0"/>
        <w:rPr>
          <w:sz w:val="20"/>
          <w:szCs w:val="20"/>
          <w:color w:val="auto"/>
        </w:rPr>
      </w:pPr>
      <w:r>
        <w:rPr>
          <w:rFonts w:ascii="Arial" w:cs="Arial" w:eastAsia="Arial" w:hAnsi="Arial"/>
          <w:sz w:val="18"/>
          <w:szCs w:val="18"/>
          <w:color w:val="auto"/>
        </w:rPr>
        <w:t>Address :</w:t>
      </w:r>
    </w:p>
    <w:p>
      <w:pPr>
        <w:spacing w:after="0" w:line="23" w:lineRule="exact"/>
        <w:rPr>
          <w:sz w:val="20"/>
          <w:szCs w:val="20"/>
          <w:color w:val="auto"/>
        </w:rPr>
      </w:pPr>
    </w:p>
    <w:p>
      <w:pPr>
        <w:ind w:left="1992"/>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992"/>
        <w:spacing w:after="0"/>
        <w:rPr>
          <w:sz w:val="20"/>
          <w:szCs w:val="20"/>
          <w:color w:val="auto"/>
        </w:rPr>
      </w:pPr>
      <w:r>
        <w:rPr>
          <w:rFonts w:ascii="Arial" w:cs="Arial" w:eastAsia="Arial" w:hAnsi="Arial"/>
          <w:sz w:val="16"/>
          <w:szCs w:val="16"/>
          <w:color w:val="auto"/>
        </w:rPr>
        <w:t>Telephone number:</w:t>
      </w:r>
    </w:p>
    <w:p>
      <w:pPr>
        <w:spacing w:after="0" w:line="32" w:lineRule="exact"/>
        <w:rPr>
          <w:sz w:val="20"/>
          <w:szCs w:val="20"/>
          <w:color w:val="auto"/>
        </w:rPr>
      </w:pPr>
    </w:p>
    <w:p>
      <w:pPr>
        <w:ind w:left="1992"/>
        <w:spacing w:after="0"/>
        <w:rPr>
          <w:sz w:val="20"/>
          <w:szCs w:val="20"/>
          <w:color w:val="auto"/>
        </w:rPr>
      </w:pPr>
      <w:r>
        <w:rPr>
          <w:rFonts w:ascii="Arial" w:cs="Arial" w:eastAsia="Arial" w:hAnsi="Arial"/>
          <w:sz w:val="18"/>
          <w:szCs w:val="18"/>
          <w:color w:val="auto"/>
        </w:rPr>
        <w:t>Fax number :</w:t>
      </w:r>
    </w:p>
    <w:p>
      <w:pPr>
        <w:spacing w:after="0" w:line="9" w:lineRule="exact"/>
        <w:rPr>
          <w:sz w:val="20"/>
          <w:szCs w:val="20"/>
          <w:color w:val="auto"/>
        </w:rPr>
      </w:pPr>
    </w:p>
    <w:p>
      <w:pPr>
        <w:ind w:left="1992"/>
        <w:spacing w:after="0"/>
        <w:rPr>
          <w:sz w:val="20"/>
          <w:szCs w:val="20"/>
          <w:color w:val="auto"/>
        </w:rPr>
      </w:pPr>
      <w:r>
        <w:rPr>
          <w:rFonts w:ascii="Arial" w:cs="Arial" w:eastAsia="Arial" w:hAnsi="Arial"/>
          <w:sz w:val="18"/>
          <w:szCs w:val="18"/>
          <w:color w:val="auto"/>
        </w:rPr>
        <w:t>Email address:</w:t>
      </w:r>
    </w:p>
    <w:p>
      <w:pPr>
        <w:sectPr>
          <w:pgSz w:w="11900" w:h="16838" w:orient="portrait"/>
          <w:cols w:equalWidth="0" w:num="1">
            <w:col w:w="11412"/>
          </w:cols>
          <w:pgMar w:left="248" w:top="270" w:right="239" w:bottom="1440" w:gutter="0" w:footer="0" w:header="0"/>
          <w:type w:val="continuous"/>
        </w:sectPr>
      </w:pPr>
    </w:p>
    <w:p>
      <w:pPr>
        <w:spacing w:after="0" w:line="238" w:lineRule="exact"/>
        <w:rPr>
          <w:sz w:val="20"/>
          <w:szCs w:val="20"/>
          <w:color w:val="auto"/>
        </w:rPr>
      </w:pPr>
    </w:p>
    <w:p>
      <w:pPr>
        <w:ind w:left="1692" w:right="520" w:hanging="796"/>
        <w:spacing w:after="0" w:line="277" w:lineRule="auto"/>
        <w:tabs>
          <w:tab w:leader="none" w:pos="16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This Agreement shall be governed by and construed in accordance with the laws of the State of New York, without regard to its conflict of laws provisions.</w:t>
      </w:r>
    </w:p>
    <w:p>
      <w:pPr>
        <w:spacing w:after="0" w:line="76" w:lineRule="exact"/>
        <w:rPr>
          <w:sz w:val="20"/>
          <w:szCs w:val="20"/>
          <w:color w:val="auto"/>
        </w:rPr>
      </w:pPr>
    </w:p>
    <w:p>
      <w:pPr>
        <w:ind w:left="1692" w:right="40" w:hanging="796"/>
        <w:spacing w:after="0" w:line="276" w:lineRule="auto"/>
        <w:tabs>
          <w:tab w:leader="none" w:pos="167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a) Each of the Issuer and the Guarantor agrees that any suit, action or proceeding brought by the Issuer or the Guarantor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PARTY HERETO WAIVES ITS RIGHT TO TRIAL BY JURY IN ANY SUIT, ACTION OR PROCEEDING WITH RESPECT TO THIS AGREEMENT OR THE TRANSACTIONS CONTEMPLATED HEREBY.</w:t>
      </w:r>
    </w:p>
    <w:p>
      <w:pPr>
        <w:spacing w:after="0" w:line="64" w:lineRule="exact"/>
        <w:rPr>
          <w:sz w:val="20"/>
          <w:szCs w:val="20"/>
          <w:color w:val="auto"/>
        </w:rPr>
      </w:pPr>
    </w:p>
    <w:p>
      <w:pPr>
        <w:jc w:val="both"/>
        <w:ind w:left="1712" w:right="220"/>
        <w:spacing w:after="0" w:line="259" w:lineRule="auto"/>
        <w:tabs>
          <w:tab w:leader="none" w:pos="190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Each of the Issuer and the Guarantor hereby irrevocably accepts and submits to the non-exclusive jurisdiction of each of the aforesaid courts </w:t>
      </w:r>
      <w:r>
        <w:rPr>
          <w:rFonts w:ascii="Arial" w:cs="Arial" w:eastAsia="Arial" w:hAnsi="Arial"/>
          <w:sz w:val="18"/>
          <w:szCs w:val="18"/>
          <w:i w:val="1"/>
          <w:iCs w:val="1"/>
          <w:color w:val="auto"/>
        </w:rPr>
        <w:t>in personam</w:t>
      </w:r>
      <w:r>
        <w:rPr>
          <w:rFonts w:ascii="Arial" w:cs="Arial" w:eastAsia="Arial" w:hAnsi="Arial"/>
          <w:sz w:val="18"/>
          <w:szCs w:val="18"/>
          <w:color w:val="auto"/>
        </w:rPr>
        <w:t>, generally and unconditionally, for itself and in respect of its properties, assets and revenues, with respect to any suit, action or proceeding in connection with or arising out of this Agreement, the Guarantee or the Notes or the offer and sale of the Notes.</w:t>
      </w:r>
    </w:p>
    <w:p>
      <w:pPr>
        <w:spacing w:after="0" w:line="92" w:lineRule="exact"/>
        <w:rPr>
          <w:sz w:val="20"/>
          <w:szCs w:val="20"/>
          <w:color w:val="auto"/>
        </w:rPr>
      </w:pPr>
    </w:p>
    <w:p>
      <w:pPr>
        <w:ind w:left="1692" w:right="120" w:hanging="796"/>
        <w:spacing w:after="0" w:line="342" w:lineRule="auto"/>
        <w:tabs>
          <w:tab w:leader="none" w:pos="167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This Agreement may be terminated, at any time, by the Issuer or the Guarantor, upon one business day’s prior notice to such effect to the Dealer, or by the Dealer upon one business day’s prior notice to such effect to the Issuer or the Guarantor. Any such</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12"/>
          </w:cols>
          <w:pgMar w:left="248" w:top="270" w:right="239" w:bottom="1440" w:gutter="0" w:footer="0" w:header="0"/>
          <w:type w:val="continuous"/>
        </w:sectPr>
      </w:pPr>
    </w:p>
    <w:bookmarkStart w:id="164" w:name="page165"/>
    <w:bookmarkEnd w:id="164"/>
    <w:p>
      <w:pPr>
        <w:jc w:val="both"/>
        <w:ind w:left="7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however, shall not affect the obligations of the Issuer and the Guarantor under Section 3.7, Section 5 and Section 7 hereof or the respective representations, warranties, agreements, covenants, rights or responsibilities of the parties made or arising prior to the termination of this Agreement.</w:t>
      </w:r>
    </w:p>
    <w:p>
      <w:pPr>
        <w:spacing w:after="0" w:line="87" w:lineRule="exact"/>
        <w:rPr>
          <w:sz w:val="20"/>
          <w:szCs w:val="20"/>
          <w:color w:val="auto"/>
        </w:rPr>
      </w:pPr>
    </w:p>
    <w:p>
      <w:pPr>
        <w:ind w:left="780" w:right="360" w:hanging="796"/>
        <w:spacing w:after="0" w:line="277" w:lineRule="auto"/>
        <w:tabs>
          <w:tab w:leader="none" w:pos="7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This Agreement is not assignable by either party hereto without the written consent of the other party; provided, however, that the Dealer may assign its rights and obligations under this Agreement to any affiliate of the Dealer.</w:t>
      </w:r>
    </w:p>
    <w:p>
      <w:pPr>
        <w:spacing w:after="0" w:line="76" w:lineRule="exact"/>
        <w:rPr>
          <w:sz w:val="20"/>
          <w:szCs w:val="20"/>
          <w:color w:val="auto"/>
        </w:rPr>
      </w:pPr>
    </w:p>
    <w:p>
      <w:pPr>
        <w:ind w:left="780" w:right="580" w:hanging="796"/>
        <w:spacing w:after="0" w:line="277" w:lineRule="auto"/>
        <w:tabs>
          <w:tab w:leader="none" w:pos="7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76" w:lineRule="exact"/>
        <w:rPr>
          <w:sz w:val="20"/>
          <w:szCs w:val="20"/>
          <w:color w:val="auto"/>
        </w:rPr>
      </w:pPr>
    </w:p>
    <w:p>
      <w:pPr>
        <w:ind w:left="780" w:right="100" w:hanging="796"/>
        <w:spacing w:after="0" w:line="308" w:lineRule="auto"/>
        <w:tabs>
          <w:tab w:leader="none" w:pos="7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52" w:lineRule="exact"/>
        <w:rPr>
          <w:sz w:val="20"/>
          <w:szCs w:val="20"/>
          <w:color w:val="auto"/>
        </w:rPr>
      </w:pPr>
    </w:p>
    <w:p>
      <w:pPr>
        <w:ind w:left="780" w:right="60" w:hanging="796"/>
        <w:spacing w:after="0" w:line="283" w:lineRule="auto"/>
        <w:tabs>
          <w:tab w:leader="none" w:pos="7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Each of the Issuer and the Guarantor acknowledges and agrees that (i) purchases and sales, or placements, of the Notes pursuant to this Agreement, including the determination of any prices for the Notes and Dealer compensation, are arm’s-length commercial transactions between the Issuer, the Guarantor and the Dealer, (ii) in connection therewith and with the process leading to such transactions, the Dealer is acting solely as a principal and not the agent (except to the extent explicitly set forth herein) or fiduciary of the Issuer or the Guarantor or any of their affiliates, (iii) the Dealer has not assumed an advisory or fiduciary responsibility in favor of the Issuer or the Guarantor or any of their affiliates with respect to the offer and sale of Notes contemplated hereby or the process leading thereto (irrespective of whether the Dealer has advised or is currently advising the Issuer or the Guarantor or any of their affiliates on other matters) or any other obligation to the Issuer or the Guarantor or any of their affiliates except the obligations expressly set forth in this Agreement, (iv) each of the Issuer and the Guarantor is capable of evaluating and understanding and understands and accepts the terms, risks and conditions of the transactions contemplated by this Agreement, (v) the Dealer and its affiliates may be engaged in a broad range of transactions that involve interests that differ from those of the Issuer and the Guarantor and that the Dealer has no obligation to disclose any of those interests by virtue of any advisory or fiduciary relationship, (vi) the Dealer has not provided any legal, accounting, regulatory or tax advice with respect to the transactions contemplated hereby, and</w:t>
      </w:r>
    </w:p>
    <w:p>
      <w:pPr>
        <w:spacing w:after="0" w:line="3" w:lineRule="exact"/>
        <w:rPr>
          <w:sz w:val="20"/>
          <w:szCs w:val="20"/>
          <w:color w:val="auto"/>
        </w:rPr>
      </w:pPr>
    </w:p>
    <w:p>
      <w:pPr>
        <w:ind w:left="780" w:right="20" w:firstLine="10"/>
        <w:spacing w:after="0" w:line="268" w:lineRule="auto"/>
        <w:tabs>
          <w:tab w:leader="none" w:pos="113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each of the Issuer and the Guarantor has consulted its own legal and financial advisors to the extent it deemed appropriate. Each of the Issuer and the Guarantor agrees that it will not claim that the Dealer has rendered advisory services of any nature or respect, or owes a fiduciary or similar duty to the Issuer or the Guarantor in connection with such transactions or the process leading thereto. Any review by the Dealer of the Issuer, the Guarantor, the transactions contemplated hereby or other matters relating to such transactions shall be performed solely for the benefit of the Dealer and shall not be on behalf of the Issuer or the Guarantor. This Agreement supersedes all prior agreements and understandings (whether written or oral) between the Issuer, the Guarantor and the Dealer with respect to the subject matter hereof. Each of the Issuer and the Guarantor hereby waives and releases, to the fullest extent permitted by law, any claims it may have against the Dealer with respect to any breach or alleged breach of fiduciary duty arising out of the offer and sale of the Notes.</w:t>
      </w:r>
    </w:p>
    <w:p>
      <w:pPr>
        <w:spacing w:after="0" w:line="87" w:lineRule="exact"/>
        <w:rPr>
          <w:sz w:val="20"/>
          <w:szCs w:val="20"/>
          <w:color w:val="auto"/>
        </w:rPr>
      </w:pPr>
    </w:p>
    <w:p>
      <w:pPr>
        <w:ind w:left="780" w:right="100" w:hanging="796"/>
        <w:spacing w:after="0" w:line="276" w:lineRule="auto"/>
        <w:tabs>
          <w:tab w:leader="none" w:pos="7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a) The parties hereto agree that the Issuer may, in accordance with the terms of this Section 7.9,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Agency Agreement”) (any such replacement, a “Replacement”).</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0500"/>
          </w:cols>
          <w:pgMar w:left="1160" w:top="274" w:right="239" w:bottom="1440" w:gutter="0" w:footer="0" w:header="0"/>
        </w:sectPr>
      </w:pPr>
    </w:p>
    <w:bookmarkStart w:id="165" w:name="page166"/>
    <w:bookmarkEnd w:id="165"/>
    <w:p>
      <w:pPr>
        <w:ind w:left="520" w:right="40"/>
        <w:spacing w:after="0" w:line="283" w:lineRule="auto"/>
        <w:tabs>
          <w:tab w:leader="none" w:pos="7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and after the effective date of any Replacement, (i) to the extent that the Issuing and Paying Agency Agreement provides that the Current Issuing and Paying Agent will continue to act in respect of Notes outstanding as of the effective date of such Replacement (the “Outstanding Notes”), then (A) the “Issuing and Paying Agent” for the Notes shall be deemed to be the Current Issuing and Paying Agent, in respect of the Outstanding Notes, and the Replacement Issuing and Paying Agent, in respect of Notes issued on or after the Replacement, (B) all references to the “Issuing and Paying Agent” hereunder shall be deemed to refer to the Current Issuing and Paying Agent is in respect of the Outstanding Notes, and the Replacement Issuing and Paying Agent in respect of Notes issued on or after the Replacement, and (C) all references to the “Issuing and Paying Agency Agreement” hereunder shall be deemed to refer to the existing Issuing and Paying Agency Agreement, in respect of the Outstanding Notes, and the Replacement Issuing and Paying Agency Agreement, in respect of Notes issued on or after the Replacement; and (ii) to the extent that the Issuing and Paying Agency Agreement does not provide that the Current Issuing and Paying Agent will continue to act in respect of the Outstanding Notes, then</w:t>
      </w:r>
    </w:p>
    <w:p>
      <w:pPr>
        <w:spacing w:after="0" w:line="5" w:lineRule="exact"/>
        <w:rPr>
          <w:rFonts w:ascii="Arial" w:cs="Arial" w:eastAsia="Arial" w:hAnsi="Arial"/>
          <w:sz w:val="16"/>
          <w:szCs w:val="16"/>
          <w:color w:val="auto"/>
        </w:rPr>
      </w:pPr>
    </w:p>
    <w:p>
      <w:pPr>
        <w:ind w:left="520" w:right="40"/>
        <w:spacing w:after="0" w:line="254" w:lineRule="auto"/>
        <w:rPr>
          <w:rFonts w:ascii="Arial" w:cs="Arial" w:eastAsia="Arial" w:hAnsi="Arial"/>
          <w:sz w:val="16"/>
          <w:szCs w:val="16"/>
          <w:color w:val="auto"/>
        </w:rPr>
      </w:pPr>
      <w:r>
        <w:rPr>
          <w:rFonts w:ascii="Arial" w:cs="Arial" w:eastAsia="Arial" w:hAnsi="Arial"/>
          <w:sz w:val="18"/>
          <w:szCs w:val="18"/>
          <w:color w:val="auto"/>
        </w:rPr>
        <w:t>(A) the “Issuing and Paying Agent” for the Notes shall be deemed to be the Replacement Issuing and Paying Agent, (B) all references to the “Issuing and Paying Agent” hereunder shall be deemed to refer to the Replacement Issuing and Paying Agent, and (C) all references to the “Issuing and Paying Agency Agreement” hereunder shall be deemed to refer to the Replacement Issuing and Paying Agency Agreement.</w:t>
      </w:r>
    </w:p>
    <w:p>
      <w:pPr>
        <w:spacing w:after="0" w:line="81" w:lineRule="exact"/>
        <w:rPr>
          <w:rFonts w:ascii="Arial" w:cs="Arial" w:eastAsia="Arial" w:hAnsi="Arial"/>
          <w:sz w:val="16"/>
          <w:szCs w:val="16"/>
          <w:color w:val="auto"/>
        </w:rPr>
      </w:pPr>
    </w:p>
    <w:p>
      <w:pPr>
        <w:ind w:left="520" w:right="100"/>
        <w:spacing w:after="0" w:line="270" w:lineRule="auto"/>
        <w:tabs>
          <w:tab w:leader="none" w:pos="70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From and after the effective date of any Replacement, the Issuer shall not issue any Notes hereunder unless and until the Dealer shall have received: (i) a copy of the executed Replacement Issuing and Paying Agency Agreement, (ii) a copy of the executed Letter of Representations among the Issuer, the Guarantor, the Replacement Issuing and Paying Agent and DTC, (iii) a copy of the executed Master Note authenticated by the Replacement Issuing and Paying Agent and registered in the name of DTC or its nominee, (iv) an amendment or supplement to the Private Placement Memorandum describing the Replacement Issuing and Paying Agent as the Issuing and Paying Agent for the Notes, and reflecting any other changes thereto necessary in light of the Replacement so that the Private Placement Memorandum, as amended or supplemented, satisfies the requirements of this Agreement, and (v) a legal opinion of counsel to the Issuer, addressed to the Dealer, in form and substance reasonably satisfactory to the Dealer, as to (x) the due authorization, delivery, validity and enforceability of Notes issued pursuant to the Replacement Issuing and Paying Agency Agreement, and (y) such other matters as the Dealer may reasonably request.</w:t>
      </w:r>
    </w:p>
    <w:p>
      <w:pPr>
        <w:spacing w:after="0" w:line="110" w:lineRule="exact"/>
        <w:rPr>
          <w:rFonts w:ascii="Arial" w:cs="Arial" w:eastAsia="Arial" w:hAnsi="Arial"/>
          <w:sz w:val="17"/>
          <w:szCs w:val="17"/>
          <w:color w:val="auto"/>
        </w:rPr>
      </w:pPr>
    </w:p>
    <w:p>
      <w:pPr>
        <w:ind w:left="10040" w:hanging="108"/>
        <w:spacing w:after="0"/>
        <w:tabs>
          <w:tab w:leader="none" w:pos="100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15</w:t>
      </w:r>
    </w:p>
    <w:p>
      <w:pPr>
        <w:sectPr>
          <w:pgSz w:w="11900" w:h="16838" w:orient="portrait"/>
          <w:cols w:equalWidth="0" w:num="1">
            <w:col w:w="10220"/>
          </w:cols>
          <w:pgMar w:left="1440" w:top="274" w:right="23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date and year first above written.</w:t>
      </w:r>
    </w:p>
    <w:p>
      <w:pPr>
        <w:spacing w:after="0" w:line="27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Waste Management, Inc., as Issuer</w:t>
      </w:r>
      <w:r>
        <w:rPr>
          <w:sz w:val="20"/>
          <w:szCs w:val="20"/>
          <w:color w:val="auto"/>
        </w:rPr>
        <w:tab/>
      </w:r>
      <w:r>
        <w:rPr>
          <w:rFonts w:ascii="Arial" w:cs="Arial" w:eastAsia="Arial" w:hAnsi="Arial"/>
          <w:sz w:val="16"/>
          <w:szCs w:val="16"/>
          <w:b w:val="1"/>
          <w:bCs w:val="1"/>
          <w:color w:val="auto"/>
        </w:rPr>
        <w:t>[Dealer], as Dealer</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 Holdings, Inc., as Guarantor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0" w:right="239" w:bottom="1440" w:gutter="0" w:footer="0" w:header="0"/>
          <w:type w:val="continuous"/>
        </w:sectPr>
      </w:pP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16</w:t>
      </w:r>
    </w:p>
    <w:p>
      <w:pPr>
        <w:sectPr>
          <w:pgSz w:w="11900" w:h="16838" w:orient="portrait"/>
          <w:cols w:equalWidth="0" w:num="1">
            <w:col w:w="11420"/>
          </w:cols>
          <w:pgMar w:left="240" w:top="270" w:right="239"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clauses shall apply to the Agreement and be deemed a part thereof.</w:t>
      </w:r>
    </w:p>
    <w:p>
      <w:pPr>
        <w:spacing w:after="0" w:line="131"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other dealers referred to in clause (b) of Section 1.2 of the Agreement are [Dealer] and [Dealer].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27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Legend for Private Placement Memorandum and Notes</w:t>
      </w:r>
    </w:p>
    <w:p>
      <w:pPr>
        <w:spacing w:after="0" w:line="2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NOTES AND THE GUARANTEE THEREOF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THE GUARANTOR, THE NOTES AND THE GUARANTEE, (II) IT IS NOT ACQUIRING SUCH NOTE WITH A VIEW TO ANY DISTRIBUTION THEREOF AND (III) IT IS EITHER (A)(1) AN INSTITUTIONAL INVESTORTHAT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OR OTHER SUCH INSTITUTION)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270"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Provisions Relating to Indemnification</w:t>
      </w:r>
    </w:p>
    <w:p>
      <w:pPr>
        <w:spacing w:after="0" w:line="238" w:lineRule="exact"/>
        <w:rPr>
          <w:sz w:val="20"/>
          <w:szCs w:val="20"/>
          <w:color w:val="auto"/>
        </w:rPr>
      </w:pPr>
    </w:p>
    <w:p>
      <w:pPr>
        <w:ind w:left="460" w:right="20" w:hanging="452"/>
        <w:spacing w:after="0" w:line="312"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Issuer and the Guarantor, jointly and severally, agree to reimburse each Indemnitee for all out-of-pocket expenses (including reasonable fees and disbursements of external counsel) as they are incurred by it in connection with investigating or defending any loss, claim, damage, liability or action in respect of which indemnification may be sought under Section 5 of the Agreement (whether or not it is a party to any such proceedings).</w:t>
      </w:r>
    </w:p>
    <w:p>
      <w:pPr>
        <w:spacing w:after="0" w:line="52" w:lineRule="exact"/>
        <w:rPr>
          <w:rFonts w:ascii="Arial" w:cs="Arial" w:eastAsia="Arial" w:hAnsi="Arial"/>
          <w:sz w:val="16"/>
          <w:szCs w:val="16"/>
          <w:color w:val="auto"/>
        </w:rPr>
      </w:pPr>
    </w:p>
    <w:p>
      <w:pPr>
        <w:ind w:left="460" w:hanging="452"/>
        <w:spacing w:after="0" w:line="284"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Promptly after receipt by an Indemnitee of notice of the existence of a Claim, such Indemnitee will, if a claim in respect thereof is to be made against the Issuer or the Guarantor, notify the Issuer or the Guarantor in writing of the existence thereof; provided that (i) the omission to so notify the Issuer or the Guarantor will not relieve the Issuer or the Guarantor from any liability which it may have hereunder unless and except to the extent it did not otherwise learn of such Claim and such failure results in the forfeiture by it of substantial rights and defenses, and (ii) the omission so to notify the Issuer or the Guarantor will not relieve the Issuer or the Guarantor from liability which it may have to an Indemnitee otherwise than on account of this indemnity agreement. In case any such Claim is made against any Indemnitee and it notifies the Issuer or the Guarantor of the existence thereof, each of the Issuer and the Guarantor will be entitled to participate therein, and to the extent that it may elect by written notice delivered to the Indemnitee, to assume the defense thereof, with counsel reasonably satisfactory to such Indemnitee; provided that if the defendants in any such Claim include both the Indemnitee and either the Issuer or the Guarantor or both, and the Indemnitee shall have concluded that there may be legal defenses available to it which are different from or additional to those available to the Issuer or the Guarantor, neither the Issuer nor the Guarantor shall have the right to direct the defense of such Claim on behalf of such Indemnitee, and the Indemnitee shall have the right to select separate counsel to assert such legal defenses on behalf of such Indemnitee. Upon receipt of notice from the Issuer or the Guarantor to such Indemnitee of the election of the Issuer or the Guarantor to assume the defense of such Claim and approval by the Indemnitee of counsel, the Issuer and the Guarantor will not be liable to such Indemnitee for expenses incurred thereafter by the Indemnitee in connection with the defense thereof (other than reasonable costs of investigation) unless (i) the Indemnitee shall have employed separate counsel in connection with the assertion of legal defenses in accordance with the proviso to the next preceding sentence (it being understood, however, that neither the Issuer nor the Guarantor shall be liable for the expenses of more than one separate counsel (in addition to any local counsel in the jurisdiction in which any Claim is brought), approved by the Dealer, representing the Indemnitee who is party to such Claim), (ii) the Issuer or the Guarantor shall not have employed counsel reasonably satisfactory to the Indemnitee to represent the Indemnitee within a reasonable time after notice of existence of the Claim or (iii) the Issuer or the Guarantor has authorized in writing the employment of counsel for the Indemnitee. The indemnity, reimbursement and contribution obligations of the Issuer and the Guarantor hereunder shall be in addition to any other liability the Issuer and the Guarantor may otherwise have to an Indemnitee and shall be binding upon and inure to the benefit of any successors, assigns, heirs and personal representatives of the Issuer, the Guarantor and any Indemnitee. Each of the Issuer and the Guarantor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06" w:lineRule="exact"/>
        <w:rPr>
          <w:rFonts w:ascii="Arial" w:cs="Arial" w:eastAsia="Arial" w:hAnsi="Arial"/>
          <w:sz w:val="16"/>
          <w:szCs w:val="16"/>
          <w:color w:val="auto"/>
        </w:rPr>
      </w:pPr>
    </w:p>
    <w:p>
      <w:pPr>
        <w:ind w:left="11240" w:hanging="108"/>
        <w:spacing w:after="0"/>
        <w:tabs>
          <w:tab w:leader="none" w:pos="112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19</w:t>
      </w:r>
    </w:p>
    <w:p>
      <w:pPr>
        <w:sectPr>
          <w:pgSz w:w="11900" w:h="16838" w:orient="portrait"/>
          <w:cols w:equalWidth="0" w:num="1">
            <w:col w:w="11420"/>
          </w:cols>
          <w:pgMar w:left="240" w:top="270"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Terms for Interest – Bearing Commercial Paper Notes of Waste Management, Inc.</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86" w:lineRule="exact"/>
        <w:rPr>
          <w:sz w:val="20"/>
          <w:szCs w:val="20"/>
          <w:color w:val="auto"/>
        </w:rPr>
      </w:pPr>
    </w:p>
    <w:p>
      <w:pPr>
        <w:ind w:left="900" w:right="120" w:hanging="446"/>
        <w:spacing w:after="0" w:line="279"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63" w:lineRule="exact"/>
        <w:rPr>
          <w:rFonts w:ascii="Arial" w:cs="Arial" w:eastAsia="Arial" w:hAnsi="Arial"/>
          <w:sz w:val="17"/>
          <w:szCs w:val="17"/>
          <w:color w:val="auto"/>
        </w:rPr>
      </w:pPr>
    </w:p>
    <w:p>
      <w:pPr>
        <w:ind w:left="1180" w:hanging="259"/>
        <w:spacing w:after="0"/>
        <w:tabs>
          <w:tab w:leader="none" w:pos="118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“Business Day” means any day other than a Saturday or Sunday that is neither a legal holiday nor a day on which banking institutions are</w:t>
      </w:r>
    </w:p>
    <w:p>
      <w:pPr>
        <w:spacing w:after="0" w:line="46" w:lineRule="exact"/>
        <w:rPr>
          <w:rFonts w:ascii="Arial" w:cs="Arial" w:eastAsia="Arial" w:hAnsi="Arial"/>
          <w:sz w:val="16"/>
          <w:szCs w:val="16"/>
          <w:color w:val="auto"/>
        </w:rPr>
      </w:pPr>
    </w:p>
    <w:p>
      <w:pPr>
        <w:ind w:left="920" w:right="100"/>
        <w:spacing w:after="0" w:line="255" w:lineRule="auto"/>
        <w:rPr>
          <w:rFonts w:ascii="Arial" w:cs="Arial" w:eastAsia="Arial" w:hAnsi="Arial"/>
          <w:sz w:val="16"/>
          <w:szCs w:val="16"/>
          <w:color w:val="auto"/>
        </w:rPr>
      </w:pPr>
      <w:r>
        <w:rPr>
          <w:rFonts w:ascii="Arial" w:cs="Arial" w:eastAsia="Arial" w:hAnsi="Arial"/>
          <w:sz w:val="18"/>
          <w:szCs w:val="18"/>
          <w:color w:val="auto"/>
        </w:rPr>
        <w:t>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95" w:lineRule="exact"/>
        <w:rPr>
          <w:rFonts w:ascii="Arial" w:cs="Arial" w:eastAsia="Arial" w:hAnsi="Arial"/>
          <w:sz w:val="16"/>
          <w:szCs w:val="16"/>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Each Note will bear interest at a fixed rate (a “Fixed Rate Note”) or at a floating rate (a “Floating Rate Note”).</w:t>
      </w:r>
    </w:p>
    <w:p>
      <w:pPr>
        <w:spacing w:after="0" w:line="117" w:lineRule="exact"/>
        <w:rPr>
          <w:rFonts w:ascii="Arial" w:cs="Arial" w:eastAsia="Arial" w:hAnsi="Arial"/>
          <w:sz w:val="18"/>
          <w:szCs w:val="18"/>
          <w:color w:val="auto"/>
        </w:rPr>
      </w:pPr>
    </w:p>
    <w:p>
      <w:pPr>
        <w:ind w:left="920" w:right="20" w:firstLine="1"/>
        <w:spacing w:after="0" w:line="290" w:lineRule="auto"/>
        <w:tabs>
          <w:tab w:leader="none" w:pos="117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and which the Supplement indicates will be an “Original Issue Discount Note”.</w:t>
      </w:r>
    </w:p>
    <w:p>
      <w:pPr>
        <w:spacing w:after="0" w:line="58" w:lineRule="exact"/>
        <w:rPr>
          <w:rFonts w:ascii="Arial" w:cs="Arial" w:eastAsia="Arial" w:hAnsi="Arial"/>
          <w:sz w:val="16"/>
          <w:szCs w:val="16"/>
          <w:color w:val="auto"/>
        </w:rPr>
      </w:pPr>
    </w:p>
    <w:p>
      <w:pPr>
        <w:ind w:left="920" w:right="20" w:firstLine="1"/>
        <w:spacing w:after="0" w:line="259" w:lineRule="auto"/>
        <w:tabs>
          <w:tab w:leader="none" w:pos="116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pacing w:after="0" w:line="79"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spacing w:after="0" w:line="73" w:lineRule="exact"/>
        <w:rPr>
          <w:sz w:val="20"/>
          <w:szCs w:val="20"/>
          <w:color w:val="auto"/>
        </w:rPr>
      </w:pPr>
    </w:p>
    <w:p>
      <w:pPr>
        <w:ind w:left="920" w:right="120" w:firstLine="1"/>
        <w:spacing w:after="0" w:line="312" w:lineRule="auto"/>
        <w:tabs>
          <w:tab w:leader="none" w:pos="117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w:t>
      </w:r>
    </w:p>
    <w:p>
      <w:pPr>
        <w:spacing w:after="0" w:line="79" w:lineRule="exact"/>
        <w:rPr>
          <w:rFonts w:ascii="Arial" w:cs="Arial" w:eastAsia="Arial" w:hAnsi="Arial"/>
          <w:sz w:val="16"/>
          <w:szCs w:val="16"/>
          <w:color w:val="auto"/>
        </w:rPr>
      </w:pPr>
    </w:p>
    <w:p>
      <w:pPr>
        <w:ind w:left="11240" w:hanging="108"/>
        <w:spacing w:after="0"/>
        <w:tabs>
          <w:tab w:leader="none" w:pos="112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20</w:t>
      </w:r>
    </w:p>
    <w:p>
      <w:pPr>
        <w:sectPr>
          <w:pgSz w:w="11900" w:h="16838" w:orient="portrait"/>
          <w:cols w:equalWidth="0" w:num="1">
            <w:col w:w="11420"/>
          </w:cols>
          <w:pgMar w:left="240" w:top="270" w:right="239" w:bottom="1440" w:gutter="0" w:footer="0" w:header="0"/>
        </w:sectPr>
      </w:pPr>
    </w:p>
    <w:bookmarkStart w:id="171" w:name="page172"/>
    <w:bookmarkEnd w:id="17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The Supplement will designate which of the following Base Rates is applicable to the related Floating Rate Note: (a) the Commercial Paper Rate (a “Commercial Paper Rate Note”), (b) the Federal Funds Rate (a “Federal Funds Rate Note”), (c) LIBOR (a “LIBOR Note”), (d) the Prime Rate (a “Prime Rate Note”), (e) the Treasury Rate (a “Treasury Rate Note”) or (f) such other Base Rate as may be specified in such Supplement.</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5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0500"/>
          </w:cols>
          <w:pgMar w:left="1160" w:top="274" w:right="239" w:bottom="1440" w:gutter="0" w:footer="0" w:header="0"/>
        </w:sectPr>
      </w:pPr>
    </w:p>
    <w:bookmarkStart w:id="172" w:name="page173"/>
    <w:bookmarkEnd w:id="172"/>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the interest rate with respect to the Interest Determination Date pertaining to the next preceding Interest Reset Date, subject in either case to any adjustment by a Spread and/or a Spread Multiplier.</w:t>
      </w:r>
    </w:p>
    <w:p>
      <w:pPr>
        <w:spacing w:after="0" w:line="62"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“Interest Determination Date” where the Base Rate is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“Index Maturity” is the period to maturity of the instrument or obligation from which the applicable Base Rate is calculated.</w:t>
      </w:r>
    </w:p>
    <w:p>
      <w:pPr>
        <w:spacing w:after="0" w:line="117"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times referred to herein reflect New York City time, unless otherwise specified.</w:t>
      </w:r>
    </w:p>
    <w:p>
      <w:pPr>
        <w:spacing w:after="0" w:line="117" w:lineRule="exact"/>
        <w:rPr>
          <w:sz w:val="20"/>
          <w:szCs w:val="20"/>
          <w:color w:val="auto"/>
        </w:rPr>
      </w:pPr>
    </w:p>
    <w:p>
      <w:pPr>
        <w:ind w:left="920" w:right="220"/>
        <w:spacing w:after="0" w:line="302" w:lineRule="auto"/>
        <w:rPr>
          <w:sz w:val="20"/>
          <w:szCs w:val="20"/>
          <w:color w:val="auto"/>
        </w:rPr>
      </w:pPr>
      <w:r>
        <w:rPr>
          <w:rFonts w:ascii="Arial" w:cs="Arial" w:eastAsia="Arial" w:hAnsi="Arial"/>
          <w:sz w:val="16"/>
          <w:szCs w:val="16"/>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46"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Rate Notes</w:t>
      </w:r>
    </w:p>
    <w:p>
      <w:pPr>
        <w:spacing w:after="0" w:line="117" w:lineRule="exact"/>
        <w:rPr>
          <w:sz w:val="20"/>
          <w:szCs w:val="20"/>
          <w:color w:val="auto"/>
        </w:rPr>
      </w:pPr>
    </w:p>
    <w:p>
      <w:pPr>
        <w:ind w:left="1500" w:right="60"/>
        <w:spacing w:after="0" w:line="342" w:lineRule="auto"/>
        <w:rPr>
          <w:sz w:val="20"/>
          <w:szCs w:val="20"/>
          <w:color w:val="auto"/>
        </w:rPr>
      </w:pPr>
      <w:r>
        <w:rPr>
          <w:rFonts w:ascii="Arial" w:cs="Arial" w:eastAsia="Arial" w:hAnsi="Arial"/>
          <w:sz w:val="16"/>
          <w:szCs w:val="16"/>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16" w:lineRule="exact"/>
        <w:rPr>
          <w:sz w:val="20"/>
          <w:szCs w:val="20"/>
          <w:color w:val="auto"/>
        </w:rPr>
      </w:pPr>
    </w:p>
    <w:p>
      <w:pPr>
        <w:ind w:left="1500" w:right="100"/>
        <w:spacing w:after="0" w:line="264" w:lineRule="auto"/>
        <w:rPr>
          <w:sz w:val="20"/>
          <w:szCs w:val="20"/>
          <w:color w:val="auto"/>
        </w:rPr>
      </w:pPr>
      <w:r>
        <w:rPr>
          <w:rFonts w:ascii="Arial" w:cs="Arial" w:eastAsia="Arial" w:hAnsi="Arial"/>
          <w:sz w:val="18"/>
          <w:szCs w:val="18"/>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73" w:lineRule="exact"/>
        <w:rPr>
          <w:sz w:val="20"/>
          <w:szCs w:val="20"/>
          <w:color w:val="auto"/>
        </w:rPr>
      </w:pPr>
    </w:p>
    <w:p>
      <w:pPr>
        <w:jc w:val="both"/>
        <w:ind w:left="1500" w:right="60"/>
        <w:spacing w:after="0" w:line="264" w:lineRule="auto"/>
        <w:rPr>
          <w:sz w:val="20"/>
          <w:szCs w:val="20"/>
          <w:color w:val="auto"/>
        </w:rPr>
      </w:pPr>
      <w:r>
        <w:rPr>
          <w:rFonts w:ascii="Arial" w:cs="Arial" w:eastAsia="Arial" w:hAnsi="Arial"/>
          <w:sz w:val="18"/>
          <w:szCs w:val="18"/>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274" w:right="239" w:bottom="1440" w:gutter="0" w:footer="0" w:header="0"/>
        </w:sectPr>
      </w:pPr>
    </w:p>
    <w:bookmarkStart w:id="173" w:name="page174"/>
    <w:bookmarkEnd w:id="173"/>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“Money Market Yield” will be a yield calculated in accordance with the following formula: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vMerge w:val="restart"/>
          </w:tcPr>
          <w:p>
            <w:pPr>
              <w:spacing w:after="0"/>
              <w:rPr>
                <w:sz w:val="20"/>
                <w:szCs w:val="20"/>
                <w:color w:val="auto"/>
              </w:rPr>
            </w:pPr>
            <w:r>
              <w:rPr>
                <w:rFonts w:ascii="Arial" w:cs="Arial" w:eastAsia="Arial" w:hAnsi="Arial"/>
                <w:sz w:val="18"/>
                <w:szCs w:val="18"/>
                <w:color w:val="auto"/>
              </w:rPr>
              <w:t>Money Market Yield</w:t>
            </w: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D × 36</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102"/>
        </w:trPr>
        <w:tc>
          <w:tcPr>
            <w:tcW w:w="17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5"/>
              </w:rPr>
              <w:t>360 - (D × M)</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Funds Rate Notes</w:t>
      </w:r>
    </w:p>
    <w:p>
      <w:pPr>
        <w:spacing w:after="0" w:line="117" w:lineRule="exact"/>
        <w:rPr>
          <w:sz w:val="20"/>
          <w:szCs w:val="20"/>
          <w:color w:val="auto"/>
        </w:rPr>
      </w:pPr>
    </w:p>
    <w:p>
      <w:pPr>
        <w:ind w:left="1500" w:right="140"/>
        <w:spacing w:after="0" w:line="277" w:lineRule="auto"/>
        <w:rPr>
          <w:sz w:val="20"/>
          <w:szCs w:val="20"/>
          <w:color w:val="auto"/>
        </w:rPr>
      </w:pPr>
      <w:r>
        <w:rPr>
          <w:rFonts w:ascii="Arial" w:cs="Arial" w:eastAsia="Arial" w:hAnsi="Arial"/>
          <w:sz w:val="18"/>
          <w:szCs w:val="18"/>
          <w:color w:val="auto"/>
        </w:rPr>
        <w:t>“Federal Funds Rate” means the rate on any Interest Determination Date for federal funds set forth on Bloomberg Screen MMR21 4 (or any other page as may replace the specified page on Bloomberg).</w:t>
      </w:r>
    </w:p>
    <w:p>
      <w:pPr>
        <w:spacing w:after="0" w:line="62" w:lineRule="exact"/>
        <w:rPr>
          <w:sz w:val="20"/>
          <w:szCs w:val="20"/>
          <w:color w:val="auto"/>
        </w:rPr>
      </w:pPr>
    </w:p>
    <w:p>
      <w:pPr>
        <w:ind w:left="1500" w:right="220"/>
        <w:spacing w:after="0" w:line="264" w:lineRule="auto"/>
        <w:rPr>
          <w:sz w:val="20"/>
          <w:szCs w:val="20"/>
          <w:color w:val="auto"/>
        </w:rPr>
      </w:pPr>
      <w:r>
        <w:rPr>
          <w:rFonts w:ascii="Arial" w:cs="Arial" w:eastAsia="Arial" w:hAnsi="Arial"/>
          <w:sz w:val="18"/>
          <w:szCs w:val="18"/>
          <w:color w:val="auto"/>
        </w:rPr>
        <w:t>If the above rate does not appear on Bloomberg Screen MMR21 4 or is not so published by 3:00 p.m. on the Calculation Date, the Federal Funds Rate will be the rate on such Interest Determination Date as published in H.15 Daily Update under the heading “Federal Funds/(Effective)”.</w:t>
      </w:r>
    </w:p>
    <w:p>
      <w:pPr>
        <w:spacing w:after="0" w:line="73" w:lineRule="exact"/>
        <w:rPr>
          <w:sz w:val="20"/>
          <w:szCs w:val="20"/>
          <w:color w:val="auto"/>
        </w:rPr>
      </w:pPr>
    </w:p>
    <w:p>
      <w:pPr>
        <w:ind w:left="1500" w:right="140"/>
        <w:spacing w:after="0" w:line="259" w:lineRule="auto"/>
        <w:rPr>
          <w:sz w:val="20"/>
          <w:szCs w:val="20"/>
          <w:color w:val="auto"/>
        </w:rPr>
      </w:pPr>
      <w:r>
        <w:rPr>
          <w:rFonts w:ascii="Arial" w:cs="Arial" w:eastAsia="Arial" w:hAnsi="Arial"/>
          <w:sz w:val="18"/>
          <w:szCs w:val="18"/>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79" w:lineRule="exact"/>
        <w:rPr>
          <w:sz w:val="20"/>
          <w:szCs w:val="20"/>
          <w:color w:val="auto"/>
        </w:rPr>
      </w:pPr>
    </w:p>
    <w:p>
      <w:pPr>
        <w:ind w:left="1500" w:right="400"/>
        <w:spacing w:after="0" w:line="277" w:lineRule="auto"/>
        <w:rPr>
          <w:sz w:val="20"/>
          <w:szCs w:val="20"/>
          <w:color w:val="auto"/>
        </w:rPr>
      </w:pPr>
      <w:r>
        <w:rPr>
          <w:rFonts w:ascii="Arial" w:cs="Arial" w:eastAsia="Arial" w:hAnsi="Arial"/>
          <w:sz w:val="18"/>
          <w:szCs w:val="18"/>
          <w:color w:val="auto"/>
        </w:rPr>
        <w:t>If the brokers selected by the Calculation Agent are not quoting as mentioned above, the Federal Funds Rate will remain the Federal Funds Rate then in effect on such Interest Determination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Notes</w:t>
      </w:r>
    </w:p>
    <w:p>
      <w:pPr>
        <w:spacing w:after="0" w:line="117" w:lineRule="exact"/>
        <w:rPr>
          <w:sz w:val="20"/>
          <w:szCs w:val="20"/>
          <w:color w:val="auto"/>
        </w:rPr>
      </w:pPr>
    </w:p>
    <w:p>
      <w:pPr>
        <w:ind w:left="1500" w:right="480"/>
        <w:spacing w:after="0" w:line="264" w:lineRule="auto"/>
        <w:rPr>
          <w:sz w:val="20"/>
          <w:szCs w:val="20"/>
          <w:color w:val="auto"/>
        </w:rPr>
      </w:pPr>
      <w:r>
        <w:rPr>
          <w:rFonts w:ascii="Arial" w:cs="Arial" w:eastAsia="Arial" w:hAnsi="Arial"/>
          <w:sz w:val="18"/>
          <w:szCs w:val="18"/>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73" w:lineRule="exact"/>
        <w:rPr>
          <w:sz w:val="20"/>
          <w:szCs w:val="20"/>
          <w:color w:val="auto"/>
        </w:rPr>
      </w:pPr>
    </w:p>
    <w:p>
      <w:pPr>
        <w:ind w:left="1500" w:right="40"/>
        <w:spacing w:after="0" w:line="291" w:lineRule="auto"/>
        <w:rPr>
          <w:sz w:val="20"/>
          <w:szCs w:val="20"/>
          <w:color w:val="auto"/>
        </w:rPr>
      </w:pPr>
      <w:r>
        <w:rPr>
          <w:rFonts w:ascii="Arial" w:cs="Arial" w:eastAsia="Arial" w:hAnsi="Arial"/>
          <w:sz w:val="16"/>
          <w:szCs w:val="16"/>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274" w:right="239" w:bottom="1440" w:gutter="0" w:footer="0" w:header="0"/>
        </w:sectPr>
      </w:pPr>
    </w:p>
    <w:bookmarkStart w:id="174" w:name="page175"/>
    <w:bookmarkEnd w:id="174"/>
    <w:p>
      <w:pPr>
        <w:ind w:left="150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Determination Date by three 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79" w:lineRule="exact"/>
        <w:rPr>
          <w:sz w:val="20"/>
          <w:szCs w:val="20"/>
          <w:color w:val="auto"/>
        </w:rPr>
      </w:pPr>
    </w:p>
    <w:p>
      <w:pPr>
        <w:ind w:left="1500" w:right="220"/>
        <w:spacing w:after="0" w:line="308" w:lineRule="auto"/>
        <w:rPr>
          <w:sz w:val="20"/>
          <w:szCs w:val="20"/>
          <w:color w:val="auto"/>
        </w:rPr>
      </w:pPr>
      <w:r>
        <w:rPr>
          <w:rFonts w:ascii="Arial" w:cs="Arial" w:eastAsia="Arial" w:hAnsi="Arial"/>
          <w:sz w:val="17"/>
          <w:szCs w:val="17"/>
          <w:color w:val="auto"/>
        </w:rPr>
        <w:t>“Designated LIBOR Page” means the display designated under the heading “LIBOR Fix” on Bloomberg Screen BTMM (or such other page as may replace such page on Bloomberg) for the purposes of displaying the London interbank rates of major banks.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Rate Notes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“Prime Rate” means the rate on any Interest Determination Date as published in H.15(519) under the heading “Bank Prime Loan”.</w:t>
      </w:r>
    </w:p>
    <w:p>
      <w:pPr>
        <w:spacing w:after="0" w:line="129" w:lineRule="exact"/>
        <w:rPr>
          <w:sz w:val="20"/>
          <w:szCs w:val="20"/>
          <w:color w:val="auto"/>
        </w:rPr>
      </w:pPr>
    </w:p>
    <w:p>
      <w:pPr>
        <w:ind w:left="1500" w:right="300"/>
        <w:spacing w:after="0" w:line="277" w:lineRule="auto"/>
        <w:rPr>
          <w:sz w:val="20"/>
          <w:szCs w:val="20"/>
          <w:color w:val="auto"/>
        </w:rPr>
      </w:pPr>
      <w:r>
        <w:rPr>
          <w:rFonts w:ascii="Arial" w:cs="Arial" w:eastAsia="Arial" w:hAnsi="Arial"/>
          <w:sz w:val="18"/>
          <w:szCs w:val="18"/>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62" w:lineRule="exact"/>
        <w:rPr>
          <w:sz w:val="20"/>
          <w:szCs w:val="20"/>
          <w:color w:val="auto"/>
        </w:rPr>
      </w:pPr>
    </w:p>
    <w:p>
      <w:pPr>
        <w:ind w:left="1500" w:right="160"/>
        <w:spacing w:after="0" w:line="259" w:lineRule="auto"/>
        <w:rPr>
          <w:sz w:val="20"/>
          <w:szCs w:val="20"/>
          <w:color w:val="auto"/>
        </w:rPr>
      </w:pPr>
      <w:r>
        <w:rPr>
          <w:rFonts w:ascii="Arial" w:cs="Arial" w:eastAsia="Arial" w:hAnsi="Arial"/>
          <w:sz w:val="18"/>
          <w:szCs w:val="18"/>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79" w:lineRule="exact"/>
        <w:rPr>
          <w:sz w:val="20"/>
          <w:szCs w:val="20"/>
          <w:color w:val="auto"/>
        </w:rPr>
      </w:pPr>
    </w:p>
    <w:p>
      <w:pPr>
        <w:ind w:left="1500" w:right="220"/>
        <w:spacing w:after="0" w:line="259" w:lineRule="auto"/>
        <w:rPr>
          <w:sz w:val="20"/>
          <w:szCs w:val="20"/>
          <w:color w:val="auto"/>
        </w:rPr>
      </w:pPr>
      <w:r>
        <w:rPr>
          <w:rFonts w:ascii="Arial" w:cs="Arial" w:eastAsia="Arial" w:hAnsi="Arial"/>
          <w:sz w:val="18"/>
          <w:szCs w:val="18"/>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79" w:lineRule="exact"/>
        <w:rPr>
          <w:sz w:val="20"/>
          <w:szCs w:val="20"/>
          <w:color w:val="auto"/>
        </w:rPr>
      </w:pPr>
    </w:p>
    <w:p>
      <w:pPr>
        <w:ind w:left="1500" w:right="880"/>
        <w:spacing w:after="0" w:line="277" w:lineRule="auto"/>
        <w:rPr>
          <w:sz w:val="20"/>
          <w:szCs w:val="20"/>
          <w:color w:val="auto"/>
        </w:rPr>
      </w:pPr>
      <w:r>
        <w:rPr>
          <w:rFonts w:ascii="Arial" w:cs="Arial" w:eastAsia="Arial" w:hAnsi="Arial"/>
          <w:sz w:val="18"/>
          <w:szCs w:val="18"/>
          <w:color w:val="auto"/>
        </w:rPr>
        <w:t>If the banks selected are not quoting as mentioned above, the Prime Rate will remain the Prime Rate in effect on such Interest Determination Date.</w:t>
      </w:r>
    </w:p>
    <w:p>
      <w:pPr>
        <w:spacing w:after="0" w:line="62" w:lineRule="exact"/>
        <w:rPr>
          <w:sz w:val="20"/>
          <w:szCs w:val="20"/>
          <w:color w:val="auto"/>
        </w:rPr>
      </w:pPr>
    </w:p>
    <w:p>
      <w:pPr>
        <w:ind w:left="1500" w:right="20"/>
        <w:spacing w:after="0" w:line="264" w:lineRule="auto"/>
        <w:rPr>
          <w:sz w:val="20"/>
          <w:szCs w:val="20"/>
          <w:color w:val="auto"/>
        </w:rPr>
      </w:pPr>
      <w:r>
        <w:rPr>
          <w:rFonts w:ascii="Arial" w:cs="Arial" w:eastAsia="Arial" w:hAnsi="Arial"/>
          <w:sz w:val="18"/>
          <w:szCs w:val="18"/>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Rate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“Treasury Rate” means:</w:t>
      </w:r>
    </w:p>
    <w:p>
      <w:pPr>
        <w:spacing w:after="0" w:line="117" w:lineRule="exact"/>
        <w:rPr>
          <w:sz w:val="20"/>
          <w:szCs w:val="20"/>
          <w:color w:val="auto"/>
        </w:rPr>
      </w:pPr>
    </w:p>
    <w:p>
      <w:pPr>
        <w:ind w:left="920" w:right="20" w:firstLine="1"/>
        <w:spacing w:after="0" w:line="264" w:lineRule="auto"/>
        <w:tabs>
          <w:tab w:leader="none" w:pos="1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rate from the auction held on the Interest Determination Date (the “Auction”) of direct obligations of the United States (“Treasury Bills”) having the Index Maturity specified in the Supplement on Bloomberg Screen TBILIN 3M INDEX (or any other page as may replace that page on Bloomberg), or</w:t>
      </w:r>
    </w:p>
    <w:p>
      <w:pPr>
        <w:spacing w:after="0" w:line="73" w:lineRule="exact"/>
        <w:rPr>
          <w:rFonts w:ascii="Arial" w:cs="Arial" w:eastAsia="Arial" w:hAnsi="Arial"/>
          <w:sz w:val="18"/>
          <w:szCs w:val="18"/>
          <w:color w:val="auto"/>
        </w:rPr>
      </w:pPr>
    </w:p>
    <w:p>
      <w:pPr>
        <w:ind w:left="920" w:right="160" w:firstLine="1"/>
        <w:spacing w:after="0" w:line="264" w:lineRule="auto"/>
        <w:tabs>
          <w:tab w:leader="none" w:pos="1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73" w:lineRule="exact"/>
        <w:rPr>
          <w:rFonts w:ascii="Arial" w:cs="Arial" w:eastAsia="Arial" w:hAnsi="Arial"/>
          <w:sz w:val="18"/>
          <w:szCs w:val="18"/>
          <w:color w:val="auto"/>
        </w:rPr>
      </w:pPr>
    </w:p>
    <w:p>
      <w:pPr>
        <w:ind w:left="920" w:right="160" w:firstLine="1"/>
        <w:spacing w:after="0" w:line="277" w:lineRule="auto"/>
        <w:tabs>
          <w:tab w:leader="none" w:pos="1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62" w:lineRule="exact"/>
        <w:rPr>
          <w:rFonts w:ascii="Arial" w:cs="Arial" w:eastAsia="Arial" w:hAnsi="Arial"/>
          <w:sz w:val="18"/>
          <w:szCs w:val="18"/>
          <w:color w:val="auto"/>
        </w:rPr>
      </w:pPr>
    </w:p>
    <w:p>
      <w:pPr>
        <w:ind w:left="920" w:firstLine="1"/>
        <w:spacing w:after="0" w:line="277" w:lineRule="auto"/>
        <w:tabs>
          <w:tab w:leader="none" w:pos="1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rate referred to in clause (3) is not so announced by the United States Department of the Treasury, or if the Auction is not held, the Bond Equivalent Yield of the</w:t>
      </w:r>
    </w:p>
    <w:p>
      <w:pPr>
        <w:spacing w:after="0" w:line="102" w:lineRule="exact"/>
        <w:rPr>
          <w:rFonts w:ascii="Arial" w:cs="Arial" w:eastAsia="Arial" w:hAnsi="Arial"/>
          <w:sz w:val="18"/>
          <w:szCs w:val="18"/>
          <w:color w:val="auto"/>
        </w:rPr>
      </w:pPr>
    </w:p>
    <w:p>
      <w:pPr>
        <w:ind w:left="11240" w:hanging="108"/>
        <w:spacing w:after="0"/>
        <w:tabs>
          <w:tab w:leader="none" w:pos="112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24</w:t>
      </w:r>
    </w:p>
    <w:p>
      <w:pPr>
        <w:sectPr>
          <w:pgSz w:w="11900" w:h="16838" w:orient="portrait"/>
          <w:cols w:equalWidth="0" w:num="1">
            <w:col w:w="11420"/>
          </w:cols>
          <w:pgMar w:left="240" w:top="274" w:right="239" w:bottom="1440" w:gutter="0" w:footer="0" w:header="0"/>
        </w:sectPr>
      </w:pPr>
    </w:p>
    <w:bookmarkStart w:id="175" w:name="page176"/>
    <w:bookmarkEnd w:id="175"/>
    <w:p>
      <w:pPr>
        <w:ind w:left="92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rate on the particular Interest Determination Date of the applicable Treasury Bills as published in H.15(519) under the caption “U.S. Government Securities/Treasury Bills/Secondary Market”, or</w:t>
      </w:r>
    </w:p>
    <w:p>
      <w:pPr>
        <w:spacing w:after="0" w:line="62" w:lineRule="exact"/>
        <w:rPr>
          <w:sz w:val="20"/>
          <w:szCs w:val="20"/>
          <w:color w:val="auto"/>
        </w:rPr>
      </w:pPr>
    </w:p>
    <w:p>
      <w:pPr>
        <w:ind w:left="920" w:right="60" w:firstLine="1"/>
        <w:spacing w:after="0" w:line="264" w:lineRule="auto"/>
        <w:tabs>
          <w:tab w:leader="none" w:pos="11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73" w:lineRule="exact"/>
        <w:rPr>
          <w:rFonts w:ascii="Arial" w:cs="Arial" w:eastAsia="Arial" w:hAnsi="Arial"/>
          <w:sz w:val="18"/>
          <w:szCs w:val="18"/>
          <w:color w:val="auto"/>
        </w:rPr>
      </w:pPr>
    </w:p>
    <w:p>
      <w:pPr>
        <w:ind w:left="920" w:right="140" w:firstLine="1"/>
        <w:spacing w:after="0" w:line="302" w:lineRule="auto"/>
        <w:tabs>
          <w:tab w:leader="none" w:pos="11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46" w:lineRule="exact"/>
        <w:rPr>
          <w:rFonts w:ascii="Arial" w:cs="Arial" w:eastAsia="Arial" w:hAnsi="Arial"/>
          <w:sz w:val="16"/>
          <w:szCs w:val="16"/>
          <w:color w:val="auto"/>
        </w:rPr>
      </w:pPr>
    </w:p>
    <w:p>
      <w:pPr>
        <w:ind w:left="920" w:right="340" w:firstLine="1"/>
        <w:spacing w:after="0" w:line="277" w:lineRule="auto"/>
        <w:tabs>
          <w:tab w:leader="none" w:pos="11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dealers so selected by the Calculation Agent are not quoting as mentioned in clause (6), the Treasury Rate in effect on the particular Interest Determination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“Bond Equivalent Yield” means a yield (expressed as a percentage) calculated in accordance with the following formula: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vMerge w:val="restart"/>
          </w:tcPr>
          <w:p>
            <w:pPr>
              <w:spacing w:after="0"/>
              <w:rPr>
                <w:sz w:val="20"/>
                <w:szCs w:val="20"/>
                <w:color w:val="auto"/>
              </w:rPr>
            </w:pPr>
            <w:r>
              <w:rPr>
                <w:rFonts w:ascii="Arial" w:cs="Arial" w:eastAsia="Arial" w:hAnsi="Arial"/>
                <w:sz w:val="18"/>
                <w:szCs w:val="18"/>
                <w:color w:val="auto"/>
              </w:rPr>
              <w:t>Bond Equivalent Yield   =</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D × N</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102"/>
        </w:trPr>
        <w:tc>
          <w:tcPr>
            <w:tcW w:w="2140" w:type="dxa"/>
            <w:vAlign w:val="bottom"/>
            <w:vMerge w:val="continue"/>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5"/>
              </w:rPr>
              <w:t>360 - (D × M)</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62" w:lineRule="exact"/>
        <w:rPr>
          <w:sz w:val="20"/>
          <w:szCs w:val="20"/>
          <w:color w:val="auto"/>
        </w:rPr>
      </w:pPr>
    </w:p>
    <w:p>
      <w:pPr>
        <w:jc w:val="both"/>
        <w:ind w:left="920" w:right="200" w:firstLine="1"/>
        <w:spacing w:after="0" w:line="259" w:lineRule="auto"/>
        <w:tabs>
          <w:tab w:leader="none" w:pos="1100" w:val="left"/>
        </w:tabs>
        <w:numPr>
          <w:ilvl w:val="1"/>
          <w:numId w:val="1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Final Maturity.</w:t>
      </w:r>
      <w:r>
        <w:rPr>
          <w:rFonts w:ascii="Arial" w:cs="Arial" w:eastAsia="Arial" w:hAnsi="Arial"/>
          <w:sz w:val="18"/>
          <w:szCs w:val="18"/>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78" w:lineRule="exact"/>
        <w:rPr>
          <w:rFonts w:ascii="Arial" w:cs="Arial" w:eastAsia="Arial" w:hAnsi="Arial"/>
          <w:sz w:val="18"/>
          <w:szCs w:val="18"/>
          <w:u w:val="single" w:color="auto"/>
          <w:color w:val="auto"/>
        </w:rPr>
      </w:pPr>
    </w:p>
    <w:p>
      <w:pPr>
        <w:ind w:left="920" w:right="20" w:firstLine="1"/>
        <w:spacing w:after="0" w:line="268" w:lineRule="auto"/>
        <w:tabs>
          <w:tab w:leader="none" w:pos="1100" w:val="left"/>
        </w:tabs>
        <w:numPr>
          <w:ilvl w:val="1"/>
          <w:numId w:val="12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Events of Default.</w:t>
      </w:r>
      <w:r>
        <w:rPr>
          <w:rFonts w:ascii="Arial" w:cs="Arial" w:eastAsia="Arial" w:hAnsi="Arial"/>
          <w:sz w:val="17"/>
          <w:szCs w:val="17"/>
          <w:color w:val="auto"/>
        </w:rPr>
        <w:t xml:space="preserve"> The occurrence of any of the following shall constitute an “Event of Default” with respect to a Note: (i) default in any payment of principal of or interest on such Note (including on a redemption thereof); (ii) the Issuer or the Guarantor makes any compromise arrangement with its creditors generally including the entering into any form of moratorium with its creditors generally; (iii) a court having jurisdiction shall enter a decree or order for relief in respect of the Issuer or the Guarantor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or the Guarantor and any such decree, order or appointment is not removed, discharged or withdrawn within 60 days thereafter; or (iv) the Issuer or the Guarantor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the Guarantor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r>
        <w:rPr>
          <w:rFonts w:ascii="Arial" w:cs="Arial" w:eastAsia="Arial" w:hAnsi="Arial"/>
          <w:sz w:val="14"/>
          <w:szCs w:val="14"/>
          <w:color w:val="auto"/>
        </w:rPr>
        <w:t>1</w:t>
      </w:r>
    </w:p>
    <w:p>
      <w:pPr>
        <w:spacing w:after="0" w:line="200" w:lineRule="exact"/>
        <w:rPr>
          <w:rFonts w:ascii="Arial" w:cs="Arial" w:eastAsia="Arial" w:hAnsi="Arial"/>
          <w:sz w:val="17"/>
          <w:szCs w:val="17"/>
          <w:u w:val="single" w:color="auto"/>
          <w:color w:val="auto"/>
        </w:rPr>
      </w:pPr>
    </w:p>
    <w:p>
      <w:pPr>
        <w:spacing w:after="0" w:line="203" w:lineRule="exact"/>
        <w:rPr>
          <w:rFonts w:ascii="Arial" w:cs="Arial" w:eastAsia="Arial" w:hAnsi="Arial"/>
          <w:sz w:val="17"/>
          <w:szCs w:val="17"/>
          <w:u w:val="single" w:color="auto"/>
          <w:color w:val="auto"/>
        </w:rPr>
      </w:pPr>
    </w:p>
    <w:p>
      <w:pPr>
        <w:ind w:left="460" w:right="340" w:hanging="446"/>
        <w:spacing w:after="0" w:line="277" w:lineRule="auto"/>
        <w:rPr>
          <w:rFonts w:ascii="Arial" w:cs="Arial" w:eastAsia="Arial" w:hAnsi="Arial"/>
          <w:sz w:val="17"/>
          <w:szCs w:val="17"/>
          <w:u w:val="single" w:color="auto"/>
          <w:color w:val="auto"/>
        </w:rPr>
      </w:pPr>
      <w:r>
        <w:rPr>
          <w:rFonts w:ascii="Arial" w:cs="Arial" w:eastAsia="Arial" w:hAnsi="Arial"/>
          <w:sz w:val="15"/>
          <w:szCs w:val="15"/>
          <w:color w:val="auto"/>
        </w:rPr>
        <w:t>1</w:t>
      </w:r>
      <w:r>
        <w:rPr>
          <w:rFonts w:ascii="Arial" w:cs="Arial" w:eastAsia="Arial" w:hAnsi="Arial"/>
          <w:sz w:val="18"/>
          <w:szCs w:val="18"/>
          <w:color w:val="auto"/>
        </w:rPr>
        <w:t>Unlike single payment notes, where a default arises only at the stated maturity, interest -bearing notes with multiple payment dates should contain a default provision permitting acceleration of the maturity if the Issuer defaults on an interest payment.</w:t>
      </w:r>
    </w:p>
    <w:p>
      <w:pPr>
        <w:spacing w:after="0" w:line="102" w:lineRule="exact"/>
        <w:rPr>
          <w:rFonts w:ascii="Arial" w:cs="Arial" w:eastAsia="Arial" w:hAnsi="Arial"/>
          <w:sz w:val="17"/>
          <w:szCs w:val="17"/>
          <w:u w:val="single" w:color="auto"/>
          <w:color w:val="auto"/>
        </w:rPr>
      </w:pPr>
    </w:p>
    <w:p>
      <w:pPr>
        <w:ind w:left="11240" w:hanging="108"/>
        <w:spacing w:after="0"/>
        <w:tabs>
          <w:tab w:leader="none" w:pos="112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6" w:name="page177"/>
    <w:bookmarkEnd w:id="176"/>
    <w:p>
      <w:pPr>
        <w:ind w:left="-1" w:right="100" w:firstLine="1"/>
        <w:spacing w:after="0" w:line="264" w:lineRule="auto"/>
        <w:tabs>
          <w:tab w:leader="none" w:pos="179" w:val="left"/>
        </w:tabs>
        <w:numPr>
          <w:ilvl w:val="0"/>
          <w:numId w:val="1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Absolute.</w:t>
      </w:r>
      <w:r>
        <w:rPr>
          <w:rFonts w:ascii="Arial" w:cs="Arial" w:eastAsia="Arial" w:hAnsi="Arial"/>
          <w:sz w:val="18"/>
          <w:szCs w:val="18"/>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73" w:lineRule="exact"/>
        <w:rPr>
          <w:rFonts w:ascii="Arial" w:cs="Arial" w:eastAsia="Arial" w:hAnsi="Arial"/>
          <w:sz w:val="18"/>
          <w:szCs w:val="18"/>
          <w:u w:val="single" w:color="auto"/>
          <w:color w:val="auto"/>
        </w:rPr>
      </w:pPr>
    </w:p>
    <w:p>
      <w:pPr>
        <w:ind w:left="179" w:hanging="179"/>
        <w:spacing w:after="0"/>
        <w:tabs>
          <w:tab w:leader="none" w:pos="179" w:val="left"/>
        </w:tabs>
        <w:numPr>
          <w:ilvl w:val="0"/>
          <w:numId w:val="1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Supplement</w:t>
      </w:r>
      <w:r>
        <w:rPr>
          <w:rFonts w:ascii="Arial" w:cs="Arial" w:eastAsia="Arial" w:hAnsi="Arial"/>
          <w:sz w:val="18"/>
          <w:szCs w:val="18"/>
          <w:color w:val="auto"/>
        </w:rPr>
        <w:t>. Any term contained in the Supplement shall supersede any conflicting term contained herein.</w:t>
      </w:r>
    </w:p>
    <w:p>
      <w:pPr>
        <w:spacing w:after="0" w:line="157" w:lineRule="exact"/>
        <w:rPr>
          <w:rFonts w:ascii="Arial" w:cs="Arial" w:eastAsia="Arial" w:hAnsi="Arial"/>
          <w:sz w:val="18"/>
          <w:szCs w:val="18"/>
          <w:u w:val="single" w:color="auto"/>
          <w:color w:val="auto"/>
        </w:rPr>
      </w:pPr>
    </w:p>
    <w:p>
      <w:pPr>
        <w:ind w:left="10319" w:hanging="108"/>
        <w:spacing w:after="0"/>
        <w:tabs>
          <w:tab w:leader="none" w:pos="1031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26</w:t>
      </w:r>
    </w:p>
    <w:p>
      <w:pPr>
        <w:sectPr>
          <w:pgSz w:w="11900" w:h="16838" w:orient="portrait"/>
          <w:cols w:equalWidth="0" w:num="1">
            <w:col w:w="10499"/>
          </w:cols>
          <w:pgMar w:left="1161" w:top="274"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Guarantee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spacing w:after="0"/>
        <w:tabs>
          <w:tab w:leader="none" w:pos="2540" w:val="left"/>
          <w:tab w:leader="none" w:pos="3000" w:val="left"/>
        </w:tabs>
        <w:rPr>
          <w:sz w:val="20"/>
          <w:szCs w:val="20"/>
          <w:color w:val="auto"/>
        </w:rPr>
      </w:pPr>
      <w:r>
        <w:rPr>
          <w:rFonts w:ascii="Arial" w:cs="Arial" w:eastAsia="Arial" w:hAnsi="Arial"/>
          <w:sz w:val="18"/>
          <w:szCs w:val="18"/>
          <w:color w:val="auto"/>
        </w:rPr>
        <w:t>GUARANTEE,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of Waste Management Holdings, Inc., a corporation organized under the laws of Delaware (the “Guarantor”).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Guarantor, for value received, hereby agrees as follows for the benefit of the holders from time to time of the Notes hereinafter described:</w:t>
      </w:r>
    </w:p>
    <w:p>
      <w:pPr>
        <w:spacing w:after="0" w:line="131" w:lineRule="exact"/>
        <w:rPr>
          <w:sz w:val="20"/>
          <w:szCs w:val="20"/>
          <w:color w:val="auto"/>
        </w:rPr>
      </w:pPr>
    </w:p>
    <w:p>
      <w:pPr>
        <w:jc w:val="both"/>
        <w:ind w:left="460" w:right="240" w:hanging="452"/>
        <w:spacing w:after="0" w:line="291"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Guarantor irrevocably guarantees payment in full, as and when the same becomes due and payable, of the principal of and interest, if any, on the promissory notes (the “Notes”) issued by Waste Management, Inc., a Delaware corporation and the sole stockholder of the Guarantor (the “Issuer”),</w:t>
      </w:r>
    </w:p>
    <w:p>
      <w:pPr>
        <w:ind w:left="460" w:right="460"/>
        <w:spacing w:after="0" w:line="261" w:lineRule="auto"/>
        <w:rPr>
          <w:sz w:val="20"/>
          <w:szCs w:val="20"/>
          <w:color w:val="auto"/>
        </w:rPr>
      </w:pPr>
      <w:r>
        <w:rPr>
          <w:rFonts w:ascii="Arial" w:cs="Arial" w:eastAsia="Arial" w:hAnsi="Arial"/>
          <w:sz w:val="18"/>
          <w:szCs w:val="18"/>
          <w:color w:val="auto"/>
        </w:rPr>
        <w:t>from time to time pursuant to the Issuing and Paying Agent Agreement, dated as of , , as the same may be amended, supplemented or modified from time to time, between the Issuer and Bank of America, National Association (the “Agreement”).</w:t>
      </w:r>
    </w:p>
    <w:p>
      <w:pPr>
        <w:spacing w:after="0" w:line="89" w:lineRule="exact"/>
        <w:rPr>
          <w:sz w:val="20"/>
          <w:szCs w:val="20"/>
          <w:color w:val="auto"/>
        </w:rPr>
      </w:pPr>
    </w:p>
    <w:p>
      <w:pPr>
        <w:ind w:left="4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Guarantor’s obligations under this Guarantee shall be unconditional, irrespective of the validity or enforceability of any provision of the Agreement or the Notes.</w:t>
      </w:r>
    </w:p>
    <w:p>
      <w:pPr>
        <w:spacing w:after="0" w:line="75" w:lineRule="exact"/>
        <w:rPr>
          <w:rFonts w:ascii="Arial" w:cs="Arial" w:eastAsia="Arial" w:hAnsi="Arial"/>
          <w:sz w:val="18"/>
          <w:szCs w:val="18"/>
          <w:color w:val="auto"/>
        </w:rPr>
      </w:pPr>
    </w:p>
    <w:p>
      <w:pPr>
        <w:ind w:left="460" w:right="100" w:hanging="452"/>
        <w:spacing w:after="0" w:line="288"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This Guarantee is a guaranty of the due and punctual payment (and not merely of collection) of the principal of and interest, if any, on the Notes by the Issuer and shall remain in full force and effect until all amounts have been validly, finally and irrevocably paid in full, and shall not be affected in any way by any circumstance or condition whatsoever, including without limitation (a) the absence of any action to obtain such amounts from the Issuer,</w:t>
      </w:r>
    </w:p>
    <w:p>
      <w:pPr>
        <w:ind w:left="460" w:right="180" w:hanging="6"/>
        <w:spacing w:after="0" w:line="253" w:lineRule="auto"/>
        <w:tabs>
          <w:tab w:leader="none" w:pos="71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variation, extension, waiver, compromise or release of any or all of the obligations of the Issuer under the Agreement of the Notes or of any collateral security therefore or (c) any change in the existence or structure of, or the bankruptcy or insolvency of, the Issuer or by any other circumstance (other than by complete, irrevocable payment) that might otherwise constitute a legal or equitable discharge or defense of a guarantor or surety. The Guarantor waives all requirements as to diligence, presentment, demand for payment, protest and notice of any kind with respect to the Agreement and the Notes.</w:t>
      </w:r>
    </w:p>
    <w:p>
      <w:pPr>
        <w:spacing w:after="0" w:line="96"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a default in payment of principal of or interest on any Notes, the holders of such Notes, may institute legal proceedings directly against the Guarantor to enforce this Guarantee without first proceeding against the Issuer.</w:t>
      </w:r>
    </w:p>
    <w:p>
      <w:pPr>
        <w:spacing w:after="0" w:line="75" w:lineRule="exact"/>
        <w:rPr>
          <w:rFonts w:ascii="Arial" w:cs="Arial" w:eastAsia="Arial" w:hAnsi="Arial"/>
          <w:sz w:val="18"/>
          <w:szCs w:val="18"/>
          <w:color w:val="auto"/>
        </w:rPr>
      </w:pPr>
    </w:p>
    <w:p>
      <w:pPr>
        <w:ind w:left="460" w:right="160" w:hanging="452"/>
        <w:spacing w:after="0" w:line="264"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Guarantee shall remain in full force and effect or shall be reinstated (as the case may be) if at any time any payment by the Issuer of the principal of or interest, if any, on the Notes, in whole or in part, is rescinded or must otherwise be returned by the holder upon the insolvency, bankruptcy or reorganization of the Issuer or otherwise, all as though such payment had not been made.</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Guarantee shall be governed by and construed in accordance with the laws of the State of New York.</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Guarantor hereby irrevocably accepts and submits to the non-exclusive jurisdiction of the United States federal courts located in the Borough of Manhattan and the courts of the State of New York located in the Borough of Manhattan.</w:t>
      </w:r>
    </w:p>
    <w:p>
      <w:pPr>
        <w:spacing w:after="0" w:line="102" w:lineRule="exact"/>
        <w:rPr>
          <w:rFonts w:ascii="Arial" w:cs="Arial" w:eastAsia="Arial" w:hAnsi="Arial"/>
          <w:sz w:val="18"/>
          <w:szCs w:val="18"/>
          <w:color w:val="auto"/>
        </w:rPr>
      </w:pPr>
    </w:p>
    <w:p>
      <w:pPr>
        <w:ind w:left="11240" w:hanging="108"/>
        <w:spacing w:after="0"/>
        <w:tabs>
          <w:tab w:leader="none" w:pos="1124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27</w:t>
      </w:r>
    </w:p>
    <w:p>
      <w:pPr>
        <w:sectPr>
          <w:pgSz w:w="11900" w:h="16838" w:orient="portrait"/>
          <w:cols w:equalWidth="0" w:num="1">
            <w:col w:w="11420"/>
          </w:cols>
          <w:pgMar w:left="240" w:top="27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Guarantor has caused this Guarantee to be duly executed as of the day and year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14605</wp:posOffset>
            </wp:positionV>
            <wp:extent cx="23241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ISSUING AND PAYING AGENT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(Book-Entry Obligations Using DTC)</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15,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between Waste Management,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with offices at 1001 Fannin, Houston, TX 77002, and Bank of America, National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 with offices at 135 South LaSalle Street, IL4-135-05-07, Chicago, IL 60603.</w:t>
      </w:r>
    </w:p>
    <w:p>
      <w:pPr>
        <w:spacing w:after="0" w:line="3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Appointment</w:t>
      </w:r>
    </w:p>
    <w:p>
      <w:pPr>
        <w:spacing w:after="0" w:line="121"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The Issuer requests and hereby appoints the Bank to act on a non-exclusive basis as agent for the Issuer in connection with the issuance and payment of unsecured book-entry obligations (each, a “</w:t>
      </w:r>
      <w:r>
        <w:rPr>
          <w:rFonts w:ascii="Arial" w:cs="Arial" w:eastAsia="Arial" w:hAnsi="Arial"/>
          <w:sz w:val="17"/>
          <w:szCs w:val="17"/>
          <w:u w:val="single" w:color="auto"/>
          <w:color w:val="auto"/>
        </w:rPr>
        <w:t>Book-entry Obligation</w:t>
      </w:r>
      <w:r>
        <w:rPr>
          <w:rFonts w:ascii="Arial" w:cs="Arial" w:eastAsia="Arial" w:hAnsi="Arial"/>
          <w:sz w:val="17"/>
          <w:szCs w:val="17"/>
          <w:color w:val="auto"/>
        </w:rPr>
        <w:t>”) as evidenced by Master Note (the “</w:t>
      </w:r>
      <w:r>
        <w:rPr>
          <w:rFonts w:ascii="Arial" w:cs="Arial" w:eastAsia="Arial" w:hAnsi="Arial"/>
          <w:sz w:val="17"/>
          <w:szCs w:val="17"/>
          <w:u w:val="single" w:color="auto"/>
          <w:color w:val="auto"/>
        </w:rPr>
        <w:t>Note Certificate(s)</w:t>
      </w:r>
      <w:r>
        <w:rPr>
          <w:rFonts w:ascii="Arial" w:cs="Arial" w:eastAsia="Arial" w:hAnsi="Arial"/>
          <w:sz w:val="17"/>
          <w:szCs w:val="17"/>
          <w:color w:val="auto"/>
        </w:rPr>
        <w:t>” and, together with the Book-entry Obligations, the “</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in the form appended hereto in </w:t>
      </w:r>
      <w:r>
        <w:rPr>
          <w:rFonts w:ascii="Arial" w:cs="Arial" w:eastAsia="Arial" w:hAnsi="Arial"/>
          <w:sz w:val="17"/>
          <w:szCs w:val="17"/>
          <w:u w:val="single" w:color="auto"/>
          <w:color w:val="auto"/>
        </w:rPr>
        <w:t>Exhibit A</w:t>
      </w:r>
      <w:r>
        <w:rPr>
          <w:rFonts w:ascii="Arial" w:cs="Arial" w:eastAsia="Arial" w:hAnsi="Arial"/>
          <w:sz w:val="17"/>
          <w:szCs w:val="17"/>
          <w:color w:val="auto"/>
        </w:rPr>
        <w:t>. The Bank hereby agrees to act as agent for the Issuer, subject to the provisions of this Agreement, beginning on the Effective Date. The Book-entry Obligations may be placed by dealers (the “</w:t>
      </w:r>
      <w:r>
        <w:rPr>
          <w:rFonts w:ascii="Arial" w:cs="Arial" w:eastAsia="Arial" w:hAnsi="Arial"/>
          <w:sz w:val="17"/>
          <w:szCs w:val="17"/>
          <w:u w:val="single" w:color="auto"/>
          <w:color w:val="auto"/>
        </w:rPr>
        <w:t>Dealers</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The Issuer will promptly notify the Bank of the appointment or resignation of any Dealer.</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Certificate Agreement</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Issuer acknowledges that the Bank has entered into with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the commercial paper certificate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Certificate Agreement</w:t>
      </w:r>
      <w:r>
        <w:rPr>
          <w:rFonts w:ascii="Arial" w:cs="Arial" w:eastAsia="Arial" w:hAnsi="Arial"/>
          <w:sz w:val="18"/>
          <w:szCs w:val="18"/>
          <w:color w:val="auto"/>
        </w:rPr>
        <w:t>”). The Certificate Agreement is hereby incorporated by reference herein and made a part hereof. The Issuer acknowledges and agrees that the continued effectiveness of the Certificate Agreement is a condition precedent to the Bank acting as agent hereunder and providing services related to the Obligations.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Letter of Representations; Certificate of Authorized Persons</w:t>
      </w:r>
    </w:p>
    <w:p>
      <w:pPr>
        <w:spacing w:after="0" w:line="121"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a. The Bank and the Issuer agree to comply with the relevant portions of DTC’s Commercial Paper Issuing and Paying Agent Manual, and the DTC Same Day Settlement System Rules (collectively the “</w:t>
      </w:r>
      <w:r>
        <w:rPr>
          <w:rFonts w:ascii="Arial" w:cs="Arial" w:eastAsia="Arial" w:hAnsi="Arial"/>
          <w:sz w:val="18"/>
          <w:szCs w:val="18"/>
          <w:u w:val="single" w:color="auto"/>
          <w:color w:val="auto"/>
        </w:rPr>
        <w:t>DTC Rules</w:t>
      </w:r>
      <w:r>
        <w:rPr>
          <w:rFonts w:ascii="Arial" w:cs="Arial" w:eastAsia="Arial" w:hAnsi="Arial"/>
          <w:sz w:val="18"/>
          <w:szCs w:val="18"/>
          <w:color w:val="auto"/>
        </w:rPr>
        <w:t xml:space="preserve">”). The Issuer understands that as one of the conditions of its participation in the DTC, it shall be necessary for the Issuer and the Bank to enter into a Letter of Representations,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and for DTC to receive and accept such Letter of Representations.</w:t>
      </w:r>
    </w:p>
    <w:p>
      <w:pPr>
        <w:spacing w:after="0" w:line="7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b. The Issuer has delivered to the Bank a certificate (as may be amended by the Issuer from time to time, the “</w:t>
      </w:r>
      <w:r>
        <w:rPr>
          <w:rFonts w:ascii="Arial" w:cs="Arial" w:eastAsia="Arial" w:hAnsi="Arial"/>
          <w:sz w:val="18"/>
          <w:szCs w:val="18"/>
          <w:u w:val="single" w:color="auto"/>
          <w:color w:val="auto"/>
        </w:rPr>
        <w:t>Certificate of Authorized Persons</w:t>
      </w:r>
      <w:r>
        <w:rPr>
          <w:rFonts w:ascii="Arial" w:cs="Arial" w:eastAsia="Arial" w:hAnsi="Arial"/>
          <w:sz w:val="18"/>
          <w:szCs w:val="18"/>
          <w:color w:val="auto"/>
        </w:rPr>
        <w:t xml:space="preserve">”), a copy of which is appended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containing the name, title, contact details, and true signature of each officer of the Issuer or other person duly authorized to take action on behalf of the Issuer with respect to the Obligations (each an “</w:t>
      </w:r>
      <w:r>
        <w:rPr>
          <w:rFonts w:ascii="Arial" w:cs="Arial" w:eastAsia="Arial" w:hAnsi="Arial"/>
          <w:sz w:val="18"/>
          <w:szCs w:val="18"/>
          <w:u w:val="single" w:color="auto"/>
          <w:color w:val="auto"/>
        </w:rPr>
        <w:t>Authorized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Authorized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The Issuer agrees to promptly provide a revised Certificate of Authorized Persons to the Bank in the event that the Authorized Persons of the Issuer change.</w:t>
      </w:r>
    </w:p>
    <w:p>
      <w:pPr>
        <w:sectPr>
          <w:pgSz w:w="11900" w:h="16838" w:orient="portrait"/>
          <w:cols w:equalWidth="0" w:num="1">
            <w:col w:w="11420"/>
          </w:cols>
          <w:pgMar w:left="240" w:top="121" w:right="239" w:bottom="1440" w:gutter="0" w:footer="0" w:header="0"/>
        </w:sectPr>
      </w:pPr>
    </w:p>
    <w:bookmarkStart w:id="180" w:name="page181"/>
    <w:bookmarkEnd w:id="180"/>
    <w:p>
      <w:pPr>
        <w:ind w:left="460" w:right="3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Issuer agrees that the Bank shall not be liable for the Bank’s action or inaction, in each case, taken or not taken in good faith by the Bank, in reliance on the Certificate of Authorized Persons at any time, including any inaccurate Certificate of Authorized Persons for which a copy of an accurate replacement Certificate of Authorized Persons has not been provided by the Issuer to the Bank.</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Master Note</w:t>
      </w:r>
    </w:p>
    <w:p>
      <w:pPr>
        <w:spacing w:after="0" w:line="121"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a. The Issuer will, prior to the Effective Date, deliver to the Bank a Note Certificate registered in the name of Cede &amp; Co., a nominee of DTC, evidencing the Obligations. The Note Certificate shall bear the manual or facsimile signatures of one or more Authorized Persons and specify the date of issuance (the “</w:t>
      </w:r>
      <w:r>
        <w:rPr>
          <w:rFonts w:ascii="Arial" w:cs="Arial" w:eastAsia="Arial" w:hAnsi="Arial"/>
          <w:sz w:val="17"/>
          <w:szCs w:val="17"/>
          <w:u w:val="single" w:color="auto"/>
          <w:color w:val="auto"/>
        </w:rPr>
        <w:t>Issue Date</w:t>
      </w:r>
      <w:r>
        <w:rPr>
          <w:rFonts w:ascii="Arial" w:cs="Arial" w:eastAsia="Arial" w:hAnsi="Arial"/>
          <w:sz w:val="17"/>
          <w:szCs w:val="17"/>
          <w:color w:val="auto"/>
        </w:rPr>
        <w:t>”), the full legal name of the Issuer, and the name of the bank acting as paying agent for the Issuer.</w:t>
      </w:r>
    </w:p>
    <w:p>
      <w:pPr>
        <w:spacing w:after="0" w:line="57"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b. Any Obligation (as evidenced by the Note Certificate) shall, upon the Bank’s issuance of such Obligation in compliance with the terms of this Agreement on behalf of the Issuer, bind the Issuer notwithstanding that one or both of such Authorized Persons providing the Instructions for issuance of the Obligation are no longer Authorized Persons on the date such Obligation is issued by the Bank. Furthermore, the Issuer agrees that the Bank shall have no duty or responsibility to determine the genuineness of the facsimile and/or manual signatures appearing on any document, including but not limited to any Instructions or the Note Certificate, if such facsimile or manual signature reasonably resembles the corresponding specimen signature of an Authorized Person listed on the most recent Certificate of Authorized Persons provided by the Issuer to the Bank.</w:t>
      </w:r>
    </w:p>
    <w:p>
      <w:pPr>
        <w:spacing w:after="0" w:line="3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Instructions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term “</w:t>
      </w:r>
      <w:r>
        <w:rPr>
          <w:rFonts w:ascii="Arial" w:cs="Arial" w:eastAsia="Arial" w:hAnsi="Arial"/>
          <w:sz w:val="18"/>
          <w:szCs w:val="18"/>
          <w:u w:val="single" w:color="auto"/>
          <w:color w:val="auto"/>
        </w:rPr>
        <w:t>Instructions</w:t>
      </w:r>
      <w:r>
        <w:rPr>
          <w:rFonts w:ascii="Arial" w:cs="Arial" w:eastAsia="Arial" w:hAnsi="Arial"/>
          <w:sz w:val="18"/>
          <w:szCs w:val="18"/>
          <w:color w:val="auto"/>
        </w:rPr>
        <w:t>” shall mean a communication, purporting to be from an Authorized Person, in the form of:</w:t>
      </w:r>
    </w:p>
    <w:p>
      <w:pPr>
        <w:spacing w:after="0" w:line="131"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transmission through an instruction and reporting communication service (“</w:t>
      </w:r>
      <w:r>
        <w:rPr>
          <w:rFonts w:ascii="Arial" w:cs="Arial" w:eastAsia="Arial" w:hAnsi="Arial"/>
          <w:sz w:val="17"/>
          <w:szCs w:val="17"/>
          <w:u w:val="single" w:color="auto"/>
          <w:color w:val="auto"/>
        </w:rPr>
        <w:t>IPASS</w:t>
      </w:r>
      <w:r>
        <w:rPr>
          <w:rFonts w:ascii="Arial" w:cs="Arial" w:eastAsia="Arial" w:hAnsi="Arial"/>
          <w:sz w:val="17"/>
          <w:szCs w:val="17"/>
          <w:color w:val="auto"/>
        </w:rPr>
        <w:t xml:space="preserve">”) offered by the Bank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w:t>
      </w:r>
    </w:p>
    <w:p>
      <w:pPr>
        <w:spacing w:after="0" w:line="142" w:lineRule="exact"/>
        <w:rPr>
          <w:rFonts w:ascii="Arial" w:cs="Arial" w:eastAsia="Arial" w:hAnsi="Arial"/>
          <w:sz w:val="17"/>
          <w:szCs w:val="17"/>
          <w:color w:val="auto"/>
        </w:rPr>
      </w:pPr>
    </w:p>
    <w:p>
      <w:pPr>
        <w:ind w:left="900" w:right="380" w:hanging="446"/>
        <w:spacing w:after="0" w:line="308"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direction from the Issuer or their Dealers delivered electronically in accordance with standard practices in the financial services industry, including Instructions delivered via Depository Trust &amp; Clearing Corporation Pre-Issuance Messaging (DTC PIM) system; or</w:t>
      </w:r>
    </w:p>
    <w:p>
      <w:pPr>
        <w:spacing w:after="0" w:line="51"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written notice, including a written notice transmitted by facsimile or e-mail, which bears or purports to bear the signature of an Authorized Person.</w:t>
      </w:r>
    </w:p>
    <w:p>
      <w:pPr>
        <w:spacing w:after="0" w:line="62" w:lineRule="exact"/>
        <w:rPr>
          <w:rFonts w:ascii="Arial" w:cs="Arial" w:eastAsia="Arial" w:hAnsi="Arial"/>
          <w:sz w:val="18"/>
          <w:szCs w:val="18"/>
          <w:color w:val="auto"/>
        </w:rPr>
      </w:pPr>
    </w:p>
    <w:p>
      <w:pPr>
        <w:ind w:left="460" w:right="140" w:firstLine="4"/>
        <w:spacing w:after="0" w:line="264" w:lineRule="auto"/>
        <w:tabs>
          <w:tab w:leader="none" w:pos="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Instructions transmitted over IPASS or DTC PIM system, including Instructions from Dealers, shall be deemed conclusive evidence that such Instructions are correct and complete and that the issuance specified in such Instructions has been duly authorized by an Authorized Person. The Bank shall not be liable for rejecting Instructions as a result of inaccurate IDs or Passwords indicated thereon.</w:t>
      </w:r>
    </w:p>
    <w:p>
      <w:pPr>
        <w:sectPr>
          <w:pgSz w:w="11900" w:h="16838" w:orient="portrait"/>
          <w:cols w:equalWidth="0" w:num="1">
            <w:col w:w="11420"/>
          </w:cols>
          <w:pgMar w:left="240" w:top="274" w:right="239" w:bottom="1440" w:gutter="0" w:footer="0" w:header="0"/>
        </w:sectPr>
      </w:pPr>
    </w:p>
    <w:bookmarkStart w:id="181" w:name="page182"/>
    <w:bookmarkEnd w:id="181"/>
    <w:p>
      <w:pPr>
        <w:ind w:left="4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Instructions may be given at any time prior to 1:00 PM New York Time on the day on which the Instructions are to be operative; provided that any Instructions received on a day on which the Bank is not open for business, will be operative, as appropriate, on the next succeeding day on which the Bank is open for business. If the Bank, in its sole discretion, acts upon Instructions transmitted after 1:00 PM New York Time on the day on which the Instructions are to be operative, the Issuer understands and agrees that (i) such Instructions shall be acted upon, on a reasonable efforts basis, by the Bank pursuant to the custom and practice of the commercial paper market, and (ii) the Bank makes no representations or warranties that the issuance and delivery of any Note or Obligation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completed prior to the close of business on the Issue Date specified in the applicable Instructions.</w:t>
      </w:r>
    </w:p>
    <w:p>
      <w:pPr>
        <w:spacing w:after="0" w:line="3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u w:val="single" w:color="auto"/>
          <w:color w:val="auto"/>
        </w:rPr>
        <w:t>Issuance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Bank’s sole duties in connection with the issuance of the Book-entry Obligations represented by the Note Certificate shall be as follows:</w:t>
      </w:r>
    </w:p>
    <w:p>
      <w:pPr>
        <w:spacing w:after="0" w:line="129" w:lineRule="exact"/>
        <w:rPr>
          <w:sz w:val="20"/>
          <w:szCs w:val="20"/>
          <w:color w:val="auto"/>
        </w:rPr>
      </w:pPr>
    </w:p>
    <w:p>
      <w:pPr>
        <w:ind w:left="1140" w:hanging="219"/>
        <w:spacing w:after="0"/>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maintain a record of the outstanding Note Certificate on IPASS;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following receipt of applicable Instructions, to assign a CUSIP number to each Obligation to be issued;</w:t>
      </w:r>
    </w:p>
    <w:p>
      <w:pPr>
        <w:spacing w:after="0" w:line="117" w:lineRule="exact"/>
        <w:rPr>
          <w:rFonts w:ascii="Arial" w:cs="Arial" w:eastAsia="Arial" w:hAnsi="Arial"/>
          <w:sz w:val="18"/>
          <w:szCs w:val="18"/>
          <w:color w:val="auto"/>
        </w:rPr>
      </w:pPr>
    </w:p>
    <w:p>
      <w:pPr>
        <w:ind w:left="920" w:firstLine="1"/>
        <w:spacing w:after="0" w:line="279" w:lineRule="auto"/>
        <w:tabs>
          <w:tab w:leader="none" w:pos="123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following receipt of applicable Instructions that set forth the face or principal amount, net dollar amount, Issue Date, maturity date, interest rate (if any), and amount of interest due at maturity date, and the applicable discount amount (if any), for an Obligation, to cause delivery of such Obligation on behalf of the Issuer by way of data entry or data transfer to the DTC Same Day Funds Settlement System (“</w:t>
      </w:r>
      <w:r>
        <w:rPr>
          <w:rFonts w:ascii="Arial" w:cs="Arial" w:eastAsia="Arial" w:hAnsi="Arial"/>
          <w:sz w:val="17"/>
          <w:szCs w:val="17"/>
          <w:u w:val="single" w:color="auto"/>
          <w:color w:val="auto"/>
        </w:rPr>
        <w:t>SDFS</w:t>
      </w:r>
      <w:r>
        <w:rPr>
          <w:rFonts w:ascii="Arial" w:cs="Arial" w:eastAsia="Arial" w:hAnsi="Arial"/>
          <w:sz w:val="17"/>
          <w:szCs w:val="17"/>
          <w:color w:val="auto"/>
        </w:rPr>
        <w:t>”), and to receive from SDFS a confirmation receipt that delivery of such Obligation was effected; and</w:t>
      </w:r>
    </w:p>
    <w:p>
      <w:pPr>
        <w:spacing w:after="0" w:line="63" w:lineRule="exact"/>
        <w:rPr>
          <w:rFonts w:ascii="Arial" w:cs="Arial" w:eastAsia="Arial" w:hAnsi="Arial"/>
          <w:sz w:val="17"/>
          <w:szCs w:val="17"/>
          <w:color w:val="auto"/>
        </w:rPr>
      </w:pPr>
    </w:p>
    <w:p>
      <w:pPr>
        <w:ind w:left="920" w:right="500" w:firstLine="1"/>
        <w:spacing w:after="0" w:line="308" w:lineRule="auto"/>
        <w:tabs>
          <w:tab w:leader="none" w:pos="122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prior to the close of business on each Issue Date, to credit in immediately available funds the net proceeds of all delivered Obligations according to the Issuer’s standing instruction signed by an Authorized Person,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920" w:right="20" w:firstLine="1"/>
        <w:spacing w:after="0" w:line="264" w:lineRule="auto"/>
        <w:tabs>
          <w:tab w:leader="none" w:pos="117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Bank has collected funds for the delivery of an Obligation, but does not transfer or credit such funds as required pursuant to clause (iv), then, on the next business day, the Bank shall transfer or credit such funds as required pursuant to clause (iv), plus any interest thereon at the prime rate as quoted by the Bank.</w:t>
      </w:r>
    </w:p>
    <w:p>
      <w:pPr>
        <w:spacing w:after="0" w:line="86"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The Issuer acknowledges that (A) the delivery of an Obligation against payment (i.e., the principal amount of the Obligation less the discount specified in the Instructions or the principal amount of an interest bearing Obligation) and the actual receipt of payment thereof are not simultaneous transactions and (B) the purchaser of an Obligation is obligated to settle its purchase of such Obligation in immediately available funds on the Issue Date for such Obligation. The Issuer, and not the Bank, shall bear the risk of such purchaser’s failure to remit the net amount of the Obligation.</w:t>
      </w:r>
    </w:p>
    <w:p>
      <w:pPr>
        <w:sectPr>
          <w:pgSz w:w="11900" w:h="16838" w:orient="portrait"/>
          <w:cols w:equalWidth="0" w:num="1">
            <w:col w:w="11380"/>
          </w:cols>
          <w:pgMar w:left="240" w:top="274" w:right="279" w:bottom="1440" w:gutter="0" w:footer="0" w:header="0"/>
        </w:sectPr>
      </w:pPr>
    </w:p>
    <w:bookmarkStart w:id="182" w:name="page183"/>
    <w:bookmarkEnd w:id="182"/>
    <w:p>
      <w:pPr>
        <w:ind w:left="920" w:right="20" w:firstLine="1"/>
        <w:spacing w:after="0" w:line="312" w:lineRule="auto"/>
        <w:tabs>
          <w:tab w:leader="none" w:pos="11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shall have no duty or responsibility to transfer to the Issuer any amounts from the sale of an Obligation, or to advance to the Issuer any monies or otherwise provide any credit to the Issuer with respect to such proceeds or transfers, unless and until (A) the Bank actually receives the proceeds of the sale of such Obligation and (B) the Bank’s receipt of such proceeds is not subject to reversal or cancellation.</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Payment</w:t>
      </w:r>
    </w:p>
    <w:p>
      <w:pPr>
        <w:spacing w:after="0" w:line="121"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a. The Issuer shall provide or cause to be provided Instructions to the Bank regarding payment of Obligations at maturity. The Bank’s sole duty in connection with payment of the Obligations at maturity shall be to pay the principal amount of the Obligation or principal plus interest of an interest-at-maturity Obligation, in each case as specified in the applicable Instructions.</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 xml:space="preserve">b. The Bank shall debit the Issuer’s account with the Bank (Account No. 4451133603) for any maturing Obligation of the amount referred to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Bank shall not make a payment with respect to any maturing Obligation of the amount referred to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unless immediately available funds in the amount to be paid in respect of such Obligation have been received by the Bank prior to 2:00 PM New York Time on the applicable maturity date, unless otherwise agreed in writing with the Bank. No liability shall attach to the Bank if there are insufficient funds to make a payment in whole or in part.</w:t>
      </w:r>
    </w:p>
    <w:p>
      <w:pPr>
        <w:spacing w:after="0" w:line="80"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c. The Issuer shall provide or cause to be provided Instructions to the Bank regarding any specified interim interest payment. The Bank shall update IPASS with base rate information from the Issuer or publications of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or federal funds rate, and the Bank shall not be liable for any error resulting from reliance on base rate information. The Bank’s sole duty in connection with the interim interest payments shall be to pay the applicable interest payment as specified in the applicable Instructions, to the account specified in such Instructions.</w:t>
      </w:r>
    </w:p>
    <w:p>
      <w:pPr>
        <w:spacing w:after="0" w:line="46"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 xml:space="preserve">d. The Bank shall not make an interim interest payment unless Instructions are received prior to 10:30 AM New York Time on the payment date. The Bank shall debit the Issuer’s account with the Bank (Account No. 4451133603) for any interest payment. No liability shall attach to the Bank if there are insufficient funds to make a payment in whole or in part. Should available funds not be received by the Bank prior to 2:00 PM New York Time the afore mentioned interest payment shall be cancelled at DTC. If the Bank acts upon Instructions transmitted after 10:30 AM New York Time, the Issuer understands and agrees (i) such Instructions shall be acted upon, on a reasonable efforts basis, by the Bank pursuant to the custom and practice of the commercial paper market, and (ii) the Bank makes no representations or warranties that the interim interest payment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completed prior to the close of business on the date specified in the applicable Instructions.</w:t>
      </w:r>
    </w:p>
    <w:p>
      <w:pPr>
        <w:sectPr>
          <w:pgSz w:w="11900" w:h="16838" w:orient="portrait"/>
          <w:cols w:equalWidth="0" w:num="1">
            <w:col w:w="11340"/>
          </w:cols>
          <w:pgMar w:left="240" w:top="274" w:right="319" w:bottom="1440" w:gutter="0" w:footer="0" w:header="0"/>
        </w:sectPr>
      </w:pPr>
    </w:p>
    <w:bookmarkStart w:id="183" w:name="page184"/>
    <w:bookmarkEnd w:id="18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w:t>
      </w:r>
      <w:r>
        <w:rPr>
          <w:sz w:val="20"/>
          <w:szCs w:val="20"/>
          <w:color w:val="auto"/>
        </w:rPr>
        <w:tab/>
      </w:r>
      <w:r>
        <w:rPr>
          <w:rFonts w:ascii="Arial" w:cs="Arial" w:eastAsia="Arial" w:hAnsi="Arial"/>
          <w:sz w:val="16"/>
          <w:szCs w:val="16"/>
          <w:b w:val="1"/>
          <w:bCs w:val="1"/>
          <w:u w:val="single" w:color="auto"/>
          <w:color w:val="auto"/>
        </w:rPr>
        <w:t>United States Dollars</w:t>
      </w:r>
    </w:p>
    <w:p>
      <w:pPr>
        <w:spacing w:after="0" w:line="121"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The Issuer agrees that the Obligations issued or presented hereunder shall be denominated solely in United States Dollars. The Issuer further agrees that payment of any and all amounts due pursuant to the provisions of this Agreement shall be made solely in United States Dollars.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No Agency or Trust and No Implied Duties</w:t>
      </w:r>
    </w:p>
    <w:p>
      <w:pPr>
        <w:spacing w:after="0" w:line="121" w:lineRule="exact"/>
        <w:rPr>
          <w:sz w:val="20"/>
          <w:szCs w:val="20"/>
          <w:color w:val="auto"/>
        </w:rPr>
      </w:pPr>
    </w:p>
    <w:p>
      <w:pPr>
        <w:ind w:left="460" w:right="520"/>
        <w:spacing w:after="0" w:line="264" w:lineRule="auto"/>
        <w:rPr>
          <w:sz w:val="20"/>
          <w:szCs w:val="20"/>
          <w:color w:val="auto"/>
        </w:rPr>
      </w:pPr>
      <w:r>
        <w:rPr>
          <w:rFonts w:ascii="Arial" w:cs="Arial" w:eastAsia="Arial" w:hAnsi="Arial"/>
          <w:sz w:val="18"/>
          <w:szCs w:val="18"/>
          <w:color w:val="auto"/>
        </w:rPr>
        <w:t>a. The Bank shall have no obligations under this Agreement towards, or any relationship of agency or trust with, any Purchaser and shall only be obligated to perform, in good faith, the duties of the Bank as set out specifically in this Agreement. The Bank shall have no implied duties or obligations under this Agreement.</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b. The Bank shall not be under any obligation to take any action hereunder through which the Bank may incur any expense or liability, the prompt payment of or indemnification for which is not, in its opinion, assured.</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Issuing and Paying Agent Servicing System (IPASS)</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 xml:space="preserve">a. Upon receipt of a completed IPASS Enrollment Form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the Bank hereby grants the Issuer and each Authorized Person access to IPASS for the limited purposes set forth herein until the termination of this Agreement in accordance with </w:t>
      </w:r>
      <w:r>
        <w:rPr>
          <w:rFonts w:ascii="Arial" w:cs="Arial" w:eastAsia="Arial" w:hAnsi="Arial"/>
          <w:sz w:val="18"/>
          <w:szCs w:val="18"/>
          <w:u w:val="single" w:color="auto"/>
          <w:color w:val="auto"/>
        </w:rPr>
        <w:t>Section 14</w:t>
      </w:r>
      <w:r>
        <w:rPr>
          <w:rFonts w:ascii="Arial" w:cs="Arial" w:eastAsia="Arial" w:hAnsi="Arial"/>
          <w:sz w:val="18"/>
          <w:szCs w:val="18"/>
          <w:color w:val="auto"/>
        </w:rPr>
        <w:t>. The Issuer and each Authorized Person will be permitted to access IPASS for the purposes of transmitting Instructions to the Bank or obtaining a record of the Note Certificate with respect to the Obligations.</w:t>
      </w:r>
    </w:p>
    <w:p>
      <w:pPr>
        <w:spacing w:after="0" w:line="79"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b. The Issuer acknowledges that under IPASS, each Obligation (and the Note Certificate, if any, related thereto) shall remain subject to applicable laws, regulations, rules and the provisions hereof. The Bank shall be entitled to limit or restrict the Issuer’s or any Authorized Person’s use of IPASS as the Bank deems necessary or desirable in its sole discretion. The Issuer acknowledges and agrees that it and each Authorized Person shall be permitted to access information through IPASS only for those Obligations that it is authorized to access and no other Obligation. Each Authorized Person shall be limited in its access rights to IPASS to the same extent of the Issuer, and no Authorized Person shall be permitted to access a broader scope of information about an Obligation than the Issuer may access at such time.</w:t>
      </w:r>
    </w:p>
    <w:p>
      <w:pPr>
        <w:spacing w:after="0" w:line="7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c. Except as set forth in this </w:t>
      </w:r>
      <w:r>
        <w:rPr>
          <w:rFonts w:ascii="Arial" w:cs="Arial" w:eastAsia="Arial" w:hAnsi="Arial"/>
          <w:sz w:val="18"/>
          <w:szCs w:val="18"/>
          <w:u w:val="single" w:color="auto"/>
          <w:color w:val="auto"/>
        </w:rPr>
        <w:t>Section 10</w:t>
      </w:r>
      <w:r>
        <w:rPr>
          <w:rFonts w:ascii="Arial" w:cs="Arial" w:eastAsia="Arial" w:hAnsi="Arial"/>
          <w:sz w:val="18"/>
          <w:szCs w:val="18"/>
          <w:color w:val="auto"/>
        </w:rPr>
        <w:t>, with respect to any agreement between the Issuer and its Authorized Persons, the Issuer shall acquire no title, ownership or sublicensing rights whatsoever in IPASS or in any trade secret, trademark, copyright or patent of the Bank now or to become applicable to IPASS. The Issuer may not transfer, sublicense, assign, rent, lease, convey, modify, translate, convert to a programming language, decompile, disassemble, recirculate, republish or redistribute IPASS for any purpose.</w:t>
      </w:r>
    </w:p>
    <w:p>
      <w:pPr>
        <w:spacing w:after="0" w:line="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d. The Issuer shall ensure the security and confidentiality of all identification numbers (“</w:t>
      </w:r>
      <w:r>
        <w:rPr>
          <w:rFonts w:ascii="Arial" w:cs="Arial" w:eastAsia="Arial" w:hAnsi="Arial"/>
          <w:sz w:val="18"/>
          <w:szCs w:val="18"/>
          <w:u w:val="single" w:color="auto"/>
          <w:color w:val="auto"/>
        </w:rPr>
        <w:t>IDs</w:t>
      </w:r>
      <w:r>
        <w:rPr>
          <w:rFonts w:ascii="Arial" w:cs="Arial" w:eastAsia="Arial" w:hAnsi="Arial"/>
          <w:sz w:val="18"/>
          <w:szCs w:val="18"/>
          <w:color w:val="auto"/>
        </w:rPr>
        <w:t>”) and passwords (“</w:t>
      </w:r>
      <w:r>
        <w:rPr>
          <w:rFonts w:ascii="Arial" w:cs="Arial" w:eastAsia="Arial" w:hAnsi="Arial"/>
          <w:sz w:val="18"/>
          <w:szCs w:val="18"/>
          <w:u w:val="single" w:color="auto"/>
          <w:color w:val="auto"/>
        </w:rPr>
        <w:t>Passwords</w:t>
      </w:r>
      <w:r>
        <w:rPr>
          <w:rFonts w:ascii="Arial" w:cs="Arial" w:eastAsia="Arial" w:hAnsi="Arial"/>
          <w:sz w:val="18"/>
          <w:szCs w:val="18"/>
          <w:color w:val="auto"/>
        </w:rPr>
        <w:t>”) to access IPASS, whether issued to the</w:t>
      </w:r>
    </w:p>
    <w:p>
      <w:pPr>
        <w:sectPr>
          <w:pgSz w:w="11900" w:h="16838" w:orient="portrait"/>
          <w:cols w:equalWidth="0" w:num="1">
            <w:col w:w="11400"/>
          </w:cols>
          <w:pgMar w:left="240" w:top="270" w:right="259" w:bottom="1440" w:gutter="0" w:footer="0" w:header="0"/>
        </w:sectPr>
      </w:pPr>
    </w:p>
    <w:bookmarkStart w:id="184" w:name="page185"/>
    <w:bookmarkEnd w:id="18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or any Authorized Person by the Bank, and whether chosen by the Issuer, any Authorized Person or the Bank. The Issuer agrees not to share, transfer, disclose, make available or otherwise provide access to the Issuer’s IDs and Passwords to any person who is not an Authorized Person. The Issuer is responsible for all access and activity conducted, including the sending of Instructions, using all IDs and Passwords permitting access to IPASS. The Issuer shall immediately notify the Bank in writing, (i) if the Issuer discovers or has received notice that an ID or Password has been compromised by actual or suspected unauthorized use, loss, disclosure, access or acquisition, (ii) if the Issuer suspects or discovers unauthorized access to or use of IPASS for any reason, or (iii) when an Authorized Person, with a unique ID and Password, is no longer permitted access to IPASS. The Issuer shall take all necessary and advisable corrective actions, and shall cooperate fully with the Bank to prevent, mitigate or rectify any unauthorized activity involving an ID or Password or IPASS.</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Issuer agrees to indemnify the Bank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against any and all out-of-pocket liabilities, obligations, losses, damages, penalties, actions, judgments, suits, costs, expenses or disbursements, including reasonable attorney’s fees, that are incurred by the Bank to the extent arising out of or resulting from the failure of the Issuer or any of its Authorized Persons to maintain security and confidentiality of the applicable IDs and Passwords.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 The Issuer agrees that use of IPASS is subject to the terms of this Agreement (the “</w:t>
      </w:r>
      <w:r>
        <w:rPr>
          <w:rFonts w:ascii="Arial" w:cs="Arial" w:eastAsia="Arial" w:hAnsi="Arial"/>
          <w:sz w:val="18"/>
          <w:szCs w:val="18"/>
          <w:u w:val="single" w:color="auto"/>
          <w:color w:val="auto"/>
        </w:rPr>
        <w:t>Terms</w:t>
      </w:r>
      <w:r>
        <w:rPr>
          <w:rFonts w:ascii="Arial" w:cs="Arial" w:eastAsia="Arial" w:hAnsi="Arial"/>
          <w:sz w:val="18"/>
          <w:szCs w:val="18"/>
          <w:color w:val="auto"/>
        </w:rPr>
        <w:t>”), as they may be amended, and applicable laws and regulations. The Terms are binding on the Issuer (including the Issuer’s employees, agents and successors) and each Authorized Person. The Bank may add, remove or modify the information available on IPASS at any time without prior notice. The Issuer acknowledges that IPASS may be unavailable to the Issuer from time to time, as necessary.</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 IPASS may be used to access copies of the Note Certificate. The Issuer acknowledges that any printed version of the Note Certificate is merely a copy and is not, and shall not be considered by the Issuer or any Authorized Person to be, the official Note Certificate. The Bank shall not be liable for the completeness, correctness, accuracy, adequacy, usefulness, timeliness, reliability or otherwise of the Note Certificate or any information accessed through IPASS regarding an Obligation.</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 IPASS AND ALL INFORMATION, SERVICES, SOFTWARE AND OTHER MATERIALS PROVIDED THROUGH IPASS ARE PROVIDED “AS IS” AND “AS AVAILABLE” WITHOUT ANY EXPRESS OR IMPLIED WARRANTY OF ANY KIND. THE BANK AND ITS SUPPLIERS SPECIFICALLY DISCLAIM ALL WARRANTIES OF ANY KIND, WHETHER EXPRESS OR IMPLIED, INCLUDING BUT NOT LIMITED TO, WARRANTIES OF MERCHANTABILITY, NONINFRINGEMENT OF INTELLECTUAL PROPERTY, QUALITY OR FITNESS FOR ANY PARTICULAR PURPOSE. THE ISSUER’S USE OF IPASS AND ALL INFORMATION, SERVICES, SOFTWARE AND OTHER MATERIALS PROVIDED THROUGH IPASS IS AT ITS OWN DISCRETION AND RISK.</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BANK DOES NOT GUARANTEE SECURITY OF IPASS OR PREVENTION FROM LOSS OF, ALTERATION OF, OR IMPROPER ACCESS TO THE ACCOUNT</w:t>
      </w:r>
    </w:p>
    <w:p>
      <w:pPr>
        <w:sectPr>
          <w:pgSz w:w="11900" w:h="16838" w:orient="portrait"/>
          <w:cols w:equalWidth="0" w:num="1">
            <w:col w:w="10940"/>
          </w:cols>
          <w:pgMar w:left="700" w:top="274" w:right="259" w:bottom="1440" w:gutter="0" w:footer="0" w:header="0"/>
        </w:sectPr>
      </w:pPr>
    </w:p>
    <w:bookmarkStart w:id="185" w:name="page186"/>
    <w:bookmarkEnd w:id="185"/>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OR DATA. THE BANK MAKES NO REPRESENTATION OR WARRANTY WHATSOEVER, EXPRESS OR IMPLIED, RELATING TO OR RESULTING FROM THE USE OF OR INABILITY TO USE IPASS, MISTAKES, OMISSIONS, SERVICE INTERRUPTIONS, DELETION OF FILES, LOSS OR MODIFICATION OF CONTENT OR DATA, ERRORS, DEFECTS, MISDELIVERIES, DELAYS IN OPERATION OR TRANSMISSION OR ANY FAILURE OF PERFORMANCE, WHETHER OR NOT LIMITED TO CIRCUMSTANCES BEYOND ITS CONTROL, COMMUNICATION FAILURE, THEFT, DESTRUCTION OR UNAUTHORIZED USE, ACCESS TO OR ACQUISITION OF ANY SERVER, RECORDS, PROGRAMS OR SERVICES.</w:t>
      </w:r>
    </w:p>
    <w:p>
      <w:pPr>
        <w:spacing w:after="0" w:line="85"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ISSUER UNDERSTANDS THAT THE BANK MAKES NO REPRESENTATION OR WARRANTY REGARDING THE USE OF THE INFORMATION AVAILABLE THROUGH IPASS IN TERMS OF ITS COMPLETENESS, CORRECTNESS, ACCURACY, ADEQUACY, USEFULNESS, TIMELINESS, RELIABILITY OR OTHERWISE. THE ISSUER FURTHER UNDERSTANDS THAT INFORMATION OBTAINED BY THE ISSUER THROUGH IPASS MAY (I) INCLUDE TECHNICAL INACCURACIES OR TYPOGRAPHICAL ERRORS OR (II) BE PREPARED WITH, OR BASED ON, INFORMATION RECEIVED FROM ONE OR MORE THIRD PARTIES. THE ISSUER AGREES THAT IT WILL INDEPENDENTLY VERIFY ALL INFORMATION IT OR ANY AUTHORIZED PERSON OBTAINS THROUGH IPASS BEFORE RELYING ON IT AND THAT THE BANK SHALL NOT BE LIABLE FOR, OR FOR THE RESULT OF, ANY DECISIONS MADE BY THE ISSUER BASED ON SUCH INFORMATION.</w:t>
      </w:r>
    </w:p>
    <w:p>
      <w:pPr>
        <w:spacing w:after="0" w:line="3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and/or the Bank, as indicated below, (each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the “</w:t>
      </w:r>
      <w:r>
        <w:rPr>
          <w:rFonts w:ascii="Arial" w:cs="Arial" w:eastAsia="Arial" w:hAnsi="Arial"/>
          <w:sz w:val="16"/>
          <w:szCs w:val="16"/>
          <w:u w:val="single" w:color="auto"/>
          <w:color w:val="auto"/>
        </w:rPr>
        <w:t>Parties</w:t>
      </w:r>
      <w:r>
        <w:rPr>
          <w:rFonts w:ascii="Arial" w:cs="Arial" w:eastAsia="Arial" w:hAnsi="Arial"/>
          <w:sz w:val="16"/>
          <w:szCs w:val="16"/>
          <w:color w:val="auto"/>
        </w:rPr>
        <w:t>”) represent and warrant as to itself only and not as to the other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Party as follows:</w:t>
      </w:r>
    </w:p>
    <w:p>
      <w:pPr>
        <w:spacing w:after="0" w:line="103"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a. This Agreement and the Obligations have been duly authorized and this Agreement when executed and the Obligations when issued in accordance with Instructions, will be valid, legal and binding obligations of the Issuer, enforceable against the Issuer in accordance with their terms, subject to bankruptcy, insolvency, fraudulent transfer, reorganization, moratorium and other laws of general applicability relating to or affecting creditors’ rights and to general equity principles. This Agreement has been duly authorized and when executed will be a valid, legal and binding obligation of the Bank, enforceable against the Bank in accordance with its terms;</w:t>
      </w:r>
    </w:p>
    <w:p>
      <w:pPr>
        <w:spacing w:after="0" w:line="80"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b. The Issuer represents and warrants that this Agreement and the consummation of the transactions herein contemplated will not (i) conflict with or result in a breach of any of the terms or provisions of, or constitute a default under, any indenture, mortgage, deed of trust, loan agreement or other agreement or instrument for money borrowed to which the Issuer is a party or by which the Issuer is bound or to which any of the property or assets of the Issuer is subject, or (ii) result in any violation of the provisions of the articles of incorporation or the by-laws of the Issuer (or equivalent corporate formation and governance documentation).</w:t>
      </w:r>
    </w:p>
    <w:p>
      <w:pPr>
        <w:sectPr>
          <w:pgSz w:w="11900" w:h="16838" w:orient="portrait"/>
          <w:cols w:equalWidth="0" w:num="1">
            <w:col w:w="11380"/>
          </w:cols>
          <w:pgMar w:left="240" w:top="274" w:right="279" w:bottom="1440" w:gutter="0" w:footer="0" w:header="0"/>
        </w:sectPr>
      </w:pPr>
    </w:p>
    <w:bookmarkStart w:id="186" w:name="page187"/>
    <w:bookmarkEnd w:id="186"/>
    <w:p>
      <w:pPr>
        <w:ind w:left="46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Each of the Issuer and the Bank, respectively, represents and warrants that this Agreement and the consummation of the transactions herein contemplated will not result in any violation of any statute or any order, rule or regulation of any court or government agency, regulatory authority or body of any country having jurisdiction over the Issuer or the Bank, as applicable, or any of their respective properties;</w:t>
      </w:r>
    </w:p>
    <w:p>
      <w:pPr>
        <w:spacing w:after="0" w:line="57"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d. The Issuer represents and warrants that no consent, approval, authorization, order, registration or qualification of or with any court, or governmental agency, regulatory authority or body of any country having jurisdiction over the Issuer or any of its properties is required for the issuance or sale of the Obligations, except such as have been, or will have been obtained prior to the issuance or sale of the Obligations, and such consents, approvals, authorizations, registrations or qualifications as may be required under “blue sky” or state securities laws, or insurance laws or by any regulatory authority in connection with the issuance and/or sale of the Obligations by the Issuer; and</w:t>
      </w:r>
    </w:p>
    <w:p>
      <w:pPr>
        <w:spacing w:after="0" w:line="64" w:lineRule="exact"/>
        <w:rPr>
          <w:sz w:val="20"/>
          <w:szCs w:val="20"/>
          <w:color w:val="auto"/>
        </w:rPr>
      </w:pPr>
    </w:p>
    <w:p>
      <w:pPr>
        <w:ind w:left="460" w:right="500"/>
        <w:spacing w:after="0" w:line="312" w:lineRule="auto"/>
        <w:rPr>
          <w:sz w:val="20"/>
          <w:szCs w:val="20"/>
          <w:color w:val="auto"/>
        </w:rPr>
      </w:pPr>
      <w:r>
        <w:rPr>
          <w:rFonts w:ascii="Arial" w:cs="Arial" w:eastAsia="Arial" w:hAnsi="Arial"/>
          <w:sz w:val="16"/>
          <w:szCs w:val="16"/>
          <w:color w:val="auto"/>
        </w:rPr>
        <w:t>e. The Issuer represents and warrants that each Obligation will be exempt from registration under the Securities Act of 1933, as amended. Each Instruction provided by the Issuer or related Authorized Persons to issue Obligations under this Agreement shall be deemed a representation and warranty by the Issuer as of the date thereof that the representations and warranties herein are true and correct as if made on and as of such date.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u w:val="single" w:color="auto"/>
          <w:color w:val="auto"/>
        </w:rPr>
        <w:t>Compensation</w:t>
      </w:r>
    </w:p>
    <w:p>
      <w:pPr>
        <w:spacing w:after="0" w:line="121"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 xml:space="preserve">The Issuer agrees to pay such compensation for the Bank’s issuing and paying agent services pursuant to this Agreement in accordance with the Bank’s schedule of fees dated July 19, 2016 and executed by the Issuer, as amended from time to time (subject to prior written notification delivered to the Issuer not less than thirty (30) days prior to the effective date of any amendment). All payments to the Bank under this Agreement shall be made gross of any tax, (with appropriate gross-up for withholding taxes). Nothwithstanding anything herein to the contrary, the Bank shall only debit fees that remain unpaid for sixty (60) days or more to the extent the Issuer has excess cash flow from operations or has received funds with respect to such obligation which may be used to make such payment and which funds or excess cash flow are not required to pay when due any outstanding Obligations with respect to the Notes of the Issuer. Any amount which the Issuer does not pay pursuant to the operation of the preceding sentence shall not constitute a claim under the Bankruptcy Code against the Issuer for any such insufficiency unless and until the Issuer does have such excess cash flow or excess funds.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survive (i) the Bank’s resignation or removal as the issuing and paying agent hereunder and (ii) the termination of this Agreement.</w:t>
      </w:r>
    </w:p>
    <w:p>
      <w:pPr>
        <w:spacing w:after="0" w:line="3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u w:val="single" w:color="auto"/>
          <w:color w:val="auto"/>
        </w:rPr>
        <w:t>Indemnification</w:t>
      </w:r>
    </w:p>
    <w:p>
      <w:pPr>
        <w:spacing w:after="0" w:line="121" w:lineRule="exact"/>
        <w:rPr>
          <w:sz w:val="20"/>
          <w:szCs w:val="20"/>
          <w:color w:val="auto"/>
        </w:rPr>
      </w:pPr>
    </w:p>
    <w:p>
      <w:pPr>
        <w:jc w:val="both"/>
        <w:ind w:left="460" w:right="240"/>
        <w:spacing w:after="0" w:line="312" w:lineRule="auto"/>
        <w:rPr>
          <w:sz w:val="20"/>
          <w:szCs w:val="20"/>
          <w:color w:val="auto"/>
        </w:rPr>
      </w:pPr>
      <w:r>
        <w:rPr>
          <w:rFonts w:ascii="Arial" w:cs="Arial" w:eastAsia="Arial" w:hAnsi="Arial"/>
          <w:sz w:val="16"/>
          <w:szCs w:val="16"/>
          <w:color w:val="auto"/>
        </w:rPr>
        <w:t>a. Notwithstanding anything to the contrary in this Agreement, the Issuer and the Bank agree that, except in the case the gross negligence, or willful misconduct of the Bank, the Bank shall not be liable for any losses, damages, liabilities or costs suffered or incurred by the Issuer in relation to this Agreement. The Issuer and the Bank agrees that in any case in which the Bank may be liable as a result of the Bank’s gross negligenceor</w:t>
      </w:r>
    </w:p>
    <w:p>
      <w:pPr>
        <w:sectPr>
          <w:pgSz w:w="11900" w:h="16838" w:orient="portrait"/>
          <w:cols w:equalWidth="0" w:num="1">
            <w:col w:w="11360"/>
          </w:cols>
          <w:pgMar w:left="240" w:top="274" w:right="299" w:bottom="1440" w:gutter="0" w:footer="0" w:header="0"/>
        </w:sectPr>
      </w:pPr>
    </w:p>
    <w:bookmarkStart w:id="187" w:name="page188"/>
    <w:bookmarkEnd w:id="187"/>
    <w:p>
      <w:pPr>
        <w:ind w:left="460"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willful misconduct of the Bank, the Bank will only be liable up to an amount equal to the aggregate of the fees paid by the Issuer to the Bank in respect hereof plus any amount of indemnification previously received by the Bank from the Issuer in accordance with the provisions hereof. The Issuer, in the absence of gross negligence, or willful misconduct of the Bank, agrees to indemnify the Bank and hold it harmless from and against (x) any and all actions, claims (groundless or otherwise), suits, losses, fines and penalties arising out of the Bank’s performance of its obligations in accordance with this Agreement and (y) any damages, costs, expenses (including reasonable legal fees and disbursements), losses or liabilities incurred by the Bank to the extent relating to any such actions, claims, suits, losses, fines or penalties or to any breach of this Agreement by the Issuer.</w:t>
      </w:r>
    </w:p>
    <w:p>
      <w:pPr>
        <w:spacing w:after="0" w:line="57"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b. Notwithstanding any contrary provision herein, neither the Bank nor its affiliates, suppliers, contractors, service providers, directors, officers, employees and agents will be liable for any damages, including without limitation, direct or indirect, incidental, special, consequential, exemplary or punitive damages arising out of or in any way related to this Agreement or IPASS, including the delivery of, or the implementation of Instructions as delivered, through IPASS, whether based on contract, tort, strict liability or otherwise. This provision applies without limitation to any damages or injury arising from any failure of performance, error, omission, interruption, deletion, defect, delay in operation or transmission, computer virus, line system failure, file corruption, network or system outage, or loss, use or modification of content or data, even if advised of the possibility of such damages. No third party, including but not limited to any Authorized Person, shall have any right to or claim for indemnification from the Bank under this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survive any termination of this Agreement and the issuance and payment of the Obligations.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u w:val="single" w:color="auto"/>
          <w:color w:val="auto"/>
        </w:rPr>
        <w:t>Termination</w:t>
      </w:r>
    </w:p>
    <w:p>
      <w:pPr>
        <w:spacing w:after="0" w:line="121" w:lineRule="exact"/>
        <w:rPr>
          <w:sz w:val="20"/>
          <w:szCs w:val="20"/>
          <w:color w:val="auto"/>
        </w:rPr>
      </w:pPr>
    </w:p>
    <w:p>
      <w:pPr>
        <w:ind w:left="460" w:right="320"/>
        <w:spacing w:after="0" w:line="308" w:lineRule="auto"/>
        <w:rPr>
          <w:sz w:val="20"/>
          <w:szCs w:val="20"/>
          <w:color w:val="auto"/>
        </w:rPr>
      </w:pPr>
      <w:r>
        <w:rPr>
          <w:rFonts w:ascii="Arial" w:cs="Arial" w:eastAsia="Arial" w:hAnsi="Arial"/>
          <w:sz w:val="17"/>
          <w:szCs w:val="17"/>
          <w:color w:val="auto"/>
        </w:rPr>
        <w:t xml:space="preserve">a. This Agreement shall terminate on the date that is the earlier of (i) the date on which the Certificate Agreement is no longer in place for whatever reason and (ii) the date on which the Bank or the Issuer has terminated this Agreement in accordance with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38" w:lineRule="exact"/>
        <w:rPr>
          <w:sz w:val="20"/>
          <w:szCs w:val="20"/>
          <w:color w:val="auto"/>
        </w:rPr>
      </w:pPr>
    </w:p>
    <w:p>
      <w:pPr>
        <w:jc w:val="both"/>
        <w:ind w:left="460" w:right="240"/>
        <w:spacing w:after="0" w:line="312" w:lineRule="auto"/>
        <w:rPr>
          <w:sz w:val="20"/>
          <w:szCs w:val="20"/>
          <w:color w:val="auto"/>
        </w:rPr>
      </w:pPr>
      <w:r>
        <w:rPr>
          <w:rFonts w:ascii="Arial" w:cs="Arial" w:eastAsia="Arial" w:hAnsi="Arial"/>
          <w:sz w:val="16"/>
          <w:szCs w:val="16"/>
          <w:color w:val="auto"/>
        </w:rPr>
        <w:t>b. The Bank may terminate this Agreement at any time with not less than seven (7) day’s prior written notice to the Issuer. The Issuer may terminate this Agreement at any time by not less than thirty (30) days’ prior written notice to the Bank. In the event this Agreement is terminated by the Issuer, the Issuer shall bear any reasonable costs related to the transfer or completion of the Bank’s responsibilities hereunder.</w:t>
      </w:r>
    </w:p>
    <w:p>
      <w:pPr>
        <w:spacing w:after="0" w:line="3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 xml:space="preserve">c. No termination of this Agreement shall affect the rights and obligations of the Issuer and the Bank which have accrued under this Agreement prior to such termination. In the event of termination of this Agreement, for any reason, the Bank agrees that it shall cooperate with the Issuer or its designee for the orderly transition of services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herein shall be construed as requiring the Bank to continue meeting its obligations hereunder until such time as a replacement for the Bank is appointed by the Issuer.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survive any termination of this Agreement and the issuance and payment of the Obligations.</w:t>
      </w:r>
    </w:p>
    <w:p>
      <w:pPr>
        <w:sectPr>
          <w:pgSz w:w="11900" w:h="16838" w:orient="portrait"/>
          <w:cols w:equalWidth="0" w:num="1">
            <w:col w:w="11420"/>
          </w:cols>
          <w:pgMar w:left="240" w:top="274" w:right="239" w:bottom="1440" w:gutter="0" w:footer="0" w:header="0"/>
        </w:sectPr>
      </w:pPr>
    </w:p>
    <w:bookmarkStart w:id="188" w:name="page189"/>
    <w:bookmarkEnd w:id="188"/>
    <w:p>
      <w:pPr>
        <w:spacing w:after="0" w:line="209" w:lineRule="auto"/>
        <w:framePr w:w="2360" w:h="160" w:wrap="auto" w:vAnchor="page" w:hAnchor="page" w:x="2840" w:y="9839"/>
        <w:rPr>
          <w:rFonts w:ascii="Arial" w:cs="Arial" w:eastAsia="Arial" w:hAnsi="Arial"/>
          <w:sz w:val="16"/>
          <w:szCs w:val="16"/>
          <w:color w:val="auto"/>
        </w:rPr>
      </w:pPr>
      <w:r>
        <w:rPr>
          <w:rFonts w:ascii="Arial" w:cs="Arial" w:eastAsia="Arial" w:hAnsi="Arial"/>
          <w:sz w:val="16"/>
          <w:szCs w:val="16"/>
          <w:color w:val="auto"/>
        </w:rPr>
        <w:t>312-453-4443 or 312-453-3478</w:t>
      </w:r>
    </w:p>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w:t>
      </w:r>
      <w:r>
        <w:rPr>
          <w:sz w:val="20"/>
          <w:szCs w:val="20"/>
          <w:color w:val="auto"/>
        </w:rPr>
        <w:tab/>
      </w:r>
      <w:r>
        <w:rPr>
          <w:rFonts w:ascii="Arial" w:cs="Arial" w:eastAsia="Arial" w:hAnsi="Arial"/>
          <w:sz w:val="15"/>
          <w:szCs w:val="15"/>
          <w:b w:val="1"/>
          <w:bCs w:val="1"/>
          <w:u w:val="single" w:color="auto"/>
          <w:color w:val="auto"/>
        </w:rPr>
        <w:t>Addresses</w:t>
      </w:r>
    </w:p>
    <w:p>
      <w:pPr>
        <w:spacing w:after="0" w:line="121" w:lineRule="exact"/>
        <w:rPr>
          <w:rFonts w:ascii="Arial" w:cs="Arial" w:eastAsia="Arial" w:hAnsi="Arial"/>
          <w:sz w:val="16"/>
          <w:szCs w:val="16"/>
          <w:color w:val="auto"/>
        </w:rPr>
      </w:pPr>
    </w:p>
    <w:p>
      <w:pPr>
        <w:jc w:val="both"/>
        <w:ind w:left="460"/>
        <w:spacing w:after="0" w:line="264" w:lineRule="auto"/>
        <w:rPr>
          <w:sz w:val="20"/>
          <w:szCs w:val="20"/>
          <w:color w:val="auto"/>
        </w:rPr>
      </w:pPr>
      <w:r>
        <w:rPr>
          <w:rFonts w:ascii="Arial" w:cs="Arial" w:eastAsia="Arial" w:hAnsi="Arial"/>
          <w:sz w:val="18"/>
          <w:szCs w:val="18"/>
          <w:color w:val="auto"/>
        </w:rPr>
        <w:t>a. Instructions hereunder shall be mailed, faxed, emailed, or transmitted via IPASS or DTC PIM to the Bank at the address, facsimile number, or email address specified below, as applicable, and shall be deemed delivered upon actual receipt by the Bank’s Commercial Paper Issuance Operations at the address, facsimile number or e-mail address specified below:</w:t>
      </w:r>
    </w:p>
    <w:p>
      <w:pPr>
        <w:spacing w:after="0" w:line="181"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Bank of America, National Association</w:t>
      </w:r>
    </w:p>
    <w:p>
      <w:pPr>
        <w:spacing w:after="0" w:line="23"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135 South LaSalle Street</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IL4-135-18-11</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Chicago, Illinois 60603</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Attn: IPA Services</w:t>
      </w:r>
    </w:p>
    <w:p>
      <w:pPr>
        <w:spacing w:after="0" w:line="9" w:lineRule="exact"/>
        <w:rPr>
          <w:rFonts w:ascii="Arial" w:cs="Arial" w:eastAsia="Arial" w:hAnsi="Arial"/>
          <w:sz w:val="16"/>
          <w:szCs w:val="16"/>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(312) 992-7990</w:t>
      </w:r>
    </w:p>
    <w:p>
      <w:pPr>
        <w:spacing w:after="0" w:line="9" w:lineRule="exact"/>
        <w:rPr>
          <w:rFonts w:ascii="Arial" w:cs="Arial" w:eastAsia="Arial" w:hAnsi="Arial"/>
          <w:sz w:val="16"/>
          <w:szCs w:val="16"/>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(866) 940-0414</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Email: IPA.US@baml.com</w:t>
      </w:r>
    </w:p>
    <w:p>
      <w:pPr>
        <w:spacing w:after="0" w:line="211" w:lineRule="exact"/>
        <w:rPr>
          <w:rFonts w:ascii="Arial" w:cs="Arial" w:eastAsia="Arial" w:hAnsi="Arial"/>
          <w:sz w:val="16"/>
          <w:szCs w:val="16"/>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b. All notices, requests, demands and other communications hereunder (excluding Instructions) shall be in writing and shall be deemed to have been duly given (i) upon delivery by hand (against receipt), or (ii) by United States Post Office registered mail (against receipt) or by regular mail (when mailed) to the Party, in each case at the address set forth below or at such other address as either party may designate by written notice:</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w:t>
      </w:r>
    </w:p>
    <w:p>
      <w:pPr>
        <w:spacing w:after="0" w:line="225"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Waste Management, Inc.</w:t>
      </w:r>
    </w:p>
    <w:p>
      <w:pPr>
        <w:spacing w:after="0" w:line="23"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1001 Fannin,</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Houston, TX 77002</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Attn: Treasurer</w:t>
      </w:r>
    </w:p>
    <w:p>
      <w:pPr>
        <w:spacing w:after="0" w:line="9" w:lineRule="exact"/>
        <w:rPr>
          <w:rFonts w:ascii="Arial" w:cs="Arial" w:eastAsia="Arial" w:hAnsi="Arial"/>
          <w:sz w:val="16"/>
          <w:szCs w:val="16"/>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713-394-2189</w:t>
      </w:r>
    </w:p>
    <w:p>
      <w:pPr>
        <w:spacing w:after="0" w:line="9" w:lineRule="exact"/>
        <w:rPr>
          <w:rFonts w:ascii="Arial" w:cs="Arial" w:eastAsia="Arial" w:hAnsi="Arial"/>
          <w:sz w:val="16"/>
          <w:szCs w:val="16"/>
          <w:color w:val="auto"/>
        </w:rPr>
      </w:pPr>
    </w:p>
    <w:p>
      <w:pPr>
        <w:ind w:left="1500"/>
        <w:spacing w:after="0"/>
        <w:tabs>
          <w:tab w:leader="none" w:pos="26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713-942-1580</w:t>
      </w:r>
    </w:p>
    <w:p>
      <w:pPr>
        <w:spacing w:after="0" w:line="211" w:lineRule="exact"/>
        <w:rPr>
          <w:rFonts w:ascii="Arial" w:cs="Arial" w:eastAsia="Arial" w:hAnsi="Arial"/>
          <w:sz w:val="16"/>
          <w:szCs w:val="16"/>
          <w:color w:val="auto"/>
        </w:rPr>
      </w:pPr>
    </w:p>
    <w:p>
      <w:pPr>
        <w:ind w:left="92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Waste Management, Inc.</w:t>
      </w:r>
    </w:p>
    <w:p>
      <w:pPr>
        <w:spacing w:after="0" w:line="23"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1001 Fannin</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Houston, TX 77002</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9" w:lineRule="exact"/>
        <w:rPr>
          <w:rFonts w:ascii="Arial" w:cs="Arial" w:eastAsia="Arial" w:hAnsi="Arial"/>
          <w:sz w:val="16"/>
          <w:szCs w:val="16"/>
          <w:color w:val="auto"/>
        </w:rPr>
      </w:pPr>
    </w:p>
    <w:p>
      <w:pPr>
        <w:ind w:left="150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713-209-9710</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E-mail: GCLegal@wm.com</w:t>
      </w:r>
    </w:p>
    <w:p>
      <w:pPr>
        <w:spacing w:after="0" w:line="238" w:lineRule="exact"/>
        <w:rPr>
          <w:rFonts w:ascii="Arial" w:cs="Arial" w:eastAsia="Arial" w:hAnsi="Arial"/>
          <w:sz w:val="16"/>
          <w:szCs w:val="16"/>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Bank:</w:t>
      </w:r>
    </w:p>
    <w:p>
      <w:pPr>
        <w:spacing w:after="0" w:line="225"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Bank of America, National Association</w:t>
      </w:r>
    </w:p>
    <w:p>
      <w:pPr>
        <w:spacing w:after="0" w:line="23"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135 South LaSalle Street</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IL4-135-05-07</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Chicago, Illinois 60603</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Attn: IPA Services</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Telephone:</w:t>
      </w:r>
    </w:p>
    <w:p>
      <w:pPr>
        <w:spacing w:after="0" w:line="9" w:lineRule="exact"/>
        <w:rPr>
          <w:rFonts w:ascii="Arial" w:cs="Arial" w:eastAsia="Arial" w:hAnsi="Arial"/>
          <w:sz w:val="16"/>
          <w:szCs w:val="16"/>
          <w:color w:val="auto"/>
        </w:rPr>
      </w:pPr>
    </w:p>
    <w:p>
      <w:pPr>
        <w:ind w:left="1500"/>
        <w:spacing w:after="0"/>
        <w:rPr>
          <w:sz w:val="20"/>
          <w:szCs w:val="20"/>
          <w:color w:val="auto"/>
        </w:rPr>
      </w:pPr>
      <w:r>
        <w:rPr>
          <w:rFonts w:ascii="Arial" w:cs="Arial" w:eastAsia="Arial" w:hAnsi="Arial"/>
          <w:sz w:val="18"/>
          <w:szCs w:val="18"/>
          <w:color w:val="auto"/>
        </w:rPr>
        <w:t>Facsimile:</w:t>
      </w:r>
    </w:p>
    <w:p>
      <w:pPr>
        <w:sectPr>
          <w:pgSz w:w="11900" w:h="16838" w:orient="portrait"/>
          <w:cols w:equalWidth="0" w:num="1">
            <w:col w:w="11300"/>
          </w:cols>
          <w:pgMar w:left="240" w:top="270" w:right="359" w:bottom="1440" w:gutter="0" w:footer="0" w:header="0"/>
        </w:sectPr>
      </w:pPr>
    </w:p>
    <w:bookmarkStart w:id="189" w:name="page190"/>
    <w:bookmarkEnd w:id="18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w:t>
      </w:r>
      <w:r>
        <w:rPr>
          <w:sz w:val="20"/>
          <w:szCs w:val="20"/>
          <w:color w:val="auto"/>
        </w:rPr>
        <w:tab/>
      </w:r>
      <w:r>
        <w:rPr>
          <w:rFonts w:ascii="Arial" w:cs="Arial" w:eastAsia="Arial" w:hAnsi="Arial"/>
          <w:sz w:val="16"/>
          <w:szCs w:val="16"/>
          <w:b w:val="1"/>
          <w:bCs w:val="1"/>
          <w:u w:val="single" w:color="auto"/>
          <w:color w:val="auto"/>
        </w:rPr>
        <w:t>Funds Held on Account; No Interest Earned</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Funds received by the Bank in accordance with the issuance of Obligations or payments on the Obligations shall be held pursuant to this Agreement until such time as it is transferred in accordance with relevant Instructions or this Agreement. Except as otherwise provided in this Agreement, the Bank shall not be liable for interest on any funds received, or held by, it hereunder.</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u w:val="single" w:color="auto"/>
          <w:color w:val="auto"/>
        </w:rPr>
        <w:t>Miscellaneous</w:t>
      </w:r>
    </w:p>
    <w:p>
      <w:pPr>
        <w:spacing w:after="0" w:line="121"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a. This Agreement shall be governed by and interpreted in accordance with the laws of the State of New York and, as applicable, operating circulars of the Federal Reserve Bank, federal laws and regulations as amended, New York Clearing House rules, the DTC Rules, and general commercial bank practices applicable to commercial paper issuance and payment, funds transfer and related activities.</w:t>
      </w:r>
    </w:p>
    <w:p>
      <w:pPr>
        <w:spacing w:after="0" w:line="57" w:lineRule="exact"/>
        <w:rPr>
          <w:sz w:val="20"/>
          <w:szCs w:val="20"/>
          <w:color w:val="auto"/>
        </w:rPr>
      </w:pPr>
    </w:p>
    <w:p>
      <w:pPr>
        <w:ind w:left="460" w:right="80"/>
        <w:spacing w:after="0" w:line="270" w:lineRule="auto"/>
        <w:rPr>
          <w:sz w:val="20"/>
          <w:szCs w:val="20"/>
          <w:color w:val="auto"/>
        </w:rPr>
      </w:pPr>
      <w:r>
        <w:rPr>
          <w:rFonts w:ascii="Arial" w:cs="Arial" w:eastAsia="Arial" w:hAnsi="Arial"/>
          <w:sz w:val="17"/>
          <w:szCs w:val="17"/>
          <w:color w:val="auto"/>
        </w:rPr>
        <w:t>b. The Issuer and the Bank irrevocably agree that the courts of the United States federal courts or the courts of the State of New York sitting in the Borough of Manhattan are to have jurisdiction to settle any disputes or determine any proceedings (respectively, “</w:t>
      </w:r>
      <w:r>
        <w:rPr>
          <w:rFonts w:ascii="Arial" w:cs="Arial" w:eastAsia="Arial" w:hAnsi="Arial"/>
          <w:sz w:val="17"/>
          <w:szCs w:val="17"/>
          <w:u w:val="single" w:color="auto"/>
          <w:color w:val="auto"/>
        </w:rPr>
        <w:t>Disputes</w:t>
      </w:r>
      <w:r>
        <w:rPr>
          <w:rFonts w:ascii="Arial" w:cs="Arial" w:eastAsia="Arial" w:hAnsi="Arial"/>
          <w:sz w:val="17"/>
          <w:szCs w:val="17"/>
          <w:color w:val="auto"/>
        </w:rPr>
        <w:t>” and “</w:t>
      </w:r>
      <w:r>
        <w:rPr>
          <w:rFonts w:ascii="Arial" w:cs="Arial" w:eastAsia="Arial" w:hAnsi="Arial"/>
          <w:sz w:val="17"/>
          <w:szCs w:val="17"/>
          <w:u w:val="single" w:color="auto"/>
          <w:color w:val="auto"/>
        </w:rPr>
        <w:t>Proceedings</w:t>
      </w:r>
      <w:r>
        <w:rPr>
          <w:rFonts w:ascii="Arial" w:cs="Arial" w:eastAsia="Arial" w:hAnsi="Arial"/>
          <w:sz w:val="17"/>
          <w:szCs w:val="17"/>
          <w:color w:val="auto"/>
        </w:rPr>
        <w:t>”) which may arise out of or in connection with this Agreement, any Instructions or any Obligations and that accordingly any Proceeding or Dispute so arising may be brought in such courts. Each of the Issuer and the Bank irrevocably and unconditionally waive and agrees not to raise any objection which it may have now or subsequently to the laying of the venue of any Disputes or Proceedings in the courts of New York and any claim that any Disputes or Proceedings have been brought in an inconvenient forum and further irrevocably and unconditionally agrees that a judgment in any Disputes or Proceedings brought in the courts of New York shall be conclusive and binding upon the Issuer and the Bank and may be enforced in the courts of any other jurisdiction. Nothing in this clause shall limit any right to take Disputes or Proceedings against the Issuer in any other court of competent jurisdiction, nor shall the taking of Disputes or Proceedings in one or more jurisdictions preclude the taking of Disputes or Proceedings against the Issuer in any other jurisdiction, whether concurrently or not.</w:t>
      </w:r>
    </w:p>
    <w:p>
      <w:pPr>
        <w:spacing w:after="0" w:line="70"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c. This Agreement may not be assigned by the Issuer and may not be modified, or amended or supplemented except by a writing or writings duly executed by the duly authorized representatives of the Issuer and the Bank.</w:t>
      </w:r>
    </w:p>
    <w:p>
      <w:pPr>
        <w:spacing w:after="0" w:line="62"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d. Neither Party will use the other’s name or refer to the other Party, directly or indirectly, in any solicitation, marketing material, advertisement, news release or other release to any publication with out receiving the other Party’s specific prior written approval for each such use or release.</w:t>
      </w:r>
    </w:p>
    <w:p>
      <w:pPr>
        <w:sectPr>
          <w:pgSz w:w="11900" w:h="16838" w:orient="portrait"/>
          <w:cols w:equalWidth="0" w:num="1">
            <w:col w:w="11400"/>
          </w:cols>
          <w:pgMar w:left="240" w:top="270" w:right="259" w:bottom="1440" w:gutter="0" w:footer="0" w:header="0"/>
        </w:sectPr>
      </w:pPr>
    </w:p>
    <w:bookmarkStart w:id="190" w:name="page191"/>
    <w:bookmarkEnd w:id="190"/>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No failure or delay on the part of any Party in exercising any power of right under this Agreement shall operate as a waiver, nor does any single or partial exercise of any power or right preclude any other or further exercise of any other power or right. Any such waiver shall be effective only in the specific instance and for the purpose for which it is given.</w:t>
      </w:r>
    </w:p>
    <w:p>
      <w:pPr>
        <w:spacing w:after="0" w:line="7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f. This Agreement, together with the exhibits attached hereto, contains the entire understanding and agreement between the Bank and the Issuer with respect to the Obligations. All prior agreements, understandings, representations, statements, promises, inducements, negotiations, and undertakings and all existing contracts previously executed between the Bank and the Issuer with respect to the Obligations are superseded in whole hereby.</w:t>
      </w:r>
    </w:p>
    <w:p>
      <w:pPr>
        <w:spacing w:after="0" w:line="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 With respect to all references herein to nouns, insofar as the context requires, the singular form shall be deemed to include the plural, and the plural form shall be deemed to include the singular. Titles to Sections of this Agreement are included for convenience of reference only and shall be disregarded in construing the language contained in this Agreement.</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 In no event shall the Bank be liable for any failure or delay in the performance of its obligations hereunder because circumstances beyond the Bank’s control, including, but not limited to, acts of God, flood, war (whether declared or undeclared), terrorism, fire, riot, embargo, government action, including any laws, ordinances, regulations or the like which restrict or prohibit the providing of the services contemplated by this Agreement. The Bank has no responsibility if DTC fails to perform in any respect.</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 Following its receipt of written request of the Issuer, the Bank shall provide the Issuer with information the Bank has with respect to any Obligations issued and paid hereunder. In addition, the Bank agrees to cooperate with the Issuer with respect to any matter directly or indirectly related to examinations, audits, inspections, and other regulatory proceedings performed by internal or external auditors of the Issuer or by any regulatory agency with jurisdiction over the Issuer. All costs and expenses (including reasonable legal expenses) incurred by the Bank in conjunction with this clause (i) of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shall be promptly reimbursed by the Issuer upon written demand to the Issuer by the Bank.</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 This Agreement may be executed in several counterparts, each of which shall be an original, but all of which together shall constitute one and the same Agreement. This Agreement, signed and transmitted by facsimile or Portable Document Format (PDF), is to be treated as an original document and the signature of any party hereon, if so transmitted, is to be considered as an original signature, and the document so transmitted is to be considered to have the same binding effect as a manually executed original.</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 The Issuer shall deliver to the Bank a duly executed Corporate Resolution or such other documentation of such officer’s authorization to open accounts and execute agreements and/or act on behalf of the Issuer as the Bank may reasonably require.</w:t>
      </w:r>
    </w:p>
    <w:p>
      <w:pPr>
        <w:sectPr>
          <w:pgSz w:w="11900" w:h="16838" w:orient="portrait"/>
          <w:cols w:equalWidth="0" w:num="1">
            <w:col w:w="10920"/>
          </w:cols>
          <w:pgMar w:left="700" w:top="274" w:right="279" w:bottom="1440" w:gutter="0" w:footer="0" w:header="0"/>
        </w:sectPr>
      </w:pPr>
    </w:p>
    <w:bookmarkStart w:id="191" w:name="page192"/>
    <w:bookmarkEnd w:id="19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 The Bank and the Issuer are authorized to withhold and remit any taxes in accordance with applicable law and will not be required to pay any additional amounts in respect of such withholding.</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survive any termination of this Agreement and the issuance and payment of the Obligations.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340"/>
          </w:cols>
          <w:pgMar w:left="700" w:top="274" w:right="859" w:bottom="1440" w:gutter="0" w:footer="0" w:header="0"/>
        </w:sectPr>
      </w:pPr>
    </w:p>
    <w:bookmarkStart w:id="192" w:name="page193"/>
    <w:bookmarkEnd w:id="19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Bank and the Issuer have caused this Agreement to be executed on their behalf by their respective officers thereto duly authorized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Bank of America, National Association</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Waste Management,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/s/ Marili Nieminski</w:t>
            </w:r>
          </w:p>
        </w:tc>
        <w:tc>
          <w:tcPr>
            <w:tcW w:w="6040" w:type="dxa"/>
            <w:vAlign w:val="bottom"/>
            <w:gridSpan w:val="3"/>
          </w:tcPr>
          <w:p>
            <w:pPr>
              <w:ind w:left="660"/>
              <w:spacing w:after="0"/>
              <w:rPr>
                <w:sz w:val="20"/>
                <w:szCs w:val="20"/>
                <w:color w:val="auto"/>
              </w:rPr>
            </w:pPr>
            <w:r>
              <w:rPr>
                <w:rFonts w:ascii="Arial" w:cs="Arial" w:eastAsia="Arial" w:hAnsi="Arial"/>
                <w:sz w:val="18"/>
                <w:szCs w:val="18"/>
                <w:i w:val="1"/>
                <w:iCs w:val="1"/>
                <w:color w:val="auto"/>
              </w:rPr>
              <w:t>/s/ Devina A. Rankin</w:t>
            </w:r>
          </w:p>
        </w:tc>
      </w:tr>
      <w:tr>
        <w:trPr>
          <w:trHeight w:val="209"/>
        </w:trPr>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8"/>
                <w:szCs w:val="18"/>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Name: Marili Nieminski</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Name: Devina A. Rankin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00"/>
              <w:spacing w:after="0"/>
              <w:rPr>
                <w:sz w:val="20"/>
                <w:szCs w:val="20"/>
                <w:color w:val="auto"/>
              </w:rPr>
            </w:pPr>
            <w:r>
              <w:rPr>
                <w:rFonts w:ascii="Arial" w:cs="Arial" w:eastAsia="Arial" w:hAnsi="Arial"/>
                <w:sz w:val="18"/>
                <w:szCs w:val="18"/>
                <w:color w:val="auto"/>
              </w:rPr>
              <w:t>August 17, 2016</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Pr>
          <w:p>
            <w:pPr>
              <w:ind w:left="100"/>
              <w:spacing w:after="0"/>
              <w:rPr>
                <w:sz w:val="20"/>
                <w:szCs w:val="20"/>
                <w:color w:val="auto"/>
              </w:rPr>
            </w:pPr>
            <w:r>
              <w:rPr>
                <w:rFonts w:ascii="Arial" w:cs="Arial" w:eastAsia="Arial" w:hAnsi="Arial"/>
                <w:sz w:val="18"/>
                <w:szCs w:val="18"/>
                <w:color w:val="auto"/>
              </w:rPr>
              <w:t>August 11, 2016</w:t>
            </w:r>
          </w:p>
        </w:tc>
      </w:tr>
    </w:tbl>
    <w:p>
      <w:pPr>
        <w:sectPr>
          <w:pgSz w:w="11900" w:h="16838" w:orient="portrait"/>
          <w:cols w:equalWidth="0" w:num="1">
            <w:col w:w="11420"/>
          </w:cols>
          <w:pgMar w:left="240" w:top="27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149350" cy="4718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493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August 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Boettcher,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Chuck,</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pleased to offer you the position of Vice President and General Counsel for Waste Management. You will be reporting to Barry Caldwell, with an anticipated start date no later than September 15, 2016, or a later date if mutually agreed. Subject to approval by Waste Management’s Board of Directors, you will be appointed Senior Vice President and Chief Legal Officer no later than January 1, 2017, reporting to the Company’s President and/or Chief Executive Officer. Below are the complete details of our offer as discussed.</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annualized salary will be $510,000, payable in accordance with the Company’s standard payroll practice for exempt employees.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will be subject to review on an annual basis and may be adjusted based on merit.</w:t>
      </w:r>
    </w:p>
    <w:p>
      <w:pPr>
        <w:spacing w:after="0" w:line="1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Annual Incentive (Bonus) Plan</w:t>
      </w:r>
      <w:r>
        <w:rPr>
          <w:rFonts w:ascii="Arial" w:cs="Arial" w:eastAsia="Arial" w:hAnsi="Arial"/>
          <w:sz w:val="16"/>
          <w:szCs w:val="16"/>
          <w:color w:val="auto"/>
        </w:rPr>
        <w:t>. You will be eligible to participate in our Annual Incentive Plan, with an initial target of 75% of your base salary. 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and calculation of any bonus are governed by the applicable Waste Management Incentive Compensation Plan and are subject to the approval of the Compensation Committee of Waste Management’s Board of Directors. The bonus, if any, will be paid in the year following the subject bonus year. Your bonus, if any, with respect to 2016 will not be prorated (that is, it will be calculated as if you had earned a full year’s salary as stated above during 2016). In order to be eligible for a bonus, an employee must be employed on the last day of the year in which the bonus is calculated.</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Long Term Incentive Plans </w:t>
      </w:r>
      <w:r>
        <w:rPr>
          <w:rFonts w:ascii="Arial" w:cs="Arial" w:eastAsia="Arial" w:hAnsi="Arial"/>
          <w:sz w:val="18"/>
          <w:szCs w:val="18"/>
          <w:color w:val="auto"/>
        </w:rPr>
        <w:t>You will be eligible to participate in any long-term incentive plans that may be in place for similarly placed executives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Currently, this plan consists of awards of stock options and performance share units, generally awarded annually. The next award you would be eligible to receive (if deemed appropriate) will be distributed in early 2017. Exclusively the provisions of the applicable incentive plan will govern the award, vesting and exercise of all incentive awards.</w:t>
      </w:r>
    </w:p>
    <w:p>
      <w:pPr>
        <w:spacing w:after="0" w:line="180"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Benefits with COBRA Reimbursement </w:t>
      </w:r>
      <w:r>
        <w:rPr>
          <w:rFonts w:ascii="Arial" w:cs="Arial" w:eastAsia="Arial" w:hAnsi="Arial"/>
          <w:sz w:val="16"/>
          <w:szCs w:val="16"/>
          <w:color w:val="auto"/>
        </w:rPr>
        <w:t>Subject to the terms of the applicable Plans, you will also be eligible to participate in the Company’s Health and</w:t>
      </w:r>
      <w:r>
        <w:rPr>
          <w:rFonts w:ascii="Arial" w:cs="Arial" w:eastAsia="Arial" w:hAnsi="Arial"/>
          <w:sz w:val="16"/>
          <w:szCs w:val="16"/>
          <w:b w:val="1"/>
          <w:bCs w:val="1"/>
          <w:color w:val="auto"/>
        </w:rPr>
        <w:t xml:space="preserve"> </w:t>
      </w:r>
      <w:r>
        <w:rPr>
          <w:rFonts w:ascii="Arial" w:cs="Arial" w:eastAsia="Arial" w:hAnsi="Arial"/>
          <w:sz w:val="16"/>
          <w:szCs w:val="16"/>
          <w:color w:val="auto"/>
        </w:rPr>
        <w:t>Welfare and Retirement Savings plans after 90 days of continuous employment. You will be reimbursed for any COBRA expenses incurred during this time.</w:t>
      </w:r>
    </w:p>
    <w:p>
      <w:pPr>
        <w:spacing w:after="0" w:line="11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 will be eligible to accrue up to four week(s) of vacation per year (pro-rated in the calendar year of hire). Vacation time will begin to accrue as</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first day of employment.</w:t>
      </w:r>
    </w:p>
    <w:p>
      <w:pPr>
        <w:spacing w:after="0" w:line="16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Senior Executive Plan </w:t>
      </w:r>
      <w:r>
        <w:rPr>
          <w:rFonts w:ascii="Arial" w:cs="Arial" w:eastAsia="Arial" w:hAnsi="Arial"/>
          <w:sz w:val="18"/>
          <w:szCs w:val="18"/>
          <w:color w:val="auto"/>
        </w:rPr>
        <w:t>The Company will provide you with the Senior Executive Plan relocation benefit. The Company’s relocation consultant will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contact with you to discuss this service and provide you with a copy of the plan description. If within two (2) years of the effective date of your transfer or hire you voluntarily resign, are terminated for cause, or do not relocate within twelve (12) months, you agree to repay 100% of any relocation benefits provided.</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The Company shall, within thirty (30) days of hire, provide a sign-on bonus of $500,000, less applicable withholdings. Should you</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voluntarily terminate your employment with the Company prior to the completion of two (2) years of service, you will be required to reimburse the Company for the entire sign-on bonus payment. In addition, in the month following your hire date, the Company will make a new hire grant of restricted stock units with a grant date value of $250,000 vesting on the third anniversary of the grant date.</w:t>
      </w:r>
    </w:p>
    <w:p>
      <w:pPr>
        <w:sectPr>
          <w:pgSz w:w="11900" w:h="16838" w:orient="portrait"/>
          <w:cols w:equalWidth="0" w:num="1">
            <w:col w:w="11420"/>
          </w:cols>
          <w:pgMar w:left="240" w:top="121"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Parking </w:t>
      </w:r>
      <w:r>
        <w:rPr>
          <w:rFonts w:ascii="Arial" w:cs="Arial" w:eastAsia="Arial" w:hAnsi="Arial"/>
          <w:sz w:val="18"/>
          <w:szCs w:val="18"/>
          <w:color w:val="auto"/>
        </w:rPr>
        <w:t>You are immediately eligible for downtown parking or commuter bus fare provided by the Company.</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Separation from Service </w:t>
      </w:r>
      <w:r>
        <w:rPr>
          <w:rFonts w:ascii="Arial" w:cs="Arial" w:eastAsia="Arial" w:hAnsi="Arial"/>
          <w:sz w:val="18"/>
          <w:szCs w:val="18"/>
          <w:color w:val="auto"/>
        </w:rPr>
        <w:t>Rights and obligations upon your separation from service are detailed in Exhibit A to this letter and incorporated herein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Acceptance of this offer of employment with the Company does not constitute a “contract” of employment for a definite period of time. Your employment with the Company is pursuant to the employment–at–will–doctrine. As such, the Company may terminate your employment at any time with or without cause, and you may resign at any time.</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Loyalty and Confidentiality Agreement </w:t>
      </w:r>
      <w:r>
        <w:rPr>
          <w:rFonts w:ascii="Arial" w:cs="Arial" w:eastAsia="Arial" w:hAnsi="Arial"/>
          <w:sz w:val="18"/>
          <w:szCs w:val="18"/>
          <w:color w:val="auto"/>
        </w:rPr>
        <w:t>As a condition of employment, you will be required to sign the Loyalty and Confidentiality Agreement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B to this letter.</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 a world-class organization, it is our philosophy at Waste Management that we must have a solid foundation on which to build. One of the most important parts of that foundation is the talent of our and our subsidiaries’ employees, and it is our goal to provide an environment of mutual trust and respect that will enable the continued growth and success of each and every member of the Waste Management team. With your professional capabilities and accomplishments, we believe you will be a great asset to the Company.</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offer is contingent upon successful completion of a background check, drug test and if your position requires driving in order to perform the essential duties and responsibilities, a motor vehicle record check.</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by accepting this offer, you are confirming that you are not currently subject to any agreements or employment restrictions that would prevent you from accepting this offer or working for the Company in the offered position. In the event that you are subject to employment restrictions that impact your employment with the Company, you understand that the Company has the right to terminate your employment as a result of such restrictions. You also agree that during your employment at Waste Management you will not utilize any confidential information obtained from your former employer in the course of carrying out your job duties at Waste Management.</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look forward to having you join the Waste Management team. Please acknowledge your acceptance of this offer, and the terms and conditions of your employment, by signing this letter.</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have any questions, Jim Fish can be contacted at 713-394-2213. If you should have any questions for your Human Resources Representative, you can reach Laura Naumann at 713-394-5351 or lnaumann@wm.com.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Trevathan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Jim Trevathan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EVP and Chief Operating Officer</w:t>
      </w:r>
    </w:p>
    <w:p>
      <w:pPr>
        <w:spacing w:after="0" w:line="211" w:lineRule="exact"/>
        <w:rPr>
          <w:sz w:val="20"/>
          <w:szCs w:val="20"/>
          <w:color w:val="auto"/>
        </w:rPr>
      </w:pPr>
    </w:p>
    <w:p>
      <w:pPr>
        <w:spacing w:after="0"/>
        <w:tabs>
          <w:tab w:leader="none" w:pos="2940" w:val="left"/>
          <w:tab w:leader="none" w:pos="3440" w:val="left"/>
        </w:tabs>
        <w:rPr>
          <w:sz w:val="20"/>
          <w:szCs w:val="20"/>
          <w:color w:val="auto"/>
        </w:rPr>
      </w:pPr>
      <w:r>
        <w:rPr>
          <w:rFonts w:ascii="Arial" w:cs="Arial" w:eastAsia="Arial" w:hAnsi="Arial"/>
          <w:sz w:val="18"/>
          <w:szCs w:val="18"/>
          <w:color w:val="auto"/>
        </w:rPr>
        <w:t>AGREED and ACCEPTED this</w:t>
      </w:r>
      <w:r>
        <w:rPr>
          <w:sz w:val="20"/>
          <w:szCs w:val="20"/>
          <w:color w:val="auto"/>
        </w:rPr>
        <w:tab/>
      </w:r>
      <w:r>
        <w:rPr>
          <w:rFonts w:ascii="Arial" w:cs="Arial" w:eastAsia="Arial" w:hAnsi="Arial"/>
          <w:sz w:val="18"/>
          <w:szCs w:val="18"/>
          <w:color w:val="auto"/>
        </w:rPr>
        <w:t>5th</w:t>
      </w:r>
      <w:r>
        <w:rPr>
          <w:sz w:val="20"/>
          <w:szCs w:val="20"/>
          <w:color w:val="auto"/>
        </w:rPr>
        <w:tab/>
      </w:r>
      <w:r>
        <w:rPr>
          <w:rFonts w:ascii="Arial" w:cs="Arial" w:eastAsia="Arial" w:hAnsi="Arial"/>
          <w:sz w:val="16"/>
          <w:szCs w:val="16"/>
          <w:color w:val="auto"/>
        </w:rPr>
        <w:t>day of August,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Boettcher</w:t>
      </w:r>
    </w:p>
    <w:p>
      <w:pPr>
        <w:sectPr>
          <w:pgSz w:w="11900" w:h="16838" w:orient="portrait"/>
          <w:cols w:equalWidth="0" w:num="1">
            <w:col w:w="11360"/>
          </w:cols>
          <w:pgMar w:left="240" w:top="270" w:right="29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Compensation upon Termination of Employment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Exhibit is attached to, and constitutes a part of, that certain offer of employment dated August 5, 2016, between USA Waste-Management Resources, LLC, a limited liability company organized under the laws of New York (the “Company”) for and on behalf of its affiliated entities (together with the Company, collectively referred to as the “Company Group”) and Charles Boettcher (“Executive”).</w:t>
      </w:r>
    </w:p>
    <w:p>
      <w:pPr>
        <w:spacing w:after="0" w:line="83"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terms used in this Exhibit shall have the following meanings:</w:t>
      </w:r>
    </w:p>
    <w:p>
      <w:pPr>
        <w:spacing w:after="0" w:line="117" w:lineRule="exact"/>
        <w:rPr>
          <w:rFonts w:ascii="Arial" w:cs="Arial" w:eastAsia="Arial" w:hAnsi="Arial"/>
          <w:sz w:val="18"/>
          <w:szCs w:val="18"/>
          <w:b w:val="1"/>
          <w:bCs w:val="1"/>
          <w:color w:val="auto"/>
        </w:rPr>
      </w:pPr>
    </w:p>
    <w:p>
      <w:pPr>
        <w:ind w:left="460" w:right="3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means Executive’s annual rate of base salary in effect immediately prior to the Termination Date (or, in the event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for Good Reason, the annual rate of base salary in effect immediately prior to the event giving rise to Good Reason if such annual base salary is higher than the annual base salary in effect immediately prior to the Termination Date).</w:t>
      </w:r>
    </w:p>
    <w:p>
      <w:pPr>
        <w:spacing w:after="0" w:line="6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WMI.</w:t>
      </w:r>
    </w:p>
    <w:p>
      <w:pPr>
        <w:spacing w:after="0" w:line="117" w:lineRule="exact"/>
        <w:rPr>
          <w:rFonts w:ascii="Arial" w:cs="Arial" w:eastAsia="Arial" w:hAnsi="Arial"/>
          <w:sz w:val="18"/>
          <w:szCs w:val="18"/>
          <w:b w:val="1"/>
          <w:bCs w:val="1"/>
          <w:color w:val="auto"/>
        </w:rPr>
      </w:pPr>
    </w:p>
    <w:p>
      <w:pPr>
        <w:ind w:left="460" w:right="100"/>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means Executive’s (a) willful or deliberate and continual refusal to perform Executive’s employment duties reasonably requested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Group after receipt of written notice to Executive of such failure to perform, specifying such failure (other than as a result of Executive’s sickness, illness or injury) and failure to cure such nonperformance within ten (10) days of receipt of said written notice; (b) breach of any statutory or common law duty of loyalty to any member of the Company Group; (c) conviction of, or plea of nolo contendre to, any felony or crime involving fraud, dishonesty, or moral turpitude; (d) willful or intentional cause of material injury to the Company Group, its property, or its assets; (e) disclosure or attempted disclosure to any unauthorized person(s) of the Company Group’s proprietary or confidential information; (f) material violation or a repeated and willful violation of the Company Group’s policies or procedures, including but not limited to, any applicable Company Group Code of Business Conduct and Ethics (or any successor policy) then in effect; or (g) breach of any of the covenants set forth in the Loyalty Agreement or any subsequent agreement of similar purpose.</w:t>
      </w:r>
    </w:p>
    <w:p>
      <w:pPr>
        <w:spacing w:after="0" w:line="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first to occur on or after the date on which you commence employment, the occurrence of any of the following events:</w:t>
      </w:r>
    </w:p>
    <w:p>
      <w:pPr>
        <w:spacing w:after="0" w:line="144" w:lineRule="exact"/>
        <w:rPr>
          <w:rFonts w:ascii="Arial" w:cs="Arial" w:eastAsia="Arial" w:hAnsi="Arial"/>
          <w:sz w:val="18"/>
          <w:szCs w:val="18"/>
          <w:b w:val="1"/>
          <w:bCs w:val="1"/>
          <w:color w:val="auto"/>
        </w:rPr>
      </w:pPr>
    </w:p>
    <w:p>
      <w:pPr>
        <w:ind w:left="460" w:right="80" w:firstLine="443"/>
        <w:spacing w:after="0" w:line="312" w:lineRule="auto"/>
        <w:tabs>
          <w:tab w:leader="none" w:pos="1143"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of the Internal Revenue Code), directly or indirectly, including by purchases, mergers, consolidation or otherwise, acquires ownership of securities of WMI that, together with stock held by such Person or Persons, represents fifty percent (50%) or more of the total voting power or total fair market value of WMI’s then outstanding securities;</w:t>
      </w:r>
    </w:p>
    <w:p>
      <w:pPr>
        <w:spacing w:after="0" w:line="38" w:lineRule="exact"/>
        <w:rPr>
          <w:rFonts w:ascii="Arial" w:cs="Arial" w:eastAsia="Arial" w:hAnsi="Arial"/>
          <w:sz w:val="16"/>
          <w:szCs w:val="16"/>
          <w:color w:val="auto"/>
        </w:rPr>
      </w:pPr>
    </w:p>
    <w:p>
      <w:pPr>
        <w:ind w:left="460" w:right="80" w:firstLine="443"/>
        <w:spacing w:after="0" w:line="259" w:lineRule="auto"/>
        <w:tabs>
          <w:tab w:leader="none" w:pos="115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of the Internal Revenue Code), acquires, (or has acquired during the 12-month period ending on the date of the most recent acquisition by such Person or Persons) directly or indirectly, including by purchases, merger, consolidation or otherwise, ownership of the securities of WMI that represent thirty percent (30%) or more of the total voting power of WMI’s then outstanding voting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0" w:right="259" w:bottom="1440" w:gutter="0" w:footer="0" w:header="0"/>
        </w:sectPr>
      </w:pPr>
    </w:p>
    <w:bookmarkStart w:id="196" w:name="page197"/>
    <w:bookmarkEnd w:id="196"/>
    <w:p>
      <w:pPr>
        <w:ind w:right="60" w:firstLine="443"/>
        <w:spacing w:after="0" w:line="255" w:lineRule="auto"/>
        <w:tabs>
          <w:tab w:leader="none" w:pos="6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WMI) whose appointment or election by the Board or nomination for election by WMI’s stockholders was approved or recommended by a vote of at least a majority of the directors before the date of such appointment or election or whose appointment, election or nomination for election was previously so approved or recommended;</w:t>
      </w:r>
    </w:p>
    <w:p>
      <w:pPr>
        <w:spacing w:after="0" w:line="85" w:lineRule="exact"/>
        <w:rPr>
          <w:rFonts w:ascii="Arial" w:cs="Arial" w:eastAsia="Arial" w:hAnsi="Arial"/>
          <w:sz w:val="18"/>
          <w:szCs w:val="18"/>
          <w:color w:val="auto"/>
        </w:rPr>
      </w:pPr>
    </w:p>
    <w:p>
      <w:pPr>
        <w:ind w:firstLine="443"/>
        <w:spacing w:after="0" w:line="276" w:lineRule="auto"/>
        <w:tabs>
          <w:tab w:leader="none" w:pos="69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Person or Persons acting as a group acquires (or has acquired during the 12-month period ending on the date of the most recent acquisition by such Person or Persons) assets from WMI that have a total gross fair market value equal to or more than forty percent (40%) of the total gross fair market value of all of the assets of WMI immediately before such acquisition or acquisitions, other than a sale or disposition by WMI of such assets to an entity, at least fifty percent (50%) of the combined voting power of the voting securities of which are owned by WMI or by the stockholders of WMI in substantially the same proportions as their ownership of WMI immediately prior to such sale.</w:t>
      </w:r>
    </w:p>
    <w:p>
      <w:pPr>
        <w:spacing w:after="0" w:line="60"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“Change in Control Termination</w:t>
      </w:r>
      <w:r>
        <w:rPr>
          <w:rFonts w:ascii="Arial" w:cs="Arial" w:eastAsia="Arial" w:hAnsi="Arial"/>
          <w:sz w:val="18"/>
          <w:szCs w:val="18"/>
          <w:color w:val="auto"/>
        </w:rPr>
        <w:t>” means a Qualifying Termination of Employment that occurs during the period commencing on the date occurring</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immediately prior to the date on which a Change in Control occurs and ending on the second anniversary of the date on which a Change in Control occurs.</w:t>
      </w:r>
    </w:p>
    <w:p>
      <w:pPr>
        <w:spacing w:after="0" w:line="6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means the Consolidated Omnibus Budget Reconciliation Act of 1985, as amended from time to time, and the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 and the regulations promulgated thereunder.</w:t>
      </w:r>
    </w:p>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Executive has become physically or mentally disabled so as to render Executive incapable of performing the essential functions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his position (with or without reasonable accommodations) and such disability is expected to result in death or to last for a continuous period of at least twelve (12) months, provided that such condition constitutes a “disability” within the meaning of Section 409A of the Code. Executive’s receipt of disability benefits under the Company’s long-term disability plan or receipt of Social Security disability benefits shall be deemed conclusive evidence of Disability for purpose of this Exhibit.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and Exchange Act of 1934, as amended from time to time.</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means the occurrence of any of the following events or conditions without Executive’s express written consent: (a) a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diminution in Executive’s Base Salary (excluding a reduction in compensation similarly affecting all or substantially all of WMI’s executive officers); (b) the Company Group materially diminishes Executive’s core duties</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700" w:top="274" w:right="259" w:bottom="1440" w:gutter="0" w:footer="0" w:header="0"/>
        </w:sectPr>
      </w:pPr>
    </w:p>
    <w:bookmarkStart w:id="197" w:name="page198"/>
    <w:bookmarkEnd w:id="19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responsibility for those core duties, so as to effectively cause Executive to no longer be performing the duties of his position (except in each case in connection with the termination of Executive’s employment for death, Disability, or Cause, or temporarily as a result of Executive’s illness or other absence); (c) in the event of WMI becoming a fifty percent or more subsidiary of any other entity, the Company Group materially diminishes the duties, authority or responsibilities of the person to whom Executive is required to report; resulting in a material negative change in the employment relationship, or (d) the failure of the Company to obtain the assumption of the terms set forth herein by any successors as contemplated in Paragraph 11(c)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must notify WMI’s Chief Executive Officer in writing of his or her intention to terminate his or her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such notice shall be provided to WMI’s Chief Executive Officer within ninety (90) calendar days of the initial existence of such event, (ii) the Company shall have thirty (30) calendar days to cure such event after receipt of such notice, and (iii) if uncured, Executive shall terminate his or her employment within six months following the initial existence of such event.</w:t>
      </w:r>
    </w:p>
    <w:p>
      <w:pPr>
        <w:spacing w:after="0" w:line="7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“Loyalty Agreement” </w:t>
      </w:r>
      <w:r>
        <w:rPr>
          <w:rFonts w:ascii="Arial" w:cs="Arial" w:eastAsia="Arial" w:hAnsi="Arial"/>
          <w:sz w:val="18"/>
          <w:szCs w:val="18"/>
          <w:color w:val="auto"/>
        </w:rPr>
        <w:t>means that certain Loyalty and Confidentiality Agreement attached as Exhibit B to the offer letter to which this Exhibit A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attached, which agreement is being entered into concurrently herewith as a condition of and inducement to the Company’s willingness to provide the benefits set forth in this Exhibit A.</w:t>
      </w:r>
    </w:p>
    <w:p>
      <w:pPr>
        <w:spacing w:after="0" w:line="6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set forth in Section 3(a)(9) of the Exchange Act, as modified and used in Sections 13(d) and 14(d) thereof, except that such term shall not include (a) WMI; (b) a trustee or other fiduciary holding securities under an employee benefit plan of the Company Group; (c) an employee benefit plan of any member of the Company Group; (d) an underwriter temporarily holding securities pursuant to an offering of such securities or (e) an entity owned, directly or indirectly, by the stockholders of the Company in substantially the same proportions as their ownership of shares of common stock of WMI.</w:t>
      </w:r>
    </w:p>
    <w:p>
      <w:pPr>
        <w:spacing w:after="0" w:line="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“Qualifying Termination of Employment” </w:t>
      </w:r>
      <w:r>
        <w:rPr>
          <w:rFonts w:ascii="Arial" w:cs="Arial" w:eastAsia="Arial" w:hAnsi="Arial"/>
          <w:sz w:val="16"/>
          <w:szCs w:val="16"/>
          <w:color w:val="auto"/>
        </w:rPr>
        <w:t>means a termination of Executive’s employment by the Company Group for reasons other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(a) a termination of employment for Cause; (b) Executive’s resignation for any reason other than due to Good Reason; (c) the cessation of Executive’s employment with the Company Group due to death or Disability; or (d) the cessation of Executive’s employment with the Company Group as the result of the sale, spin-off or other divestiture of a division, business unit or subsidiary or a merger or other business combination, if either</w:t>
      </w:r>
    </w:p>
    <w:p>
      <w:pPr>
        <w:spacing w:after="0" w:line="3" w:lineRule="exact"/>
        <w:rPr>
          <w:sz w:val="20"/>
          <w:szCs w:val="20"/>
          <w:color w:val="auto"/>
        </w:rPr>
      </w:pPr>
    </w:p>
    <w:p>
      <w:pPr>
        <w:ind w:right="440" w:firstLine="4"/>
        <w:spacing w:after="0" w:line="273" w:lineRule="auto"/>
        <w:tabs>
          <w:tab w:leader="none" w:pos="2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Executive becomes employed with the purchaser or successor in interest to Executive’s employer with regard to such division, business unit or subsidiary, or (ii) Executive is offered employment by such purchaser or successor in interest, in each of cases (i) or (ii), on terms and conditions comparable in the aggregate (as determined by the Compensation Committee of the Board in its sole discretion) to the terms and conditions of Executive’s employment with the Company Group immediately prior to such transaction.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means the benefits payable to Executive pursuant hereto.</w:t>
      </w:r>
    </w:p>
    <w:p>
      <w:pPr>
        <w:spacing w:after="0" w:line="11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date on which Executive’s employment with the Company Group terminates due to a Qualifying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death or Disability. For all purposes hereof, Executive shall be considered to have terminated employment with the Company Group when he or she incurs a “separation of service” with the Company within the meaning of Section 409A(a)(2)(A)(i) of the Code and the applicable guidance issued thereunder.</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700" w:top="274" w:right="259" w:bottom="1440" w:gutter="0" w:footer="0" w:header="0"/>
        </w:sectPr>
      </w:pPr>
    </w:p>
    <w:bookmarkStart w:id="198" w:name="page199"/>
    <w:bookmarkEnd w:id="198"/>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“WMI</w:t>
      </w:r>
      <w:r>
        <w:rPr>
          <w:rFonts w:ascii="Arial" w:cs="Arial" w:eastAsia="Arial" w:hAnsi="Arial"/>
          <w:sz w:val="18"/>
          <w:szCs w:val="18"/>
          <w:color w:val="auto"/>
        </w:rPr>
        <w:t>” means Waste Management, Inc., a Delaware corporation and member of the Company Group.</w:t>
      </w:r>
    </w:p>
    <w:p>
      <w:pPr>
        <w:spacing w:after="0" w:line="131" w:lineRule="exact"/>
        <w:rPr>
          <w:sz w:val="20"/>
          <w:szCs w:val="20"/>
          <w:color w:val="auto"/>
        </w:rPr>
      </w:pPr>
    </w:p>
    <w:p>
      <w:pPr>
        <w:ind w:left="452" w:hanging="452"/>
        <w:spacing w:after="0" w:line="261" w:lineRule="auto"/>
        <w:tabs>
          <w:tab w:leader="none" w:pos="45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of Employment on Compensation and Accrued Rights. </w:t>
      </w:r>
      <w:r>
        <w:rPr>
          <w:rFonts w:ascii="Arial" w:cs="Arial" w:eastAsia="Arial" w:hAnsi="Arial"/>
          <w:sz w:val="18"/>
          <w:szCs w:val="18"/>
          <w:color w:val="auto"/>
        </w:rPr>
        <w:t>Upon termination of Executive’s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Group for any reason, all compensation and all benefits to Executive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pay Executive: (a) the earned but unpaid portion of Executive’s Base Salary through the Termination Date; and (b) any unpaid expense or other reimbursements due to Executive (collectively, the “Accrued Rights”).</w:t>
      </w:r>
    </w:p>
    <w:p>
      <w:pPr>
        <w:spacing w:after="0" w:line="85" w:lineRule="exact"/>
        <w:rPr>
          <w:rFonts w:ascii="Arial" w:cs="Arial" w:eastAsia="Arial" w:hAnsi="Arial"/>
          <w:sz w:val="18"/>
          <w:szCs w:val="18"/>
          <w:b w:val="1"/>
          <w:bCs w:val="1"/>
          <w:color w:val="auto"/>
        </w:rPr>
      </w:pPr>
    </w:p>
    <w:p>
      <w:pPr>
        <w:ind w:left="452" w:right="20" w:hanging="452"/>
        <w:spacing w:after="0" w:line="281" w:lineRule="auto"/>
        <w:tabs>
          <w:tab w:leader="none" w:pos="452"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Payments and Benefits upon Qualifying Termination of Employment. </w:t>
      </w:r>
      <w:r>
        <w:rPr>
          <w:rFonts w:ascii="Arial" w:cs="Arial" w:eastAsia="Arial" w:hAnsi="Arial"/>
          <w:sz w:val="17"/>
          <w:szCs w:val="17"/>
          <w:color w:val="auto"/>
        </w:rPr>
        <w:t>Subject to Paragraphs 5 through 7, upon Executive’s Qualifying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Employment and provided that Executive has been and remains in compliance with any and all restrictive covenants and other obligations under any agreement with any member of the Company Group, including, without limitation, the Loyalty Agreement, then Executive shall be entitled to receive the Severance Benefits described in this Paragraph 3, in addition to the Accrued Rights.</w:t>
      </w:r>
    </w:p>
    <w:p>
      <w:pPr>
        <w:spacing w:after="0" w:line="70" w:lineRule="exact"/>
        <w:rPr>
          <w:rFonts w:ascii="Arial" w:cs="Arial" w:eastAsia="Arial" w:hAnsi="Arial"/>
          <w:sz w:val="17"/>
          <w:szCs w:val="17"/>
          <w:b w:val="1"/>
          <w:bCs w:val="1"/>
          <w:color w:val="auto"/>
        </w:rPr>
      </w:pPr>
    </w:p>
    <w:p>
      <w:pPr>
        <w:ind w:left="892" w:hanging="446"/>
        <w:spacing w:after="0"/>
        <w:tabs>
          <w:tab w:leader="none" w:pos="892" w:val="left"/>
        </w:tabs>
        <w:numPr>
          <w:ilvl w:val="1"/>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Severance. </w:t>
      </w:r>
      <w:r>
        <w:rPr>
          <w:rFonts w:ascii="Arial" w:cs="Arial" w:eastAsia="Arial" w:hAnsi="Arial"/>
          <w:sz w:val="17"/>
          <w:szCs w:val="17"/>
          <w:color w:val="auto"/>
        </w:rPr>
        <w:t>Executive shall be entitled to receive cash severance payments in an aggregate amount equal to two times the sum of</w:t>
      </w:r>
    </w:p>
    <w:p>
      <w:pPr>
        <w:spacing w:after="0" w:line="38" w:lineRule="exact"/>
        <w:rPr>
          <w:rFonts w:ascii="Arial" w:cs="Arial" w:eastAsia="Arial" w:hAnsi="Arial"/>
          <w:sz w:val="17"/>
          <w:szCs w:val="17"/>
          <w:b w:val="1"/>
          <w:bCs w:val="1"/>
          <w:color w:val="auto"/>
        </w:rPr>
      </w:pPr>
    </w:p>
    <w:p>
      <w:pPr>
        <w:ind w:left="892" w:right="2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 xml:space="preserve">(i) Executive’s Base Salary and (ii) Executive’s target annual bonus amount as of the Termination Date. Fifty percent (50%) of such amount shall be paid in a lump sum no later than 74 days following the Termination Date. The remaining fifty percent (50%) shall be paid in substantially equal installments in accordance with the Company’s normal payroll practices over the two-year period following the Executive’s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installments that would otherwise have been paid during the 60-day period following the Termination Date shall instead be accumulated and paid on the first regular payroll date that occurs after the 60</w:t>
      </w:r>
      <w:r>
        <w:rPr>
          <w:rFonts w:ascii="Arial" w:cs="Arial" w:eastAsia="Arial" w:hAnsi="Arial"/>
          <w:sz w:val="14"/>
          <w:szCs w:val="14"/>
          <w:color w:val="auto"/>
        </w:rPr>
        <w:t>th</w:t>
      </w:r>
      <w:r>
        <w:rPr>
          <w:rFonts w:ascii="Arial" w:cs="Arial" w:eastAsia="Arial" w:hAnsi="Arial"/>
          <w:sz w:val="17"/>
          <w:szCs w:val="17"/>
          <w:color w:val="auto"/>
        </w:rPr>
        <w:t xml:space="preserve"> day following termination.</w:t>
      </w:r>
    </w:p>
    <w:p>
      <w:pPr>
        <w:spacing w:after="0" w:line="80" w:lineRule="exact"/>
        <w:rPr>
          <w:rFonts w:ascii="Arial" w:cs="Arial" w:eastAsia="Arial" w:hAnsi="Arial"/>
          <w:sz w:val="17"/>
          <w:szCs w:val="17"/>
          <w:b w:val="1"/>
          <w:bCs w:val="1"/>
          <w:color w:val="auto"/>
        </w:rPr>
      </w:pPr>
    </w:p>
    <w:p>
      <w:pPr>
        <w:ind w:left="892" w:right="100" w:hanging="446"/>
        <w:spacing w:after="0" w:line="271" w:lineRule="auto"/>
        <w:tabs>
          <w:tab w:leader="none" w:pos="892" w:val="left"/>
        </w:tabs>
        <w:numPr>
          <w:ilvl w:val="1"/>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Bonus for Year of Termination. </w:t>
      </w:r>
      <w:r>
        <w:rPr>
          <w:rFonts w:ascii="Arial" w:cs="Arial" w:eastAsia="Arial" w:hAnsi="Arial"/>
          <w:sz w:val="17"/>
          <w:szCs w:val="17"/>
          <w:color w:val="auto"/>
        </w:rPr>
        <w:t>Executive shall be entitled to receive (i) to the extent earned but not yet paid, Executive’s annual bonus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year preceding the year in which the Termination Date occurs in an amount determined by the Company and subject to the terms and conditions of the Company Group’s annual bonus program as then in effect, and (ii) a prorated annual bonus for the year in which the Termination Date occurs, calculated based upon (x) in the event such Qualifying Termination of Employment is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 Change in Control Termination, actual performance under the terms of the applicable Company Group annual bonus program as then in effect or (y) in the event such Qualifying Termination of Employment is a Change in Control Termination, based upon attainment of 100% of the maximum bonus available to Executive under the terms of the applicable Company Group annual bonus program then in effect. Notwithstanding the foregoing, in the event that Executive becomes eligible for a bonus pursuant to subparagraph (b)(ii)(y) after having already received a bonus payment pursuant to subparagraph (b)(ii)(x), such previously-paid amount shall be deducted from</w:t>
      </w:r>
    </w:p>
    <w:p>
      <w:pPr>
        <w:spacing w:after="0" w:line="1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72"/>
          </w:cols>
          <w:pgMar w:left="248" w:top="270" w:right="279" w:bottom="1440" w:gutter="0" w:footer="0" w:header="0"/>
        </w:sectPr>
      </w:pPr>
    </w:p>
    <w:bookmarkStart w:id="199" w:name="page200"/>
    <w:bookmarkEnd w:id="199"/>
    <w:p>
      <w:pPr>
        <w:ind w:left="912"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owed pursuant to subparagraph (b)(ii)(y). Any bonus provided for under subparagraph (b)(ii)(x) shall be paid at the same time bonuses are paid by the Company Group to other participants in such program (but in no event later than the March 15th occurring immediately following the year in which the Termination Date occurs), subject to the terms and conditions of the Company Group’s annual bonus program as then in effect. Any bonus provided for under subparagraph (b)(ii)(y) shall be payable within seventy-four (74) days after the later of the Termination Date or the date of the Change in Control. Any bonus payable pursuant to subparagraph (b)(ii)(x) or (b)(ii)(y) shall be prorated to reflect the number of calendar days out of 365 (or 366, in the event the Termination Date occurs during a leap year) during which Executive was employed by Company Group during the year of the Qualifying Termination of Employment, including the Termination Date.</w:t>
      </w:r>
    </w:p>
    <w:p>
      <w:pPr>
        <w:spacing w:after="0" w:line="69" w:lineRule="exact"/>
        <w:rPr>
          <w:sz w:val="20"/>
          <w:szCs w:val="20"/>
          <w:color w:val="auto"/>
        </w:rPr>
      </w:pPr>
    </w:p>
    <w:p>
      <w:pPr>
        <w:ind w:left="892" w:hanging="446"/>
        <w:spacing w:after="0" w:line="272" w:lineRule="auto"/>
        <w:tabs>
          <w:tab w:leader="none" w:pos="892" w:val="left"/>
        </w:tabs>
        <w:numPr>
          <w:ilvl w:val="1"/>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Continued Benefits Coverage. </w:t>
      </w:r>
      <w:r>
        <w:rPr>
          <w:rFonts w:ascii="Arial" w:cs="Arial" w:eastAsia="Arial" w:hAnsi="Arial"/>
          <w:sz w:val="17"/>
          <w:szCs w:val="17"/>
          <w:color w:val="auto"/>
        </w:rPr>
        <w:t>Provided that Executive (and/or his or her dependents) timely elects COBRA coverage, the Company shall pay</w:t>
      </w:r>
      <w:r>
        <w:rPr>
          <w:rFonts w:ascii="Arial" w:cs="Arial" w:eastAsia="Arial" w:hAnsi="Arial"/>
          <w:sz w:val="17"/>
          <w:szCs w:val="17"/>
          <w:b w:val="1"/>
          <w:bCs w:val="1"/>
          <w:color w:val="auto"/>
        </w:rPr>
        <w:t xml:space="preserve"> </w:t>
      </w:r>
      <w:r>
        <w:rPr>
          <w:rFonts w:ascii="Arial" w:cs="Arial" w:eastAsia="Arial" w:hAnsi="Arial"/>
          <w:sz w:val="17"/>
          <w:szCs w:val="17"/>
          <w:color w:val="auto"/>
        </w:rPr>
        <w:t>to Executive (or to Executive’s family in the event of Executive’s death) on a monthly basis an amount equal to the monthly amount of the COBRA continuation coverage premium for such month, at the same level and cost to Executive (or Executive’s dependents in the event of his or her death) as immediately preceding the Termination Date, under the relevant Company Group medical plan in which Executive participated immediately preceding the Termination Date, less the amount of Executive’s portion of such monthly premium as in effect immediately preceding the Termination Date, until the earlier of (i) 18 months after the Termination Date or (ii) the date on which Executive and Executive’s dependents have become eligible for substantially similar healthcare coverage or become entitled to Medicare coverage . The executive acknowledges that any payments under this subparagraph (c) shall constitute taxable income to Executive.</w:t>
      </w:r>
    </w:p>
    <w:p>
      <w:pPr>
        <w:spacing w:after="0" w:line="77" w:lineRule="exact"/>
        <w:rPr>
          <w:rFonts w:ascii="Arial" w:cs="Arial" w:eastAsia="Arial" w:hAnsi="Arial"/>
          <w:sz w:val="17"/>
          <w:szCs w:val="17"/>
          <w:b w:val="1"/>
          <w:bCs w:val="1"/>
          <w:color w:val="auto"/>
        </w:rPr>
      </w:pPr>
    </w:p>
    <w:p>
      <w:pPr>
        <w:ind w:left="452" w:right="160" w:hanging="452"/>
        <w:spacing w:after="0" w:line="269" w:lineRule="auto"/>
        <w:tabs>
          <w:tab w:leader="none" w:pos="452"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Termination due to Executive’s Disability. </w:t>
      </w:r>
      <w:r>
        <w:rPr>
          <w:rFonts w:ascii="Arial" w:cs="Arial" w:eastAsia="Arial" w:hAnsi="Arial"/>
          <w:sz w:val="17"/>
          <w:szCs w:val="17"/>
          <w:color w:val="auto"/>
        </w:rPr>
        <w:t>Subject to Paragraphs 5 through 7, upon termination of Executive’s employment due to</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and provided that Executive has been and remains in compliance with any and all restrictive covenants and other obligations under any agreement with the any member of the Company Group, including, without limitation, Loyalty Agreement, then Executive shall be entitled to receive the in addition to the Accrued Rights, the following: (i) to the extent earned but not yet paid, Executive’s annual bonus for the year preceding the year in which the Termination Date occurs in an amount determined by the Company Group and subject to the terms and conditions of the Company Group’s annual bonus program as then in effect, and (ii) a prorated annual bonus for the year in which the Termination Date occurs, determined based upon actual performance under the terms of the Company Group’s annual bonus program as then in effect, with the bonus provided for in this subparagraph (b) to be paid at the same time bonuses are paid by the Company Group to other participants in such program (but in no event later than the March 15th occurring immediately following the year in which the Termination Date occurs), subject to the terms and conditions of the Company Group’s annual bonus program as then in effect and prorated to reflect the number of calendar days out of 365 (or 366, in the event the Termination Date occurs during a leap year) during which Executive was employed by Company Group during the year of the Qualifying Termination of Employment, including the Termination Date.</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274" w:right="259" w:bottom="1440" w:gutter="0" w:footer="0" w:header="0"/>
        </w:sectPr>
      </w:pPr>
    </w:p>
    <w:bookmarkStart w:id="200" w:name="page201"/>
    <w:bookmarkEnd w:id="200"/>
    <w:p>
      <w:pPr>
        <w:ind w:left="452" w:hanging="452"/>
        <w:spacing w:after="0"/>
        <w:tabs>
          <w:tab w:leader="none" w:pos="45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Limitation on Severance Benefits:</w:t>
      </w:r>
    </w:p>
    <w:p>
      <w:pPr>
        <w:spacing w:after="0" w:line="117" w:lineRule="exact"/>
        <w:rPr>
          <w:rFonts w:ascii="Arial" w:cs="Arial" w:eastAsia="Arial" w:hAnsi="Arial"/>
          <w:sz w:val="18"/>
          <w:szCs w:val="18"/>
          <w:b w:val="1"/>
          <w:bCs w:val="1"/>
          <w:color w:val="auto"/>
        </w:rPr>
      </w:pPr>
    </w:p>
    <w:p>
      <w:pPr>
        <w:ind w:left="452" w:right="60" w:firstLine="4"/>
        <w:spacing w:after="0" w:line="277" w:lineRule="auto"/>
        <w:tabs>
          <w:tab w:leader="none" w:pos="707" w:val="left"/>
        </w:tabs>
        <w:numPr>
          <w:ilvl w:val="1"/>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Maximum Severance Amount. </w:t>
      </w:r>
      <w:r>
        <w:rPr>
          <w:rFonts w:ascii="Arial" w:cs="Arial" w:eastAsia="Arial" w:hAnsi="Arial"/>
          <w:sz w:val="17"/>
          <w:szCs w:val="17"/>
          <w:color w:val="auto"/>
        </w:rPr>
        <w:t>Notwithstanding any provision in this Exhibit to the contrary, in the event that in connection with a Qualifying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it is determined by the Company that the Severance Benefits would exceed 2.99 times the sum of Executive’s then current base salary and target bonus (the “Maximum Severance Amount”), then the aggregate present value of the Severance Benefits provided to Executive shall be reduced by the Company to the Reduced Amount. The “Reduced Amount” shall be an amount, expressed in present value, that maximizes the aggregate present value of the Severance Benefits without exceeding the Maximum Severance Amount.</w:t>
      </w:r>
    </w:p>
    <w:p>
      <w:pPr>
        <w:spacing w:after="0" w:line="60" w:lineRule="exact"/>
        <w:rPr>
          <w:rFonts w:ascii="Arial" w:cs="Arial" w:eastAsia="Arial" w:hAnsi="Arial"/>
          <w:sz w:val="17"/>
          <w:szCs w:val="17"/>
          <w:b w:val="1"/>
          <w:bCs w:val="1"/>
          <w:color w:val="auto"/>
        </w:rPr>
      </w:pPr>
    </w:p>
    <w:p>
      <w:pPr>
        <w:jc w:val="both"/>
        <w:ind w:left="452" w:right="200" w:firstLine="4"/>
        <w:spacing w:after="0" w:line="266" w:lineRule="auto"/>
        <w:tabs>
          <w:tab w:leader="none" w:pos="717"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For purposes of determining Severance Benefits under Paragraph 5(a) above, Severance Benefits means the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distributions by the Company Group to or for the benefit of Executive (whether paid or provided pursuant to the terms of this Exhibit or otherwise)</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72" w:lineRule="exact"/>
        <w:rPr>
          <w:rFonts w:ascii="Arial" w:cs="Arial" w:eastAsia="Arial" w:hAnsi="Arial"/>
          <w:sz w:val="18"/>
          <w:szCs w:val="18"/>
          <w:b w:val="1"/>
          <w:bCs w:val="1"/>
          <w:color w:val="auto"/>
        </w:rPr>
      </w:pPr>
    </w:p>
    <w:p>
      <w:pPr>
        <w:ind w:left="1492" w:firstLine="389"/>
        <w:spacing w:after="0" w:line="264" w:lineRule="auto"/>
        <w:tabs>
          <w:tab w:leader="none" w:pos="2184" w:val="left"/>
        </w:tabs>
        <w:numPr>
          <w:ilvl w:val="3"/>
          <w:numId w:val="143"/>
        </w:numPr>
        <w:rPr>
          <w:rFonts w:ascii="Arial" w:cs="Arial" w:eastAsia="Arial" w:hAnsi="Arial"/>
          <w:sz w:val="18"/>
          <w:szCs w:val="18"/>
          <w:color w:val="auto"/>
        </w:rPr>
      </w:pPr>
      <w:r>
        <w:rPr>
          <w:rFonts w:ascii="Arial" w:cs="Arial" w:eastAsia="Arial" w:hAnsi="Arial"/>
          <w:sz w:val="18"/>
          <w:szCs w:val="18"/>
          <w:color w:val="auto"/>
        </w:rPr>
        <w:t>including: (i) cash amounts payable by the Company in the event of termination of Executive’s employment; and (ii) the present value of benefits or perquisites provided for periods after termination of employment (but excluding benefits or perquisites provided to employees generally); and</w:t>
      </w:r>
    </w:p>
    <w:p>
      <w:pPr>
        <w:spacing w:after="0" w:line="73" w:lineRule="exact"/>
        <w:rPr>
          <w:rFonts w:ascii="Arial" w:cs="Arial" w:eastAsia="Arial" w:hAnsi="Arial"/>
          <w:sz w:val="18"/>
          <w:szCs w:val="18"/>
          <w:color w:val="auto"/>
        </w:rPr>
      </w:pPr>
    </w:p>
    <w:p>
      <w:pPr>
        <w:ind w:left="2172" w:hanging="291"/>
        <w:spacing w:after="0"/>
        <w:tabs>
          <w:tab w:leader="none" w:pos="2172" w:val="left"/>
        </w:tabs>
        <w:numPr>
          <w:ilvl w:val="3"/>
          <w:numId w:val="143"/>
        </w:numPr>
        <w:rPr>
          <w:rFonts w:ascii="Arial" w:cs="Arial" w:eastAsia="Arial" w:hAnsi="Arial"/>
          <w:sz w:val="18"/>
          <w:szCs w:val="18"/>
          <w:color w:val="auto"/>
        </w:rPr>
      </w:pPr>
      <w:r>
        <w:rPr>
          <w:rFonts w:ascii="Arial" w:cs="Arial" w:eastAsia="Arial" w:hAnsi="Arial"/>
          <w:sz w:val="18"/>
          <w:szCs w:val="18"/>
          <w:color w:val="auto"/>
        </w:rPr>
        <w:t>excluding: (i) payments of salary, bonus or performance award amounts that had accrued at the time of termination;</w:t>
      </w:r>
    </w:p>
    <w:p>
      <w:pPr>
        <w:spacing w:after="0" w:line="23" w:lineRule="exact"/>
        <w:rPr>
          <w:rFonts w:ascii="Arial" w:cs="Arial" w:eastAsia="Arial" w:hAnsi="Arial"/>
          <w:sz w:val="18"/>
          <w:szCs w:val="18"/>
          <w:color w:val="auto"/>
        </w:rPr>
      </w:pPr>
    </w:p>
    <w:p>
      <w:pPr>
        <w:ind w:left="1752" w:hanging="268"/>
        <w:spacing w:after="0"/>
        <w:tabs>
          <w:tab w:leader="none" w:pos="1752" w:val="left"/>
        </w:tabs>
        <w:numPr>
          <w:ilvl w:val="2"/>
          <w:numId w:val="143"/>
        </w:numPr>
        <w:rPr>
          <w:rFonts w:ascii="Arial" w:cs="Arial" w:eastAsia="Arial" w:hAnsi="Arial"/>
          <w:sz w:val="17"/>
          <w:szCs w:val="17"/>
          <w:color w:val="auto"/>
        </w:rPr>
      </w:pPr>
      <w:r>
        <w:rPr>
          <w:rFonts w:ascii="Arial" w:cs="Arial" w:eastAsia="Arial" w:hAnsi="Arial"/>
          <w:sz w:val="17"/>
          <w:szCs w:val="17"/>
          <w:color w:val="auto"/>
        </w:rPr>
        <w:t>payments based on accrued qualified and non-qualified deferred compensation plans, including retirement and savings benefits;</w:t>
      </w:r>
    </w:p>
    <w:p>
      <w:pPr>
        <w:spacing w:after="0" w:line="20" w:lineRule="exact"/>
        <w:rPr>
          <w:rFonts w:ascii="Arial" w:cs="Arial" w:eastAsia="Arial" w:hAnsi="Arial"/>
          <w:sz w:val="17"/>
          <w:szCs w:val="17"/>
          <w:color w:val="auto"/>
        </w:rPr>
      </w:pPr>
    </w:p>
    <w:p>
      <w:pPr>
        <w:ind w:left="1492" w:right="200" w:hanging="8"/>
        <w:spacing w:after="0" w:line="252" w:lineRule="auto"/>
        <w:tabs>
          <w:tab w:leader="none" w:pos="180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82" w:lineRule="exact"/>
        <w:rPr>
          <w:rFonts w:ascii="Arial" w:cs="Arial" w:eastAsia="Arial" w:hAnsi="Arial"/>
          <w:sz w:val="18"/>
          <w:szCs w:val="18"/>
          <w:color w:val="auto"/>
        </w:rPr>
      </w:pPr>
    </w:p>
    <w:p>
      <w:pPr>
        <w:ind w:left="452" w:right="220" w:firstLine="4"/>
        <w:spacing w:after="0" w:line="298" w:lineRule="auto"/>
        <w:tabs>
          <w:tab w:leader="none" w:pos="697"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Golden Parachute Provisions. </w:t>
      </w:r>
      <w:r>
        <w:rPr>
          <w:rFonts w:ascii="Arial" w:cs="Arial" w:eastAsia="Arial" w:hAnsi="Arial"/>
          <w:sz w:val="16"/>
          <w:szCs w:val="16"/>
          <w:color w:val="auto"/>
        </w:rPr>
        <w:t>Following application of Paragraph 5(a), in the event that the payment of the remaining Severance Benefits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plus any other payments to Executive which would be subject to Section 280G of the Code (including any reduced Severance Benefits) (“280G Severance Benefits”) would be subject (in whole or part), to any excise tax imposed under Section 4999 of the Code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12"/>
          </w:cols>
          <w:pgMar w:left="248" w:top="270" w:right="239" w:bottom="1440" w:gutter="0" w:footer="0" w:header="0"/>
        </w:sectPr>
      </w:pPr>
    </w:p>
    <w:bookmarkStart w:id="201" w:name="page202"/>
    <w:bookmarkEnd w:id="201"/>
    <w:p>
      <w:pPr>
        <w:ind w:left="452"/>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the 280G Severance Benefits to be received by Executive, as so reduced by this Section 22(c)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Executive without such reduction by this Section 22(c) after subtracting the amount of federal, state and local income taxes on such 280G Severance Benefits and the amount of the Excise Tax to which Executive would be subject in respect of such unreduced 280G Severance Benefits (after taking into account the phase out of itemized deductions and personal exemptions attributable to such unreduced 280G Severance Benefits). For purposes of determining the 280G Severance Benefits, (i) no portion of the 280G Severance Benefits, the receipt or enjoyment of which Executive shall have waived at such time and in such manner as not to constitute a “payment” within the meaning of 280G(b) of the Code, shall be taken into account,</w:t>
      </w:r>
    </w:p>
    <w:p>
      <w:pPr>
        <w:spacing w:after="0" w:line="1" w:lineRule="exact"/>
        <w:rPr>
          <w:sz w:val="20"/>
          <w:szCs w:val="20"/>
          <w:color w:val="auto"/>
        </w:rPr>
      </w:pPr>
    </w:p>
    <w:p>
      <w:pPr>
        <w:ind w:left="452" w:firstLine="4"/>
        <w:spacing w:after="0" w:line="268" w:lineRule="auto"/>
        <w:tabs>
          <w:tab w:leader="none" w:pos="71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portion of the 280G Severance Benefits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Section 280G(b)(2) of the Code (including by reason of Section 280G(b)(4)(A)) of the Code; (iii) no portion of the 280G Severance Benefits shall be taken into account which, in the opinion of Tax Counsel, constitutes reasonable compensation for services actually rendered, within the meaning of Section 280G(b)(4)(B) of the Code, in excess of the “base amount” (as defined in Internal Revenue Section 280G(b)(3) of the Code) allocable to such reasonable compensation, and (iv) the value of any non-cash benefit or any deferred payment or benefit included in the 280G Severance Benefits shall be determined by the Auditor in accordance with the principles of Sections 280G(d)(3) and (4) of the Code. For purposes of this subparagraph (c), the present value of Severance Benefits and 280G Severance Benefits shall be determined in accordance with Section 280G(d)(4) of the Code.</w:t>
      </w:r>
    </w:p>
    <w:p>
      <w:pPr>
        <w:spacing w:after="0" w:line="83" w:lineRule="exact"/>
        <w:rPr>
          <w:rFonts w:ascii="Arial" w:cs="Arial" w:eastAsia="Arial" w:hAnsi="Arial"/>
          <w:sz w:val="17"/>
          <w:szCs w:val="17"/>
          <w:color w:val="auto"/>
        </w:rPr>
      </w:pPr>
    </w:p>
    <w:p>
      <w:pPr>
        <w:ind w:left="452" w:right="20" w:hanging="452"/>
        <w:spacing w:after="0" w:line="291" w:lineRule="auto"/>
        <w:tabs>
          <w:tab w:leader="none" w:pos="452"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Requirement of General Release. </w:t>
      </w:r>
      <w:r>
        <w:rPr>
          <w:rFonts w:ascii="Arial" w:cs="Arial" w:eastAsia="Arial" w:hAnsi="Arial"/>
          <w:sz w:val="16"/>
          <w:szCs w:val="16"/>
          <w:color w:val="auto"/>
        </w:rPr>
        <w:t>Notwithstanding anything herein to the contrary, the payments and benefits under Paragraph 3 or Paragraph 4,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shall only be payable if Executive executes and delivers to the Company, and does not revoke, a general release and waiver agreement in a form acceptable to the Company, which includes a release of all claims or causes of action against or with respect to any and all members of the Company Group and their respective subsidiaries, affiliates, officers, directors, employees, agents, benefit plans, fiduciaries and their insurers, successors, and assigns (excluding any claim for indemnity under this Exhibit, any claim under state workers’ compensation or unemployment laws, or any claim under COBRA), provided that such general release and waiver agreement is returned, and not revoked, by Executive within the time period specified in the agreement (which shall not exceed sixty (60) calendar days after the Termination Date). In the event Executive does not execute or revokes the release agreement in the time provided for therein, Executive shall not be entitled to payment of any benefits other than the Accrued Rights.</w:t>
      </w:r>
    </w:p>
    <w:p>
      <w:pPr>
        <w:spacing w:after="0" w:line="65" w:lineRule="exact"/>
        <w:rPr>
          <w:rFonts w:ascii="Arial" w:cs="Arial" w:eastAsia="Arial" w:hAnsi="Arial"/>
          <w:sz w:val="16"/>
          <w:szCs w:val="16"/>
          <w:b w:val="1"/>
          <w:bCs w:val="1"/>
          <w:color w:val="auto"/>
        </w:rPr>
      </w:pPr>
    </w:p>
    <w:p>
      <w:pPr>
        <w:ind w:left="452" w:right="300" w:hanging="452"/>
        <w:spacing w:after="0" w:line="313" w:lineRule="auto"/>
        <w:tabs>
          <w:tab w:leader="none" w:pos="452"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Suspension and Recoupment of Termination Benefits for Subsequently Discovered Cause. </w:t>
      </w:r>
      <w:r>
        <w:rPr>
          <w:rFonts w:ascii="Arial" w:cs="Arial" w:eastAsia="Arial" w:hAnsi="Arial"/>
          <w:sz w:val="17"/>
          <w:szCs w:val="17"/>
          <w:color w:val="auto"/>
        </w:rPr>
        <w:t>Notwithstanding any provision of this Exhibit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if within one (1) year of Executive’s Termination Date for any reason other than for Cause, it is determined by the</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274" w:right="239" w:bottom="1440" w:gutter="0" w:footer="0" w:header="0"/>
        </w:sectPr>
      </w:pPr>
    </w:p>
    <w:bookmarkStart w:id="202" w:name="page203"/>
    <w:bookmarkEnd w:id="202"/>
    <w:p>
      <w:pPr>
        <w:ind w:left="452"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that Executive could have been terminated for Cause, then to the extent permitted by law: (a) the Company may elect to cancel any and all payments of any benefits otherwise due Executive, but not yet paid, under this Exhibit or otherwise; and (b) upon written demand by the Company, Executive shall refund to the Company any amounts, plus interest, previously paid by Company to Executive pursuant to Paragraphs 3 or 4,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17" w:lineRule="exact"/>
        <w:rPr>
          <w:sz w:val="20"/>
          <w:szCs w:val="20"/>
          <w:color w:val="auto"/>
        </w:rPr>
      </w:pPr>
    </w:p>
    <w:p>
      <w:pPr>
        <w:ind w:left="452" w:hanging="452"/>
        <w:spacing w:after="0"/>
        <w:tabs>
          <w:tab w:leader="none" w:pos="45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Offsets; No Mitigation.</w:t>
      </w:r>
    </w:p>
    <w:p>
      <w:pPr>
        <w:spacing w:after="0" w:line="130" w:lineRule="exact"/>
        <w:rPr>
          <w:rFonts w:ascii="Arial" w:cs="Arial" w:eastAsia="Arial" w:hAnsi="Arial"/>
          <w:sz w:val="18"/>
          <w:szCs w:val="18"/>
          <w:b w:val="1"/>
          <w:bCs w:val="1"/>
          <w:color w:val="auto"/>
        </w:rPr>
      </w:pPr>
    </w:p>
    <w:p>
      <w:pPr>
        <w:ind w:left="892" w:right="40" w:hanging="446"/>
        <w:spacing w:after="0" w:line="295" w:lineRule="auto"/>
        <w:tabs>
          <w:tab w:leader="none" w:pos="892" w:val="left"/>
        </w:tabs>
        <w:numPr>
          <w:ilvl w:val="1"/>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Non-duplication of Benefits. </w:t>
      </w:r>
      <w:r>
        <w:rPr>
          <w:rFonts w:ascii="Arial" w:cs="Arial" w:eastAsia="Arial" w:hAnsi="Arial"/>
          <w:sz w:val="16"/>
          <w:szCs w:val="16"/>
          <w:color w:val="auto"/>
        </w:rPr>
        <w:t>The Company may, in its discretion and to the extent permitted under applicable law, offset against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Benefits hereunder or any other severance, termination, or similar benefits payable to Executive by the Company, including, but not limited to any amounts paid under any employment agreement or other individual contractual arrangement, or amounts paid to comply with, or satisfy liability under, the Worker Adjustment and Retraining Notification Act or any other federal, state, or local law requiring payments in connection with an involuntary termination of employment, plant shutdown, or workforce reduction, including, but not limited to, amounts paid in connection with paid leaves of absence, back pay, benefits, and other payments intended to satisfy such liability or alleged liability.</w:t>
      </w:r>
    </w:p>
    <w:p>
      <w:pPr>
        <w:spacing w:after="0" w:line="61" w:lineRule="exact"/>
        <w:rPr>
          <w:rFonts w:ascii="Arial" w:cs="Arial" w:eastAsia="Arial" w:hAnsi="Arial"/>
          <w:sz w:val="16"/>
          <w:szCs w:val="16"/>
          <w:b w:val="1"/>
          <w:bCs w:val="1"/>
          <w:color w:val="auto"/>
        </w:rPr>
      </w:pPr>
    </w:p>
    <w:p>
      <w:pPr>
        <w:ind w:left="892" w:hanging="446"/>
        <w:spacing w:after="0" w:line="266" w:lineRule="auto"/>
        <w:tabs>
          <w:tab w:leader="none" w:pos="892" w:val="left"/>
        </w:tabs>
        <w:numPr>
          <w:ilvl w:val="1"/>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Overpayment. </w:t>
      </w:r>
      <w:r>
        <w:rPr>
          <w:rFonts w:ascii="Arial" w:cs="Arial" w:eastAsia="Arial" w:hAnsi="Arial"/>
          <w:sz w:val="18"/>
          <w:szCs w:val="18"/>
          <w:color w:val="auto"/>
        </w:rPr>
        <w:t>The Company may recover any overpayment of Severance Benefits made to Executive or Executive’s estate hereunder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offset any overpayment of Severance Benefits or any other amounts due from Executive against any Severance Benefits or other amount the Company owes Executive or Executive’s estate.</w:t>
      </w:r>
    </w:p>
    <w:p>
      <w:pPr>
        <w:spacing w:after="0" w:line="81" w:lineRule="exact"/>
        <w:rPr>
          <w:rFonts w:ascii="Arial" w:cs="Arial" w:eastAsia="Arial" w:hAnsi="Arial"/>
          <w:sz w:val="18"/>
          <w:szCs w:val="18"/>
          <w:b w:val="1"/>
          <w:bCs w:val="1"/>
          <w:color w:val="auto"/>
        </w:rPr>
      </w:pPr>
    </w:p>
    <w:p>
      <w:pPr>
        <w:ind w:left="892" w:right="20" w:hanging="446"/>
        <w:spacing w:after="0" w:line="266" w:lineRule="auto"/>
        <w:tabs>
          <w:tab w:leader="none" w:pos="892" w:val="left"/>
        </w:tabs>
        <w:numPr>
          <w:ilvl w:val="1"/>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w:t>
      </w:r>
      <w:r>
        <w:rPr>
          <w:rFonts w:ascii="Arial" w:cs="Arial" w:eastAsia="Arial" w:hAnsi="Arial"/>
          <w:sz w:val="18"/>
          <w:szCs w:val="18"/>
          <w:color w:val="auto"/>
        </w:rPr>
        <w:t>In no event shall Executive be obligated to seek other employment or take any other action by way of mitigation of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Executive under any of the provisions hereof and such amounts shall not be reduced whether or not Executive obtains other employment.</w:t>
      </w:r>
    </w:p>
    <w:p>
      <w:pPr>
        <w:spacing w:after="0" w:line="324" w:lineRule="exact"/>
        <w:rPr>
          <w:rFonts w:ascii="Arial" w:cs="Arial" w:eastAsia="Arial" w:hAnsi="Arial"/>
          <w:sz w:val="18"/>
          <w:szCs w:val="18"/>
          <w:b w:val="1"/>
          <w:bCs w:val="1"/>
          <w:color w:val="auto"/>
        </w:rPr>
      </w:pPr>
    </w:p>
    <w:p>
      <w:pPr>
        <w:ind w:left="452" w:hanging="452"/>
        <w:spacing w:after="0"/>
        <w:tabs>
          <w:tab w:leader="none" w:pos="45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of the Code; PPACA.</w:t>
      </w:r>
    </w:p>
    <w:p>
      <w:pPr>
        <w:spacing w:after="0" w:line="134" w:lineRule="exact"/>
        <w:rPr>
          <w:rFonts w:ascii="Arial" w:cs="Arial" w:eastAsia="Arial" w:hAnsi="Arial"/>
          <w:sz w:val="18"/>
          <w:szCs w:val="18"/>
          <w:b w:val="1"/>
          <w:bCs w:val="1"/>
          <w:color w:val="auto"/>
        </w:rPr>
      </w:pPr>
    </w:p>
    <w:p>
      <w:pPr>
        <w:ind w:left="892" w:right="100" w:hanging="446"/>
        <w:spacing w:after="0" w:line="291" w:lineRule="auto"/>
        <w:tabs>
          <w:tab w:leader="none" w:pos="892" w:val="left"/>
        </w:tabs>
        <w:numPr>
          <w:ilvl w:val="1"/>
          <w:numId w:val="146"/>
        </w:numPr>
        <w:rPr>
          <w:rFonts w:ascii="Arial" w:cs="Arial" w:eastAsia="Arial" w:hAnsi="Arial"/>
          <w:sz w:val="16"/>
          <w:szCs w:val="16"/>
          <w:b w:val="1"/>
          <w:bCs w:val="1"/>
          <w:color w:val="auto"/>
        </w:rPr>
      </w:pPr>
      <w:r>
        <w:rPr>
          <w:rFonts w:ascii="Arial" w:cs="Arial" w:eastAsia="Arial" w:hAnsi="Arial"/>
          <w:sz w:val="16"/>
          <w:szCs w:val="16"/>
          <w:color w:val="auto"/>
        </w:rPr>
        <w:t xml:space="preserve">The payments provided hereunder are intended to meet the requirements of Section 409A of the Code, and shall be interpreted and construed consistent with that intent. The payments to Executive hereunder are intended to be exempt from Section 409A of the Code to the maximum extent possible, under either the separation pay exemption pursuant to Treasury regulation §1.409A-1(b)(9)(iii) or as short-term deferrals pursuant to Treasury regulation §1.409A-1(b)(4), and each payment hereunder is designated as a separate payment for such purposes. For purposes of Section 409A of the Code and the regulations and other guidance thereunder and any state law of similar effect (including without limitation Treasury Regulations Section 1.409A-2(b)(2)(iii)), all payments made under this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(whether severance payments or otherwise) will be treated as a right to receive a series of separate payments and, accordingly, each installment payment under</w:t>
      </w:r>
    </w:p>
    <w:p>
      <w:pPr>
        <w:spacing w:after="0" w:line="10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92"/>
          </w:cols>
          <w:pgMar w:left="248" w:top="274" w:right="359" w:bottom="1440" w:gutter="0" w:footer="0" w:header="0"/>
        </w:sectPr>
      </w:pPr>
    </w:p>
    <w:bookmarkStart w:id="203" w:name="page204"/>
    <w:bookmarkEnd w:id="203"/>
    <w:p>
      <w:pPr>
        <w:ind w:left="466"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will at all times be considered a separate and distinct payment. In the event that the Company determines that any provision hereof does not comply with Section 409A of the Code or any rules, regulations or guidance promulgated thereunder and that as a result Executive may become subject to a Section 409A tax, notwithstanding Paragraph 11(e), the Company shall have the discretion to amend or modify such provision to avoid the application of such Section 409A tax, and in no event shall Executive’s consent be required for such amendment or modification. Notwithstanding any provision hereof to the contrary, Executive shall be solely responsible and liable for the satisfaction of all taxes and penalties that may arise in connection with amounts payable pursuant hereto (including any taxes arising under Section 409A of the Code), and the Company shall have no obligation to indemnify or otherwise hold Executive harmless from any or all of such taxes.</w:t>
      </w:r>
    </w:p>
    <w:p>
      <w:pPr>
        <w:spacing w:after="0" w:line="73" w:lineRule="exact"/>
        <w:rPr>
          <w:sz w:val="20"/>
          <w:szCs w:val="20"/>
          <w:color w:val="auto"/>
        </w:rPr>
      </w:pPr>
    </w:p>
    <w:p>
      <w:pPr>
        <w:ind w:left="446" w:right="60" w:hanging="446"/>
        <w:spacing w:after="0" w:line="312" w:lineRule="auto"/>
        <w:tabs>
          <w:tab w:leader="none" w:pos="446" w:val="left"/>
        </w:tabs>
        <w:numPr>
          <w:ilvl w:val="0"/>
          <w:numId w:val="147"/>
        </w:numPr>
        <w:rPr>
          <w:rFonts w:ascii="Arial" w:cs="Arial" w:eastAsia="Arial" w:hAnsi="Arial"/>
          <w:sz w:val="16"/>
          <w:szCs w:val="16"/>
          <w:b w:val="1"/>
          <w:bCs w:val="1"/>
          <w:color w:val="auto"/>
        </w:rPr>
      </w:pPr>
      <w:r>
        <w:rPr>
          <w:rFonts w:ascii="Arial" w:cs="Arial" w:eastAsia="Arial" w:hAnsi="Arial"/>
          <w:sz w:val="16"/>
          <w:szCs w:val="16"/>
          <w:color w:val="auto"/>
        </w:rPr>
        <w:t>Notwithstanding any other provision hereof, to the extent any payments (including the provision of benefits) hereunder constitute “nonqualified deferred compensation,” within the meaning of Section 409A of the Code, solely to the extent necessary to avoid the payment of additional taxes pursuant to Section 409A of the Code, the payment shall be paid (or provided) in accordance with the following:</w:t>
      </w:r>
    </w:p>
    <w:p>
      <w:pPr>
        <w:spacing w:after="0" w:line="52" w:lineRule="exact"/>
        <w:rPr>
          <w:rFonts w:ascii="Arial" w:cs="Arial" w:eastAsia="Arial" w:hAnsi="Arial"/>
          <w:sz w:val="16"/>
          <w:szCs w:val="16"/>
          <w:b w:val="1"/>
          <w:bCs w:val="1"/>
          <w:color w:val="auto"/>
        </w:rPr>
      </w:pPr>
    </w:p>
    <w:p>
      <w:pPr>
        <w:ind w:left="1026" w:right="40" w:hanging="567"/>
        <w:spacing w:after="0" w:line="272" w:lineRule="auto"/>
        <w:tabs>
          <w:tab w:leader="none" w:pos="1026"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If Executive is a “specified employee” within the meaning of Section 409A(a)(2)(B)(i) of the Code on Executive’s Termination Date, then no such payment that constitutes “nonqualified deferred compensation” shall be made during the period beginning on the Termination Date and ending on the date that is six months following the Termination Date or, if earlier, on the date of Executive’s death, if the earlier making of such payment would result in tax penalties being imposed on Executive under Section 409A of the Code. The amount of any payment that would otherwise be paid to Executive during this period shall instead be paid, with interest at the short-term applicable federal rate as in effect as of the Termination Date, to Executive on the first business day following the date that is six months following the Termination Date or, if earlier, the date of Executive’s death.</w:t>
      </w:r>
    </w:p>
    <w:p>
      <w:pPr>
        <w:spacing w:after="0" w:line="83" w:lineRule="exact"/>
        <w:rPr>
          <w:rFonts w:ascii="Arial" w:cs="Arial" w:eastAsia="Arial" w:hAnsi="Arial"/>
          <w:sz w:val="17"/>
          <w:szCs w:val="17"/>
          <w:color w:val="auto"/>
        </w:rPr>
      </w:pPr>
    </w:p>
    <w:p>
      <w:pPr>
        <w:ind w:left="1026" w:right="60" w:hanging="567"/>
        <w:spacing w:after="0" w:line="264" w:lineRule="auto"/>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period during which Executive may execute the general release and waiver agreement as contemplated by Paragraph 6 commences in one calendar year and ends in a subsequent calendar year, such amounts or benefits shall be paid or provided in the subsequent calendar year in accordance with Section 409A of the Code.</w:t>
      </w:r>
    </w:p>
    <w:p>
      <w:pPr>
        <w:spacing w:after="0" w:line="86" w:lineRule="exact"/>
        <w:rPr>
          <w:rFonts w:ascii="Arial" w:cs="Arial" w:eastAsia="Arial" w:hAnsi="Arial"/>
          <w:sz w:val="18"/>
          <w:szCs w:val="18"/>
          <w:color w:val="auto"/>
        </w:rPr>
      </w:pPr>
    </w:p>
    <w:p>
      <w:pPr>
        <w:ind w:left="1026" w:hanging="567"/>
        <w:spacing w:after="0" w:line="259" w:lineRule="auto"/>
        <w:tabs>
          <w:tab w:leader="none" w:pos="102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Notwithstanding the foregoing provisions hereof, if and to the extent that amounts payable hereunder are deemed, for purposes of Section 409A of the Code, to be in substitution of amounts previously payable under another arrangement with respect to Executive, such payments hereunder will be made at the same time(s) and in the same form(s) as such amounts would have been payable under the other arrangement, to the extent required to comply with Section 409A of the Code.</w:t>
      </w:r>
    </w:p>
    <w:p>
      <w:pPr>
        <w:spacing w:after="0" w:line="11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46"/>
          </w:cols>
          <w:pgMar w:left="694" w:top="274" w:right="259" w:bottom="1440" w:gutter="0" w:footer="0" w:header="0"/>
        </w:sectPr>
      </w:pPr>
    </w:p>
    <w:bookmarkStart w:id="204" w:name="page205"/>
    <w:bookmarkEnd w:id="204"/>
    <w:p>
      <w:pPr>
        <w:ind w:left="1472" w:right="140" w:hanging="567"/>
        <w:spacing w:after="0" w:line="257" w:lineRule="auto"/>
        <w:tabs>
          <w:tab w:leader="none" w:pos="1472" w:val="left"/>
        </w:tabs>
        <w:numPr>
          <w:ilvl w:val="2"/>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with respect to reimbursements of all expenses pursuant hereto shall be made promptly, but in any event on or before the last day of the calendar year following the calendar year in which the relevant expense is incurred. The amount of expenses eligible for reimbursement, or in-kind benefit provided, during a calendar year may not affect the expenses eligible for reimbursement, or in-kind benefit to be provided, in any other calendar year and Executive’s right to such reimbursement or in-kind benefits may not be liquidated or exchanged for any other benefit.</w:t>
      </w:r>
    </w:p>
    <w:p>
      <w:pPr>
        <w:spacing w:after="0" w:line="93" w:lineRule="exact"/>
        <w:rPr>
          <w:rFonts w:ascii="Arial" w:cs="Arial" w:eastAsia="Arial" w:hAnsi="Arial"/>
          <w:sz w:val="18"/>
          <w:szCs w:val="18"/>
          <w:color w:val="auto"/>
        </w:rPr>
      </w:pPr>
    </w:p>
    <w:p>
      <w:pPr>
        <w:ind w:left="892" w:right="60" w:hanging="446"/>
        <w:spacing w:after="0" w:line="259" w:lineRule="auto"/>
        <w:tabs>
          <w:tab w:leader="none" w:pos="892" w:val="left"/>
        </w:tabs>
        <w:numPr>
          <w:ilvl w:val="1"/>
          <w:numId w:val="149"/>
        </w:numPr>
        <w:rPr>
          <w:rFonts w:ascii="Arial" w:cs="Arial" w:eastAsia="Arial" w:hAnsi="Arial"/>
          <w:sz w:val="18"/>
          <w:szCs w:val="18"/>
          <w:b w:val="1"/>
          <w:bCs w:val="1"/>
          <w:color w:val="auto"/>
        </w:rPr>
      </w:pPr>
      <w:r>
        <w:rPr>
          <w:rFonts w:ascii="Arial" w:cs="Arial" w:eastAsia="Arial" w:hAnsi="Arial"/>
          <w:sz w:val="18"/>
          <w:szCs w:val="18"/>
          <w:color w:val="auto"/>
        </w:rPr>
        <w:t>To the extent that any post-termination continuation of health or medical coverage pursuant to this Exhibit would violate either Section 105(h) of the Code or the Patient Protection and Affordable Care Act of 2010 (collectively, “PPACA”) and related regulations and guidance promulgated thereunder, the Company may reform this Exhibit in such manner as is reasonably necessary to provide the intended benefit hereunder in a manner that complies with the PPACA.</w:t>
      </w:r>
    </w:p>
    <w:p>
      <w:pPr>
        <w:spacing w:after="0" w:line="331" w:lineRule="exact"/>
        <w:rPr>
          <w:rFonts w:ascii="Arial" w:cs="Arial" w:eastAsia="Arial" w:hAnsi="Arial"/>
          <w:sz w:val="18"/>
          <w:szCs w:val="18"/>
          <w:b w:val="1"/>
          <w:bCs w:val="1"/>
          <w:color w:val="auto"/>
        </w:rPr>
      </w:pPr>
    </w:p>
    <w:p>
      <w:pPr>
        <w:ind w:left="452" w:hanging="452"/>
        <w:spacing w:after="0"/>
        <w:tabs>
          <w:tab w:leader="none" w:pos="45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1" w:lineRule="exact"/>
        <w:rPr>
          <w:sz w:val="20"/>
          <w:szCs w:val="20"/>
          <w:color w:val="auto"/>
        </w:rPr>
      </w:pPr>
    </w:p>
    <w:p>
      <w:pPr>
        <w:ind w:left="1472" w:hanging="567"/>
        <w:spacing w:after="0" w:line="286" w:lineRule="auto"/>
        <w:tabs>
          <w:tab w:leader="none" w:pos="1472"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The parties agree that any dispute relating to this Exhibit, or to the breach of this Exhibit, arising between Executive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Loyalty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77" w:lineRule="exact"/>
        <w:rPr>
          <w:rFonts w:ascii="Arial" w:cs="Arial" w:eastAsia="Arial" w:hAnsi="Arial"/>
          <w:sz w:val="16"/>
          <w:szCs w:val="16"/>
          <w:b w:val="1"/>
          <w:bCs w:val="1"/>
          <w:color w:val="auto"/>
        </w:rPr>
      </w:pPr>
    </w:p>
    <w:p>
      <w:pPr>
        <w:ind w:left="1472" w:right="720" w:hanging="567"/>
        <w:spacing w:after="0" w:line="347" w:lineRule="auto"/>
        <w:tabs>
          <w:tab w:leader="none" w:pos="1472"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and Venue. </w:t>
      </w:r>
      <w:r>
        <w:rPr>
          <w:rFonts w:ascii="Arial" w:cs="Arial" w:eastAsia="Arial" w:hAnsi="Arial"/>
          <w:sz w:val="16"/>
          <w:szCs w:val="16"/>
          <w:color w:val="auto"/>
        </w:rPr>
        <w:t>This Exhibit shall be governed by and construed in accordance with the laws of the State of Texas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agreements made and to be performed in that State, without regard to its conflict of laws provisions. The</w:t>
      </w:r>
    </w:p>
    <w:p>
      <w:pPr>
        <w:spacing w:after="0" w:line="5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92"/>
          </w:cols>
          <w:pgMar w:left="248" w:top="274" w:right="259" w:bottom="1440" w:gutter="0" w:footer="0" w:header="0"/>
        </w:sectPr>
      </w:pPr>
    </w:p>
    <w:bookmarkStart w:id="205" w:name="page206"/>
    <w:bookmarkEnd w:id="205"/>
    <w:p>
      <w:pPr>
        <w:ind w:left="1472"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agree that any legal action arising from this Exhibit that is not required to be resolved through arbitration pursuant to Paragraph 10(a) must be pursued in a court of competent jurisdiction that is located in Houston, Texas.</w:t>
      </w:r>
    </w:p>
    <w:p>
      <w:pPr>
        <w:spacing w:after="0" w:line="315" w:lineRule="exact"/>
        <w:rPr>
          <w:sz w:val="20"/>
          <w:szCs w:val="20"/>
          <w:color w:val="auto"/>
        </w:rPr>
      </w:pPr>
    </w:p>
    <w:p>
      <w:pPr>
        <w:ind w:left="452" w:hanging="452"/>
        <w:spacing w:after="0"/>
        <w:tabs>
          <w:tab w:leader="none" w:pos="45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892" w:right="40" w:hanging="446"/>
        <w:spacing w:after="0" w:line="347" w:lineRule="auto"/>
        <w:tabs>
          <w:tab w:leader="none" w:pos="892"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Notices and all other communications provided for herein shall be in writing and shall be deemed to have been duly given when</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personally delivered or when mailed by United States registered or certified mail, return receipt requested, postage prepaid addressed as follows:</w:t>
      </w:r>
    </w:p>
    <w:p>
      <w:pPr>
        <w:spacing w:after="0" w:line="143" w:lineRule="exact"/>
        <w:rPr>
          <w:sz w:val="20"/>
          <w:szCs w:val="20"/>
          <w:color w:val="auto"/>
        </w:rPr>
      </w:pPr>
    </w:p>
    <w:p>
      <w:pPr>
        <w:ind w:left="912"/>
        <w:spacing w:after="0"/>
        <w:tabs>
          <w:tab w:leader="none" w:pos="3212" w:val="left"/>
        </w:tabs>
        <w:rPr>
          <w:sz w:val="20"/>
          <w:szCs w:val="20"/>
          <w:color w:val="auto"/>
        </w:rPr>
      </w:pPr>
      <w:r>
        <w:rPr>
          <w:rFonts w:ascii="Arial" w:cs="Arial" w:eastAsia="Arial" w:hAnsi="Arial"/>
          <w:sz w:val="18"/>
          <w:szCs w:val="18"/>
          <w:b w:val="1"/>
          <w:bCs w:val="1"/>
          <w:color w:val="auto"/>
        </w:rPr>
        <w:t>If to the Company:</w:t>
      </w:r>
      <w:r>
        <w:rPr>
          <w:sz w:val="20"/>
          <w:szCs w:val="20"/>
          <w:color w:val="auto"/>
        </w:rPr>
        <w:tab/>
      </w:r>
      <w:r>
        <w:rPr>
          <w:rFonts w:ascii="Arial" w:cs="Arial" w:eastAsia="Arial" w:hAnsi="Arial"/>
          <w:sz w:val="16"/>
          <w:szCs w:val="16"/>
          <w:color w:val="auto"/>
        </w:rPr>
        <w:t>USA Waste-Management Resources, LLC</w:t>
      </w:r>
    </w:p>
    <w:p>
      <w:pPr>
        <w:spacing w:after="0" w:line="27"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c/o Waste Management, Inc.</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Attention: Chief Legal Officer</w:t>
      </w:r>
    </w:p>
    <w:p>
      <w:pPr>
        <w:spacing w:after="0" w:line="207" w:lineRule="exact"/>
        <w:rPr>
          <w:sz w:val="20"/>
          <w:szCs w:val="20"/>
          <w:color w:val="auto"/>
        </w:rPr>
      </w:pPr>
    </w:p>
    <w:p>
      <w:pPr>
        <w:ind w:left="912"/>
        <w:spacing w:after="0"/>
        <w:tabs>
          <w:tab w:leader="none" w:pos="3212" w:val="left"/>
        </w:tabs>
        <w:rPr>
          <w:sz w:val="20"/>
          <w:szCs w:val="20"/>
          <w:color w:val="auto"/>
        </w:rPr>
      </w:pPr>
      <w:r>
        <w:rPr>
          <w:rFonts w:ascii="Arial" w:cs="Arial" w:eastAsia="Arial" w:hAnsi="Arial"/>
          <w:sz w:val="18"/>
          <w:szCs w:val="18"/>
          <w:b w:val="1"/>
          <w:bCs w:val="1"/>
          <w:color w:val="auto"/>
        </w:rPr>
        <w:t>If to Executive:</w:t>
      </w:r>
      <w:r>
        <w:rPr>
          <w:sz w:val="20"/>
          <w:szCs w:val="20"/>
          <w:color w:val="auto"/>
        </w:rPr>
        <w:tab/>
      </w:r>
      <w:r>
        <w:rPr>
          <w:rFonts w:ascii="Arial" w:cs="Arial" w:eastAsia="Arial" w:hAnsi="Arial"/>
          <w:sz w:val="16"/>
          <w:szCs w:val="16"/>
          <w:color w:val="auto"/>
        </w:rPr>
        <w:t>At the most recent address on file with the Company</w:t>
      </w:r>
    </w:p>
    <w:p>
      <w:pPr>
        <w:spacing w:after="0" w:line="229" w:lineRule="exact"/>
        <w:rPr>
          <w:sz w:val="20"/>
          <w:szCs w:val="20"/>
          <w:color w:val="auto"/>
        </w:rPr>
      </w:pPr>
    </w:p>
    <w:p>
      <w:pPr>
        <w:ind w:left="912" w:right="200"/>
        <w:spacing w:after="0" w:line="277"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will be effective when actually received by the addressee.</w:t>
      </w:r>
    </w:p>
    <w:p>
      <w:pPr>
        <w:spacing w:after="0" w:line="72" w:lineRule="exact"/>
        <w:rPr>
          <w:sz w:val="20"/>
          <w:szCs w:val="20"/>
          <w:color w:val="auto"/>
        </w:rPr>
      </w:pPr>
    </w:p>
    <w:p>
      <w:pPr>
        <w:jc w:val="both"/>
        <w:ind w:left="892" w:right="40" w:hanging="446"/>
        <w:spacing w:after="0" w:line="314" w:lineRule="auto"/>
        <w:tabs>
          <w:tab w:leader="none" w:pos="892"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Withholding Taxes and Other Employee Deductions</w:t>
      </w:r>
      <w:r>
        <w:rPr>
          <w:rFonts w:ascii="Arial" w:cs="Arial" w:eastAsia="Arial" w:hAnsi="Arial"/>
          <w:sz w:val="16"/>
          <w:szCs w:val="16"/>
          <w:color w:val="auto"/>
        </w:rPr>
        <w:t>. The Company, its affiliates or any successor company may withhold or deduct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payments made pursuant to this Exhibit all federal, state, city and other taxes as may be required pursuant to any statute, regulation, ordinance or order and all other normal employee deductions made with respect to the Company’s employees generally.</w:t>
      </w:r>
    </w:p>
    <w:p>
      <w:pPr>
        <w:spacing w:after="0" w:line="47" w:lineRule="exact"/>
        <w:rPr>
          <w:rFonts w:ascii="Arial" w:cs="Arial" w:eastAsia="Arial" w:hAnsi="Arial"/>
          <w:sz w:val="16"/>
          <w:szCs w:val="16"/>
          <w:b w:val="1"/>
          <w:bCs w:val="1"/>
          <w:color w:val="auto"/>
        </w:rPr>
      </w:pPr>
    </w:p>
    <w:p>
      <w:pPr>
        <w:ind w:left="892" w:hanging="446"/>
        <w:spacing w:after="0" w:line="271" w:lineRule="auto"/>
        <w:tabs>
          <w:tab w:leader="none" w:pos="892"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w:t>
      </w:r>
      <w:r>
        <w:rPr>
          <w:rFonts w:ascii="Arial" w:cs="Arial" w:eastAsia="Arial" w:hAnsi="Arial"/>
          <w:sz w:val="17"/>
          <w:szCs w:val="17"/>
          <w:color w:val="auto"/>
        </w:rPr>
        <w:t>. The terms set forth in this Exhibit are personal to Executive and without the prior written consent of the Company are not assignable</w:t>
      </w:r>
      <w:r>
        <w:rPr>
          <w:rFonts w:ascii="Arial" w:cs="Arial" w:eastAsia="Arial" w:hAnsi="Arial"/>
          <w:sz w:val="17"/>
          <w:szCs w:val="17"/>
          <w:b w:val="1"/>
          <w:bCs w:val="1"/>
          <w:color w:val="auto"/>
        </w:rPr>
        <w:t xml:space="preserve"> </w:t>
      </w:r>
      <w:r>
        <w:rPr>
          <w:rFonts w:ascii="Arial" w:cs="Arial" w:eastAsia="Arial" w:hAnsi="Arial"/>
          <w:sz w:val="17"/>
          <w:szCs w:val="17"/>
          <w:color w:val="auto"/>
        </w:rPr>
        <w:t>by Executive other than by will or the laws of descent and distribution. The terms set forth in this Exhibit will inure to the benefit of and be enforceable against Executive’s legal representatives and will inure to the benefit of and be binding upon the Company and its successors and assigns. The Company will require any successor (whether direct or indirect, by purchase, merger, consolidation, share exchange or otherwise) to all or substantially all of the business and/or assets of the Company Group to assume expressly and agree to perform the Company’s obligations under this Exhibit in the same manner and to the same extent that the Company would be required to perform such obligations if no such succession had taken place. For purposes of this Exhibit, the term “the Company Group” means the Company Group as hereinbefore defined and any successor to its business and/or assets as aforesaid which assumes and agrees to perform such obligations under this Exhibit by operation of law, or otherwise.</w:t>
      </w:r>
    </w:p>
    <w:p>
      <w:pPr>
        <w:spacing w:after="0" w:line="79" w:lineRule="exact"/>
        <w:rPr>
          <w:rFonts w:ascii="Arial" w:cs="Arial" w:eastAsia="Arial" w:hAnsi="Arial"/>
          <w:sz w:val="17"/>
          <w:szCs w:val="17"/>
          <w:b w:val="1"/>
          <w:bCs w:val="1"/>
          <w:color w:val="auto"/>
        </w:rPr>
      </w:pPr>
    </w:p>
    <w:p>
      <w:pPr>
        <w:ind w:left="892" w:right="60" w:hanging="446"/>
        <w:spacing w:after="0" w:line="266" w:lineRule="auto"/>
        <w:tabs>
          <w:tab w:leader="none" w:pos="89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Executive’s or the Company’s failure to insist upon strict compliance with any provision of this Exhibit or the failure to assert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 the Company may have hereunder, will not be deemed to be a waiver of such provision or right or any other provision or right of this Exhibit.</w:t>
      </w:r>
    </w:p>
    <w:p>
      <w:pPr>
        <w:spacing w:after="0" w:line="1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52"/>
          </w:cols>
          <w:pgMar w:left="248" w:top="274" w:right="299" w:bottom="1440" w:gutter="0" w:footer="0" w:header="0"/>
        </w:sectPr>
      </w:pPr>
    </w:p>
    <w:bookmarkStart w:id="206" w:name="page207"/>
    <w:bookmarkEnd w:id="206"/>
    <w:p>
      <w:pPr>
        <w:ind w:left="446" w:hanging="446"/>
        <w:spacing w:after="0"/>
        <w:tabs>
          <w:tab w:leader="none" w:pos="44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 </w:t>
      </w:r>
      <w:r>
        <w:rPr>
          <w:rFonts w:ascii="Arial" w:cs="Arial" w:eastAsia="Arial" w:hAnsi="Arial"/>
          <w:sz w:val="16"/>
          <w:szCs w:val="16"/>
          <w:color w:val="auto"/>
        </w:rPr>
        <w:t>Except as otherwise provided for herein, this Exhibit may only be modified by a written instrument signed by the parties hereto.</w:t>
      </w:r>
    </w:p>
    <w:p>
      <w:pPr>
        <w:sectPr>
          <w:pgSz w:w="11900" w:h="16838" w:orient="portrait"/>
          <w:cols w:equalWidth="0" w:num="1">
            <w:col w:w="10706"/>
          </w:cols>
          <w:pgMar w:left="694" w:top="270" w:right="499" w:bottom="1440" w:gutter="0" w:footer="0" w:header="0"/>
        </w:sectPr>
      </w:pPr>
    </w:p>
    <w:p>
      <w:pPr>
        <w:spacing w:after="0" w:line="185" w:lineRule="exact"/>
        <w:rPr>
          <w:sz w:val="20"/>
          <w:szCs w:val="20"/>
          <w:color w:val="auto"/>
        </w:rPr>
      </w:pPr>
    </w:p>
    <w:p>
      <w:pPr>
        <w:jc w:val="center"/>
        <w:ind w:right="194"/>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10706"/>
          </w:cols>
          <w:pgMar w:left="694" w:top="270" w:right="49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LOYALTY AND CONFIDENTIALITY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Leadership Team)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Charles C. Boettcher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USA Waste-Management Resources, LLC (“Company”).</w:t>
      </w:r>
    </w:p>
    <w:p>
      <w:pPr>
        <w:spacing w:after="0" w:line="225"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THIS LOYALTY AND CONFIDENTIALITY AGREEMENT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is between</w:t>
      </w:r>
      <w:r>
        <w:rPr>
          <w:rFonts w:ascii="Arial" w:cs="Arial" w:eastAsia="Arial" w:hAnsi="Arial"/>
          <w:sz w:val="16"/>
          <w:szCs w:val="16"/>
          <w:b w:val="1"/>
          <w:bCs w:val="1"/>
          <w:color w:val="auto"/>
        </w:rPr>
        <w:t xml:space="preserve"> Executive </w:t>
      </w:r>
      <w:r>
        <w:rPr>
          <w:rFonts w:ascii="Arial" w:cs="Arial" w:eastAsia="Arial" w:hAnsi="Arial"/>
          <w:sz w:val="16"/>
          <w:szCs w:val="16"/>
          <w:color w:val="auto"/>
        </w:rPr>
        <w:t>and</w:t>
      </w:r>
      <w:r>
        <w:rPr>
          <w:rFonts w:ascii="Arial" w:cs="Arial" w:eastAsia="Arial" w:hAnsi="Arial"/>
          <w:sz w:val="16"/>
          <w:szCs w:val="16"/>
          <w:b w:val="1"/>
          <w:bCs w:val="1"/>
          <w:color w:val="auto"/>
        </w:rPr>
        <w:t xml:space="preserve"> Company</w:t>
      </w:r>
      <w:r>
        <w:rPr>
          <w:rFonts w:ascii="Arial" w:cs="Arial" w:eastAsia="Arial" w:hAnsi="Arial"/>
          <w:sz w:val="16"/>
          <w:szCs w:val="16"/>
          <w:color w:val="auto"/>
        </w:rPr>
        <w:t>, collectively referred to as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Company seeks to place or retain Executive in a position of special trust and confidence, and Executive wishes to accept such a position. As a condition of employment in such a position, the mutual promises of the parties herein, and as a condition of the Company’s willingness to provide the benefits described in Executive’s offer letter (including Exhibit A thereof) and Executive’s participation in the Company’s incentive programs for the year following execution of this Agreement, each of which Executive acknowledges is adequate consideration for this Agreement; and, to protect Confidential Information (as defined below) and trade secrets, training, customer relationships, goodwill, and other legitimate business interests; the parties agree as follows:</w:t>
      </w:r>
    </w:p>
    <w:p>
      <w:pPr>
        <w:spacing w:after="0" w:line="18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Benefits and Responsibilities of Employment.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Items Provided to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reliance upon Executive’s covenants in this Agreement, Company will provide Executive with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(i) portions of the Company’s Confidential Information (through a computer password or other means) and updates thereto; (ii) authorization to communicate with customers and prospective customers, and reimbursement of customer development expenses in accordance with Company policy limits, to help Executive develop goodwill for Company; and/or (iii) authorization to participate in specialized training related to Company’s business. Employment with the Company and participation in its benefit plan(s) or compensation programs including, without limitation, those described in Executive’s offer letter, is also conditioned on Executive’s agreement to, and continuing compliance with, the terms of this Agreement—as determined by Company. Executive agrees that if he or she is unclear about the incentive program referenced in the introductory paragraph above, Executive will provide a written request for clarification from Waste Management, Inc.’s Chief Executive Officer, Chief Legal Officer or Senior Vice President of Human Resources. Failure to seek clarification about the Executive’s incentive program will result in a waiver by Executive of any claim that such language, as used in this Agreement, is ambiguous.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Duty of Loyalty and Conflicts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employment Executive will dedicate his or her full working time to the Company and use best</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perform the duties assigned, comply with Company policies and procedures, and avoid conflicts of interest. It will be a conflict of interest for Executive to have a financial or ownership interest in a business that may be at variance with the interests of the Company, or for Executive to engage in competition with the Company. Executive will promptly inform and direct to Company all business opportunities that may be of interest to the Company in its line of business. Executive agrees that if he or she questions whether information constitutes Confidential Information (as defined in Section 2.1 below), whether a business opportunity is covered by this Agreement, or whether contemplated activity would create a conflict of interest, he or she will provide a written request for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w:t>
      </w:r>
    </w:p>
    <w:p>
      <w:pPr>
        <w:sectPr>
          <w:pgSz w:w="11900" w:h="16838" w:orient="portrait"/>
          <w:cols w:equalWidth="0" w:num="1">
            <w:col w:w="11420"/>
          </w:cols>
          <w:pgMar w:left="240" w:top="270" w:right="239" w:bottom="1440" w:gutter="0" w:footer="0" w:header="0"/>
        </w:sectPr>
      </w:pPr>
    </w:p>
    <w:bookmarkStart w:id="208" w:name="page209"/>
    <w:bookmarkEnd w:id="208"/>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clarification from Waste Management, Inc.’s Chief Executive Officer, Chief Legal Officer or Senior Vice President of Human Resources. The provisions of this Section 1.2 shall be in addition to, rather than in substitution for, any fiduciary or other duties Executive has as an executive officer under all applicable laws.</w:t>
      </w:r>
    </w:p>
    <w:p>
      <w:pPr>
        <w:spacing w:after="0" w:line="20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Confidentiality and Business Interests</w:t>
      </w:r>
      <w:r>
        <w:rPr>
          <w:rFonts w:ascii="Arial" w:cs="Arial" w:eastAsia="Arial" w:hAnsi="Arial"/>
          <w:sz w:val="16"/>
          <w:szCs w:val="16"/>
          <w:b w:val="1"/>
          <w:bCs w:val="1"/>
          <w:color w:val="auto"/>
        </w:rPr>
        <w:t>.</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Definition of Confidential Information</w:t>
      </w:r>
      <w:r>
        <w:rPr>
          <w:rFonts w:ascii="Arial" w:cs="Arial" w:eastAsia="Arial" w:hAnsi="Arial"/>
          <w:sz w:val="16"/>
          <w:szCs w:val="16"/>
          <w:color w:val="auto"/>
        </w:rPr>
        <w: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refers to an item of information, or a compilation of information, in any</w:t>
      </w:r>
      <w:r>
        <w:rPr>
          <w:rFonts w:ascii="Arial" w:cs="Arial" w:eastAsia="Arial" w:hAnsi="Arial"/>
          <w:sz w:val="16"/>
          <w:szCs w:val="16"/>
          <w:b w:val="1"/>
          <w:bCs w:val="1"/>
          <w:color w:val="auto"/>
        </w:rPr>
        <w:t xml:space="preserve"> </w:t>
      </w:r>
      <w:r>
        <w:rPr>
          <w:rFonts w:ascii="Arial" w:cs="Arial" w:eastAsia="Arial" w:hAnsi="Arial"/>
          <w:sz w:val="16"/>
          <w:szCs w:val="16"/>
          <w:color w:val="auto"/>
        </w:rPr>
        <w:t>form (tangible or intangible), related to the Company’s business that Executive acquires as an Executive and that Company has not made public or authorized public disclosure of, and that is not through proper means readily available to persons outside the Company who are under no obligation to keep it confidential. Confidential Information will not lose its protected status under this Agreement if it becomes known to other persons through improper means such as the unauthorized use or disclosure of the information by Executive or another person. Confidential Information includes, but is not limited to:</w:t>
      </w:r>
    </w:p>
    <w:p>
      <w:pPr>
        <w:spacing w:after="0" w:line="2" w:lineRule="exact"/>
        <w:rPr>
          <w:sz w:val="20"/>
          <w:szCs w:val="20"/>
          <w:color w:val="auto"/>
        </w:rPr>
      </w:pPr>
    </w:p>
    <w:p>
      <w:pPr>
        <w:ind w:right="20" w:firstLine="8"/>
        <w:spacing w:after="0" w:line="267" w:lineRule="auto"/>
        <w:tabs>
          <w:tab w:leader="none" w:pos="21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Market Business Strategy (MBS) data,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marketing plans and strategies, research and development data, buying practices,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 Confidential Information does not include information pertaining to employees’ wages, hours and benefits and employees’ terms and conditions of employment. 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The presence of non-confidential items of information within an otherwise confidential compilation of information will not remove the compilation itself from the protection of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Unauthorized Use or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to use Confidential Information only in the performance of his or her duties, to hold such</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 confidence and trust, and not to engage in any unauthorized use or disclosure of such information during employment and for so long thereafter as such information qualifies as Confidential Information. Notwithstanding the foregoing, nothing in this Agreement shall be construed to prohibit a disclosure of information that is required by law or protected by law. If disclosure is compelled by law, Executive will give Company as much written notice as possible under the circumstances, will refrain from use or disclosure for as long as the law allows, and will cooperate with Company to protect such information, including taking every reasonable step to protect against unnecessary disclosure. Executive agrees, if he or she becomes aware of an unauthorized use or disclosure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420"/>
          </w:cols>
          <w:pgMar w:left="240" w:top="274" w:right="239" w:bottom="1440" w:gutter="0" w:footer="0" w:header="0"/>
        </w:sectPr>
      </w:pPr>
    </w:p>
    <w:bookmarkStart w:id="209" w:name="page210"/>
    <w:bookmarkEnd w:id="20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he or she will immediately notify Company’s Legal Department, whether or not Executive is a Company employee when he or she becomes aware of the disclosure. Nothing in this Agreement prohibits Executive from reporting an event that Executive reasonably and in good faith believes is a violation of law to the relevant law 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6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Executive Recordkeeping</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to preserve records on current and prospective Company customers, suppliers, and other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that he or she develops or helps to develop, and not use these records to compete with the Company for business opportunities. When Executive terminates employment with Company, or earlier if so requested, he or she will return to Company all documents, records, and materials of any kind in his or her possession or under his or her control, incorporating Confidential Information or otherwise, relating to Company’s business, and will not retain any copies thereof (electronic or otherwise). Upon request, Executive will provide to the Company for inspection any personal electronic storage devices that are used to conduct any business for the Company or that Company otherwise has grounds to believe may contain Confidential Information and will cooperate in facilitating an effective inspection, where applicable law makes inspection possible, to permit Company to confirm that Executive has completely removed all Confidential Information from the devices. If Executive stores any Company information with any service provider (e.g., gmail, DropBox, iCloud), Executive consents to the service provider’s disclosure of such information to the Company. Executive will, upon the Company’s request where allowed by law, execute any additional authorizations required by the service provider to disclose the Company’s information to the Company. Executive is not authorized to access and use the Company’s computers, email, or related computer systems to compete or to prepare to compete, and unauthorized access to or use of the Company’s computers in violation of this understanding may subject Executive to civil and/or criminal liability.</w:t>
      </w:r>
    </w:p>
    <w:p>
      <w:pPr>
        <w:spacing w:after="0" w:line="16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Inventions and Discoveries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to promptly inform Company’s Legal Department and disclose to Company all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copyright eligible works, ideas, improvements, software, discoveries, and other intellectual property he or she develops, discovers, or creates (a) that relate to Company’s or affiliates’ business, or to any actual or demonstrably anticipated Company or affiliate research, future work, or projects, whether or not conceived or developed alone or with others, and whether or not conceived or developed during regular working hours, or (b) that result from any work Executive performed for Company or 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3</w:t>
      </w:r>
    </w:p>
    <w:p>
      <w:pPr>
        <w:sectPr>
          <w:pgSz w:w="11900" w:h="16838" w:orient="portrait"/>
          <w:cols w:equalWidth="0" w:num="1">
            <w:col w:w="11420"/>
          </w:cols>
          <w:pgMar w:left="240" w:top="274" w:right="239" w:bottom="1440" w:gutter="0" w:footer="0" w:header="0"/>
        </w:sectPr>
      </w:pPr>
    </w:p>
    <w:bookmarkStart w:id="210" w:name="page211"/>
    <w:bookmarkEnd w:id="210"/>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performed on Company time, or performed using Company or affiliate property or resources; all such works and materials being hereafter referred to as “</w:t>
      </w:r>
      <w:r>
        <w:rPr>
          <w:rFonts w:ascii="Arial" w:cs="Arial" w:eastAsia="Arial" w:hAnsi="Arial"/>
          <w:sz w:val="17"/>
          <w:szCs w:val="17"/>
          <w:b w:val="1"/>
          <w:bCs w:val="1"/>
          <w:color w:val="auto"/>
        </w:rPr>
        <w:t>Company Inventions and Intellectual Property</w:t>
      </w:r>
      <w:r>
        <w:rPr>
          <w:rFonts w:ascii="Arial" w:cs="Arial" w:eastAsia="Arial" w:hAnsi="Arial"/>
          <w:sz w:val="17"/>
          <w:szCs w:val="17"/>
          <w:color w:val="auto"/>
        </w:rPr>
        <w:t>.” All Company Inventions and Intellectual Property, and rights thereto, moral and otherwise, will be Company’s exclusive property unless otherwise agreed by both parties in writing. While employed, and as necessary thereafter, Executive will assist Company to obtain patents or copyrights on all such Company Inventions and Intellectual Properties that Company seeks to protect, and will execute all documents and do everything necessary to obtain for Company copyrights, patents, licenses, and other rights and interests that would be necessary to secure for the Company the complete benefit of Company Inventions and Intellectual Property. Executive hereby assigns to Company or its designee all right, title, and interest to all Company Inventions or Intellectual Property that Executive has acquired, or acquires in the future, during employment or association with Company or its affiliates.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Protective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the restrictions on trade secrets and Confidential Information provided for in this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sufficient by themselves to protect the Company’s legitimate business interests. The additional restrictions provided for in this Section 4 are reasonable and necessary and collectively operate to protect legitimate business interests of the Company in important ways that no one restriction standing alone sufficiently does.</w:t>
      </w:r>
    </w:p>
    <w:p>
      <w:pPr>
        <w:spacing w:after="0" w:line="180"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Definitions Related to Protective Covenants</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464"/>
        <w:spacing w:after="0" w:line="256" w:lineRule="auto"/>
        <w:tabs>
          <w:tab w:leader="none" w:pos="8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Customer</w:t>
      </w:r>
      <w:r>
        <w:rPr>
          <w:rFonts w:ascii="Arial" w:cs="Arial" w:eastAsia="Arial" w:hAnsi="Arial"/>
          <w:sz w:val="18"/>
          <w:szCs w:val="18"/>
          <w:color w:val="auto"/>
        </w:rPr>
        <w:t>” is an established Company customer (person or entity) as to which Executive had business-related contact or dealings or received Confidential Information about in the two (2) year period preceding the end of Executive’s employment with the Company for any reason. References to the end of Executive’s employment in this Agreement refer to the end, whether by resignation or termination, and without regard for the reason employment ended. A customer will be presumed to be established where actual sales and/or services have occurred or been performed in the preceding year, where there is an active proposal for sales or services pending, or where sales or services were being negotiated as of the date Executive’s employment with Company ends.</w:t>
      </w:r>
    </w:p>
    <w:p>
      <w:pPr>
        <w:spacing w:after="0" w:line="187" w:lineRule="exact"/>
        <w:rPr>
          <w:rFonts w:ascii="Arial" w:cs="Arial" w:eastAsia="Arial" w:hAnsi="Arial"/>
          <w:sz w:val="18"/>
          <w:szCs w:val="18"/>
          <w:color w:val="auto"/>
        </w:rPr>
      </w:pPr>
    </w:p>
    <w:p>
      <w:pPr>
        <w:ind w:right="60" w:firstLine="464"/>
        <w:spacing w:after="0" w:line="298" w:lineRule="auto"/>
        <w:tabs>
          <w:tab w:leader="none" w:pos="84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Conflicting Product or Service</w:t>
      </w:r>
      <w:r>
        <w:rPr>
          <w:rFonts w:ascii="Arial" w:cs="Arial" w:eastAsia="Arial" w:hAnsi="Arial"/>
          <w:sz w:val="16"/>
          <w:szCs w:val="16"/>
          <w:color w:val="auto"/>
        </w:rPr>
        <w:t>” is a product and/or service provided by a person or entity other than the Company that would replace or compete with a Company product and/or service (existing or under development). By way of example, the products and services the Company provides to its customers may include but are not limited to: solid waste disposal, collection, transfer, storage, recycling and resource recovery; waste-to-energy conversion; landfill operation; and, development of beneficial-use projects for landfill gas. Conflicting Products or Services do not include a product or service of the Company if the Company is no longer in the business of providing such product or service to its customers at the relevant time of enforcement.</w:t>
      </w:r>
    </w:p>
    <w:p>
      <w:pPr>
        <w:spacing w:after="0" w:line="154" w:lineRule="exact"/>
        <w:rPr>
          <w:rFonts w:ascii="Arial" w:cs="Arial" w:eastAsia="Arial" w:hAnsi="Arial"/>
          <w:sz w:val="16"/>
          <w:szCs w:val="16"/>
          <w:color w:val="auto"/>
        </w:rPr>
      </w:pPr>
    </w:p>
    <w:p>
      <w:pPr>
        <w:ind w:right="120" w:firstLine="464"/>
        <w:spacing w:after="0" w:line="281" w:lineRule="auto"/>
        <w:tabs>
          <w:tab w:leader="none" w:pos="83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Competing Activities</w:t>
      </w:r>
      <w:r>
        <w:rPr>
          <w:rFonts w:ascii="Arial" w:cs="Arial" w:eastAsia="Arial" w:hAnsi="Arial"/>
          <w:sz w:val="17"/>
          <w:szCs w:val="17"/>
          <w:color w:val="auto"/>
        </w:rPr>
        <w:t>” are any activities or services undertaken on behalf of a competitor (which is understood to mean any person or entity engaged in the business of providing a Conflicting Product or Service in the United States) that (i) would displace the products or services that the Company is currently in the business of providing and was in the business of providing, or was planning to be in the business of providing, at the time Executive was employed with the Company, or (ii) otherwise likely to result in the use or disclosure of Confidential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4</w:t>
      </w:r>
    </w:p>
    <w:p>
      <w:pPr>
        <w:sectPr>
          <w:pgSz w:w="11900" w:h="16838" w:orient="portrait"/>
          <w:cols w:equalWidth="0" w:num="1">
            <w:col w:w="11400"/>
          </w:cols>
          <w:pgMar w:left="240" w:top="274" w:right="259" w:bottom="1440" w:gutter="0" w:footer="0" w:header="0"/>
        </w:sectPr>
      </w:pPr>
    </w:p>
    <w:bookmarkStart w:id="211" w:name="page212"/>
    <w:bookmarkEnd w:id="211"/>
    <w:p>
      <w:pPr>
        <w:ind w:firstLine="464"/>
        <w:spacing w:after="0" w:line="273" w:lineRule="auto"/>
        <w:tabs>
          <w:tab w:leader="none" w:pos="846"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Restricted Area</w:t>
      </w:r>
      <w:r>
        <w:rPr>
          <w:rFonts w:ascii="Arial" w:cs="Arial" w:eastAsia="Arial" w:hAnsi="Arial"/>
          <w:sz w:val="17"/>
          <w:szCs w:val="17"/>
          <w:color w:val="auto"/>
        </w:rPr>
        <w:t>” means the geographic area served by any current or planned facility or facilities (landfill, transfer station, recycling center, office, or other operation) of the Company and its affiliates or that Employee is otherwise provided Confidential Information about, in the two (2) year period preceding the end of Employee’s employment with the Company. As used here, the “geographic area served” by a facility is understood to be the area within a 75-mile radius of the facility, except where Employee can prove the market area served is smaller by clear and convincing evidence in which case such smaller area shall apply. The parties agree this is a reasonable geographic area restriction because the 75-mile radius identified is a reasonable approximation of the market area or other geographic area where Employee would be expected to help Company provide its products and services since Executive is a senior executive of the Company, or about which Employee would receive and help analyze Confidential Information.</w:t>
      </w:r>
    </w:p>
    <w:p>
      <w:pPr>
        <w:spacing w:after="0" w:line="172" w:lineRule="exact"/>
        <w:rPr>
          <w:rFonts w:ascii="Arial" w:cs="Arial" w:eastAsia="Arial" w:hAnsi="Arial"/>
          <w:sz w:val="17"/>
          <w:szCs w:val="17"/>
          <w:color w:val="auto"/>
        </w:rPr>
      </w:pPr>
    </w:p>
    <w:p>
      <w:pPr>
        <w:ind w:right="60" w:firstLine="464"/>
        <w:spacing w:after="0" w:line="347" w:lineRule="auto"/>
        <w:tabs>
          <w:tab w:leader="none" w:pos="83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Business Partner</w:t>
      </w:r>
      <w:r>
        <w:rPr>
          <w:rFonts w:ascii="Arial" w:cs="Arial" w:eastAsia="Arial" w:hAnsi="Arial"/>
          <w:sz w:val="16"/>
          <w:szCs w:val="16"/>
          <w:color w:val="auto"/>
        </w:rPr>
        <w:t>” is a business partner, broker, independent contractor, vendor or supplier that Executive had business-related contact or dealings with or received Confidential Information about in the two (2) year period preceding the end of Executive’s employment with the Company.</w:t>
      </w:r>
    </w:p>
    <w:p>
      <w:pPr>
        <w:spacing w:after="0" w:line="116" w:lineRule="exact"/>
        <w:rPr>
          <w:rFonts w:ascii="Arial" w:cs="Arial" w:eastAsia="Arial" w:hAnsi="Arial"/>
          <w:sz w:val="16"/>
          <w:szCs w:val="16"/>
          <w:color w:val="auto"/>
        </w:rPr>
      </w:pPr>
    </w:p>
    <w:p>
      <w:pPr>
        <w:ind w:right="240" w:firstLine="464"/>
        <w:spacing w:after="0" w:line="289" w:lineRule="auto"/>
        <w:tabs>
          <w:tab w:leader="none" w:pos="81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w:t>
      </w:r>
      <w:r>
        <w:rPr>
          <w:rFonts w:ascii="Arial" w:cs="Arial" w:eastAsia="Arial" w:hAnsi="Arial"/>
          <w:sz w:val="17"/>
          <w:szCs w:val="17"/>
          <w:color w:val="auto"/>
        </w:rPr>
        <w:t>” and related terms such as “soliciting” or engaging in “solicitation” mean to knowingly engage in acts or communications, in person or through others, that are intended to cause, or can reasonably be expected to induce or encourage, a particular responsive action (such as buying a good or service), regardless of which party initiates the communication or whether the communication is response to an inquiry.</w:t>
      </w:r>
    </w:p>
    <w:p>
      <w:pPr>
        <w:spacing w:after="0" w:line="1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Restriction on Interfering with Employee Relationships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the Company’s trade secrets and other interests, Executive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and for a period of two (2) years thereafter, Executive will not, directly or indirectly (a) solicit or knowingly induce any employee that he or she gained knowledge of through his or her employment to leave the employment of the Company, or (b) help any person or entity hire such an employee away from the Company; unless such conduct is undertaken with Company’s knowledge and for its benefit as part of Executive’s authorized job duties. The parties agree this restriction is inherently reasonable in geography because it is limited to the places or locations where the employees that Executive has knowledge of are located; however, if an additional geographic limitation is needed in order for the foregoing restriction to be enforceable then it shall be considered limited to the Restricted Area. In the event Company loses an employee due, in whole or in part, to conduct by Executive that violates this Agreement prior to the issuance of injunctive relief, Executive shall pay Company a sum equal to thirty percent (30%) of the annual wages of the person(s) who were improperly solicited and left the Company, based on such person’s last rate of pay with the Company. This payment shall not preclude or act as a substitute for any remedy that would otherwise be available, including but not limited to, injunctive relief to prevent further violations.</w:t>
      </w:r>
    </w:p>
    <w:p>
      <w:pPr>
        <w:spacing w:after="0" w:line="17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Restriction on Interfering with Customer Relationships</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the Company’s trade secrets and other interests,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while employed by the Company and for a period of two (2) years thereafter, Executive will not, directly or indirectly, solicit or knowingly induce a Covered Customer to (a) stop or reduce doing business with Company, or (b) buy a Conflicting Product or Service; unless such conduct is undertaken with Company’s knowledge and for its benefit as part of Executive’s authorized job duties. The parties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5</w:t>
      </w:r>
    </w:p>
    <w:p>
      <w:pPr>
        <w:sectPr>
          <w:pgSz w:w="11900" w:h="16838" w:orient="portrait"/>
          <w:cols w:equalWidth="0" w:num="1">
            <w:col w:w="11400"/>
          </w:cols>
          <w:pgMar w:left="240" w:top="270" w:right="259" w:bottom="1440" w:gutter="0" w:footer="0" w:header="0"/>
        </w:sectPr>
      </w:pPr>
    </w:p>
    <w:bookmarkStart w:id="212" w:name="page213"/>
    <w:bookmarkEnd w:id="212"/>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 this restriction is inherently reasonable in geography because it is limited to the places or locations where the Covered Customer is doing business at the time; however, if an additional geographic limitation is needed in order for the foregoing restriction to be enforceable then it shall be considered limited to the Restricted Area.</w:t>
      </w:r>
    </w:p>
    <w:p>
      <w:pPr>
        <w:spacing w:after="0" w:line="17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Restriction on Interfering with Business Partners</w:t>
      </w:r>
      <w:r>
        <w:rPr>
          <w:rFonts w:ascii="Arial" w:cs="Arial" w:eastAsia="Arial" w:hAnsi="Arial"/>
          <w:sz w:val="17"/>
          <w:szCs w:val="17"/>
          <w:color w:val="auto"/>
        </w:rPr>
        <w:t>. To protect the Company’s trade secrets and other interests, Executive agrees that while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employed by the Company and for a period of two (2) years thereafter, Executive will not (a) solicit or knowingly induce a Covered Business Partner to end or alter its business relationship with the Company to the Company’s detriment, or (b) solicit business opportunities with a Covered Business Partner that relate to a Conflicting Product or Service; unless such conduct is undertaken with Company’s knowledge and for its benefit as part of Executive’s authorized job duties. The parties agree this restriction is inherently reasonable in geography because it is limited to the places or locations where the Covered Business Partner is doing business at the time; however, if an additional geographic limitation is needed in order for the foregoing restriction to be enforceable then it shall be considered limited to the Restricted Area.</w:t>
      </w:r>
    </w:p>
    <w:p>
      <w:pPr>
        <w:spacing w:after="0" w:line="17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Restriction on Unfair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the Company’s trade secrets and other interests, while employed by Company and for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two (2) years thereafter, Executive will not participate in, supervise, or manage (as an employee, consultant, contractor, officer, owner, director, or otherwise) Competing Activities in the Restricted Area. 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Waste Management, Inc. in writing to be of no material threat to the legitimate business interests of the Company.</w:t>
      </w:r>
    </w:p>
    <w:p>
      <w:pPr>
        <w:spacing w:after="0" w:line="174"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During Executive’s employment, and for a period of two (2) years thereafter, Executive covenants and agrees that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or other entities affiliated with the Company.</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Survival and Severability</w:t>
      </w:r>
      <w:r>
        <w:rPr>
          <w:rFonts w:ascii="Arial" w:cs="Arial" w:eastAsia="Arial" w:hAnsi="Arial"/>
          <w:sz w:val="18"/>
          <w:szCs w:val="18"/>
          <w:b w:val="1"/>
          <w:bCs w:val="1"/>
          <w:color w:val="auto"/>
        </w:rPr>
        <w:t xml:space="preserve">. (a) </w:t>
      </w:r>
      <w:r>
        <w:rPr>
          <w:rFonts w:ascii="Arial" w:cs="Arial" w:eastAsia="Arial" w:hAnsi="Arial"/>
          <w:sz w:val="18"/>
          <w:szCs w:val="18"/>
          <w:color w:val="auto"/>
        </w:rPr>
        <w:t>Executive’s post-employment obligations in this Agreement shall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Executive’s employment under it. This Agreement will be deemed to continue in effect despite any changes in terms and conditions of Executive’s employment (including, but not limited to promotions, transfers, relocations, or changes in job duties or compensation), and it will automatically renew upon re-employment 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6</w:t>
      </w:r>
    </w:p>
    <w:p>
      <w:pPr>
        <w:sectPr>
          <w:pgSz w:w="11900" w:h="16838" w:orient="portrait"/>
          <w:cols w:equalWidth="0" w:num="1">
            <w:col w:w="11420"/>
          </w:cols>
          <w:pgMar w:left="240" w:top="274" w:right="239" w:bottom="1440" w:gutter="0" w:footer="0" w:header="0"/>
        </w:sectPr>
      </w:pPr>
    </w:p>
    <w:bookmarkStart w:id="213" w:name="page214"/>
    <w:bookmarkEnd w:id="21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if Executive’s employment is ended but later renewed. </w:t>
      </w:r>
      <w:r>
        <w:rPr>
          <w:rFonts w:ascii="Arial" w:cs="Arial" w:eastAsia="Arial" w:hAnsi="Arial"/>
          <w:sz w:val="16"/>
          <w:szCs w:val="16"/>
          <w:b w:val="1"/>
          <w:bCs w:val="1"/>
          <w:color w:val="auto"/>
        </w:rPr>
        <w:t>(b)</w:t>
      </w:r>
      <w:r>
        <w:rPr>
          <w:rFonts w:ascii="Arial" w:cs="Arial" w:eastAsia="Arial" w:hAnsi="Arial"/>
          <w:sz w:val="16"/>
          <w:szCs w:val="16"/>
          <w:color w:val="auto"/>
        </w:rPr>
        <w:t xml:space="preserve"> If Executive violates one of the post-employment restrictions in this Agreement on which there is a specific time limitation, the time period for that restriction will be extended by one day for each day Executive violates it; provided, however, that this extension of time shall be capped so it does not require Executive’s compliance with the restriction for a period of time that is longer than the restriction’s originally proscribed length of time. </w:t>
      </w:r>
      <w:r>
        <w:rPr>
          <w:rFonts w:ascii="Arial" w:cs="Arial" w:eastAsia="Arial" w:hAnsi="Arial"/>
          <w:sz w:val="16"/>
          <w:szCs w:val="16"/>
          <w:b w:val="1"/>
          <w:bCs w:val="1"/>
          <w:color w:val="auto"/>
        </w:rPr>
        <w:t>(c)</w:t>
      </w:r>
      <w:r>
        <w:rPr>
          <w:rFonts w:ascii="Arial" w:cs="Arial" w:eastAsia="Arial" w:hAnsi="Arial"/>
          <w:sz w:val="16"/>
          <w:szCs w:val="16"/>
          <w:color w:val="auto"/>
        </w:rPr>
        <w:t xml:space="preserve"> If a court determines that a restriction provided for herein cannot be enforced as written due to over breadth (such as time, scope of activity, or geography), the court will (for purposes of that court’s jurisdiction only) enforce the restrictions to such lesser extent as is allowed by law and/or reform the restriction to the extent necessary to make it enforceable to protect Company’s legitimate business purpose</w:t>
      </w:r>
    </w:p>
    <w:p>
      <w:pPr>
        <w:spacing w:after="0" w:line="4" w:lineRule="exact"/>
        <w:rPr>
          <w:sz w:val="20"/>
          <w:szCs w:val="20"/>
          <w:color w:val="auto"/>
        </w:rPr>
      </w:pPr>
    </w:p>
    <w:p>
      <w:pPr>
        <w:ind w:right="140" w:firstLine="8"/>
        <w:spacing w:after="0" w:line="270" w:lineRule="auto"/>
        <w:tabs>
          <w:tab w:leader="none" w:pos="265" w:val="left"/>
        </w:tabs>
        <w:numPr>
          <w:ilvl w:val="0"/>
          <w:numId w:val="158"/>
        </w:numPr>
        <w:rPr>
          <w:rFonts w:ascii="Arial" w:cs="Arial" w:eastAsia="Arial" w:hAnsi="Arial"/>
          <w:sz w:val="17"/>
          <w:szCs w:val="17"/>
          <w:b w:val="1"/>
          <w:bCs w:val="1"/>
          <w:color w:val="auto"/>
        </w:rPr>
      </w:pPr>
      <w:r>
        <w:rPr>
          <w:rFonts w:ascii="Arial" w:cs="Arial" w:eastAsia="Arial" w:hAnsi="Arial"/>
          <w:sz w:val="17"/>
          <w:szCs w:val="17"/>
          <w:color w:val="auto"/>
        </w:rPr>
        <w:t xml:space="preserve">If, despite the foregoing, any provision of this Agreement is adjudicated to be void, illegal or unenforceable, all other provisions will remain in full force and effect, as if the void, illegal, or unenforceable provision is not part of the Agreement. </w:t>
      </w:r>
      <w:r>
        <w:rPr>
          <w:rFonts w:ascii="Arial" w:cs="Arial" w:eastAsia="Arial" w:hAnsi="Arial"/>
          <w:sz w:val="17"/>
          <w:szCs w:val="17"/>
          <w:b w:val="1"/>
          <w:bCs w:val="1"/>
          <w:color w:val="auto"/>
        </w:rPr>
        <w:t>(e)</w:t>
      </w:r>
      <w:r>
        <w:rPr>
          <w:rFonts w:ascii="Arial" w:cs="Arial" w:eastAsia="Arial" w:hAnsi="Arial"/>
          <w:sz w:val="17"/>
          <w:szCs w:val="17"/>
          <w:color w:val="auto"/>
        </w:rPr>
        <w:t xml:space="preserve"> All of Executive’s covenants in this Agreement shall be construed as independent agreements; and, the existence of any claim or cause of action against Company by Executive, whether predicated on this Agreement or otherwise, shall not constitute a defense to the enforcement by Company of any of Executive’s obligations under this Agreement. </w:t>
      </w:r>
      <w:r>
        <w:rPr>
          <w:rFonts w:ascii="Arial" w:cs="Arial" w:eastAsia="Arial" w:hAnsi="Arial"/>
          <w:sz w:val="17"/>
          <w:szCs w:val="17"/>
          <w:b w:val="1"/>
          <w:bCs w:val="1"/>
          <w:color w:val="auto"/>
        </w:rPr>
        <w:t>(f)</w:t>
      </w:r>
      <w:r>
        <w:rPr>
          <w:rFonts w:ascii="Arial" w:cs="Arial" w:eastAsia="Arial" w:hAnsi="Arial"/>
          <w:sz w:val="17"/>
          <w:szCs w:val="17"/>
          <w:color w:val="auto"/>
        </w:rPr>
        <w:t xml:space="preserve"> If Executive becomes employed with an affiliate without signing a new agreement, the affiliate will step into Company’s position under this Agreement, and will be entitled to the same protections and enforcement rights as the Company.</w:t>
      </w:r>
    </w:p>
    <w:p>
      <w:pPr>
        <w:spacing w:after="0" w:line="175"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accepting new employment, Executive will advise any such future employer of the restrictions in this Agreement.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the Company may advise any such future employer or prospective employer of this Agreement and its position on the potential application of this Agreement without such giving rise to any legal claim. While employed by Company, and for two (2) years thereafter, Executive will provide Company:</w:t>
      </w:r>
    </w:p>
    <w:p>
      <w:pPr>
        <w:spacing w:after="0" w:line="2" w:lineRule="exact"/>
        <w:rPr>
          <w:sz w:val="20"/>
          <w:szCs w:val="20"/>
          <w:color w:val="auto"/>
        </w:rPr>
      </w:pPr>
    </w:p>
    <w:p>
      <w:pPr>
        <w:ind w:firstLine="8"/>
        <w:spacing w:after="0" w:line="271" w:lineRule="auto"/>
        <w:tabs>
          <w:tab w:leader="none" w:pos="21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written notice at least thirty (30) days prior to beginning work for a competitor; (ii) sufficient information about his or her new position to enable Company to determine if Executive’s services in the new position would likely lead to a violation of this Agreement; and (iii) within thirty days of Company’s request, if there is such a request, participate in a mediation or in-person conference to discuss and/or resolve any issues raised by Executive’s new position. Executive’s written notice pursuant to (i) above shall be provided to the Chief Executive Officer of Waste Management, Inc. Executive will be responsible for all consequential damages caused by failure to give Company notice as provided in this paragraph.</w:t>
      </w:r>
    </w:p>
    <w:p>
      <w:pPr>
        <w:spacing w:after="0" w:line="175"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If either party breaches or threatens to breach this Agreement, the offended party may recover: (i) an order of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or declaratory relief; (ii) injunctive relief by temporary restraining order, temporary injunction, and/or permanent injunction; (iii) damages;</w:t>
      </w:r>
    </w:p>
    <w:p>
      <w:pPr>
        <w:spacing w:after="0" w:line="1" w:lineRule="exact"/>
        <w:rPr>
          <w:sz w:val="20"/>
          <w:szCs w:val="20"/>
          <w:color w:val="auto"/>
        </w:rPr>
      </w:pPr>
    </w:p>
    <w:p>
      <w:pPr>
        <w:ind w:firstLine="8"/>
        <w:spacing w:after="0" w:line="290" w:lineRule="auto"/>
        <w:tabs>
          <w:tab w:leader="none" w:pos="30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attorney’s fees and costs incurred in obtaining relief; and (v) any other legal or equitable relief or remedy allowed by law. If Company seeks injunctive relief or damages it shall be deemed the prevailing party if any injunctive relief or damages are awarded to it irrespective of the denial of any other relief requested. One Thousand Dollars ($1,000.00) is the agreed amount for the bond to be posted if an injunction is sought by Company to enforce the restrictions in this Agreement on Executive. In addition, Executive agrees that any breach by Executive of any of the covenants set forth in this Agreement during Executive’s term of employment with the Company shall be grounds for immediate employment termination of Executive for Cause as described in Exhibit A of Executive’s offer letter, which shall be in addition to and not exclusive of any and all other rights and remedies the Company may have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7</w:t>
      </w:r>
    </w:p>
    <w:p>
      <w:pPr>
        <w:sectPr>
          <w:pgSz w:w="11900" w:h="16838" w:orient="portrait"/>
          <w:cols w:equalWidth="0" w:num="1">
            <w:col w:w="11400"/>
          </w:cols>
          <w:pgMar w:left="240" w:top="270" w:right="259" w:bottom="1440" w:gutter="0" w:footer="0" w:header="0"/>
        </w:sectPr>
      </w:pPr>
    </w:p>
    <w:bookmarkStart w:id="214" w:name="page215"/>
    <w:bookmarkEnd w:id="21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Executive. In addition, in the event that Executive violates any of the covenants set forth in this Agreement, (i) the Company shall have the right to immediately cease making any payments that it may otherwise owe to Executive, if any, pursuant to Executive’s offer letter, (ii) Executive will forfeit any remaining rights to payments or continuing benefits provided by Executive’s offer letter, if there are any, and (iii) upon the Company’s demand, Executive will refund to the Company any severance benefits, plus interest, previously paid by Company to Executive pursuant to Exhibit A of the offer letter, less one thousand dollars ($1,000) which Executive shall be entitled to retain as fully sufficient consideration to support and maintain in effect any contractual obligations that Executive has to the Company prior to the refund, including the release of claims upon which the payment of such amounts was conditioned.</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Waiver, Modification, Assignment, Governing Law</w:t>
      </w:r>
      <w:r>
        <w:rPr>
          <w:rFonts w:ascii="Arial" w:cs="Arial" w:eastAsia="Arial" w:hAnsi="Arial"/>
          <w:sz w:val="16"/>
          <w:szCs w:val="16"/>
          <w:b w:val="1"/>
          <w:bCs w:val="1"/>
          <w:color w:val="auto"/>
        </w:rPr>
        <w:t xml:space="preserve">. (a) </w:t>
      </w:r>
      <w:r>
        <w:rPr>
          <w:rFonts w:ascii="Arial" w:cs="Arial" w:eastAsia="Arial" w:hAnsi="Arial"/>
          <w:sz w:val="16"/>
          <w:szCs w:val="16"/>
          <w:color w:val="auto"/>
        </w:rPr>
        <w:t>Neither this Agreement, nor any term or provision hereof, may be waived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modified in whole or in part by either party without the party that holds the right to enforce such provision expressly waiving the right to enforce such provision in writing, or by court order and the waiver of one breach will not serve to waive or permit a subsequent breach. </w:t>
      </w:r>
      <w:r>
        <w:rPr>
          <w:rFonts w:ascii="Arial" w:cs="Arial" w:eastAsia="Arial" w:hAnsi="Arial"/>
          <w:sz w:val="16"/>
          <w:szCs w:val="16"/>
          <w:b w:val="1"/>
          <w:bCs w:val="1"/>
          <w:color w:val="auto"/>
        </w:rPr>
        <w:t>(b)</w:t>
      </w:r>
      <w:r>
        <w:rPr>
          <w:rFonts w:ascii="Arial" w:cs="Arial" w:eastAsia="Arial" w:hAnsi="Arial"/>
          <w:sz w:val="16"/>
          <w:szCs w:val="16"/>
          <w:color w:val="auto"/>
        </w:rPr>
        <w:t xml:space="preserve"> Except where otherwise expressly indicated, the Agreement contains the parties’ entire agreement concerning the matters covered in it; provided that if a post-employment restrictive covenant in this Agreement is found unenforceable (despite, and after application of, any applicable right to reformation that could add or renew enforceability), then any prior agreement between the parties that would provide for a restriction on the same or substantially similar post-employment conduct of Executive shall not be considered superseded and shall remain in effect. </w:t>
      </w:r>
      <w:r>
        <w:rPr>
          <w:rFonts w:ascii="Arial" w:cs="Arial" w:eastAsia="Arial" w:hAnsi="Arial"/>
          <w:sz w:val="16"/>
          <w:szCs w:val="16"/>
          <w:b w:val="1"/>
          <w:bCs w:val="1"/>
          <w:color w:val="auto"/>
        </w:rPr>
        <w:t>(c)</w:t>
      </w:r>
      <w:r>
        <w:rPr>
          <w:rFonts w:ascii="Arial" w:cs="Arial" w:eastAsia="Arial" w:hAnsi="Arial"/>
          <w:sz w:val="16"/>
          <w:szCs w:val="16"/>
          <w:color w:val="auto"/>
        </w:rPr>
        <w:t xml:space="preserve"> The Agreement will inure to the benefit of Company’s successors in interest, affiliates (as defined in Rule 12b-2 under Section 12 of the Securities and Exchange Act), subsidiaries, parents, purchasers, or assignees, all of whom are beneficiaries of this Agreement and may be enforced by any one or more of same, without need of any further authorization or agreement from Executive.</w:t>
      </w:r>
    </w:p>
    <w:p>
      <w:pPr>
        <w:spacing w:after="0" w:line="4" w:lineRule="exact"/>
        <w:rPr>
          <w:sz w:val="20"/>
          <w:szCs w:val="20"/>
          <w:color w:val="auto"/>
        </w:rPr>
      </w:pPr>
    </w:p>
    <w:p>
      <w:pPr>
        <w:ind w:firstLine="8"/>
        <w:spacing w:after="0" w:line="287" w:lineRule="auto"/>
        <w:tabs>
          <w:tab w:leader="none" w:pos="262"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 xml:space="preserve">The laws of the State of Texas will govern the Agreement, the construction of its terms, and the interpretation of the rights and duties of the parties, regardless of any conflicts of law principles of the state. </w:t>
      </w:r>
      <w:r>
        <w:rPr>
          <w:rFonts w:ascii="Arial" w:cs="Arial" w:eastAsia="Arial" w:hAnsi="Arial"/>
          <w:sz w:val="16"/>
          <w:szCs w:val="16"/>
          <w:b w:val="1"/>
          <w:bCs w:val="1"/>
          <w:color w:val="auto"/>
        </w:rPr>
        <w:t>(e)</w:t>
      </w:r>
      <w:r>
        <w:rPr>
          <w:rFonts w:ascii="Arial" w:cs="Arial" w:eastAsia="Arial" w:hAnsi="Arial"/>
          <w:sz w:val="16"/>
          <w:szCs w:val="16"/>
          <w:color w:val="auto"/>
        </w:rPr>
        <w:t xml:space="preserve"> Executive stipulates and consents to personal jurisdiction of the courts located in Harris County, Texas, over him or her, and waives any and all objections to the contrary (whether based on convenience, cost, or other grounds). The exclusive venue for any legal action arising from this Agreement will be Harris County, Texas; provided, however, that if no court in Harris County, Texas has jurisdiction over Executive, forum will be proper in the state where Executive last regularly worked for the Company. </w:t>
      </w:r>
      <w:r>
        <w:rPr>
          <w:rFonts w:ascii="Arial" w:cs="Arial" w:eastAsia="Arial" w:hAnsi="Arial"/>
          <w:sz w:val="16"/>
          <w:szCs w:val="16"/>
          <w:b w:val="1"/>
          <w:bCs w:val="1"/>
          <w:color w:val="auto"/>
        </w:rPr>
        <w:t>(f)</w:t>
      </w:r>
      <w:r>
        <w:rPr>
          <w:rFonts w:ascii="Arial" w:cs="Arial" w:eastAsia="Arial" w:hAnsi="Arial"/>
          <w:sz w:val="16"/>
          <w:szCs w:val="16"/>
          <w:color w:val="auto"/>
        </w:rPr>
        <w:t xml:space="preserve"> Nothing in this Agreement shall be construed to control or modify which entity (among the Company’s family of entities) is the Executive’s legal employer for purposes of any laws or regulations governing the employment relationship. </w:t>
      </w:r>
      <w:r>
        <w:rPr>
          <w:rFonts w:ascii="Arial" w:cs="Arial" w:eastAsia="Arial" w:hAnsi="Arial"/>
          <w:sz w:val="16"/>
          <w:szCs w:val="16"/>
          <w:b w:val="1"/>
          <w:bCs w:val="1"/>
          <w:color w:val="auto"/>
        </w:rPr>
        <w:t>(g)</w:t>
      </w:r>
      <w:r>
        <w:rPr>
          <w:rFonts w:ascii="Arial" w:cs="Arial" w:eastAsia="Arial" w:hAnsi="Arial"/>
          <w:sz w:val="16"/>
          <w:szCs w:val="16"/>
          <w:color w:val="auto"/>
        </w:rPr>
        <w:t xml:space="preserve"> Nothing in this Agreement shall be construed to limit or reduce any common law or statutory duty Executive would otherwise owe to Company absent this Agreement, including but not limited to Executive’s duty of loyalty and fiduciary duty as an Executive placed in a special position of trust; nor shall this Agreement limit or eliminate any remedies available to the Company for a violation of such duties.</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waive their right to jury trial on any legal dispute arising from or relating 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the submission of all issues of fact and law arising from this Agreement to the judge of a court of competent jurisdiction as otherwise provided for above.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8</w:t>
      </w:r>
    </w:p>
    <w:p>
      <w:pPr>
        <w:sectPr>
          <w:pgSz w:w="11900" w:h="16838" w:orient="portrait"/>
          <w:cols w:equalWidth="0" w:num="1">
            <w:col w:w="11380"/>
          </w:cols>
          <w:pgMar w:left="240" w:top="274" w:right="279" w:bottom="1440" w:gutter="0" w:footer="0" w:header="0"/>
        </w:sectPr>
      </w:pPr>
    </w:p>
    <w:bookmarkStart w:id="215" w:name="page216"/>
    <w:bookmarkEnd w:id="215"/>
    <w:p>
      <w:pPr>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Agreement will be construed to create a contract of employment for a definite period of time or to prohibit either party from having the freedom to end the employment relationship at-will, with or without cause, subject to payment of any amounts due under the terms of Executive’s offer letter.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USA Waste-Management Resources, LLC:</w:t>
      </w:r>
    </w:p>
    <w:p>
      <w:pPr>
        <w:sectPr>
          <w:pgSz w:w="11900" w:h="16838" w:orient="portrait"/>
          <w:cols w:equalWidth="0" w:num="1">
            <w:col w:w="11260"/>
          </w:cols>
          <w:pgMar w:left="240" w:top="274" w:right="3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90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55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55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9-14-16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62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62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8859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 Courtney A. Tippy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Vice President</w:t>
      </w:r>
    </w:p>
    <w:p>
      <w:pPr>
        <w:spacing w:after="0" w:line="787" w:lineRule="exact"/>
        <w:rPr>
          <w:sz w:val="20"/>
          <w:szCs w:val="20"/>
          <w:color w:val="auto"/>
        </w:rPr>
      </w:pPr>
    </w:p>
    <w:p>
      <w:pPr>
        <w:sectPr>
          <w:pgSz w:w="11900" w:h="16838" w:orient="portrait"/>
          <w:cols w:equalWidth="0" w:num="2">
            <w:col w:w="5340" w:space="720"/>
            <w:col w:w="5200"/>
          </w:cols>
          <w:pgMar w:left="240" w:top="274" w:right="3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LOYALTY AND CONFIDENTIALITY AGREEMENT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LEADERSHIP TEAM)</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PAGE 9</w:t>
      </w:r>
    </w:p>
    <w:p>
      <w:pPr>
        <w:sectPr>
          <w:pgSz w:w="11900" w:h="16838" w:orient="portrait"/>
          <w:cols w:equalWidth="0" w:num="1">
            <w:col w:w="11260"/>
          </w:cols>
          <w:pgMar w:left="240" w:top="274" w:right="39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SEPARATION AND RELEASE AGREEMENT (“Separation Agreement”) is entered into between USA Waste-Management Resources, LLC (the “Company”) and Mark E. Schwartz (the “Executive” and, together with the Company, the “parties”).</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REAMBLE</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Waste Management, Inc. (together with any entity that is a direct or indirect majority-owned subsidiary of Waste Management, Inc. “Waste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Executive previously entered into that certain Employment Agreement dated July 5, 2012 (but effective May 10, 2012), as may have been amended from time to time (the “Employment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WHEREAS, </w:t>
      </w:r>
      <w:r>
        <w:rPr>
          <w:rFonts w:ascii="Arial" w:cs="Arial" w:eastAsia="Arial" w:hAnsi="Arial"/>
          <w:sz w:val="17"/>
          <w:szCs w:val="17"/>
          <w:color w:val="auto"/>
        </w:rPr>
        <w:t>pursuant to such Employment Agreement, Executive has been continuously employed by the Company or an affiliate thereof;</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and execution of a waiver and release of claims, Executive will receive certain benefits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Exhibit B of this Separation Agreement;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Separation Agreement to supplement the continuing provisions of said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as set forth below; and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hereby agree as follows:</w:t>
      </w:r>
    </w:p>
    <w:p>
      <w:pPr>
        <w:spacing w:after="0" w:line="166" w:lineRule="exact"/>
        <w:rPr>
          <w:sz w:val="20"/>
          <w:szCs w:val="20"/>
          <w:color w:val="auto"/>
        </w:rPr>
      </w:pPr>
    </w:p>
    <w:p>
      <w:pPr>
        <w:ind w:right="60" w:firstLine="464"/>
        <w:spacing w:after="0" w:line="256" w:lineRule="auto"/>
        <w:tabs>
          <w:tab w:leader="none" w:pos="771"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of Executive with the Company terminated January 1, 2017 (“Employment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agree that Executive is entitled to the certain compensation and benefits set forth in Section 6(e) of the Employment Agreement without his execution of a release, as more specifically detailed in Exhibit A to this Separation Agreement. Executive agrees that as of the Employment Termination Date all officer positions he holds with any Waste Management entity ceased, and he shall take any actions that are reasonably required to effectuate the foregoing. </w:t>
      </w:r>
      <w:r>
        <w:rPr>
          <w:rFonts w:ascii="Arial" w:cs="Arial" w:eastAsia="Arial" w:hAnsi="Arial"/>
          <w:sz w:val="18"/>
          <w:szCs w:val="18"/>
          <w:u w:val="single" w:color="auto"/>
          <w:color w:val="auto"/>
        </w:rPr>
        <w:t>It is expressly agreed to and acknowledged by the parties that Executive is entitled to the compensation and benefits set forth in Exhibit A whether or not he executes this Separation Agreement.</w:t>
      </w:r>
    </w:p>
    <w:p>
      <w:pPr>
        <w:spacing w:after="0" w:line="187" w:lineRule="exact"/>
        <w:rPr>
          <w:rFonts w:ascii="Arial" w:cs="Arial" w:eastAsia="Arial" w:hAnsi="Arial"/>
          <w:sz w:val="18"/>
          <w:szCs w:val="18"/>
          <w:b w:val="1"/>
          <w:bCs w:val="1"/>
          <w:color w:val="auto"/>
        </w:rPr>
      </w:pPr>
    </w:p>
    <w:p>
      <w:pPr>
        <w:ind w:right="220" w:firstLine="464"/>
        <w:spacing w:after="0" w:line="313" w:lineRule="auto"/>
        <w:tabs>
          <w:tab w:leader="none" w:pos="771"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Additional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promises herein contained, and subject to Executive executing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revoking this Separation Agreement, it is agreed that the Company will provide Executive those certain benefits specifically</w:t>
      </w:r>
    </w:p>
    <w:p>
      <w:pPr>
        <w:sectPr>
          <w:pgSz w:w="11900" w:h="16838" w:orient="portrait"/>
          <w:cols w:equalWidth="0" w:num="1">
            <w:col w:w="11420"/>
          </w:cols>
          <w:pgMar w:left="240" w:top="121" w:right="239" w:bottom="1440" w:gutter="0" w:footer="0" w:header="0"/>
        </w:sectPr>
      </w:pPr>
    </w:p>
    <w:bookmarkStart w:id="217" w:name="page218"/>
    <w:bookmarkEnd w:id="217"/>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detailed in Exhibit B to this Separation Agreement. </w:t>
      </w:r>
      <w:r>
        <w:rPr>
          <w:rFonts w:ascii="Arial" w:cs="Arial" w:eastAsia="Arial" w:hAnsi="Arial"/>
          <w:sz w:val="17"/>
          <w:szCs w:val="17"/>
          <w:u w:val="single" w:color="auto"/>
          <w:color w:val="auto"/>
        </w:rPr>
        <w:t>It is expressly agreed to and acknowledged by the parties that Executive is not entitled to the benefits set</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forth in Exhibit B until such time as he executes this Separation Agreement and it becomes effective and irrevocably by its terms</w:t>
      </w:r>
      <w:r>
        <w:rPr>
          <w:rFonts w:ascii="Arial" w:cs="Arial" w:eastAsia="Arial" w:hAnsi="Arial"/>
          <w:sz w:val="17"/>
          <w:szCs w:val="17"/>
          <w:color w:val="auto"/>
        </w:rPr>
        <w:t>. The Company shall withhold, or cause to be withheld, from said payments all amounts required to be withheld pursuant to federal, state or local tax laws.</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consideration set forth in this Section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Section 3 and 5. Executive further acknowledges that the items of consideration set forth in this Section 2 are separate and distinct of and from each other, and that payment of each such item is independent valuable consideration for the release and waiver set forth in Sections 3 and 5.</w:t>
      </w:r>
    </w:p>
    <w:p>
      <w:pPr>
        <w:spacing w:after="0" w:line="184" w:lineRule="exact"/>
        <w:rPr>
          <w:sz w:val="20"/>
          <w:szCs w:val="20"/>
          <w:color w:val="auto"/>
        </w:rPr>
      </w:pPr>
    </w:p>
    <w:p>
      <w:pPr>
        <w:ind w:right="100" w:firstLine="464"/>
        <w:spacing w:after="0" w:line="256" w:lineRule="auto"/>
        <w:tabs>
          <w:tab w:leader="none" w:pos="771"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first payment made to Executive pursuant to Section 2, Executive releases and discharge the Company, its</w:t>
      </w:r>
      <w:r>
        <w:rPr>
          <w:rFonts w:ascii="Arial" w:cs="Arial" w:eastAsia="Arial" w:hAnsi="Arial"/>
          <w:sz w:val="18"/>
          <w:szCs w:val="18"/>
          <w:b w:val="1"/>
          <w:bCs w:val="1"/>
          <w:color w:val="auto"/>
        </w:rPr>
        <w:t xml:space="preserve"> </w:t>
      </w:r>
      <w:r>
        <w:rPr>
          <w:rFonts w:ascii="Arial" w:cs="Arial" w:eastAsia="Arial" w:hAnsi="Arial"/>
          <w:sz w:val="18"/>
          <w:szCs w:val="18"/>
          <w:color w:val="auto"/>
        </w:rPr>
        <w:t>past and present parents, subsidiaries and its and their affiliated companies, managers, partners, agents, directors, officers, accountants, attorneys,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have, against the Released Parties to the date of this Separation Agreement. The claims Executive releases include, but are not limited to, claims that any of the Released Parties:</w:t>
      </w:r>
    </w:p>
    <w:p>
      <w:pPr>
        <w:spacing w:after="0" w:line="97" w:lineRule="exact"/>
        <w:rPr>
          <w:rFonts w:ascii="Arial" w:cs="Arial" w:eastAsia="Arial" w:hAnsi="Arial"/>
          <w:sz w:val="18"/>
          <w:szCs w:val="18"/>
          <w:b w:val="1"/>
          <w:bCs w:val="1"/>
          <w:color w:val="auto"/>
        </w:rPr>
      </w:pPr>
    </w:p>
    <w:p>
      <w:pPr>
        <w:ind w:left="1460" w:right="200" w:hanging="547"/>
        <w:spacing w:after="0" w:line="255"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98"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discriminated against Executive on the basis of Executive’s age or violated any right Executive may have under the Age Discrimination in Employment Act (“ADEA”);</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75" w:lineRule="exact"/>
        <w:rPr>
          <w:rFonts w:ascii="Arial" w:cs="Arial" w:eastAsia="Arial" w:hAnsi="Arial"/>
          <w:sz w:val="18"/>
          <w:szCs w:val="18"/>
          <w:color w:val="auto"/>
        </w:rPr>
      </w:pPr>
    </w:p>
    <w:p>
      <w:pPr>
        <w:ind w:left="1460" w:right="80" w:hanging="547"/>
        <w:spacing w:after="0" w:line="257" w:lineRule="auto"/>
        <w:tabs>
          <w:tab w:leader="none" w:pos="14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8" w:name="page219"/>
    <w:bookmarkEnd w:id="218"/>
    <w:p>
      <w:pPr>
        <w:ind w:left="1460" w:hanging="547"/>
        <w:spacing w:after="0" w:line="277" w:lineRule="auto"/>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violated its personnel policies, handbooks, any covenant of good faith and fair dealing, or any contract of employment between Executive and any of the Released Parties; or</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92"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is in any way obligated for any reason to pay Executive’s damages, expenses, litigation costs (including attorneys’ fees), bonuses, commissions, disability benefits, compensatory damages, punitive damages, and/or interest, except as provided for in Section 12 of the Employment Agreement, or as otherwise provided by this Separation Agreement, law or Waste Management’s bylaws and certificates of incorporation.</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Executive understands and agrees that this Separation Agreement includes all claims that Executive may have and that Executive does not now know or suspect to exist in Executive’s favor against the Released Parties, and that this Separation Agreement extinguishes those claims.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Executive is not prohibited from making or asserting (a) any claim or right under state workers’ compensation or unemployment laws; (b) any claim or right, which by law cannot be waived through private agreement; (c) any claims for indemnification provided pursuant to (i) Section 12 of the Employment Agreement, (ii) Waste Management’s charter or bylaws or (iii) any insurance policy maintained by Waste Management for Executive’s benefit from time to time; or (d) any claims or rights that may arise after Executive executes this Separation Agreement, including any claim to enforce the terms of this Separation Agreement and its Exhibits.</w:t>
      </w:r>
    </w:p>
    <w:p>
      <w:pPr>
        <w:spacing w:after="0" w:line="184" w:lineRule="exact"/>
        <w:rPr>
          <w:sz w:val="20"/>
          <w:szCs w:val="20"/>
          <w:color w:val="auto"/>
        </w:rPr>
      </w:pPr>
    </w:p>
    <w:p>
      <w:pPr>
        <w:ind w:right="20" w:firstLine="464"/>
        <w:spacing w:after="0" w:line="254" w:lineRule="auto"/>
        <w:tabs>
          <w:tab w:leader="none" w:pos="771"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Protected Rights</w:t>
      </w:r>
      <w:r>
        <w:rPr>
          <w:rFonts w:ascii="Arial" w:cs="Arial" w:eastAsia="Arial" w:hAnsi="Arial"/>
          <w:sz w:val="18"/>
          <w:szCs w:val="18"/>
          <w:color w:val="auto"/>
        </w:rPr>
        <w:t>. Notwithstanding the foregoing, nothing in this Separation Agreement prohibits Executive from filing a charge with, or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violations of federal law or regulation to any governmental agency or entity, including but not limited to the U.S. Equal Opportunity Commission, the Department of Justice, the Securities and Exchange Commission, Congress, and any agency Inspector General, or making other disclosures that are protected under the whistleblower provisions of federal law or regulation. This Separation Agreement does not limit Executive’s ability to communicate with any government agencies or participate in any investigation or proceeding that may be conducted by any government agency, including providing documents or other information, without notice to the Company. In addition, this Separation Agreement does not limit Executive’s right to receive an award for information provided to any government agencies. Further, Executive is advised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9" w:name="page220"/>
    <w:bookmarkEnd w:id="21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3" w:lineRule="exact"/>
        <w:rPr>
          <w:sz w:val="20"/>
          <w:szCs w:val="20"/>
          <w:color w:val="auto"/>
        </w:rPr>
      </w:pPr>
    </w:p>
    <w:p>
      <w:pPr>
        <w:ind w:firstLine="464"/>
        <w:spacing w:after="0" w:line="256" w:lineRule="auto"/>
        <w:tabs>
          <w:tab w:leader="none" w:pos="771"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giving a full and complete release, Executive covenants and agrees that he has no pending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against the Released 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Section 3 above.</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Nothing in this Separation Agreement prevents Executive from bringing an action to enforce or challenge the validity of this Separation Agreement or taking any action set forth in Section 4 above. If a federal, state or local government agency commences an investigation on Executive’s behalf, Executive specifically waives and releases the right, if any, to recover any monetary or other benefits of any sort whatsoever arising from any such investigation, nor will Executive seek reinstatement to Executive’s former position with the Company.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183" w:lineRule="exact"/>
        <w:rPr>
          <w:sz w:val="20"/>
          <w:szCs w:val="20"/>
          <w:color w:val="auto"/>
        </w:rPr>
      </w:pPr>
    </w:p>
    <w:p>
      <w:pPr>
        <w:ind w:right="100" w:firstLine="464"/>
        <w:spacing w:after="0" w:line="258" w:lineRule="auto"/>
        <w:tabs>
          <w:tab w:leader="none" w:pos="771"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Protective Covenants and Loss of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agrees that the protective and restrictive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 of the Employment Agreement (the “Employment Agreement Protective Covenants”) remain in full force and effect and that the benefits payable under Section 2 of this Separation Agreement are subject to forfeiture and/or recoupment (i) due to prohibited conduct as set forth in Section 11 of the Employment Agreement, (ii) upon subsequently discovered cause (as set forth in Section 6(f) of the Employment Agreement) or (iii) as provided for under any clawback or similar policy of Waste Management that is applicable to Executive.</w:t>
      </w:r>
    </w:p>
    <w:p>
      <w:pPr>
        <w:spacing w:after="0" w:line="183" w:lineRule="exact"/>
        <w:rPr>
          <w:rFonts w:ascii="Arial" w:cs="Arial" w:eastAsia="Arial" w:hAnsi="Arial"/>
          <w:sz w:val="18"/>
          <w:szCs w:val="18"/>
          <w:b w:val="1"/>
          <w:bCs w:val="1"/>
          <w:color w:val="auto"/>
        </w:rPr>
      </w:pPr>
    </w:p>
    <w:p>
      <w:pPr>
        <w:ind w:right="260" w:firstLine="464"/>
        <w:spacing w:after="0" w:line="266" w:lineRule="auto"/>
        <w:tabs>
          <w:tab w:leader="none" w:pos="771"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to all Forms of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applies to any relief no matter how called, including without limitation, wages,</w:t>
      </w:r>
      <w:r>
        <w:rPr>
          <w:rFonts w:ascii="Arial" w:cs="Arial" w:eastAsia="Arial" w:hAnsi="Arial"/>
          <w:sz w:val="18"/>
          <w:szCs w:val="18"/>
          <w:b w:val="1"/>
          <w:bCs w:val="1"/>
          <w:color w:val="auto"/>
        </w:rPr>
        <w:t xml:space="preserve"> </w:t>
      </w:r>
      <w:r>
        <w:rPr>
          <w:rFonts w:ascii="Arial" w:cs="Arial" w:eastAsia="Arial" w:hAnsi="Arial"/>
          <w:sz w:val="18"/>
          <w:szCs w:val="18"/>
          <w:color w:val="auto"/>
        </w:rPr>
        <w:t>back pay, front pay, reinstatement, compensatory damages, liquidated damages, punitive damages for pain or suffering, costs and attorney’s fees and expenses.</w:t>
      </w:r>
    </w:p>
    <w:p>
      <w:pPr>
        <w:spacing w:after="0" w:line="176" w:lineRule="exact"/>
        <w:rPr>
          <w:rFonts w:ascii="Arial" w:cs="Arial" w:eastAsia="Arial" w:hAnsi="Arial"/>
          <w:sz w:val="18"/>
          <w:szCs w:val="18"/>
          <w:b w:val="1"/>
          <w:bCs w:val="1"/>
          <w:color w:val="auto"/>
        </w:rPr>
      </w:pPr>
    </w:p>
    <w:p>
      <w:pPr>
        <w:jc w:val="both"/>
        <w:ind w:right="120" w:firstLine="464"/>
        <w:spacing w:after="0" w:line="261" w:lineRule="auto"/>
        <w:tabs>
          <w:tab w:leader="none" w:pos="771"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Admissions, Complaints or Other Claims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and agrees that this Separation Agreement is not to be construed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20" w:name="page221"/>
    <w:bookmarkEnd w:id="220"/>
    <w:p>
      <w:pPr>
        <w:ind w:right="160" w:firstLine="464"/>
        <w:spacing w:after="0" w:line="266" w:lineRule="auto"/>
        <w:tabs>
          <w:tab w:leader="none" w:pos="771"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fully reviewed the terms of this Separation Agreement, acknowledges that he understands its terms, and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8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Executive acknowledges that he has had at least twenty-one (21) days to consider this Separation Agreement thoroughly, and Executive understands that he has the right to consult with an attorney, before he signs below and is advised to do so.</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Executive signs and returns this Separation Agreement before the end of the 21-day period, he certifies that his acceptance of a shortened time period is knowing and voluntary, and the Company did not — through fraud, misrepresentation, a threat to withdraw or alter the offer before the 21-day period expires, or by providing different terms to other employees who sign the release before such time period expires — improperly encourage Executive to sign.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Executive understands that he may revoke this Separation Agreement within seven (7) days after he signs it. Executive’s revocation must be in writing and submitted within the seven (7) day period to Kimberly Gee Stith, via hand delivery or via electronic delivery at: KStith@wm.com. If Executive does not revoke this Separation Agreement within the seven (7) day period, it becomes irrevocable. Executive further understands that if he revokes this Separation Agreement, he will not be eligible to receive the benefits described in Exhibit B. All benefits described in Exhibit B will be paid on the dates specified herein, but only if this Separation Agreement has been duly executed and not revoked within its revocation period.</w:t>
      </w:r>
    </w:p>
    <w:p>
      <w:pPr>
        <w:spacing w:after="0" w:line="169" w:lineRule="exact"/>
        <w:rPr>
          <w:sz w:val="20"/>
          <w:szCs w:val="20"/>
          <w:color w:val="auto"/>
        </w:rPr>
      </w:pPr>
    </w:p>
    <w:p>
      <w:pPr>
        <w:ind w:right="40" w:firstLine="464"/>
        <w:spacing w:after="0" w:line="291" w:lineRule="auto"/>
        <w:tabs>
          <w:tab w:leader="none" w:pos="861"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 and Acquisition of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waives and releases any and all claims that the Employment Agreement Protective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Section 10 of the Employment Agreement and the restriction provided for therein shall commence upon the Employment Termination Date.</w:t>
      </w:r>
    </w:p>
    <w:p>
      <w:pPr>
        <w:spacing w:after="0" w:line="160" w:lineRule="exact"/>
        <w:rPr>
          <w:rFonts w:ascii="Arial" w:cs="Arial" w:eastAsia="Arial" w:hAnsi="Arial"/>
          <w:sz w:val="16"/>
          <w:szCs w:val="16"/>
          <w:b w:val="1"/>
          <w:bCs w:val="1"/>
          <w:color w:val="auto"/>
        </w:rPr>
      </w:pPr>
    </w:p>
    <w:p>
      <w:pPr>
        <w:ind w:firstLine="464"/>
        <w:spacing w:after="0" w:line="261" w:lineRule="auto"/>
        <w:tabs>
          <w:tab w:leader="none" w:pos="85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Assistance and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that he will cooperate fully with the Company and its counsel, upon their request,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potential or pending proceeding (including, but not limited to, any litigation, arbitration, regulatory proceeding, investigation or governmental action) that relates at least in part to matters with which Executive was involved while he was an employee of the Company or any of its affiliates, or with which he has knowledge. Executive agrees to render such cooperation in a timely fashion and to provide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21" w:name="page222"/>
    <w:bookmarkEnd w:id="221"/>
    <w:p>
      <w:pPr>
        <w:ind w:right="3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personnel and counsel with the full benefit of his knowledge with respect to any such matter, and will make himself reasonably available for interviews, depositions, or court appearances at the request of the Company or its counsel. Executive also agrees to timely complete a Director &amp; Officer Questionnaire covering 2016 in January 2017 and to provide other information, if any, reasonably required for the Company’s proxy disclosures.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Waste Management and their past and present parents, subsidiaries, and affiliated entities and companies have certain obligations to Executive, his heirs and legal representatives to provide indemnity, to advance expenses, and to provide officers and directors liability insurance. These obligations are provided by law, in Section 12 of the Employment Agreement, in this Separation Agreement, in Article Eight of the Third Amended and Restated Certificate of Incorporation of Waste Management, Inc. (“WMI”), in Article X of WMI’s bylaws, and in similar provisions in the certificates (charters) of incorporation, bylaws and other governing documents of various past and present Waste Management parents, subsidiaries, and affiliated entities and companies. These obligations will continue beyond Executive’s termination of employment on the Employment Termination Date, in accordance with and subject to the provisions thereof as in effect from time to time and applicable Delaware law.</w:t>
      </w:r>
    </w:p>
    <w:p>
      <w:pPr>
        <w:spacing w:after="0" w:line="174" w:lineRule="exact"/>
        <w:rPr>
          <w:sz w:val="20"/>
          <w:szCs w:val="20"/>
          <w:color w:val="auto"/>
        </w:rPr>
      </w:pPr>
    </w:p>
    <w:p>
      <w:pPr>
        <w:jc w:val="both"/>
        <w:ind w:right="80" w:firstLine="464"/>
        <w:spacing w:after="0" w:line="266" w:lineRule="auto"/>
        <w:tabs>
          <w:tab w:leader="none" w:pos="86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is made and entered into in the State of Texas, and shall in all respects be interpreted, enforced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under the laws of the State of Texas. The language of all parts of this Separation Agreement shall in all cases be construed as a whole, according to its fair meaning, and not strictly for or against any of the parties.</w:t>
      </w:r>
    </w:p>
    <w:p>
      <w:pPr>
        <w:spacing w:after="0" w:line="176" w:lineRule="exact"/>
        <w:rPr>
          <w:rFonts w:ascii="Arial" w:cs="Arial" w:eastAsia="Arial" w:hAnsi="Arial"/>
          <w:sz w:val="18"/>
          <w:szCs w:val="18"/>
          <w:b w:val="1"/>
          <w:bCs w:val="1"/>
          <w:color w:val="auto"/>
        </w:rPr>
      </w:pPr>
    </w:p>
    <w:p>
      <w:pPr>
        <w:jc w:val="both"/>
        <w:ind w:firstLine="464"/>
        <w:spacing w:after="0" w:line="266" w:lineRule="auto"/>
        <w:tabs>
          <w:tab w:leader="none" w:pos="861"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Separation Agreement be declared or be determined by any court to be illegal or invalid, the validity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terms or provisions shall not be affected thereby and said illegal or invalid part, term, or provision shall be deemed not to be a part of this Separation Agreement.</w:t>
      </w:r>
    </w:p>
    <w:p>
      <w:pPr>
        <w:spacing w:after="0" w:line="176" w:lineRule="exact"/>
        <w:rPr>
          <w:rFonts w:ascii="Arial" w:cs="Arial" w:eastAsia="Arial" w:hAnsi="Arial"/>
          <w:sz w:val="18"/>
          <w:szCs w:val="18"/>
          <w:b w:val="1"/>
          <w:bCs w:val="1"/>
          <w:color w:val="auto"/>
        </w:rPr>
      </w:pPr>
    </w:p>
    <w:p>
      <w:pPr>
        <w:ind w:firstLine="464"/>
        <w:spacing w:after="0" w:line="288" w:lineRule="auto"/>
        <w:tabs>
          <w:tab w:leader="none" w:pos="72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 Right of Offset.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withhold, or cause to be withheld, from any and all payments made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Agreement or any other agreement between Executive and the Company all amounts required to be withheld pursuant to federal, state or local tax laws. The Company may withhold and deduct from any and all payments made pursuant to this Separation Agreement or any other agreement between Executive and the Company all other normal deductions made with respect to the Company’s employees generally and any advances made to Executive and owed to the Company. Executive acknowledges that he has been advised to consult his own tax professional regarding the tax consequences of any payments of compensation or other amounts received by Executive pursuant to this Separation Agreement or any other agreement between the Executive and the Company. Furthermore, Executive acknowledges that he is responsible for paying all applicable taxes as are assessed or levied by any governmental entity on any payments of compensation or other amounts received by Executive from the Company. The Company makes no representations regarding the tax consequences of any payments under this Separation Agreement or any other agreement between Executive and the Company, and in no event shall the Company be liable for any portion of any taxes, penalties, interest or other expenses that may be incurred by Executive with respect to any payments under this Separation Agreement or any other agreement between Executive and the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22" w:name="page223"/>
    <w:bookmarkEnd w:id="222"/>
    <w:p>
      <w:pPr>
        <w:ind w:right="140" w:firstLine="464"/>
        <w:spacing w:after="0" w:line="292" w:lineRule="auto"/>
        <w:tabs>
          <w:tab w:leader="none" w:pos="906"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Matters Relating to Section 409A of the Code</w:t>
      </w:r>
      <w:r>
        <w:rPr>
          <w:rFonts w:ascii="Arial" w:cs="Arial" w:eastAsia="Arial" w:hAnsi="Arial"/>
          <w:sz w:val="16"/>
          <w:szCs w:val="16"/>
          <w:color w:val="auto"/>
        </w:rPr>
        <w:t>. Each payment under this Separation Agreement is intended to be (i) to the greatest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possible exempt from Section 409A of the Internal Revenue Code, the regulations and other binding guidance promulgated thereunder (“Section 409A”), including, but not limited to, by compliance with the short-term deferral exemption as specified in Treas. Reg. § 1.409A-1(b)(4) and the separation pay plan exemption set forth in Treas. Reg § 1.409A-1(b)(9), or (ii) if not exempt compliant with Section 409A, and the provisions of this Separation Agreement will be administered, interpreted and construed accordingly. Payments under this Separation Agreement in a series of installments shall be treated as a right to receive a series of separate payments for purposes of Section 409A. Executive shall be considered to have incurred a “separation from service” with the Company and its affiliates within the meaning of Treas. Reg. § 1.409A-1(h)(1)(ii) as of the Employment Termination Date.</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Notwithstanding any other provision in this Separation Agreement to the contrary, payments and benefits payable under this Separation Agreement due to a “separation from service” within the meaning of Section 409A that are deferred compensation subject to (and not otherwise exempt from) Section 409A that would otherwise be paid or provided during the six-month period commencing on the date of Executive’s “separation from service” within the meaning of Section 409A, shall be deferred until the first business day after the date that is six (6) months following Executive’s “separation from service” within the meaning of Section 409A.</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the extent that reimbursements or other in-kind benefits under this Separation Agreement constitute “nonqualified deferred compensation” for purposes of Section 409A, (1) all expenses or other reimbursements hereunder shall be made on or prior to the last day of the second taxable year following Executive’s “separation from service” pursuant to Treasury Regulation § 1.409A-1(b)(9)(iii)(B),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8" w:lineRule="exact"/>
        <w:rPr>
          <w:sz w:val="20"/>
          <w:szCs w:val="20"/>
          <w:color w:val="auto"/>
        </w:rPr>
      </w:pPr>
    </w:p>
    <w:p>
      <w:pPr>
        <w:ind w:right="40" w:firstLine="1484"/>
        <w:spacing w:after="0" w:line="276" w:lineRule="auto"/>
        <w:rPr>
          <w:sz w:val="20"/>
          <w:szCs w:val="20"/>
          <w:color w:val="auto"/>
        </w:rPr>
      </w:pPr>
      <w:r>
        <w:rPr>
          <w:rFonts w:ascii="Arial" w:cs="Arial" w:eastAsia="Arial" w:hAnsi="Arial"/>
          <w:sz w:val="17"/>
          <w:szCs w:val="17"/>
          <w:color w:val="auto"/>
        </w:rPr>
        <w:t>Amounts payable pursuant to this Separation Agreement are intended to be unfunded for purposes of Section 409A. Although bookkeeping accounts may be established with respect to payments due under the Separation Agreement, any such accounts shall be used merely as a bookkeeping convenience. No provision of this Separation Agreement shall require the Company to purchase assets, place assets in a trust or segregate assets in connection with amounts due under the Separation Agreement. Any obligation of the Company to Executive under this Separation Agreement shall be based solely upon any contractual obligations that may be created by this Separation Agreement</w:t>
      </w:r>
    </w:p>
    <w:p>
      <w:pPr>
        <w:spacing w:after="0" w:line="169" w:lineRule="exact"/>
        <w:rPr>
          <w:sz w:val="20"/>
          <w:szCs w:val="20"/>
          <w:color w:val="auto"/>
        </w:rPr>
      </w:pPr>
    </w:p>
    <w:p>
      <w:pPr>
        <w:ind w:right="120" w:firstLine="464"/>
        <w:spacing w:after="0" w:line="266" w:lineRule="auto"/>
        <w:tabs>
          <w:tab w:leader="none" w:pos="861"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The parties hereto agree that the provisions of the Employment Agreement relating to dispute resolution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provided for in Sections 11 and 13 thereto, shall survive and apply to the payments and benefits provided for under this Separation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23" w:name="page224"/>
    <w:bookmarkEnd w:id="223"/>
    <w:p>
      <w:pPr>
        <w:ind w:right="80" w:firstLine="464"/>
        <w:spacing w:after="0" w:line="266" w:lineRule="auto"/>
        <w:tabs>
          <w:tab w:leader="none" w:pos="726"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that the Employment Agreement (including any other amendments thereto) as modified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8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u w:val="single" w:color="auto"/>
          <w:color w:val="auto"/>
        </w:rPr>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Please review this document carefully as it contains a release of claims.</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MARK E. SCHWARTZ</w:t>
            </w:r>
          </w:p>
        </w:tc>
        <w:tc>
          <w:tcPr>
            <w:tcW w:w="5840" w:type="dxa"/>
            <w:vAlign w:val="bottom"/>
            <w:gridSpan w:val="2"/>
          </w:tcPr>
          <w:p>
            <w:pPr>
              <w:ind w:left="580"/>
              <w:spacing w:after="0"/>
              <w:rPr>
                <w:sz w:val="20"/>
                <w:szCs w:val="20"/>
                <w:color w:val="auto"/>
              </w:rPr>
            </w:pPr>
            <w:r>
              <w:rPr>
                <w:rFonts w:ascii="Arial" w:cs="Arial" w:eastAsia="Arial" w:hAnsi="Arial"/>
                <w:sz w:val="18"/>
                <w:szCs w:val="18"/>
                <w:b w:val="1"/>
                <w:bCs w:val="1"/>
                <w:color w:val="auto"/>
              </w:rPr>
              <w:t>USA WASTE-MANAGEMENT RESOURCES, LLC</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(“Executive”)</w:t>
            </w:r>
          </w:p>
        </w:tc>
        <w:tc>
          <w:tcPr>
            <w:tcW w:w="5840" w:type="dxa"/>
            <w:vAlign w:val="bottom"/>
            <w:gridSpan w:val="2"/>
          </w:tcPr>
          <w:p>
            <w:pPr>
              <w:ind w:left="580"/>
              <w:spacing w:after="0"/>
              <w:rPr>
                <w:sz w:val="20"/>
                <w:szCs w:val="20"/>
                <w:color w:val="auto"/>
              </w:rPr>
            </w:pPr>
            <w:r>
              <w:rPr>
                <w:rFonts w:ascii="Arial" w:cs="Arial" w:eastAsia="Arial" w:hAnsi="Arial"/>
                <w:sz w:val="18"/>
                <w:szCs w:val="18"/>
                <w:color w:val="auto"/>
              </w:rPr>
              <w:t>(The “Company”)</w:t>
            </w:r>
          </w:p>
        </w:tc>
      </w:tr>
      <w:tr>
        <w:trPr>
          <w:trHeight w:val="432"/>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E. Schwartz</w:t>
            </w:r>
          </w:p>
        </w:tc>
        <w:tc>
          <w:tcPr>
            <w:tcW w:w="1140" w:type="dxa"/>
            <w:vAlign w:val="bottom"/>
          </w:tcPr>
          <w:p>
            <w:pPr>
              <w:ind w:left="58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Courtney A. Tippy</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Signature</w:t>
            </w:r>
          </w:p>
        </w:tc>
        <w:tc>
          <w:tcPr>
            <w:tcW w:w="1140" w:type="dxa"/>
            <w:vAlign w:val="bottom"/>
          </w:tcPr>
          <w:p>
            <w:pPr>
              <w:ind w:left="580"/>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Vice President &amp; Secretary</w:t>
            </w:r>
          </w:p>
        </w:tc>
      </w:tr>
      <w:tr>
        <w:trPr>
          <w:trHeight w:val="660"/>
        </w:trPr>
        <w:tc>
          <w:tcPr>
            <w:tcW w:w="5580" w:type="dxa"/>
            <w:vAlign w:val="bottom"/>
          </w:tcPr>
          <w:p>
            <w:pPr>
              <w:spacing w:after="0"/>
              <w:rPr>
                <w:sz w:val="20"/>
                <w:szCs w:val="20"/>
                <w:color w:val="auto"/>
              </w:rPr>
            </w:pPr>
            <w:r>
              <w:rPr>
                <w:rFonts w:ascii="Arial" w:cs="Arial" w:eastAsia="Arial" w:hAnsi="Arial"/>
                <w:sz w:val="18"/>
                <w:szCs w:val="18"/>
                <w:color w:val="auto"/>
              </w:rPr>
              <w:t>Date: January 1, 2017</w:t>
            </w:r>
          </w:p>
        </w:tc>
        <w:tc>
          <w:tcPr>
            <w:tcW w:w="11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“Effective Date”</w:t>
            </w:r>
          </w:p>
        </w:tc>
        <w:tc>
          <w:tcPr>
            <w:tcW w:w="5840" w:type="dxa"/>
            <w:vAlign w:val="bottom"/>
            <w:gridSpan w:val="2"/>
          </w:tcPr>
          <w:p>
            <w:pPr>
              <w:ind w:left="480"/>
              <w:spacing w:after="0"/>
              <w:rPr>
                <w:sz w:val="20"/>
                <w:szCs w:val="20"/>
                <w:color w:val="auto"/>
              </w:rPr>
            </w:pPr>
            <w:r>
              <w:rPr>
                <w:rFonts w:ascii="Arial" w:cs="Arial" w:eastAsia="Arial" w:hAnsi="Arial"/>
                <w:sz w:val="18"/>
                <w:szCs w:val="18"/>
                <w:color w:val="auto"/>
              </w:rPr>
              <w:t>Printed Name:  Courtney A. Tippy</w:t>
            </w:r>
          </w:p>
        </w:tc>
      </w:tr>
    </w:tbl>
    <w:p>
      <w:pPr>
        <w:spacing w:after="0" w:line="2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January 1,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employment of Executive is terminated, effective January 1, 2017 (the “Employment Termination Date”). Executive is therefore, entitled to the payments and benefits listed below and detailed in under Section 6(d) of the Employment Agreement whether or not he signs this Separation Agreement. These include</w:t>
      </w:r>
    </w:p>
    <w:p>
      <w:pPr>
        <w:spacing w:after="0" w:line="29"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Accrued but unpaid base salary for services rendered to the Employment Termination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Accrued but unpaid expenses required to be reimbursed under the Employment Agreement.</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Accrued but unused vacation for the year 2016 through December 31, 2016 (which the parties acknowledge is four weeks). Executive acknowledges that no vacation has accrued for 2017.</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payment under the Company’s 2016 Annual Incentive Plan (AIP) payable at the same time, on the same basis and to the same extent payments are made to similar senior executives of the Company, with no adjustment (upward or downward) for individual performance. Executive is not entitled to a payout under any other bonus plan, including the 2017 Annual Incentive Plan.</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Executive’s outstanding awards of Performance Share Units (“PSUs”) awarded under the Waste Management, Inc. 2009 Stock Incentive Plan and the Waste Management, Inc. 2014 Stock Incentive Plan (together, the “Incentive Plans”):</w:t>
      </w:r>
    </w:p>
    <w:p>
      <w:pPr>
        <w:spacing w:after="0" w:line="76" w:lineRule="exact"/>
        <w:rPr>
          <w:sz w:val="20"/>
          <w:szCs w:val="20"/>
          <w:color w:val="auto"/>
        </w:rPr>
      </w:pPr>
    </w:p>
    <w:p>
      <w:pPr>
        <w:ind w:left="900" w:right="40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 respect to the PSU award granted on March 7, 2014, Executive shall be entitled to a full (i.e. not prorated) payout and related dividend equivalents, based upon Waste Management’s actual performance through the applicable Performance Period (as defined in the applicable award), payable at substantially the same time as paid to other executives; and</w:t>
      </w:r>
    </w:p>
    <w:p>
      <w:pPr>
        <w:spacing w:after="0" w:line="86"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With respect to the PSU awards granted on February 25, 2015 and February 26, 2016, Executive shall be entitled to receive a payout and related dividend equivalents (determined based upon Waste Management’s actual performance through the entire applicable Performance Period) with respect to the number PSUs that Executive would have been entitled to receive if he had remained employed until the last day of the Performance Period multiplied by the fraction which has as its numerator the total number of days Executive was employed by the Company during the applicable Performance Period and has as its denominator the total number of days during the applicable Performance Period, with such payment made following the applicable Performance Period at substantially the same time as paid to other executives.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The employment of Executive is terminated, effective January 1, 2017 (the “Employment Termination Date”) under the terms of this Separation Agreement. In consideration of the premises and promises herein contained, it is agreed that, Executive is entitled to the compensation and benefits set forth below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after he executes and does not revoke this Separation Agreement, and it has become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payments and benefits to be provided are as follows:</w:t>
      </w:r>
    </w:p>
    <w:p>
      <w:pPr>
        <w:spacing w:after="0" w:line="131" w:lineRule="exact"/>
        <w:rPr>
          <w:sz w:val="20"/>
          <w:szCs w:val="20"/>
          <w:color w:val="auto"/>
        </w:rPr>
      </w:pPr>
    </w:p>
    <w:p>
      <w:pPr>
        <w:ind w:left="900" w:right="40" w:hanging="446"/>
        <w:spacing w:after="0" w:line="342"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Five Hundred Thirty Three Thousand Dollars ($1,533,000.00), approximately equal to two times the sum of Executive’s base salary ($438,000.00) and Target Bonus ($328,500.00). This severance amount will be paid as follows:</w:t>
      </w:r>
    </w:p>
    <w:p>
      <w:pPr>
        <w:spacing w:after="0" w:line="15" w:lineRule="exact"/>
        <w:rPr>
          <w:rFonts w:ascii="Arial" w:cs="Arial" w:eastAsia="Arial" w:hAnsi="Arial"/>
          <w:sz w:val="16"/>
          <w:szCs w:val="16"/>
          <w:color w:val="auto"/>
        </w:rPr>
      </w:pPr>
    </w:p>
    <w:p>
      <w:pPr>
        <w:ind w:left="1500" w:right="240" w:hanging="8"/>
        <w:spacing w:after="0" w:line="277" w:lineRule="auto"/>
        <w:tabs>
          <w:tab w:leader="none" w:pos="171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Four Hundred Sixty Five Thousand Dollars ($465,000.00) shall be paid within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occurs;</w:t>
      </w:r>
    </w:p>
    <w:p>
      <w:pPr>
        <w:spacing w:after="0" w:line="62" w:lineRule="exact"/>
        <w:rPr>
          <w:rFonts w:ascii="Arial" w:cs="Arial" w:eastAsia="Arial" w:hAnsi="Arial"/>
          <w:sz w:val="18"/>
          <w:szCs w:val="18"/>
          <w:color w:val="auto"/>
        </w:rPr>
      </w:pPr>
    </w:p>
    <w:p>
      <w:pPr>
        <w:ind w:left="1500" w:right="100" w:hanging="8"/>
        <w:spacing w:after="0" w:line="277" w:lineRule="auto"/>
        <w:tabs>
          <w:tab w:leader="none" w:pos="1765" w:val="left"/>
        </w:tabs>
        <w:numPr>
          <w:ilvl w:val="2"/>
          <w:numId w:val="176"/>
        </w:numPr>
        <w:rPr>
          <w:rFonts w:ascii="Arial" w:cs="Arial" w:eastAsia="Arial" w:hAnsi="Arial"/>
          <w:sz w:val="18"/>
          <w:szCs w:val="18"/>
          <w:color w:val="auto"/>
        </w:rPr>
      </w:pPr>
      <w:r>
        <w:rPr>
          <w:rFonts w:ascii="Arial" w:cs="Arial" w:eastAsia="Arial" w:hAnsi="Arial"/>
          <w:sz w:val="18"/>
          <w:szCs w:val="18"/>
          <w:color w:val="auto"/>
        </w:rPr>
        <w:t>Three Hundred One Thousand Five Hundred Dollars ($301,500.00) shall be paid, without interest, on the date that is six months and one day following the Employment Termination Date (i.e. July 2, 2017); and</w:t>
      </w:r>
    </w:p>
    <w:p>
      <w:pPr>
        <w:spacing w:after="0" w:line="62" w:lineRule="exact"/>
        <w:rPr>
          <w:rFonts w:ascii="Arial" w:cs="Arial" w:eastAsia="Arial" w:hAnsi="Arial"/>
          <w:sz w:val="18"/>
          <w:szCs w:val="18"/>
          <w:color w:val="auto"/>
        </w:rPr>
      </w:pPr>
    </w:p>
    <w:p>
      <w:pPr>
        <w:ind w:left="920" w:right="40" w:firstLine="451"/>
        <w:spacing w:after="0" w:line="257" w:lineRule="auto"/>
        <w:tabs>
          <w:tab w:leader="none" w:pos="168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Seven Hundred Sixty Six Thousand Five Hundred Dollars ($766,500.00) shall be paid during the two (2) year period beginning on the Employment Termination Date, continuing at the same time and in the same manner Executive’s base salary would have been paid if Executive had remained in active employment until the end of such period, provided that the first installment shall not be made until the date that is six months and one day following the Employment Termination Date (i.e. July 2, 2017) and shall include, without interest, such amounts that would otherwise have been paid during the intervening period.</w:t>
      </w:r>
    </w:p>
    <w:p>
      <w:pPr>
        <w:spacing w:after="0" w:line="93"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stock option awards granted to Executive pursuant to the Incentive Plans that remain outstanding as of the Employment Termination Date shall continue to vest and, once vested, shall remain exercisable under the exercise schedule set forth in the applicable award agreement for three years following the Employment Termination Date, and all options held as of the Employment Termination Date that were exercisable or become exercisable shall remain exercisable until the end of the three year period commencing on the Employment Termination Date (or, if earlier, the end of the original term of the option award).</w:t>
      </w:r>
    </w:p>
    <w:p>
      <w:pPr>
        <w:spacing w:after="0" w:line="93"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Twenty-four months of continued group health and/or dental insurance coverage that Executive participated in as of his Employment Termination Date. Executive must timely elect COBRA coverage and the Company will provide COBRA coverage at its own expense for 18 months or, if earlier, until Executive’s eligibility for coverage by a subsequent employer. In the event of Executive’s death, the coverage provided for hereunder shall continue to be provided to Executive’s spouse and eligible dependents for the period specified in Section 6(e)(v) of the Employment Agreement. Following the end of the 18-month period described above, Executive will have no additional COBRA coverage, but if Executive has not obtained coverage from a subsequent employer, the Company will provide up to six months additional medical and dental coverage or, if it is prevented from doing so pursuant to applicable law without triggering a penalty or excise tax, the parties shall agree upon an alternative benefit consistent with the obligations set forth in Section 6(e)(v) of the Employment Agreement.</w:t>
      </w:r>
    </w:p>
    <w:p>
      <w:pPr>
        <w:spacing w:after="0" w:line="71"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During the calendar quarter in which the 60</w:t>
      </w:r>
      <w:r>
        <w:rPr>
          <w:rFonts w:ascii="Arial" w:cs="Arial" w:eastAsia="Arial" w:hAnsi="Arial"/>
          <w:sz w:val="15"/>
          <w:szCs w:val="15"/>
          <w:color w:val="auto"/>
        </w:rPr>
        <w:t>th</w:t>
      </w:r>
      <w:r>
        <w:rPr>
          <w:rFonts w:ascii="Arial" w:cs="Arial" w:eastAsia="Arial" w:hAnsi="Arial"/>
          <w:sz w:val="18"/>
          <w:szCs w:val="18"/>
          <w:color w:val="auto"/>
        </w:rPr>
        <w:t xml:space="preserve"> day following the Employment Termination Date occurs, the Company will pay Executive Seventy-Five Thousand Dollars ($75,000) in a lump sum as the approximate value of twenty-four months of continued disability coverage that Executive participated in as of his Employment Termination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26" w:name="page227"/>
    <w:bookmarkEnd w:id="226"/>
    <w:p>
      <w:pPr>
        <w:ind w:left="446" w:hanging="446"/>
        <w:spacing w:after="0"/>
        <w:tabs>
          <w:tab w:leader="none" w:pos="446"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provide C-Suite level executive outplacement services via Shields Meneley Partners through December 31, 2017.</w:t>
      </w:r>
    </w:p>
    <w:p>
      <w:pPr>
        <w:spacing w:after="0" w:line="142" w:lineRule="exact"/>
        <w:rPr>
          <w:rFonts w:ascii="Arial" w:cs="Arial" w:eastAsia="Arial" w:hAnsi="Arial"/>
          <w:sz w:val="17"/>
          <w:szCs w:val="17"/>
          <w:color w:val="auto"/>
        </w:rPr>
      </w:pPr>
    </w:p>
    <w:p>
      <w:pPr>
        <w:ind w:left="446" w:hanging="446"/>
        <w:spacing w:after="0" w:line="308" w:lineRule="auto"/>
        <w:tabs>
          <w:tab w:leader="none" w:pos="44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Within 60 days following the Employment Termination Date occurs, the Company will pay Executive an additional lump sum of Ten Thousand Dollars ($10,000) intended to cover the costs of an additional two years’ of ERISA individual fiduciary liability insurance.</w:t>
      </w:r>
    </w:p>
    <w:p>
      <w:pPr>
        <w:spacing w:after="0" w:line="79"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86"/>
          </w:cols>
          <w:pgMar w:left="694" w:top="274" w:right="4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Restricted Stock Unit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 2014 Stock Incentive Plan</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effective as of , 2016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by and between Waste Management,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(together with its Subsidiaries and Affiliates, “</w:t>
      </w:r>
      <w:r>
        <w:rPr>
          <w:rFonts w:ascii="Arial" w:cs="Arial" w:eastAsia="Arial" w:hAnsi="Arial"/>
          <w:sz w:val="16"/>
          <w:szCs w:val="16"/>
          <w:b w:val="1"/>
          <w:bCs w:val="1"/>
          <w:i w:val="1"/>
          <w:iCs w:val="1"/>
          <w:color w:val="auto"/>
        </w:rPr>
        <w:t>WM</w:t>
      </w:r>
      <w:r>
        <w:rPr>
          <w:rFonts w:ascii="Arial" w:cs="Arial" w:eastAsia="Arial" w:hAnsi="Arial"/>
          <w:sz w:val="16"/>
          <w:szCs w:val="16"/>
          <w:color w:val="auto"/>
        </w:rPr>
        <w:t>”), and you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At all times, the Awards under this Agreement are subject to the terms and conditions of the Waste Management, Inc. 2014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this Agreement, and all applicable administrative interpretations and practices. A copy of the Plan is available online at </w:t>
      </w:r>
      <w:r>
        <w:rPr>
          <w:rFonts w:ascii="Arial" w:cs="Arial" w:eastAsia="Arial" w:hAnsi="Arial"/>
          <w:sz w:val="16"/>
          <w:szCs w:val="16"/>
          <w:b w:val="1"/>
          <w:bCs w:val="1"/>
          <w:color w:val="auto"/>
        </w:rPr>
        <w:t>http://visor.wm.com</w:t>
      </w:r>
      <w:r>
        <w:rPr>
          <w:rFonts w:ascii="Arial" w:cs="Arial" w:eastAsia="Arial" w:hAnsi="Arial"/>
          <w:sz w:val="16"/>
          <w:szCs w:val="16"/>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You must execute this Agreement in full by and promptly return the executed Agreement to Courtney Tippy, Corporate Secretary, 1001 Fannin, Houston, TX 77002 in order for this Agreement to become effective. If you do not timely execute and promptly return this agreement as provided, your Award may be irrevocably cancelled effective upon the lapse of the deadline.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Instructions for Executing this Agreement</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If you have previously received a stock-based incentive award, simply log on to </w:t>
      </w:r>
      <w:r>
        <w:rPr>
          <w:rFonts w:ascii="Arial" w:cs="Arial" w:eastAsia="Arial" w:hAnsi="Arial"/>
          <w:sz w:val="18"/>
          <w:szCs w:val="18"/>
          <w:b w:val="1"/>
          <w:bCs w:val="1"/>
          <w:color w:val="auto"/>
        </w:rPr>
        <w:t>www.mywmtotalrewards.com</w:t>
      </w:r>
      <w:r>
        <w:rPr>
          <w:rFonts w:ascii="Arial" w:cs="Arial" w:eastAsia="Arial" w:hAnsi="Arial"/>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6"/>
          <w:szCs w:val="16"/>
          <w:b w:val="1"/>
          <w:bCs w:val="1"/>
          <w:color w:val="auto"/>
        </w:rPr>
        <w:t>www.mywmtotalrewards.com</w:t>
      </w:r>
      <w:r>
        <w:rPr>
          <w:rFonts w:ascii="Arial" w:cs="Arial" w:eastAsia="Arial" w:hAnsi="Arial"/>
          <w:sz w:val="16"/>
          <w:szCs w:val="16"/>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6"/>
          <w:szCs w:val="16"/>
          <w:b w:val="1"/>
          <w:bCs w:val="1"/>
          <w:color w:val="auto"/>
        </w:rPr>
        <w:t>www.benefits.ml.com</w:t>
      </w:r>
      <w:r>
        <w:rPr>
          <w:rFonts w:ascii="Arial" w:cs="Arial" w:eastAsia="Arial" w:hAnsi="Arial"/>
          <w:sz w:val="16"/>
          <w:szCs w:val="16"/>
          <w:color w:val="auto"/>
        </w:rPr>
        <w:t>. Once logged in, follow the prompts to “Open a Brokerage Account”. When you have successfully created your account, follow the online instructions and complete all of the steps required to accept the award.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left="460" w:right="120" w:hanging="452"/>
        <w:spacing w:after="0" w:line="286" w:lineRule="auto"/>
        <w:tabs>
          <w:tab w:leader="none" w:pos="46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RSU Grant</w:t>
      </w:r>
      <w:r>
        <w:rPr>
          <w:rFonts w:ascii="Arial" w:cs="Arial" w:eastAsia="Arial" w:hAnsi="Arial"/>
          <w:sz w:val="17"/>
          <w:szCs w:val="17"/>
          <w:color w:val="auto"/>
        </w:rPr>
        <w:t>. The Company grants to Employee 15,625 Restricted Stock 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RSUs are notational units of measurement denominated in shares of common stock of the Company, $.01 par value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Each RSU represents a hypothetical share of Common Stock. Upon your timely execution of this Agreement, WM will credit your RSUs to an unfunded bookkeeping account for you.</w:t>
      </w:r>
    </w:p>
    <w:p>
      <w:pPr>
        <w:sectPr>
          <w:pgSz w:w="11900" w:h="16838" w:orient="portrait"/>
          <w:cols w:equalWidth="0" w:num="1">
            <w:col w:w="11420"/>
          </w:cols>
          <w:pgMar w:left="240" w:top="121" w:right="239" w:bottom="1440" w:gutter="0" w:footer="0" w:header="0"/>
        </w:sectPr>
      </w:pPr>
    </w:p>
    <w:bookmarkStart w:id="228" w:name="page229"/>
    <w:bookmarkEnd w:id="228"/>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of RSUs</w:t>
      </w:r>
      <w:r>
        <w:rPr>
          <w:rFonts w:ascii="Arial" w:cs="Arial" w:eastAsia="Arial" w:hAnsi="Arial"/>
          <w:sz w:val="18"/>
          <w:szCs w:val="18"/>
          <w:color w:val="auto"/>
        </w:rPr>
        <w:t>. The RSUs granted by this Agreement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RSU Awards</w:t>
      </w:r>
      <w:r>
        <w:rPr>
          <w:rFonts w:ascii="Arial" w:cs="Arial" w:eastAsia="Arial" w:hAnsi="Arial"/>
          <w:sz w:val="18"/>
          <w:szCs w:val="18"/>
          <w:color w:val="auto"/>
        </w:rPr>
        <w:t>”) vest based upon the following schedule: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RSUs</w:t>
            </w:r>
          </w:p>
        </w:tc>
        <w:tc>
          <w:tcPr>
            <w:tcW w:w="19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4520" w:type="dxa"/>
            <w:vAlign w:val="bottom"/>
            <w:gridSpan w:val="2"/>
          </w:tcPr>
          <w:p>
            <w:pPr>
              <w:jc w:val="center"/>
              <w:ind w:left="3288"/>
              <w:spacing w:after="0" w:line="149" w:lineRule="exact"/>
              <w:rPr>
                <w:sz w:val="20"/>
                <w:szCs w:val="20"/>
                <w:color w:val="auto"/>
              </w:rPr>
            </w:pPr>
            <w:r>
              <w:rPr>
                <w:rFonts w:ascii="Arial" w:cs="Arial" w:eastAsia="Arial" w:hAnsi="Arial"/>
                <w:sz w:val="14"/>
                <w:szCs w:val="14"/>
                <w:b w:val="1"/>
                <w:bCs w:val="1"/>
                <w:color w:val="auto"/>
                <w:w w:val="88"/>
              </w:rPr>
              <w:t>Vesting on Vesting</w:t>
            </w:r>
          </w:p>
        </w:tc>
        <w:tc>
          <w:tcPr>
            <w:tcW w:w="3340" w:type="dxa"/>
            <w:vAlign w:val="bottom"/>
            <w:gridSpan w:val="2"/>
          </w:tcPr>
          <w:p>
            <w:pPr>
              <w:jc w:val="center"/>
              <w:ind w:left="1808"/>
              <w:spacing w:after="0" w:line="149" w:lineRule="exact"/>
              <w:rPr>
                <w:sz w:val="20"/>
                <w:szCs w:val="20"/>
                <w:color w:val="auto"/>
              </w:rPr>
            </w:pPr>
            <w:r>
              <w:rPr>
                <w:rFonts w:ascii="Arial" w:cs="Arial" w:eastAsia="Arial" w:hAnsi="Arial"/>
                <w:sz w:val="14"/>
                <w:szCs w:val="14"/>
                <w:b w:val="1"/>
                <w:bCs w:val="1"/>
                <w:color w:val="auto"/>
                <w:w w:val="91"/>
              </w:rPr>
              <w:t>Cumulative Percentage</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4"/>
                <w:szCs w:val="14"/>
                <w:color w:val="auto"/>
              </w:rPr>
            </w:pPr>
          </w:p>
        </w:tc>
        <w:tc>
          <w:tcPr>
            <w:tcW w:w="338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900" w:type="dxa"/>
            <w:vAlign w:val="bottom"/>
          </w:tcPr>
          <w:p>
            <w:pPr>
              <w:spacing w:after="0"/>
              <w:rPr>
                <w:sz w:val="14"/>
                <w:szCs w:val="14"/>
                <w:color w:val="auto"/>
              </w:rPr>
            </w:pPr>
          </w:p>
        </w:tc>
        <w:tc>
          <w:tcPr>
            <w:tcW w:w="144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of RSUs Vested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460" w:right="380"/>
        <w:spacing w:after="0" w:line="264" w:lineRule="auto"/>
        <w:rPr>
          <w:sz w:val="20"/>
          <w:szCs w:val="20"/>
          <w:color w:val="auto"/>
        </w:rPr>
      </w:pPr>
      <w:r>
        <w:rPr>
          <w:rFonts w:ascii="Arial" w:cs="Arial" w:eastAsia="Arial" w:hAnsi="Arial"/>
          <w:sz w:val="18"/>
          <w:szCs w:val="18"/>
          <w:color w:val="auto"/>
        </w:rPr>
        <w:t xml:space="preserve">Each date of vesting set forth above is the applicable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Except as otherwise provided herein, your RSUs generally vest only if you are continuously employed from the Grant Date to the applicable Vesting Date, subject to the exceptions discussed below. The period of time from the Grant Date (inclusive) to the applicable Vesting Date is the applicable </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w:t>
      </w:r>
    </w:p>
    <w:p>
      <w:pPr>
        <w:spacing w:after="0" w:line="87" w:lineRule="exact"/>
        <w:rPr>
          <w:sz w:val="20"/>
          <w:szCs w:val="20"/>
          <w:color w:val="auto"/>
        </w:rPr>
      </w:pPr>
    </w:p>
    <w:p>
      <w:pPr>
        <w:ind w:left="460" w:right="80" w:hanging="452"/>
        <w:spacing w:after="0" w:line="264" w:lineRule="auto"/>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 of RSU Award</w:t>
      </w:r>
      <w:r>
        <w:rPr>
          <w:rFonts w:ascii="Arial" w:cs="Arial" w:eastAsia="Arial" w:hAnsi="Arial"/>
          <w:sz w:val="18"/>
          <w:szCs w:val="18"/>
          <w:color w:val="auto"/>
        </w:rPr>
        <w:t>. Upon vesting, each RSU is converted to one share of Common Stock, free of any restrictions. WM will deliver the shares of Common Stock to you and make payment of the corresponding Dividend Equivalents as soon as administratively feasible (and no later than 60 days) following the applicable Vesting Date.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Award Details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Your RSU Awards under this Agreement are subject to important terms and conditions set forth below. Please read them carefully and seek advice from your own legal and tax advisors before executing this Agreement.</w:t>
      </w:r>
    </w:p>
    <w:p>
      <w:pPr>
        <w:spacing w:after="0" w:line="76" w:lineRule="exact"/>
        <w:rPr>
          <w:sz w:val="20"/>
          <w:szCs w:val="20"/>
          <w:color w:val="auto"/>
        </w:rPr>
      </w:pPr>
    </w:p>
    <w:p>
      <w:pPr>
        <w:ind w:left="460" w:hanging="452"/>
        <w:spacing w:after="0" w:line="276" w:lineRule="auto"/>
        <w:tabs>
          <w:tab w:leader="none" w:pos="46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and specifically Section 409A (a)(2)(C)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Employee (or in the case of Employee’s death, Employee’s beneficiary or estate) shall be entitled to immediate vesting in full of all RSUs under this Agreement (and related unpaid Dividend Equivalents attributable to the time period from the Grant Date to the time of such immediate vesting), which shall be issued and paid within 60 days following the date of such death or Disability, as applicable.</w:t>
      </w:r>
    </w:p>
    <w:p>
      <w:pPr>
        <w:spacing w:after="0" w:line="77" w:lineRule="exact"/>
        <w:rPr>
          <w:rFonts w:ascii="Arial" w:cs="Arial" w:eastAsia="Arial" w:hAnsi="Arial"/>
          <w:sz w:val="17"/>
          <w:szCs w:val="17"/>
          <w:color w:val="auto"/>
        </w:rPr>
      </w:pPr>
    </w:p>
    <w:p>
      <w:pPr>
        <w:ind w:left="460" w:right="60" w:hanging="452"/>
        <w:spacing w:after="0" w:line="257"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Retirement or Involuntary Termination of Employment Without Cause by WM</w:t>
      </w:r>
      <w:r>
        <w:rPr>
          <w:rFonts w:ascii="Arial" w:cs="Arial" w:eastAsia="Arial" w:hAnsi="Arial"/>
          <w:sz w:val="18"/>
          <w:szCs w:val="18"/>
          <w:color w:val="auto"/>
        </w:rPr>
        <w:t>. In the event Employee is employed by a subsidiary of the Company that is sold by the Company in a transaction (i) that would not constitute a Change in Control of the Company within the meaning of paragraph 5.a.i. below, but (ii) that would constitute a Change in Control of the subsidiary within the meaning of paragraph 5.a.i.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93" w:lineRule="exact"/>
        <w:rPr>
          <w:rFonts w:ascii="Arial" w:cs="Arial" w:eastAsia="Arial" w:hAnsi="Arial"/>
          <w:sz w:val="18"/>
          <w:szCs w:val="18"/>
          <w:color w:val="auto"/>
        </w:rPr>
      </w:pPr>
    </w:p>
    <w:p>
      <w:pPr>
        <w:ind w:left="900" w:right="60" w:hanging="446"/>
        <w:spacing w:after="0" w:line="255"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Upon Employee’s Retirement or an involuntary Termination of Employment by WM without Cause, Employee shall be entitled to the amount of RSUs and any related Dividend Equivalents on such RSUs that Employee would have been entitled to under this Agreement if Employee had remained employed until next applicable the Vesting Date multiplied by the fraction which has as its numerator the total number of days that Employee was employed by WM during the period beginning on the preceding Vesting Date (or the Grant Date, if no Vesting Date has occurred) and ending on the date of Termination of Employment and has as its denominator 365, which shall be issued and paid within 60 days following the next normal Vesting Date.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these purposes, the definitions below govern:</w:t>
      </w:r>
    </w:p>
    <w:p>
      <w:pPr>
        <w:spacing w:after="0" w:line="13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2"/>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Retirement </w:t>
      </w:r>
      <w:r>
        <w:rPr>
          <w:rFonts w:ascii="Arial" w:cs="Arial" w:eastAsia="Arial" w:hAnsi="Arial"/>
          <w:sz w:val="18"/>
          <w:szCs w:val="18"/>
          <w:color w:val="auto"/>
        </w:rPr>
        <w:t>means Termination of Employment due to the voluntary resignation of employment by Employee, after Employee (x)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reached age 55 or greater; (y) has a sum of age plus years of </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xml:space="preserve"> (as defined in paragraph ii. below) with WM equal to 65 or greater; and (z) has completed at least 5 consecutive full years of Service with WM during the 5 year period immediately preceding the resignation.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29" w:name="page230"/>
    <w:bookmarkEnd w:id="229"/>
    <w:p>
      <w:pPr>
        <w:ind w:left="1472" w:right="240" w:hanging="567"/>
        <w:spacing w:after="0" w:line="255" w:lineRule="auto"/>
        <w:tabs>
          <w:tab w:leader="none" w:pos="1472" w:val="left"/>
        </w:tabs>
        <w:numPr>
          <w:ilvl w:val="2"/>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Service </w:t>
      </w:r>
      <w:r>
        <w:rPr>
          <w:rFonts w:ascii="Arial" w:cs="Arial" w:eastAsia="Arial" w:hAnsi="Arial"/>
          <w:sz w:val="18"/>
          <w:szCs w:val="18"/>
          <w:color w:val="auto"/>
        </w:rPr>
        <w:t>is measured from Employee’s original date of hire by WM, except as provided below. In the case of a break of employment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98" w:lineRule="exact"/>
        <w:rPr>
          <w:rFonts w:ascii="Arial" w:cs="Arial" w:eastAsia="Arial" w:hAnsi="Arial"/>
          <w:sz w:val="18"/>
          <w:szCs w:val="18"/>
          <w:color w:val="auto"/>
        </w:rPr>
      </w:pPr>
    </w:p>
    <w:p>
      <w:pPr>
        <w:ind w:left="452" w:right="60" w:hanging="452"/>
        <w:spacing w:after="0" w:line="257" w:lineRule="auto"/>
        <w:tabs>
          <w:tab w:leader="none" w:pos="45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 Except as provided in paragraphs 1 through 2 above and 5 below, Employee must be an employee of WM continuously from the Grant Date through the close of business on the applicable Vesting Date(s) to be entitled to receive payment of any RSU Awards. Upon Termination of Employment on or before the lapse of the applicable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336" w:lineRule="exact"/>
        <w:rPr>
          <w:rFonts w:ascii="Arial" w:cs="Arial" w:eastAsia="Arial" w:hAnsi="Arial"/>
          <w:sz w:val="18"/>
          <w:szCs w:val="18"/>
          <w:color w:val="auto"/>
        </w:rPr>
      </w:pPr>
    </w:p>
    <w:p>
      <w:pPr>
        <w:ind w:left="452" w:hanging="452"/>
        <w:spacing w:after="0"/>
        <w:tabs>
          <w:tab w:leader="none" w:pos="45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Repayment of RSU Award in the Event of Misconduct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71" w:lineRule="auto"/>
        <w:tabs>
          <w:tab w:leader="none" w:pos="89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7"/>
          <w:szCs w:val="17"/>
          <w:b w:val="1"/>
          <w:bCs w:val="1"/>
          <w:i w:val="1"/>
          <w:iCs w:val="1"/>
          <w:color w:val="auto"/>
        </w:rPr>
        <w:t>Misconduct</w:t>
      </w:r>
      <w:r>
        <w:rPr>
          <w:rFonts w:ascii="Arial" w:cs="Arial" w:eastAsia="Arial" w:hAnsi="Arial"/>
          <w:sz w:val="17"/>
          <w:szCs w:val="17"/>
          <w:color w:val="auto"/>
        </w:rPr>
        <w:t xml:space="preserve"> means any act or failure to act by any employee of WM that (x) caused or was intended to cause a violation of WM’s policies or the WM code of conduct, generally accepted accounting principles or any applicable laws in effect at the time of the act or failure to act in question and that (y)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7"/>
          <w:szCs w:val="17"/>
          <w:b w:val="1"/>
          <w:bCs w:val="1"/>
          <w:i w:val="1"/>
          <w:iCs w:val="1"/>
          <w:color w:val="auto"/>
        </w:rPr>
        <w:t>Independent Third Party</w:t>
      </w:r>
      <w:r>
        <w:rPr>
          <w:rFonts w:ascii="Arial" w:cs="Arial" w:eastAsia="Arial" w:hAnsi="Arial"/>
          <w:sz w:val="17"/>
          <w:szCs w:val="17"/>
          <w:color w:val="auto"/>
        </w:rPr>
        <w:t>) appointed by the Committee.</w:t>
      </w:r>
    </w:p>
    <w:p>
      <w:pPr>
        <w:spacing w:after="0" w:line="84" w:lineRule="exact"/>
        <w:rPr>
          <w:rFonts w:ascii="Arial" w:cs="Arial" w:eastAsia="Arial" w:hAnsi="Arial"/>
          <w:sz w:val="17"/>
          <w:szCs w:val="17"/>
          <w:color w:val="auto"/>
        </w:rPr>
      </w:pPr>
    </w:p>
    <w:p>
      <w:pPr>
        <w:jc w:val="both"/>
        <w:ind w:left="892" w:right="60" w:hanging="446"/>
        <w:spacing w:after="0" w:line="286" w:lineRule="auto"/>
        <w:tabs>
          <w:tab w:leader="none" w:pos="892" w:val="left"/>
        </w:tabs>
        <w:numPr>
          <w:ilvl w:val="1"/>
          <w:numId w:val="183"/>
        </w:numPr>
        <w:rPr>
          <w:rFonts w:ascii="Arial" w:cs="Arial" w:eastAsia="Arial" w:hAnsi="Arial"/>
          <w:sz w:val="17"/>
          <w:szCs w:val="17"/>
          <w:color w:val="auto"/>
        </w:rPr>
      </w:pPr>
      <w:r>
        <w:rPr>
          <w:rFonts w:ascii="Arial" w:cs="Arial" w:eastAsia="Arial" w:hAnsi="Arial"/>
          <w:sz w:val="17"/>
          <w:szCs w:val="17"/>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70" w:lineRule="exact"/>
        <w:rPr>
          <w:rFonts w:ascii="Arial" w:cs="Arial" w:eastAsia="Arial" w:hAnsi="Arial"/>
          <w:sz w:val="17"/>
          <w:szCs w:val="17"/>
          <w:color w:val="auto"/>
        </w:rPr>
      </w:pPr>
    </w:p>
    <w:p>
      <w:pPr>
        <w:ind w:left="892" w:right="300" w:hanging="446"/>
        <w:spacing w:after="0" w:line="277" w:lineRule="auto"/>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WM must initiate recovery pursuant to this paragraph 4 by the earliest of (i) one year after discovery of alleged Misconduct, or (ii) the second anniversary of Employee’s Termination of Employment.</w:t>
      </w:r>
    </w:p>
    <w:p>
      <w:pPr>
        <w:spacing w:after="0" w:line="75" w:lineRule="exact"/>
        <w:rPr>
          <w:rFonts w:ascii="Arial" w:cs="Arial" w:eastAsia="Arial" w:hAnsi="Arial"/>
          <w:sz w:val="18"/>
          <w:szCs w:val="18"/>
          <w:color w:val="auto"/>
        </w:rPr>
      </w:pPr>
    </w:p>
    <w:p>
      <w:pPr>
        <w:ind w:left="892" w:right="820" w:hanging="446"/>
        <w:spacing w:after="0" w:line="277" w:lineRule="auto"/>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provisions of this paragraph 4, without any implication as to any other provision of this Agreement, shall survive the expiration or termination of this Agreement and Employee’s employment.</w:t>
      </w:r>
    </w:p>
    <w:p>
      <w:pPr>
        <w:spacing w:after="0" w:line="75" w:lineRule="exact"/>
        <w:rPr>
          <w:rFonts w:ascii="Arial" w:cs="Arial" w:eastAsia="Arial" w:hAnsi="Arial"/>
          <w:sz w:val="18"/>
          <w:szCs w:val="18"/>
          <w:color w:val="auto"/>
        </w:rPr>
      </w:pPr>
    </w:p>
    <w:p>
      <w:pPr>
        <w:ind w:left="452" w:right="60" w:hanging="452"/>
        <w:spacing w:after="0" w:line="290" w:lineRule="auto"/>
        <w:tabs>
          <w:tab w:leader="none" w:pos="45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Acceleration of Vesting upon Change in Control</w:t>
      </w:r>
      <w:r>
        <w:rPr>
          <w:rFonts w:ascii="Arial" w:cs="Arial" w:eastAsia="Arial" w:hAnsi="Arial"/>
          <w:sz w:val="16"/>
          <w:szCs w:val="16"/>
          <w:color w:val="auto"/>
        </w:rPr>
        <w:t>. If there is Change in Control prior to the close of the Restriction Period, all outstanding but unvested RSUs will be immediately vested in full and such RSU Award and all associated Dividend Equivalents will be paid within 60 days following the applicable original Vesting Date, unless the successor entity assumes all RSU Awards granted under the Plan and converts the awards to equivalent grants in the successor effective as of the Change in Control. If the successor entity so assumes and converts all RSU Awards granted under the Plan, upon Employee’s involuntary Termination of Employment without Cause during the Window Period or upon Employee’s death or Disability, then all outstanding but unvested RSUs (or the equivalent grant in the successor entity) and the associated Dividend Equivalents through such date will become immediately vested in full at such time and paid (i) in the case of death or Disability, within 60 days of such time or (ii) in the case of involuntary Termination of Employment without Cause, within 60 days following their applicable original Vesting Date.</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230" w:name="page231"/>
    <w:bookmarkEnd w:id="230"/>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first to occur of any of the following:</w:t>
      </w:r>
    </w:p>
    <w:p>
      <w:pPr>
        <w:spacing w:after="0" w:line="130" w:lineRule="exact"/>
        <w:rPr>
          <w:rFonts w:ascii="Arial" w:cs="Arial" w:eastAsia="Arial" w:hAnsi="Arial"/>
          <w:sz w:val="18"/>
          <w:szCs w:val="18"/>
          <w:color w:val="auto"/>
        </w:rPr>
      </w:pPr>
    </w:p>
    <w:p>
      <w:pPr>
        <w:ind w:left="1920" w:right="20" w:hanging="440"/>
        <w:spacing w:after="0" w:line="259" w:lineRule="auto"/>
        <w:tabs>
          <w:tab w:leader="none" w:pos="192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92" w:lineRule="exact"/>
        <w:rPr>
          <w:rFonts w:ascii="Arial" w:cs="Arial" w:eastAsia="Arial" w:hAnsi="Arial"/>
          <w:sz w:val="18"/>
          <w:szCs w:val="18"/>
          <w:color w:val="auto"/>
        </w:rPr>
      </w:pPr>
    </w:p>
    <w:p>
      <w:pPr>
        <w:ind w:left="1920" w:hanging="440"/>
        <w:spacing w:after="0" w:line="259" w:lineRule="auto"/>
        <w:tabs>
          <w:tab w:leader="none" w:pos="192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1920" w:right="100" w:hanging="440"/>
        <w:spacing w:after="0" w:line="255" w:lineRule="auto"/>
        <w:tabs>
          <w:tab w:leader="none" w:pos="192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920" w:hanging="440"/>
        <w:spacing w:after="0" w:line="290" w:lineRule="auto"/>
        <w:tabs>
          <w:tab w:leader="none" w:pos="1920"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6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also constitute a “change in the ownership of a corporation,” a “change in the effective control of a corporation,” or a “change in the ownership of a substantial portion of a corporation’s assets,” in each case, within the meaning of Section 409A.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31" w:name="page232"/>
    <w:bookmarkEnd w:id="231"/>
    <w:p>
      <w:pPr>
        <w:ind w:left="1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the following terms shall have the following meanings:</w:t>
      </w:r>
    </w:p>
    <w:p>
      <w:pPr>
        <w:spacing w:after="0" w:line="117" w:lineRule="exact"/>
        <w:rPr>
          <w:sz w:val="20"/>
          <w:szCs w:val="20"/>
          <w:color w:val="auto"/>
        </w:rPr>
      </w:pPr>
    </w:p>
    <w:p>
      <w:pPr>
        <w:ind w:left="2612" w:hanging="293"/>
        <w:spacing w:after="0"/>
        <w:tabs>
          <w:tab w:leader="none" w:pos="2612" w:val="left"/>
        </w:tabs>
        <w:numPr>
          <w:ilvl w:val="3"/>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and Exchange Act of 1934, as amended from time to time; and</w:t>
      </w:r>
    </w:p>
    <w:p>
      <w:pPr>
        <w:spacing w:after="0" w:line="117" w:lineRule="exact"/>
        <w:rPr>
          <w:rFonts w:ascii="Arial" w:cs="Arial" w:eastAsia="Arial" w:hAnsi="Arial"/>
          <w:sz w:val="18"/>
          <w:szCs w:val="18"/>
          <w:color w:val="auto"/>
        </w:rPr>
      </w:pPr>
    </w:p>
    <w:p>
      <w:pPr>
        <w:ind w:left="1932" w:right="60" w:firstLine="387"/>
        <w:spacing w:after="0" w:line="276" w:lineRule="auto"/>
        <w:tabs>
          <w:tab w:leader="none" w:pos="2596" w:val="left"/>
        </w:tabs>
        <w:numPr>
          <w:ilvl w:val="3"/>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77" w:lineRule="exact"/>
        <w:rPr>
          <w:rFonts w:ascii="Arial" w:cs="Arial" w:eastAsia="Arial" w:hAnsi="Arial"/>
          <w:sz w:val="17"/>
          <w:szCs w:val="17"/>
          <w:color w:val="auto"/>
        </w:rPr>
      </w:pPr>
    </w:p>
    <w:p>
      <w:pPr>
        <w:ind w:left="1472" w:hanging="567"/>
        <w:spacing w:after="0" w:line="257" w:lineRule="auto"/>
        <w:tabs>
          <w:tab w:leader="none" w:pos="1472" w:val="left"/>
        </w:tabs>
        <w:numPr>
          <w:ilvl w:val="1"/>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Employment </w:t>
      </w:r>
      <w:r>
        <w:rPr>
          <w:rFonts w:ascii="Arial" w:cs="Arial" w:eastAsia="Arial" w:hAnsi="Arial"/>
          <w:sz w:val="18"/>
          <w:szCs w:val="18"/>
          <w:color w:val="auto"/>
        </w:rPr>
        <w:t>means the termination of Employee’s employment or other service relationship with WM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93" w:lineRule="exact"/>
        <w:rPr>
          <w:rFonts w:ascii="Arial" w:cs="Arial" w:eastAsia="Arial" w:hAnsi="Arial"/>
          <w:sz w:val="18"/>
          <w:szCs w:val="18"/>
          <w:color w:val="auto"/>
        </w:rPr>
      </w:pPr>
    </w:p>
    <w:p>
      <w:pPr>
        <w:ind w:left="1472" w:right="40" w:hanging="567"/>
        <w:spacing w:after="0" w:line="285" w:lineRule="auto"/>
        <w:tabs>
          <w:tab w:leader="none" w:pos="1472" w:val="left"/>
        </w:tabs>
        <w:numPr>
          <w:ilvl w:val="1"/>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any of the following: (1) willful or deliberate and continual refusal to materially perform Employee’s duties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6"/>
          <w:szCs w:val="16"/>
          <w:i w:val="1"/>
          <w:iCs w:val="1"/>
          <w:color w:val="auto"/>
        </w:rPr>
        <w:t xml:space="preserve">nolo contendre </w:t>
      </w:r>
      <w:r>
        <w:rPr>
          <w:rFonts w:ascii="Arial" w:cs="Arial" w:eastAsia="Arial" w:hAnsi="Arial"/>
          <w:sz w:val="16"/>
          <w:szCs w:val="16"/>
          <w:color w:val="auto"/>
        </w:rPr>
        <w:t>to, any felony; (4) Employee willfully or intentionally caused material injury to WM, its property, or its assets;</w:t>
      </w:r>
    </w:p>
    <w:p>
      <w:pPr>
        <w:spacing w:after="0" w:line="2" w:lineRule="exact"/>
        <w:rPr>
          <w:rFonts w:ascii="Arial" w:cs="Arial" w:eastAsia="Arial" w:hAnsi="Arial"/>
          <w:sz w:val="16"/>
          <w:szCs w:val="16"/>
          <w:color w:val="auto"/>
        </w:rPr>
      </w:pPr>
    </w:p>
    <w:p>
      <w:pPr>
        <w:ind w:left="1732" w:hanging="260"/>
        <w:spacing w:after="0"/>
        <w:tabs>
          <w:tab w:leader="none" w:pos="1732" w:val="left"/>
        </w:tabs>
        <w:numPr>
          <w:ilvl w:val="2"/>
          <w:numId w:val="186"/>
        </w:numPr>
        <w:rPr>
          <w:rFonts w:ascii="Arial" w:cs="Arial" w:eastAsia="Arial" w:hAnsi="Arial"/>
          <w:sz w:val="17"/>
          <w:szCs w:val="17"/>
          <w:color w:val="auto"/>
        </w:rPr>
      </w:pPr>
      <w:r>
        <w:rPr>
          <w:rFonts w:ascii="Arial" w:cs="Arial" w:eastAsia="Arial" w:hAnsi="Arial"/>
          <w:sz w:val="17"/>
          <w:szCs w:val="17"/>
          <w:color w:val="auto"/>
        </w:rPr>
        <w:t>Employee disclosed to unauthorized person(s) proprietary or confidential information of WM that causes a material injury to WM;</w:t>
      </w:r>
    </w:p>
    <w:p>
      <w:pPr>
        <w:spacing w:after="0" w:line="20" w:lineRule="exact"/>
        <w:rPr>
          <w:rFonts w:ascii="Arial" w:cs="Arial" w:eastAsia="Arial" w:hAnsi="Arial"/>
          <w:sz w:val="17"/>
          <w:szCs w:val="17"/>
          <w:color w:val="auto"/>
        </w:rPr>
      </w:pPr>
    </w:p>
    <w:p>
      <w:pPr>
        <w:ind w:left="1472" w:right="80"/>
        <w:spacing w:after="0" w:line="261" w:lineRule="auto"/>
        <w:tabs>
          <w:tab w:leader="none" w:pos="172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89" w:lineRule="exact"/>
        <w:rPr>
          <w:rFonts w:ascii="Arial" w:cs="Arial" w:eastAsia="Arial" w:hAnsi="Arial"/>
          <w:sz w:val="18"/>
          <w:szCs w:val="18"/>
          <w:color w:val="auto"/>
        </w:rPr>
      </w:pPr>
    </w:p>
    <w:p>
      <w:pPr>
        <w:ind w:left="1472" w:right="360" w:hanging="567"/>
        <w:spacing w:after="0" w:line="277" w:lineRule="auto"/>
        <w:tabs>
          <w:tab w:leader="none" w:pos="1472" w:val="left"/>
        </w:tabs>
        <w:numPr>
          <w:ilvl w:val="1"/>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Window Period </w:t>
      </w:r>
      <w:r>
        <w:rPr>
          <w:rFonts w:ascii="Arial" w:cs="Arial" w:eastAsia="Arial" w:hAnsi="Arial"/>
          <w:sz w:val="18"/>
          <w:szCs w:val="18"/>
          <w:color w:val="auto"/>
        </w:rPr>
        <w:t>means the period beginning on the date occurring six (6) months immediately prior to the date on which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first occurs and ending on the second anniversary of the date on which a Change in Control occurs.</w:t>
      </w:r>
    </w:p>
    <w:p>
      <w:pPr>
        <w:spacing w:after="0" w:line="75" w:lineRule="exact"/>
        <w:rPr>
          <w:rFonts w:ascii="Arial" w:cs="Arial" w:eastAsia="Arial" w:hAnsi="Arial"/>
          <w:sz w:val="18"/>
          <w:szCs w:val="18"/>
          <w:color w:val="auto"/>
        </w:rPr>
      </w:pPr>
    </w:p>
    <w:p>
      <w:pPr>
        <w:ind w:left="452" w:right="20" w:hanging="452"/>
        <w:spacing w:after="0" w:line="272" w:lineRule="auto"/>
        <w:tabs>
          <w:tab w:leader="none" w:pos="452"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RSUs as soon as administratively feasible (and no later than 60 days) following the applicable Vesting Date for such RSUs. The Company will make such payment in a lump sum cash amount for RSU Award Dividend Equivalents based on the number of RSUs vested on such Vesting Date multiplied by the per share quarterly dividend payments made to stockholders of the Company’s Common Stock during the applicable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General Terms</w:t>
      </w:r>
    </w:p>
    <w:p>
      <w:pPr>
        <w:spacing w:after="0" w:line="256" w:lineRule="exact"/>
        <w:rPr>
          <w:sz w:val="20"/>
          <w:szCs w:val="20"/>
          <w:color w:val="auto"/>
        </w:rPr>
      </w:pPr>
    </w:p>
    <w:p>
      <w:pPr>
        <w:ind w:left="452" w:hanging="452"/>
        <w:spacing w:after="0"/>
        <w:tabs>
          <w:tab w:leader="none" w:pos="45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40" w:hanging="446"/>
        <w:spacing w:after="0" w:line="259" w:lineRule="auto"/>
        <w:tabs>
          <w:tab w:leader="none" w:pos="89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232" w:name="page233"/>
    <w:bookmarkEnd w:id="232"/>
    <w:p>
      <w:pPr>
        <w:ind w:left="892" w:right="120" w:hanging="446"/>
        <w:spacing w:after="0" w:line="291" w:lineRule="auto"/>
        <w:tabs>
          <w:tab w:leader="none" w:pos="892" w:val="left"/>
        </w:tabs>
        <w:numPr>
          <w:ilvl w:val="1"/>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2" w:lineRule="exact"/>
        <w:rPr>
          <w:rFonts w:ascii="Arial" w:cs="Arial" w:eastAsia="Arial" w:hAnsi="Arial"/>
          <w:sz w:val="16"/>
          <w:szCs w:val="16"/>
          <w:color w:val="auto"/>
        </w:rPr>
      </w:pPr>
    </w:p>
    <w:p>
      <w:pPr>
        <w:ind w:left="452" w:hanging="452"/>
        <w:spacing w:after="0"/>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under the Plan or this Agreement.</w:t>
      </w:r>
    </w:p>
    <w:p>
      <w:pPr>
        <w:spacing w:after="0" w:line="130" w:lineRule="exact"/>
        <w:rPr>
          <w:rFonts w:ascii="Arial" w:cs="Arial" w:eastAsia="Arial" w:hAnsi="Arial"/>
          <w:sz w:val="18"/>
          <w:szCs w:val="18"/>
          <w:color w:val="auto"/>
        </w:rPr>
      </w:pPr>
    </w:p>
    <w:p>
      <w:pPr>
        <w:ind w:left="452" w:right="20" w:hanging="452"/>
        <w:spacing w:after="0" w:line="255" w:lineRule="auto"/>
        <w:tabs>
          <w:tab w:leader="none" w:pos="45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Employee agrees that Employee is responsible for federal, state and local tax consequences associated with the RSU Awards (and any associated Dividend Equivalents) under this Agreement. Upon the occurrence of a taxable event with respect to any RSU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98" w:lineRule="exact"/>
        <w:rPr>
          <w:rFonts w:ascii="Arial" w:cs="Arial" w:eastAsia="Arial" w:hAnsi="Arial"/>
          <w:sz w:val="18"/>
          <w:szCs w:val="18"/>
          <w:color w:val="auto"/>
        </w:rPr>
      </w:pPr>
    </w:p>
    <w:p>
      <w:pPr>
        <w:ind w:left="452" w:right="100" w:hanging="452"/>
        <w:spacing w:after="0" w:line="273" w:lineRule="auto"/>
        <w:tabs>
          <w:tab w:leader="none" w:pos="452"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RSU Award are being acquired for investment and not with a view to sale or distribution.</w:t>
      </w:r>
    </w:p>
    <w:p>
      <w:pPr>
        <w:spacing w:after="0" w:line="70" w:lineRule="exact"/>
        <w:rPr>
          <w:rFonts w:ascii="Arial" w:cs="Arial" w:eastAsia="Arial" w:hAnsi="Arial"/>
          <w:sz w:val="17"/>
          <w:szCs w:val="17"/>
          <w:color w:val="auto"/>
        </w:rPr>
      </w:pPr>
    </w:p>
    <w:p>
      <w:pPr>
        <w:ind w:left="452"/>
        <w:spacing w:after="0" w:line="286" w:lineRule="auto"/>
        <w:rPr>
          <w:rFonts w:ascii="Arial" w:cs="Arial" w:eastAsia="Arial" w:hAnsi="Arial"/>
          <w:sz w:val="17"/>
          <w:szCs w:val="17"/>
          <w:color w:val="auto"/>
        </w:rPr>
      </w:pPr>
      <w:r>
        <w:rPr>
          <w:rFonts w:ascii="Arial" w:cs="Arial" w:eastAsia="Arial" w:hAnsi="Arial"/>
          <w:sz w:val="16"/>
          <w:szCs w:val="16"/>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RSU Award after the Employee’s death is entitled to do so; (c) establishment of Employee’s compliance with any necessary representations or terms and conditions of the Plan or this Agreement, or</w:t>
      </w:r>
    </w:p>
    <w:p>
      <w:pPr>
        <w:spacing w:after="0" w:line="1" w:lineRule="exact"/>
        <w:rPr>
          <w:rFonts w:ascii="Arial" w:cs="Arial" w:eastAsia="Arial" w:hAnsi="Arial"/>
          <w:sz w:val="17"/>
          <w:szCs w:val="17"/>
          <w:color w:val="auto"/>
        </w:rPr>
      </w:pPr>
    </w:p>
    <w:p>
      <w:pPr>
        <w:ind w:left="712" w:hanging="256"/>
        <w:spacing w:after="0"/>
        <w:tabs>
          <w:tab w:leader="none" w:pos="712" w:val="left"/>
        </w:tabs>
        <w:numPr>
          <w:ilvl w:val="2"/>
          <w:numId w:val="190"/>
        </w:numPr>
        <w:rPr>
          <w:rFonts w:ascii="Arial" w:cs="Arial" w:eastAsia="Arial" w:hAnsi="Arial"/>
          <w:sz w:val="18"/>
          <w:szCs w:val="18"/>
          <w:color w:val="auto"/>
        </w:rPr>
      </w:pPr>
      <w:r>
        <w:rPr>
          <w:rFonts w:ascii="Arial" w:cs="Arial" w:eastAsia="Arial" w:hAnsi="Arial"/>
          <w:sz w:val="18"/>
          <w:szCs w:val="18"/>
          <w:color w:val="auto"/>
        </w:rPr>
        <w:t>compliance with any federal, state, or local tax withholding obligations.</w:t>
      </w:r>
    </w:p>
    <w:p>
      <w:pPr>
        <w:spacing w:after="0" w:line="116" w:lineRule="exact"/>
        <w:rPr>
          <w:rFonts w:ascii="Arial" w:cs="Arial" w:eastAsia="Arial" w:hAnsi="Arial"/>
          <w:sz w:val="18"/>
          <w:szCs w:val="18"/>
          <w:color w:val="auto"/>
        </w:rPr>
      </w:pPr>
    </w:p>
    <w:p>
      <w:pPr>
        <w:ind w:left="452" w:right="80" w:hanging="452"/>
        <w:spacing w:after="0" w:line="279" w:lineRule="auto"/>
        <w:tabs>
          <w:tab w:leader="none" w:pos="452"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RSU Award prior to the date on which Employee is recorded as the holder of such shares of Common Stock on the records of the Company, including no right to dividends declared on the Common Stock underlying the RSU Award. Notwithstanding the foregoing, Dividend Equivalents shall be paid to Employee in accordance with and subject to the terms of paragraph 6 under “Important Award Details.”</w:t>
      </w:r>
    </w:p>
    <w:p>
      <w:pPr>
        <w:spacing w:after="0" w:line="76" w:lineRule="exact"/>
        <w:rPr>
          <w:rFonts w:ascii="Arial" w:cs="Arial" w:eastAsia="Arial" w:hAnsi="Arial"/>
          <w:sz w:val="17"/>
          <w:szCs w:val="17"/>
          <w:color w:val="auto"/>
        </w:rPr>
      </w:pPr>
    </w:p>
    <w:p>
      <w:pPr>
        <w:ind w:left="452" w:right="40" w:hanging="452"/>
        <w:spacing w:after="0" w:line="273" w:lineRule="auto"/>
        <w:tabs>
          <w:tab w:leader="none" w:pos="452"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 under “Important Award Details.”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233" w:name="page234"/>
    <w:bookmarkEnd w:id="233"/>
    <w:p>
      <w:pPr>
        <w:ind w:left="452" w:hanging="452"/>
        <w:spacing w:after="0"/>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of Rights</w:t>
      </w:r>
      <w:r>
        <w:rPr>
          <w:rFonts w:ascii="Arial" w:cs="Arial" w:eastAsia="Arial" w:hAnsi="Arial"/>
          <w:sz w:val="18"/>
          <w:szCs w:val="18"/>
          <w:color w:val="auto"/>
        </w:rPr>
        <w:t>. Nothing in this Agreement or the Plan may be construed 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RSU Awards other than in the sole discretion of the Committee;</w:t>
      </w:r>
    </w:p>
    <w:p>
      <w:pPr>
        <w:spacing w:after="0" w:line="130" w:lineRule="exact"/>
        <w:rPr>
          <w:rFonts w:ascii="Arial" w:cs="Arial" w:eastAsia="Arial" w:hAnsi="Arial"/>
          <w:sz w:val="18"/>
          <w:szCs w:val="18"/>
          <w:color w:val="auto"/>
        </w:rPr>
      </w:pPr>
    </w:p>
    <w:p>
      <w:pPr>
        <w:ind w:left="892" w:right="80" w:hanging="446"/>
        <w:spacing w:after="0" w:line="264" w:lineRule="auto"/>
        <w:tabs>
          <w:tab w:leader="none" w:pos="8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WM (other than the RSU Awards made by this Agreement, the related Dividend Equivalents awarded under this Agreement, and any Common Stock issuable under the terms and conditions of such RSU Awards); or</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WM.</w:t>
      </w:r>
    </w:p>
    <w:p>
      <w:pPr>
        <w:spacing w:after="0" w:line="130" w:lineRule="exact"/>
        <w:rPr>
          <w:rFonts w:ascii="Arial" w:cs="Arial" w:eastAsia="Arial" w:hAnsi="Arial"/>
          <w:sz w:val="18"/>
          <w:szCs w:val="18"/>
          <w:color w:val="auto"/>
        </w:rPr>
      </w:pPr>
    </w:p>
    <w:p>
      <w:pPr>
        <w:ind w:left="452" w:right="260" w:hanging="452"/>
        <w:spacing w:after="0" w:line="277"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75" w:lineRule="exact"/>
        <w:rPr>
          <w:rFonts w:ascii="Arial" w:cs="Arial" w:eastAsia="Arial" w:hAnsi="Arial"/>
          <w:sz w:val="18"/>
          <w:szCs w:val="18"/>
          <w:color w:val="auto"/>
        </w:rPr>
      </w:pPr>
    </w:p>
    <w:p>
      <w:pPr>
        <w:ind w:left="452" w:right="240" w:hanging="452"/>
        <w:spacing w:after="0" w:line="277"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Severability/Entire Agreement</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75" w:lineRule="exact"/>
        <w:rPr>
          <w:rFonts w:ascii="Arial" w:cs="Arial" w:eastAsia="Arial" w:hAnsi="Arial"/>
          <w:sz w:val="18"/>
          <w:szCs w:val="18"/>
          <w:color w:val="auto"/>
        </w:rPr>
      </w:pPr>
    </w:p>
    <w:p>
      <w:pPr>
        <w:ind w:left="892" w:right="100" w:hanging="446"/>
        <w:spacing w:after="0" w:line="276" w:lineRule="auto"/>
        <w:tabs>
          <w:tab w:leader="none" w:pos="892" w:val="left"/>
        </w:tabs>
        <w:numPr>
          <w:ilvl w:val="1"/>
          <w:numId w:val="191"/>
        </w:numPr>
        <w:rPr>
          <w:rFonts w:ascii="Arial" w:cs="Arial" w:eastAsia="Arial" w:hAnsi="Arial"/>
          <w:sz w:val="17"/>
          <w:szCs w:val="17"/>
          <w:color w:val="auto"/>
        </w:rPr>
      </w:pPr>
      <w:r>
        <w:rPr>
          <w:rFonts w:ascii="Arial" w:cs="Arial" w:eastAsia="Arial" w:hAnsi="Arial"/>
          <w:sz w:val="17"/>
          <w:szCs w:val="17"/>
          <w:color w:val="auto"/>
        </w:rPr>
        <w:t>Employee understands and agrees that the RSU Awards granted under this Agreement are granted under the authority of the Plan and these RSU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w:t>
      </w:r>
    </w:p>
    <w:p>
      <w:pPr>
        <w:spacing w:after="0" w:line="77"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75" w:lineRule="exact"/>
        <w:rPr>
          <w:rFonts w:ascii="Arial" w:cs="Arial" w:eastAsia="Arial" w:hAnsi="Arial"/>
          <w:sz w:val="18"/>
          <w:szCs w:val="18"/>
          <w:color w:val="auto"/>
        </w:rPr>
      </w:pPr>
    </w:p>
    <w:p>
      <w:pPr>
        <w:jc w:val="both"/>
        <w:ind w:left="892" w:right="120" w:hanging="446"/>
        <w:spacing w:after="0" w:line="264" w:lineRule="auto"/>
        <w:tabs>
          <w:tab w:leader="none" w:pos="89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6" w:lineRule="exact"/>
        <w:rPr>
          <w:rFonts w:ascii="Arial" w:cs="Arial" w:eastAsia="Arial" w:hAnsi="Arial"/>
          <w:sz w:val="18"/>
          <w:szCs w:val="18"/>
          <w:color w:val="auto"/>
        </w:rPr>
      </w:pPr>
    </w:p>
    <w:p>
      <w:pPr>
        <w:ind w:left="452" w:right="340" w:hanging="452"/>
        <w:spacing w:after="0" w:line="277"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75" w:lineRule="exact"/>
        <w:rPr>
          <w:rFonts w:ascii="Arial" w:cs="Arial" w:eastAsia="Arial" w:hAnsi="Arial"/>
          <w:sz w:val="18"/>
          <w:szCs w:val="18"/>
          <w:color w:val="auto"/>
        </w:rPr>
      </w:pPr>
    </w:p>
    <w:p>
      <w:pPr>
        <w:ind w:left="452" w:right="220" w:hanging="452"/>
        <w:spacing w:after="0" w:line="259"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Covenant Requirement Essential Part of RSU Award</w:t>
      </w:r>
      <w:r>
        <w:rPr>
          <w:rFonts w:ascii="Arial" w:cs="Arial" w:eastAsia="Arial" w:hAnsi="Arial"/>
          <w:sz w:val="18"/>
          <w:szCs w:val="18"/>
          <w:color w:val="auto"/>
        </w:rPr>
        <w:t>. An overriding condition (even if any other provision of the Plan and this Agreement are conflicting) for Employee to receive any benefit from or payment of any RSU Award under this Agreement, is that Employee must also have entered into an agreement containing restrictive covenants concerning limitations on Employee’s behavior following termination of employment that is satisfactory to WM.</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If not defined in this Agreement, capitalized terms have the meanings set forth in the Plan.</w:t>
      </w:r>
    </w:p>
    <w:p>
      <w:pPr>
        <w:spacing w:after="0" w:line="130" w:lineRule="exact"/>
        <w:rPr>
          <w:rFonts w:ascii="Arial" w:cs="Arial" w:eastAsia="Arial" w:hAnsi="Arial"/>
          <w:sz w:val="18"/>
          <w:szCs w:val="18"/>
          <w:color w:val="auto"/>
        </w:rPr>
      </w:pPr>
    </w:p>
    <w:p>
      <w:pPr>
        <w:ind w:left="452" w:right="80" w:hanging="452"/>
        <w:spacing w:after="0" w:line="255" w:lineRule="auto"/>
        <w:tabs>
          <w:tab w:leader="none" w:pos="4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w:t>
      </w:r>
    </w:p>
    <w:p>
      <w:pPr>
        <w:spacing w:after="0" w:line="1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234" w:name="page235"/>
    <w:bookmarkEnd w:id="234"/>
    <w:p>
      <w:pPr>
        <w:ind w:left="452"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72" w:lineRule="exact"/>
        <w:rPr>
          <w:sz w:val="20"/>
          <w:szCs w:val="20"/>
          <w:color w:val="auto"/>
        </w:rPr>
      </w:pPr>
    </w:p>
    <w:p>
      <w:pPr>
        <w:ind w:left="452" w:hanging="452"/>
        <w:spacing w:after="0" w:line="270" w:lineRule="auto"/>
        <w:tabs>
          <w:tab w:leader="none" w:pos="452"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Use of Personal Data</w:t>
      </w:r>
      <w:r>
        <w:rPr>
          <w:rFonts w:ascii="Arial" w:cs="Arial" w:eastAsia="Arial" w:hAnsi="Arial"/>
          <w:sz w:val="17"/>
          <w:szCs w:val="17"/>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83" w:lineRule="exact"/>
        <w:rPr>
          <w:rFonts w:ascii="Arial" w:cs="Arial" w:eastAsia="Arial" w:hAnsi="Arial"/>
          <w:sz w:val="17"/>
          <w:szCs w:val="17"/>
          <w:color w:val="auto"/>
        </w:rPr>
      </w:pPr>
    </w:p>
    <w:p>
      <w:pPr>
        <w:jc w:val="both"/>
        <w:ind w:left="452" w:right="520" w:hanging="452"/>
        <w:spacing w:after="0" w:line="286" w:lineRule="auto"/>
        <w:tabs>
          <w:tab w:leader="none" w:pos="452"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70" w:lineRule="exact"/>
        <w:rPr>
          <w:rFonts w:ascii="Arial" w:cs="Arial" w:eastAsia="Arial" w:hAnsi="Arial"/>
          <w:sz w:val="17"/>
          <w:szCs w:val="17"/>
          <w:color w:val="auto"/>
        </w:rPr>
      </w:pPr>
    </w:p>
    <w:p>
      <w:pPr>
        <w:ind w:left="452" w:right="40" w:hanging="452"/>
        <w:spacing w:after="0" w:line="279" w:lineRule="auto"/>
        <w:tabs>
          <w:tab w:leader="none" w:pos="452"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76" w:lineRule="exact"/>
        <w:rPr>
          <w:rFonts w:ascii="Arial" w:cs="Arial" w:eastAsia="Arial" w:hAnsi="Arial"/>
          <w:sz w:val="17"/>
          <w:szCs w:val="17"/>
          <w:color w:val="auto"/>
        </w:rPr>
      </w:pPr>
    </w:p>
    <w:p>
      <w:pPr>
        <w:ind w:left="452" w:right="140" w:hanging="452"/>
        <w:spacing w:after="0" w:line="259" w:lineRule="auto"/>
        <w:tabs>
          <w:tab w:leader="none" w:pos="45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213" w:lineRule="exact"/>
        <w:rPr>
          <w:rFonts w:ascii="Arial" w:cs="Arial" w:eastAsia="Arial" w:hAnsi="Arial"/>
          <w:sz w:val="18"/>
          <w:szCs w:val="18"/>
          <w:color w:val="auto"/>
        </w:rPr>
      </w:pPr>
    </w:p>
    <w:p>
      <w:pPr>
        <w:ind w:left="452" w:right="80" w:hanging="452"/>
        <w:spacing w:after="0" w:line="255" w:lineRule="auto"/>
        <w:tabs>
          <w:tab w:leader="none" w:pos="45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Binding Arbitration</w:t>
      </w:r>
      <w:r>
        <w:rPr>
          <w:rFonts w:ascii="Arial" w:cs="Arial" w:eastAsia="Arial" w:hAnsi="Arial"/>
          <w:sz w:val="18"/>
          <w:szCs w:val="18"/>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arbitration proceeding, including the rendering of an award, if any, shall be administered by JAMS pursuant to its Employment</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sectPr>
      </w:pPr>
    </w:p>
    <w:bookmarkStart w:id="235" w:name="page236"/>
    <w:bookmarkEnd w:id="235"/>
    <w:p>
      <w:pPr>
        <w:ind w:left="452"/>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Arbitration Rules and Procedures, which may be found on the JAMS Website </w:t>
      </w:r>
      <w:r>
        <w:rPr>
          <w:rFonts w:ascii="Arial" w:cs="Arial" w:eastAsia="Arial" w:hAnsi="Arial"/>
          <w:sz w:val="18"/>
          <w:szCs w:val="18"/>
          <w:b w:val="1"/>
          <w:bCs w:val="1"/>
          <w:color w:val="auto"/>
        </w:rPr>
        <w:t>www.jamsadr.com</w:t>
      </w:r>
      <w:r>
        <w:rPr>
          <w:rFonts w:ascii="Arial" w:cs="Arial" w:eastAsia="Arial" w:hAnsi="Arial"/>
          <w:sz w:val="18"/>
          <w:szCs w:val="18"/>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86" w:lineRule="exact"/>
        <w:rPr>
          <w:sz w:val="20"/>
          <w:szCs w:val="20"/>
          <w:color w:val="auto"/>
        </w:rPr>
      </w:pPr>
    </w:p>
    <w:p>
      <w:pPr>
        <w:ind w:left="5652" w:right="2080" w:hanging="5652"/>
        <w:spacing w:after="0" w:line="449" w:lineRule="auto"/>
        <w:tabs>
          <w:tab w:leader="none" w:pos="43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 9</w:t>
      </w:r>
    </w:p>
    <w:p>
      <w:pPr>
        <w:sectPr>
          <w:pgSz w:w="11900" w:h="16838" w:orient="portrait"/>
          <w:cols w:equalWidth="0" w:num="1">
            <w:col w:w="11312"/>
          </w:cols>
          <w:pgMar w:left="248" w:top="270"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Agreement to be duly executed by one of its officers thereunto duly authorized and Employee has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executed this Agreement, effective as of</w:t>
            </w:r>
          </w:p>
        </w:tc>
        <w:tc>
          <w:tcPr>
            <w:tcW w:w="200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b w:val="1"/>
                <w:bCs w:val="1"/>
                <w:color w:val="auto"/>
              </w:rPr>
              <w:t>WASTE MANAGEMENT, INC.</w:t>
            </w: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Mark Schwartz</w:t>
            </w: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Employee:</w:t>
            </w:r>
          </w:p>
        </w:tc>
      </w:tr>
      <w:tr>
        <w:trPr>
          <w:trHeight w:val="431"/>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Date</w:t>
            </w:r>
          </w:p>
        </w:tc>
        <w:tc>
          <w:tcPr>
            <w:tcW w:w="2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Date</w:t>
            </w:r>
          </w:p>
        </w:tc>
      </w:tr>
      <w:tr>
        <w:trPr>
          <w:trHeight w:val="364"/>
        </w:trPr>
        <w:tc>
          <w:tcPr>
            <w:tcW w:w="3380" w:type="dxa"/>
            <w:vAlign w:val="bottom"/>
          </w:tcPr>
          <w:p>
            <w:pPr>
              <w:spacing w:after="0"/>
              <w:rPr>
                <w:sz w:val="24"/>
                <w:szCs w:val="24"/>
                <w:color w:val="auto"/>
              </w:rPr>
            </w:pPr>
          </w:p>
        </w:tc>
        <w:tc>
          <w:tcPr>
            <w:tcW w:w="26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37" w:name="page238"/>
    <w:bookmarkEnd w:id="237"/>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investments(b)</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610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3"/>
        </w:trPr>
        <w:tc>
          <w:tcPr>
            <w:tcW w:w="610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720"/>
              <w:spacing w:after="0"/>
              <w:rPr>
                <w:sz w:val="20"/>
                <w:szCs w:val="20"/>
                <w:color w:val="auto"/>
              </w:rPr>
            </w:pPr>
            <w:r>
              <w:rPr>
                <w:rFonts w:ascii="Arial" w:cs="Arial" w:eastAsia="Arial" w:hAnsi="Arial"/>
                <w:sz w:val="18"/>
                <w:szCs w:val="18"/>
                <w:color w:val="auto"/>
              </w:rPr>
              <w:t>Total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Ratio of earnings to fixed charges(a)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5.3x</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3.4x</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3.3x</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720"/>
              <w:spacing w:after="0"/>
              <w:rPr>
                <w:sz w:val="20"/>
                <w:szCs w:val="20"/>
                <w:color w:val="auto"/>
              </w:rPr>
            </w:pPr>
            <w:r>
              <w:rPr>
                <w:rFonts w:ascii="Arial" w:cs="Arial" w:eastAsia="Arial" w:hAnsi="Arial"/>
                <w:sz w:val="18"/>
                <w:szCs w:val="18"/>
                <w:color w:val="auto"/>
              </w:rPr>
              <w:t>Adjusted ratio of earnings to fixed charges(c)</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5.5x</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40" w:hanging="452"/>
        <w:spacing w:after="0" w:line="254"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2"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spacing w:after="0" w:line="1" w:lineRule="exact"/>
        <w:rPr>
          <w:rFonts w:ascii="Arial" w:cs="Arial" w:eastAsia="Arial" w:hAnsi="Arial"/>
          <w:sz w:val="18"/>
          <w:szCs w:val="18"/>
          <w:color w:val="auto"/>
        </w:rPr>
      </w:pPr>
    </w:p>
    <w:p>
      <w:pPr>
        <w:ind w:left="460" w:right="300" w:hanging="452"/>
        <w:spacing w:after="0" w:line="254"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divestitures, losses on early extinguishment of debt and an adjustment to our subsidiary’s estimated environmental remediation liability for a closed site. A reconciliation showing the effect of these items on our “Income before income taxes and losses in equity investments” used to calculate our earnings available for fixed charges is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As reported income before income taxes and losses in equity investments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1,867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1,109</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1,350</w:t>
            </w:r>
          </w:p>
        </w:tc>
        <w:tc>
          <w:tcPr>
            <w:tcW w:w="100" w:type="dxa"/>
            <w:vAlign w:val="bottom"/>
            <w:shd w:val="clear" w:color="auto" w:fill="CCEEFF"/>
          </w:tcPr>
          <w:p>
            <w:pPr>
              <w:spacing w:after="0"/>
              <w:rPr>
                <w:sz w:val="18"/>
                <w:szCs w:val="18"/>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Adjustments to Income before income taxes and losses in equity investments: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 impairments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expense from divestitures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555</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remediation adjustment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Adjusted income before income taxes and losses in equity investments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1,761</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1,526</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1,500</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ectPr>
          <w:pgSz w:w="11900" w:h="16838" w:orient="portrait"/>
          <w:cols w:equalWidth="0" w:num="1">
            <w:col w:w="11420"/>
          </w:cols>
          <w:pgMar w:left="240" w:top="122" w:right="2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gridSpan w:val="2"/>
          </w:tcPr>
          <w:p>
            <w:pPr>
              <w:ind w:left="760"/>
              <w:spacing w:after="0"/>
              <w:rPr>
                <w:sz w:val="20"/>
                <w:szCs w:val="20"/>
                <w:color w:val="auto"/>
              </w:rPr>
            </w:pPr>
            <w:r>
              <w:rPr>
                <w:rFonts w:ascii="Arial" w:cs="Arial" w:eastAsia="Arial" w:hAnsi="Arial"/>
                <w:sz w:val="18"/>
                <w:szCs w:val="18"/>
                <w:b w:val="1"/>
                <w:bCs w:val="1"/>
                <w:color w:val="auto"/>
                <w:w w:val="93"/>
              </w:rPr>
              <w:t>Exhibit 21.1</w:t>
            </w:r>
          </w:p>
        </w:tc>
      </w:tr>
      <w:tr>
        <w:trPr>
          <w:trHeight w:val="373"/>
        </w:trPr>
        <w:tc>
          <w:tcPr>
            <w:tcW w:w="3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640" w:type="dxa"/>
            <w:vAlign w:val="bottom"/>
            <w:gridSpan w:val="3"/>
          </w:tcPr>
          <w:p>
            <w:pPr>
              <w:ind w:left="2920"/>
              <w:spacing w:after="0"/>
              <w:rPr>
                <w:sz w:val="20"/>
                <w:szCs w:val="20"/>
                <w:color w:val="auto"/>
              </w:rPr>
            </w:pPr>
            <w:r>
              <w:rPr>
                <w:rFonts w:ascii="Arial" w:cs="Arial" w:eastAsia="Arial" w:hAnsi="Arial"/>
                <w:sz w:val="14"/>
                <w:szCs w:val="14"/>
                <w:b w:val="1"/>
                <w:bCs w:val="1"/>
                <w:i w:val="1"/>
                <w:iCs w:val="1"/>
                <w:color w:val="auto"/>
                <w:w w:val="98"/>
              </w:rPr>
              <w:t>Jurisdiction of Formation/</w:t>
            </w:r>
          </w:p>
        </w:tc>
      </w:t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6440" w:type="dxa"/>
            <w:vAlign w:val="bottom"/>
          </w:tcPr>
          <w:p>
            <w:pPr>
              <w:spacing w:after="0"/>
              <w:rPr>
                <w:sz w:val="16"/>
                <w:szCs w:val="16"/>
                <w:color w:val="auto"/>
              </w:rPr>
            </w:pPr>
          </w:p>
        </w:tc>
        <w:tc>
          <w:tcPr>
            <w:tcW w:w="4640" w:type="dxa"/>
            <w:vAlign w:val="bottom"/>
            <w:gridSpan w:val="3"/>
          </w:tcPr>
          <w:p>
            <w:pPr>
              <w:ind w:left="292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6800" w:type="dxa"/>
            <w:vAlign w:val="bottom"/>
            <w:gridSpan w:val="2"/>
          </w:tcPr>
          <w:p>
            <w:pPr>
              <w:spacing w:after="0" w:line="189" w:lineRule="exact"/>
              <w:rPr>
                <w:sz w:val="20"/>
                <w:szCs w:val="20"/>
                <w:color w:val="auto"/>
              </w:rPr>
            </w:pPr>
            <w:r>
              <w:rPr>
                <w:rFonts w:ascii="Arial" w:cs="Arial" w:eastAsia="Arial" w:hAnsi="Arial"/>
                <w:sz w:val="18"/>
                <w:szCs w:val="18"/>
                <w:color w:val="auto"/>
              </w:rPr>
              <w:t>1-800-Pack-Rat, LLC</w:t>
            </w:r>
          </w:p>
        </w:tc>
        <w:tc>
          <w:tcPr>
            <w:tcW w:w="292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635952 Ontario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Ontario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8242348 Canada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Federally Chartered</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Acaverde S.A. de C.V.</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Mexico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Advanced Environmental Technical Services,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Akron Regional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Alliance Sanitary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Pennsylvania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Alpharetta Transfer Station,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Georgia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American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Ohio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Anderson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Antelope Valley Recycling and Disposal Facility,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California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Arden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Pennsylvania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Atlantic Waste Disposal,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Automated Salvage Transport Co.,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Avalon South,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Azusa Land Reclamation,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California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B&amp;B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Barre Landfill Gas Associates, L.P.</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Big Dipper Enterprises,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North Dakota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Bluegrass Containment,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Burnsville Sanitary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Minnesota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 Newco,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Cal Sierra Disposal</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California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California Asbestos Monofill,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California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Canadian Waste Services Holdings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Ontario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Capital Sanitation Company</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Nevada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Capitol Disposal,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Alaska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Carolina Grading,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South Carolina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Cedar Ridge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Central Disposal Systems,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Iowa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Chadwick Road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Georgia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Chambers Clearview Environmental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Mississippi</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Chambers Development Company,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Chambers Development of Ohio,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Ohio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Chambers of Georgia,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Chambers of Mississippi,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Mississippi</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Chemical Waste Management of Indiana, L.L.C.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Chemical Waste Management of the Northwest,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Washington</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Chemical Waste Management,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Delaware</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Chesser Island Road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Georgia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City Environmental Services, Inc. of Waters</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Michigan</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Cleburne Landfill Company Corp.</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Alabama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Coast Waste Management,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California</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Connecticut Valley Sanitary Waste Disposal,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Massachusetts</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Conservation Services,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Colorado</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Coshocton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Ohio</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Cougar Landfill, Inc.</w:t>
            </w:r>
          </w:p>
        </w:tc>
        <w:tc>
          <w:tcPr>
            <w:tcW w:w="4640" w:type="dxa"/>
            <w:vAlign w:val="bottom"/>
            <w:gridSpan w:val="3"/>
          </w:tcPr>
          <w:p>
            <w:pPr>
              <w:ind w:left="292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420"/>
          </w:cols>
          <w:pgMar w:left="240" w:top="121" w:right="2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800" w:type="dxa"/>
            <w:vAlign w:val="bottom"/>
            <w:gridSpan w:val="2"/>
          </w:tcPr>
          <w:p>
            <w:pPr>
              <w:ind w:left="310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6260" w:type="dxa"/>
            <w:vAlign w:val="bottom"/>
          </w:tcPr>
          <w:p>
            <w:pPr>
              <w:spacing w:after="0"/>
              <w:rPr>
                <w:sz w:val="16"/>
                <w:szCs w:val="16"/>
                <w:color w:val="auto"/>
              </w:rPr>
            </w:pPr>
          </w:p>
        </w:tc>
        <w:tc>
          <w:tcPr>
            <w:tcW w:w="4800" w:type="dxa"/>
            <w:vAlign w:val="bottom"/>
            <w:gridSpan w:val="2"/>
          </w:tcPr>
          <w:p>
            <w:pPr>
              <w:ind w:left="310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6620" w:type="dxa"/>
            <w:vAlign w:val="bottom"/>
            <w:gridSpan w:val="2"/>
          </w:tcPr>
          <w:p>
            <w:pPr>
              <w:spacing w:after="0" w:line="189" w:lineRule="exact"/>
              <w:rPr>
                <w:sz w:val="20"/>
                <w:szCs w:val="20"/>
                <w:color w:val="auto"/>
              </w:rPr>
            </w:pPr>
            <w:r>
              <w:rPr>
                <w:rFonts w:ascii="Arial" w:cs="Arial" w:eastAsia="Arial" w:hAnsi="Arial"/>
                <w:sz w:val="18"/>
                <w:szCs w:val="18"/>
                <w:color w:val="auto"/>
              </w:rPr>
              <w:t>Countryside Landfill, Inc.</w:t>
            </w:r>
          </w:p>
        </w:tc>
        <w:tc>
          <w:tcPr>
            <w:tcW w:w="310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Illinois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CR Group,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Utah</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Cuyahoga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CWM Chemical Services,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Dafter Sanitary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Michigan</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Dauphin Meadows,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Pennsylvania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Deep Valley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Deer Track Park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Container Company,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Missouri</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Disposal,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Group Holdings,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Industries,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Missouri</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of Arkansas,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Kansas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Deffenbaugh Recycling Company,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Kansas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Del Almo Landfill,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Delaware Recyclable Products,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Dickinson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Disposal Service, Incorporated</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West Virginia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Dolphin Services &amp; Chemicals,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Texas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Dolphin-One,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Texas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Earthmovers Landfill,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East Liverpool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Ohio</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Eastern One Land Corporation</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Eco-Vista,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Arkansas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eCycling Services,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ELDA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Elk River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Minnesota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Envirofil of Illinois,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Illinois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Evergreen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Evergreen Recycling and Disposal Facility,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Fred J. Eckert Sanitary Service,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Oregon</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G.I. Industries</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Utah</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GA Landfills,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Gallia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Garnet of Maryland,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Maryland</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Gateway Transfer Station,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Georgia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Georgia Waste Systems,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Georgia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Giordano Recycling,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Glades Landfill,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Florida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Glen’s Sanitary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Michigan</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Grand Central Sanitary Landfill,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Pennsylvania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Greenbow,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Alabama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Greenleaf Compaction, Inc.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Arizona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Greenstar Allentown,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Greenstar Georgia,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Greenstar Managed Services - Connecticut,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Delaware</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Greenstar Managed Services - RLWM, LLC</w:t>
            </w:r>
          </w:p>
        </w:tc>
        <w:tc>
          <w:tcPr>
            <w:tcW w:w="4800" w:type="dxa"/>
            <w:vAlign w:val="bottom"/>
            <w:gridSpan w:val="2"/>
          </w:tcPr>
          <w:p>
            <w:pPr>
              <w:ind w:left="3100"/>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1420"/>
          </w:cols>
          <w:pgMar w:left="240" w:top="257" w:right="2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840" w:type="dxa"/>
            <w:vAlign w:val="bottom"/>
            <w:gridSpan w:val="2"/>
          </w:tcPr>
          <w:p>
            <w:pPr>
              <w:ind w:left="314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6220" w:type="dxa"/>
            <w:vAlign w:val="bottom"/>
          </w:tcPr>
          <w:p>
            <w:pPr>
              <w:spacing w:after="0"/>
              <w:rPr>
                <w:sz w:val="16"/>
                <w:szCs w:val="16"/>
                <w:color w:val="auto"/>
              </w:rPr>
            </w:pPr>
          </w:p>
        </w:tc>
        <w:tc>
          <w:tcPr>
            <w:tcW w:w="4840" w:type="dxa"/>
            <w:vAlign w:val="bottom"/>
            <w:gridSpan w:val="2"/>
          </w:tcPr>
          <w:p>
            <w:pPr>
              <w:ind w:left="314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6580" w:type="dxa"/>
            <w:vAlign w:val="bottom"/>
            <w:gridSpan w:val="2"/>
          </w:tcPr>
          <w:p>
            <w:pPr>
              <w:spacing w:after="0" w:line="189" w:lineRule="exact"/>
              <w:rPr>
                <w:sz w:val="20"/>
                <w:szCs w:val="20"/>
                <w:color w:val="auto"/>
              </w:rPr>
            </w:pPr>
            <w:r>
              <w:rPr>
                <w:rFonts w:ascii="Arial" w:cs="Arial" w:eastAsia="Arial" w:hAnsi="Arial"/>
                <w:sz w:val="18"/>
                <w:szCs w:val="18"/>
                <w:color w:val="auto"/>
              </w:rPr>
              <w:t>Greenstar Mid-America, LLC</w:t>
            </w:r>
          </w:p>
        </w:tc>
        <w:tc>
          <w:tcPr>
            <w:tcW w:w="314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New Jersey,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Ohio,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Paterson,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Pittsburgh,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Recycled Holdings,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Greenstar,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Guadalupe Mines Mutual Water Company</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Guadalupe Rubbish Disposal Co.,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Ham Lake Haulers,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Minnesota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Harris Sanitation,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Florida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Harwood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Maryland</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Hedco Landfill Limited</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England</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High Mountain Fuels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Hillsboro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Oregon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Holyoke Sanitary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Massachusetts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IN Landfills,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International Environmental Management,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Georgia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Jahner Sanitation,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North Dakota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Jay County Landfill,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 and W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Michigan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Keene Road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Florida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Kelly Run Sanitation,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Pennsylvania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King George Landfill Properties,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Virginia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King George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Virginia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Kirby Canyon Holdings,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L&amp;K Acquisitions,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Missouri</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L&amp;K Group Holdings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Kansas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Lakeville Recycling, L.P.</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Land South Holdings,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Landfill Services of Charleston,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West Virginia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Laurel Highlands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Pennsylvania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LCS Services,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West Virginia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Liberty Landfill,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Liquid Waste Management,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Longleaf C&amp;D Disposal Facility,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Florida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Looney Bins,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Mahoning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Ohio</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Mass Gravel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Massachusetts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Mc Ginnes Industrial Maintenance Corporation</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McDaniel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North Dakota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McGill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Michigan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Meadowfill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Michigan Environs,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Michigan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Midwest One Land Corporation</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Modesto Garbage Co.,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Moor Refuse,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1420"/>
          </w:cols>
          <w:pgMar w:left="240" w:top="257" w:right="23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560" w:type="dxa"/>
            <w:vAlign w:val="bottom"/>
            <w:gridSpan w:val="2"/>
          </w:tcPr>
          <w:p>
            <w:pPr>
              <w:ind w:left="286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6500" w:type="dxa"/>
            <w:vAlign w:val="bottom"/>
          </w:tcPr>
          <w:p>
            <w:pPr>
              <w:spacing w:after="0"/>
              <w:rPr>
                <w:sz w:val="16"/>
                <w:szCs w:val="16"/>
                <w:color w:val="auto"/>
              </w:rPr>
            </w:pPr>
          </w:p>
        </w:tc>
        <w:tc>
          <w:tcPr>
            <w:tcW w:w="4560" w:type="dxa"/>
            <w:vAlign w:val="bottom"/>
            <w:gridSpan w:val="2"/>
          </w:tcPr>
          <w:p>
            <w:pPr>
              <w:ind w:left="286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6860" w:type="dxa"/>
            <w:vAlign w:val="bottom"/>
            <w:gridSpan w:val="2"/>
          </w:tcPr>
          <w:p>
            <w:pPr>
              <w:spacing w:after="0" w:line="189" w:lineRule="exact"/>
              <w:rPr>
                <w:sz w:val="20"/>
                <w:szCs w:val="20"/>
                <w:color w:val="auto"/>
              </w:rPr>
            </w:pPr>
            <w:r>
              <w:rPr>
                <w:rFonts w:ascii="Arial" w:cs="Arial" w:eastAsia="Arial" w:hAnsi="Arial"/>
                <w:sz w:val="18"/>
                <w:szCs w:val="18"/>
                <w:color w:val="auto"/>
              </w:rPr>
              <w:t>Mountain Indemnity Insurance Company</w:t>
            </w:r>
          </w:p>
        </w:tc>
        <w:tc>
          <w:tcPr>
            <w:tcW w:w="286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Vermont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Maryland</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Mountainview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Utah</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Nassau Landfill,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National Guaranty Insurance Company of Vermont</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Vermont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New England CR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New Milford Landfill,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New Orleans Landfill,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North Manatee Recycling and Disposal Facility,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Florida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Northwestern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Nu-Way Live Oak Reclamation,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 Grove Disposal Co.,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Oregon</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Oakleaf Global Holdings,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Oakleaf Waste Management,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Oakleaf Waste Management,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Connecticut</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Oakridge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South Carolina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Oakwood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South Carolina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OGH Acquisition Corporation</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Okeechobee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Florida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Ozark Ridge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Arkansas</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 &amp; R Environmental Industries,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North Carolina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Pacific Waste Management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Pappy,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Maryland</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Peltz H.C.,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Wisconsin</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Pen-Rob,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Arizona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People’s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Peterson Demolition,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Minnesota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Phoenix Resources,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Pennsylvania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Pine Grove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Pennsylvania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Pine Tree Acres,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Michigan</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Prime Westport,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Florida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Quail Hollow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Questquill Limited</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England</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 &amp; B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Georgia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RAA Colorado,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Colorado</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RAA Trucking,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Wisconsin</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RCI Hudson,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Massachusetts</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Recycle America Co.,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Recycle America Holdings,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Redwood Landfill,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Refuse Services,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Florida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Refuse,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Nevada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Reliable Landfill,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Remote Landfill Services,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Tennessee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Reno Disposal Co.</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Nevada</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Resco Holdings L.L.C.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Resource Control Composting, Inc.</w:t>
            </w:r>
          </w:p>
        </w:tc>
        <w:tc>
          <w:tcPr>
            <w:tcW w:w="4560" w:type="dxa"/>
            <w:vAlign w:val="bottom"/>
            <w:gridSpan w:val="2"/>
          </w:tcPr>
          <w:p>
            <w:pPr>
              <w:ind w:left="2860"/>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257" w:right="239" w:bottom="1440" w:gutter="0" w:footer="0" w:header="0"/>
        </w:sectPr>
      </w:pPr>
    </w:p>
    <w:bookmarkStart w:id="242" w:name="page243"/>
    <w:bookmarkEnd w:id="2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840" w:type="dxa"/>
            <w:vAlign w:val="bottom"/>
            <w:gridSpan w:val="2"/>
          </w:tcPr>
          <w:p>
            <w:pPr>
              <w:ind w:left="314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6220" w:type="dxa"/>
            <w:vAlign w:val="bottom"/>
          </w:tcPr>
          <w:p>
            <w:pPr>
              <w:spacing w:after="0"/>
              <w:rPr>
                <w:sz w:val="16"/>
                <w:szCs w:val="16"/>
                <w:color w:val="auto"/>
              </w:rPr>
            </w:pPr>
          </w:p>
        </w:tc>
        <w:tc>
          <w:tcPr>
            <w:tcW w:w="4840" w:type="dxa"/>
            <w:vAlign w:val="bottom"/>
            <w:gridSpan w:val="2"/>
          </w:tcPr>
          <w:p>
            <w:pPr>
              <w:ind w:left="314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6580" w:type="dxa"/>
            <w:vAlign w:val="bottom"/>
            <w:gridSpan w:val="2"/>
          </w:tcPr>
          <w:p>
            <w:pPr>
              <w:spacing w:after="0" w:line="189" w:lineRule="exact"/>
              <w:rPr>
                <w:sz w:val="20"/>
                <w:szCs w:val="20"/>
                <w:color w:val="auto"/>
              </w:rPr>
            </w:pPr>
            <w:r>
              <w:rPr>
                <w:rFonts w:ascii="Arial" w:cs="Arial" w:eastAsia="Arial" w:hAnsi="Arial"/>
                <w:sz w:val="18"/>
                <w:szCs w:val="18"/>
                <w:color w:val="auto"/>
              </w:rPr>
              <w:t>Resource Control, Inc.</w:t>
            </w:r>
          </w:p>
        </w:tc>
        <w:tc>
          <w:tcPr>
            <w:tcW w:w="314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Massachusetts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Richland County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South Carolina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Riverbend Landfill Co.</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Oregon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Roll Off Service,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Kansas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RTS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Rust Engineering &amp; Construction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Rust Engineering (Thailand) Ltd</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Thailand</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Rust International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 &amp; J Landfill Limited Partnership</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 &amp; S Grading,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West Virginia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S&amp;T Materials,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Florida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Sanifill de Mexico (US),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Sanifill de Mexico, S.A. de C.V.</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Mexico</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SC Holdings,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Pennsylvania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Serurbam Servicos Urbanos E Ambientais Ltda</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Brazil</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SF Land Acquisition,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Florida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Shade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Shawnee Rock Company</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Missouri</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Sierra Estrella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Arizona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Southern Alleghenies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Pennsylvania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Southern One Land Corporation</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Southern Waste Services,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Spruce Ridge,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Minnesota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Stony Hollow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Suburban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Swire Waste Management Limited</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Hong Kong</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Texarkana Landfill,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Austin #1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Dallas #1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Houston #1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Houston #2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Houston #3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 San Antonio #1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Texas Pack Rat Service Company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Texas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The Peltz Group,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Wisconsin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The Waste Management Charitable Foundation</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The Woodlands of Van Buren,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Thermal Remediation Solutions,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Oregon</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TN’T Sands,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South Carolina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Trail Ridge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Transamerican Waste Central Landfill,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Trash Hunters,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Mississippi</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TrashCo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Truck and Industrial Supply,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Kansas</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Twin Bridges Golf Club, L.P.</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Indiana</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TX Newco, L.L.C.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Delaware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United Waste Systems Leasing, Inc.</w:t>
            </w:r>
          </w:p>
        </w:tc>
        <w:tc>
          <w:tcPr>
            <w:tcW w:w="4840" w:type="dxa"/>
            <w:vAlign w:val="bottom"/>
            <w:gridSpan w:val="2"/>
          </w:tcPr>
          <w:p>
            <w:pPr>
              <w:ind w:left="3140"/>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420"/>
          </w:cols>
          <w:pgMar w:left="240" w:top="257" w:right="239" w:bottom="1440" w:gutter="0" w:footer="0" w:header="0"/>
        </w:sectPr>
      </w:pPr>
    </w:p>
    <w:bookmarkStart w:id="243" w:name="page244"/>
    <w:bookmarkEnd w:id="2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360" w:type="dxa"/>
            <w:vAlign w:val="bottom"/>
            <w:gridSpan w:val="2"/>
          </w:tcPr>
          <w:p>
            <w:pPr>
              <w:ind w:left="266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4360" w:type="dxa"/>
            <w:vAlign w:val="bottom"/>
            <w:gridSpan w:val="2"/>
          </w:tcPr>
          <w:p>
            <w:pPr>
              <w:ind w:left="266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USA</w:t>
            </w:r>
          </w:p>
        </w:tc>
        <w:tc>
          <w:tcPr>
            <w:tcW w:w="6700" w:type="dxa"/>
            <w:vAlign w:val="bottom"/>
          </w:tcPr>
          <w:p>
            <w:pPr>
              <w:ind w:left="60"/>
              <w:spacing w:after="0" w:line="189" w:lineRule="exact"/>
              <w:rPr>
                <w:sz w:val="20"/>
                <w:szCs w:val="20"/>
                <w:color w:val="auto"/>
              </w:rPr>
            </w:pPr>
            <w:r>
              <w:rPr>
                <w:rFonts w:ascii="Arial" w:cs="Arial" w:eastAsia="Arial" w:hAnsi="Arial"/>
                <w:sz w:val="18"/>
                <w:szCs w:val="18"/>
                <w:color w:val="auto"/>
              </w:rPr>
              <w:t>South Hills Landfill, Inc.</w:t>
            </w:r>
          </w:p>
        </w:tc>
        <w:tc>
          <w:tcPr>
            <w:tcW w:w="266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Pennsylvania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Valley Facility,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Geneva Landfill,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Landfill Operations and Transfer,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Texas</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of California,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of Texas Landfills,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of Virginia Landfills,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 Services of NYC,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 Waste-Management Resources,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New York</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USA-Crinc,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USB LIHTC Fund 2010-1,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UWS Barre,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Massachusetts</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Valley Garbage and Rubbish Company,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California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Vern’s Refuse Service,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North Dakota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Vickery Environmental,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Ohio</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Vista Landfill,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Florida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Voyageur Disposal Processing,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Minnesota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Warner Company</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Away Group,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Alabama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Arizona Landfills,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Buckeye,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China Holdings, Limited</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Hong Kong</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Collection and Recycling,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California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Colorado,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Colorado</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Maine,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Maine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Maryland,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Maryland</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Massachusetts</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Oregon,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Pennsylvania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Disposal Services of Virginia,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Holdings,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Inc. of Florida</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Florida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Indycoke,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International,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National Services,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National Transportation Services,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Alameda County,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California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Alaska,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Arizona,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California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Arkansas,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California,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California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Canada Corporation</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Nova Scotia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Carolinas,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North Carolina</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Colorado,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Colorado</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Connecticut,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Delaware, Inc.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Waste Management of Fairless, L.L.C.</w:t>
            </w:r>
          </w:p>
        </w:tc>
        <w:tc>
          <w:tcPr>
            <w:tcW w:w="4360" w:type="dxa"/>
            <w:vAlign w:val="bottom"/>
            <w:gridSpan w:val="2"/>
          </w:tcPr>
          <w:p>
            <w:pPr>
              <w:ind w:left="26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257" w:right="23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000" w:type="dxa"/>
            <w:vAlign w:val="bottom"/>
            <w:gridSpan w:val="2"/>
          </w:tcPr>
          <w:p>
            <w:pPr>
              <w:ind w:left="230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7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4000" w:type="dxa"/>
            <w:vAlign w:val="bottom"/>
            <w:gridSpan w:val="2"/>
          </w:tcPr>
          <w:p>
            <w:pPr>
              <w:ind w:left="230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Waste</w:t>
            </w:r>
          </w:p>
        </w:tc>
        <w:tc>
          <w:tcPr>
            <w:tcW w:w="7060" w:type="dxa"/>
            <w:vAlign w:val="bottom"/>
          </w:tcPr>
          <w:p>
            <w:pPr>
              <w:ind w:left="120"/>
              <w:spacing w:after="0" w:line="189" w:lineRule="exact"/>
              <w:rPr>
                <w:sz w:val="20"/>
                <w:szCs w:val="20"/>
                <w:color w:val="auto"/>
              </w:rPr>
            </w:pPr>
            <w:r>
              <w:rPr>
                <w:rFonts w:ascii="Arial" w:cs="Arial" w:eastAsia="Arial" w:hAnsi="Arial"/>
                <w:sz w:val="18"/>
                <w:szCs w:val="18"/>
                <w:color w:val="auto"/>
              </w:rPr>
              <w:t>Management of Five Oaks Recycling and Disposal Facility, Inc.</w:t>
            </w:r>
          </w:p>
        </w:tc>
        <w:tc>
          <w:tcPr>
            <w:tcW w:w="230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Georgia,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Georgia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Hawaii,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Idaho,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Idaho</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Illinois,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One,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Indiana Holdings Two,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Indiana, L.L.C.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Iowa,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Iowa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Kansas,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Kansas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Kentucky Holdings,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Kentucky, L.L.C.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Leon County,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Florida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Londonderry,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Louisiana Holdings One,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Louisiana, L.L.C.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Maine,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Maine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Maryland,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Maryland</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Massachusetts,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Massachusetts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Metro Atlanta,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Georgia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Michigan,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Michigan</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Minnesota,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Minnesota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Mississippi,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Mississippi</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Missouri,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Montana,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Nebraska,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Nevada,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Nevada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New Hampshire,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Connecticut</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New Jersey,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New Mexico,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New Mexico</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New York, L.L.C.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North Dakota,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Ohio,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Ohio</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Oklahoma,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Oklahoma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Oregon,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Oregon</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Pennsylvania Gas Recovery, L.L.C.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Pennsylvania,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Pennsylvania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Rhode Island,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South Carolina,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South Carolina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South Dakota,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South Dakota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Texas Holdings,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Texas,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Texas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Tunica Landfill,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Mississippi</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Utah,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Utah</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Virginia,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Virginia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Washington,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Waste Management of West Virginia, Inc.</w:t>
            </w:r>
          </w:p>
        </w:tc>
        <w:tc>
          <w:tcPr>
            <w:tcW w:w="4000" w:type="dxa"/>
            <w:vAlign w:val="bottom"/>
            <w:gridSpan w:val="2"/>
          </w:tcPr>
          <w:p>
            <w:pPr>
              <w:ind w:left="23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257" w:right="239" w:bottom="1440" w:gutter="0" w:footer="0" w:header="0"/>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980" w:type="dxa"/>
            <w:vAlign w:val="bottom"/>
            <w:gridSpan w:val="2"/>
          </w:tcPr>
          <w:p>
            <w:pPr>
              <w:ind w:left="228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7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3980" w:type="dxa"/>
            <w:vAlign w:val="bottom"/>
            <w:gridSpan w:val="2"/>
          </w:tcPr>
          <w:p>
            <w:pPr>
              <w:ind w:left="228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Waste</w:t>
            </w:r>
          </w:p>
        </w:tc>
        <w:tc>
          <w:tcPr>
            <w:tcW w:w="7080" w:type="dxa"/>
            <w:vAlign w:val="bottom"/>
          </w:tcPr>
          <w:p>
            <w:pPr>
              <w:ind w:left="120"/>
              <w:spacing w:after="0" w:line="189" w:lineRule="exact"/>
              <w:rPr>
                <w:sz w:val="20"/>
                <w:szCs w:val="20"/>
                <w:color w:val="auto"/>
              </w:rPr>
            </w:pPr>
            <w:r>
              <w:rPr>
                <w:rFonts w:ascii="Arial" w:cs="Arial" w:eastAsia="Arial" w:hAnsi="Arial"/>
                <w:sz w:val="18"/>
                <w:szCs w:val="18"/>
                <w:color w:val="auto"/>
              </w:rPr>
              <w:t>Management of Wisconsin, Inc.</w:t>
            </w:r>
          </w:p>
        </w:tc>
        <w:tc>
          <w:tcPr>
            <w:tcW w:w="228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Wisconsin</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of Wyoming,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Partners,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Recycling and Disposal Services of California,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Recycling of New Jersey,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Service Center,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Waste Management, Inc. of Tennessee</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Tennessee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Western One Land Corporation</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Western Waste Industries</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California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Western Waste of Texas,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Wheelabrator Technologies International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White Lake Landfill,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Michigan</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Willow Oak Landfill,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Georgia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Avon,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Bagco,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Billerica,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Boston CORE,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CCP Solutions,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Conversion Fund,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Corporate Services,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Curbside,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DC 1,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Emergency Employee Support Fund,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Energy Resources,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Energy Solutions,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Green Squad,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GreenOps,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GTL JV Holdings,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GTL,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GTL,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Healthcare Solutions,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Illinois Renewable Energy,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Intellectual Property Holdings,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International Holdings,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KS Energy Resources,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LampTracker,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Landfills of Ohio,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Landfills of Tennessee,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Leasing of Arizona,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Leasing of Texas, L.P.</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Leasing Services of Texas,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LNG,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Logistics India Private Limited</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India</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Logistics,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WM Mercury Waste, Inc.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WM Middle Tennessee Environmental Center, L.L.C.</w:t>
            </w:r>
          </w:p>
        </w:tc>
        <w:tc>
          <w:tcPr>
            <w:tcW w:w="3980" w:type="dxa"/>
            <w:vAlign w:val="bottom"/>
            <w:gridSpan w:val="2"/>
          </w:tcPr>
          <w:p>
            <w:pPr>
              <w:ind w:left="22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257" w:right="23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740" w:type="dxa"/>
            <w:vAlign w:val="bottom"/>
            <w:gridSpan w:val="2"/>
          </w:tcPr>
          <w:p>
            <w:pPr>
              <w:ind w:left="3040"/>
              <w:spacing w:after="0"/>
              <w:rPr>
                <w:sz w:val="20"/>
                <w:szCs w:val="20"/>
                <w:color w:val="auto"/>
              </w:rPr>
            </w:pPr>
            <w:r>
              <w:rPr>
                <w:rFonts w:ascii="Arial" w:cs="Arial" w:eastAsia="Arial" w:hAnsi="Arial"/>
                <w:sz w:val="14"/>
                <w:szCs w:val="14"/>
                <w:b w:val="1"/>
                <w:bCs w:val="1"/>
                <w:i w:val="1"/>
                <w:iCs w:val="1"/>
                <w:color w:val="auto"/>
                <w:w w:val="97"/>
              </w:rPr>
              <w:t>Jurisdiction of Formation/</w:t>
            </w:r>
          </w:p>
        </w:tc>
      </w:tr>
      <w:tr>
        <w:trPr>
          <w:trHeight w:val="187"/>
        </w:trPr>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Name</w:t>
            </w:r>
          </w:p>
        </w:tc>
        <w:tc>
          <w:tcPr>
            <w:tcW w:w="4740" w:type="dxa"/>
            <w:vAlign w:val="bottom"/>
            <w:gridSpan w:val="2"/>
          </w:tcPr>
          <w:p>
            <w:pPr>
              <w:ind w:left="3040"/>
              <w:spacing w:after="0"/>
              <w:rPr>
                <w:sz w:val="20"/>
                <w:szCs w:val="20"/>
                <w:color w:val="auto"/>
              </w:rPr>
            </w:pPr>
            <w:r>
              <w:rPr>
                <w:rFonts w:ascii="Arial" w:cs="Arial" w:eastAsia="Arial" w:hAnsi="Arial"/>
                <w:sz w:val="14"/>
                <w:szCs w:val="14"/>
                <w:b w:val="1"/>
                <w:bCs w:val="1"/>
                <w:i w:val="1"/>
                <w:iCs w:val="1"/>
                <w:color w:val="auto"/>
              </w:rPr>
              <w:t>Incorporation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WM</w:t>
            </w:r>
          </w:p>
        </w:tc>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Mobile Bay Environmental Center, Inc.</w:t>
            </w:r>
          </w:p>
        </w:tc>
        <w:tc>
          <w:tcPr>
            <w:tcW w:w="304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ND Energy Resources II,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ND Energy Resources,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Nevada Renewable Energy,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North Broward,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Organic Growth,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 Holdings,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California,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Illinois,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Kentucky,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Maryland,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Massachusetts,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Michigan,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Nevada,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Ohio,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of Rhode Island,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Pack-Rat,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Partnership Holdings,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Phoenix Energy Resources,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PRG,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Colorado</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Quebec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Federally Chartered</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RA Canada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Ontario</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Recycle America,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Recycle Europe,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Recycling Latin America,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Refined Coal,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Renewable Energy,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Resource Recovery &amp; Recycling Center,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Resources,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Pennsylvania</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Safety Services,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Security Services,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Services SA</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Argentina</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Storage II,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Storage,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Texas Pack Rat,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Trash Monitor Plus,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TX Energy Resources II,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TX Energy Resources,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WY Energy Resources II,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WY Energy Resources III,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 WY Energy Resources,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WMI Mexico Holdings,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WMNA Container Recycling,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WMRE of Kentucky,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WMRE of Michigan,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WMRE of Ohio,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WMRE of Ohio-American, LLC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Texas</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WMSALSA,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Texas</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WTI Air Pollution Control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WTI Rust Holdings Inc.</w:t>
            </w:r>
          </w:p>
        </w:tc>
        <w:tc>
          <w:tcPr>
            <w:tcW w:w="4740" w:type="dxa"/>
            <w:vAlign w:val="bottom"/>
            <w:gridSpan w:val="2"/>
          </w:tcPr>
          <w:p>
            <w:pPr>
              <w:ind w:left="30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257"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460" w:right="240" w:firstLine="4"/>
        <w:spacing w:after="0" w:line="277" w:lineRule="auto"/>
        <w:tabs>
          <w:tab w:leader="none" w:pos="7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333-204319) of Waste Management, Inc. pertaining to the issuance of shares of common stock pursuant to the Waste Management, Inc. Employee Stock Purchase Plan,</w:t>
      </w:r>
    </w:p>
    <w:p>
      <w:pPr>
        <w:spacing w:after="0" w:line="62" w:lineRule="exact"/>
        <w:rPr>
          <w:rFonts w:ascii="Arial" w:cs="Arial" w:eastAsia="Arial" w:hAnsi="Arial"/>
          <w:sz w:val="18"/>
          <w:szCs w:val="18"/>
          <w:color w:val="auto"/>
        </w:rPr>
      </w:pPr>
    </w:p>
    <w:p>
      <w:pPr>
        <w:ind w:left="460" w:right="240" w:firstLine="4"/>
        <w:spacing w:after="0" w:line="277" w:lineRule="auto"/>
        <w:tabs>
          <w:tab w:leader="none" w:pos="7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62" w:lineRule="exact"/>
        <w:rPr>
          <w:rFonts w:ascii="Arial" w:cs="Arial" w:eastAsia="Arial" w:hAnsi="Arial"/>
          <w:sz w:val="18"/>
          <w:szCs w:val="18"/>
          <w:color w:val="auto"/>
        </w:rPr>
      </w:pPr>
    </w:p>
    <w:p>
      <w:pPr>
        <w:ind w:left="460" w:right="440" w:firstLine="4"/>
        <w:spacing w:after="0" w:line="277" w:lineRule="auto"/>
        <w:tabs>
          <w:tab w:leader="none" w:pos="7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333-184156 and Post-Effective Amendment No. 1 thereto) of Waste Management, Inc. pertaining to the issuance of shares of common stock pursuant to the Waste Management Retirement Savings Plan,</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S-3 Automatic Shelf Registration No. 333-207628) of Waste Management, Inc.,</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 and</w:t>
      </w:r>
    </w:p>
    <w:p>
      <w:pPr>
        <w:spacing w:after="0" w:line="117" w:lineRule="exact"/>
        <w:rPr>
          <w:rFonts w:ascii="Arial" w:cs="Arial" w:eastAsia="Arial" w:hAnsi="Arial"/>
          <w:sz w:val="18"/>
          <w:szCs w:val="18"/>
          <w:color w:val="auto"/>
        </w:rPr>
      </w:pPr>
    </w:p>
    <w:p>
      <w:pPr>
        <w:ind w:left="460" w:right="240" w:firstLine="4"/>
        <w:spacing w:after="0" w:line="277" w:lineRule="auto"/>
        <w:tabs>
          <w:tab w:leader="none" w:pos="7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Registration Statement (Form S-8 No. 333-159476) of Waste Management, Inc. pertaining to the issuance of shares of common stock pursuant to the 2009 Stock Incentive Plan,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our reports dated February 16, 2017,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2016.</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121"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  JAMES C. FISH, JR.</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ectPr>
          <w:pgSz w:w="11900" w:h="16838" w:orient="portrait"/>
          <w:cols w:equalWidth="0" w:num="1">
            <w:col w:w="11420"/>
          </w:cols>
          <w:pgMar w:left="240" w:top="121"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DEVINA A. RANKIN</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i w:val="1"/>
                <w:iCs w:val="1"/>
                <w:color w:val="auto"/>
                <w:w w:val="89"/>
              </w:rPr>
              <w:t>Vice President, Treasurer and</w:t>
            </w:r>
          </w:p>
        </w:tc>
      </w:tr>
      <w:tr>
        <w:trPr>
          <w:trHeight w:val="230"/>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4"/>
              </w:rPr>
              <w:t>Acting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2017</w:t>
      </w:r>
    </w:p>
    <w:p>
      <w:pPr>
        <w:sectPr>
          <w:pgSz w:w="11900" w:h="16838" w:orient="portrait"/>
          <w:cols w:equalWidth="0" w:num="1">
            <w:col w:w="11420"/>
          </w:cols>
          <w:pgMar w:left="240" w:top="121"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2016 as filed with the Securities and Exchange Commission on the date hereof (the “Report”), I, James C. Fish, Jr.,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  JAMES C. FISH, JR.</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121"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connection with the Annual Report of Waste Management, Inc. (the “Company”) on Form 10-K for the period ended December 31, 2016 as filed with the Securities and Exchange Commission on the date hereof (the “Report”), I, Devina A. Rankin, Vice President, Treasurer and Acting Chief Financial Officer of the Company, certify, pursuant to 18 U.S.C. § 1350, as adopted pursuant to § 906 of the Sarbanes-Oxley Act of 2002, that:</w:t>
      </w:r>
    </w:p>
    <w:p>
      <w:pPr>
        <w:spacing w:after="0" w:line="57"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DEVINA A. RANKIN</w:t>
            </w:r>
          </w:p>
        </w:tc>
      </w:tr>
      <w:tr>
        <w:trPr>
          <w:trHeight w:val="195"/>
        </w:trPr>
        <w:tc>
          <w:tcPr>
            <w:tcW w:w="280" w:type="dxa"/>
            <w:vAlign w:val="bottom"/>
          </w:tcPr>
          <w:p>
            <w:pPr>
              <w:spacing w:after="0"/>
              <w:rPr>
                <w:sz w:val="16"/>
                <w:szCs w:val="16"/>
                <w:color w:val="auto"/>
              </w:rPr>
            </w:pPr>
          </w:p>
        </w:tc>
        <w:tc>
          <w:tcPr>
            <w:tcW w:w="42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Arial" w:cs="Arial" w:eastAsia="Arial" w:hAnsi="Arial"/>
                <w:sz w:val="18"/>
                <w:szCs w:val="18"/>
                <w:i w:val="1"/>
                <w:iCs w:val="1"/>
                <w:color w:val="auto"/>
                <w:w w:val="89"/>
              </w:rPr>
              <w:t>Vice President, Treasurer and</w:t>
            </w:r>
          </w:p>
        </w:tc>
      </w:tr>
      <w:tr>
        <w:trPr>
          <w:trHeight w:val="230"/>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i w:val="1"/>
                <w:iCs w:val="1"/>
                <w:color w:val="auto"/>
                <w:w w:val="94"/>
              </w:rPr>
              <w:t>Acting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2017</w:t>
      </w:r>
    </w:p>
    <w:p>
      <w:pPr>
        <w:sectPr>
          <w:pgSz w:w="11900" w:h="16838" w:orient="portrait"/>
          <w:cols w:equalWidth="0" w:num="1">
            <w:col w:w="11420"/>
          </w:cols>
          <w:pgMar w:left="240" w:top="121"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During the year ended December 31, 2016,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In addition, during the year ended December 31, 2016,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1)"/>
      <w:numFmt w:val="lowerLetter"/>
      <w:start w:val="1"/>
    </w:lvl>
  </w:abstractNum>
  <w:abstractNum w:abstractNumId="15">
    <w:nsid w:val="59ADEA3D"/>
    <w:multiLevelType w:val="hybridMultilevel"/>
    <w:lvl w:ilvl="0">
      <w:lvlJc w:val="left"/>
      <w:lvlText w:val="(%1)"/>
      <w:numFmt w:val="lowerLetter"/>
      <w:start w:val="1"/>
    </w:lvl>
  </w:abstractNum>
  <w:abstractNum w:abstractNumId="16">
    <w:nsid w:val="288F1A34"/>
    <w:multiLevelType w:val="hybridMultilevel"/>
    <w:lvl w:ilvl="0">
      <w:lvlJc w:val="left"/>
      <w:lvlText w:val="(%1)"/>
      <w:numFmt w:val="lowerLetter"/>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1)"/>
      <w:numFmt w:val="lowerRoman"/>
      <w:start w:val="2"/>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1)"/>
      <w:numFmt w:val="lowerLetter"/>
      <w:start w:val="1"/>
    </w:lvl>
  </w:abstractNum>
  <w:abstractNum w:abstractNumId="25">
    <w:nsid w:val="23D86AAC"/>
    <w:multiLevelType w:val="hybridMultilevel"/>
    <w:lvl w:ilvl="0">
      <w:lvlJc w:val="left"/>
      <w:lvlText w:val="(%1)"/>
      <w:numFmt w:val="lowerRoman"/>
      <w:start w:val="1"/>
    </w:lvl>
  </w:abstractNum>
  <w:abstractNum w:abstractNumId="26">
    <w:nsid w:val="45E6D486"/>
    <w:multiLevelType w:val="hybridMultilevel"/>
    <w:lvl w:ilvl="0">
      <w:lvlJc w:val="left"/>
      <w:lvlText w:val="(%1)"/>
      <w:numFmt w:val="lowerRoman"/>
      <w:start w:val="4"/>
    </w:lvl>
  </w:abstractNum>
  <w:abstractNum w:abstractNumId="27">
    <w:nsid w:val="5C10FE21"/>
    <w:multiLevelType w:val="hybridMultilevel"/>
    <w:lvl w:ilvl="0">
      <w:lvlJc w:val="left"/>
      <w:lvlText w:val="(%1)"/>
      <w:numFmt w:val="lowerRoman"/>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1)"/>
      <w:numFmt w:val="lowerRoman"/>
      <w:start w:val="3"/>
    </w:lvl>
  </w:abstractNum>
  <w:abstractNum w:abstractNumId="30">
    <w:nsid w:val="4BD8591A"/>
    <w:multiLevelType w:val="hybridMultilevel"/>
    <w:lvl w:ilvl="0">
      <w:lvlJc w:val="left"/>
      <w:lvlText w:val="(%1)"/>
      <w:numFmt w:val="lowerRoman"/>
      <w:start w:val="2"/>
    </w:lvl>
  </w:abstractNum>
  <w:abstractNum w:abstractNumId="31">
    <w:nsid w:val="78DF6A55"/>
    <w:multiLevelType w:val="hybridMultilevel"/>
    <w:lvl w:ilvl="0">
      <w:lvlJc w:val="left"/>
      <w:lvlText w:val="(%1)"/>
      <w:numFmt w:val="lowerRoman"/>
      <w:start w:val="2"/>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
      <w:numFmt w:val="bullet"/>
      <w:start w:val="1"/>
    </w:lvl>
  </w:abstractNum>
  <w:abstractNum w:abstractNumId="43">
    <w:nsid w:val="3DB012B3"/>
    <w:multiLevelType w:val="hybridMultilevel"/>
    <w:lvl w:ilvl="0">
      <w:lvlJc w:val="left"/>
      <w:lvlText w:val="(%1)"/>
      <w:numFmt w:val="lowerLetter"/>
      <w:start w:val="1"/>
    </w:lvl>
  </w:abstractNum>
  <w:abstractNum w:abstractNumId="44">
    <w:nsid w:val="2708C9AF"/>
    <w:multiLevelType w:val="hybridMultilevel"/>
    <w:lvl w:ilvl="0">
      <w:lvlJc w:val="left"/>
      <w:lvlText w:val="(%1)"/>
      <w:numFmt w:val="lowerLetter"/>
      <w:start w:val="1"/>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Letter"/>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1)"/>
      <w:numFmt w:val="lowerLetter"/>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
      <w:numFmt w:val="bullet"/>
      <w:start w:val="1"/>
    </w:lvl>
  </w:abstractNum>
  <w:abstractNum w:abstractNumId="58">
    <w:nsid w:val="2A082C70"/>
    <w:multiLevelType w:val="hybridMultilevel"/>
    <w:lvl w:ilvl="0">
      <w:lvlJc w:val="left"/>
      <w:lvlText w:val="•"/>
      <w:numFmt w:val="bullet"/>
      <w:start w:val="1"/>
    </w:lvl>
  </w:abstractNum>
  <w:abstractNum w:abstractNumId="59">
    <w:nsid w:val="5EC6AFD4"/>
    <w:multiLevelType w:val="hybridMultilevel"/>
    <w:lvl w:ilvl="0">
      <w:lvlJc w:val="left"/>
      <w:lvlText w:val="(%1)"/>
      <w:numFmt w:val="lowerLetter"/>
      <w:start w:val="1"/>
    </w:lvl>
  </w:abstractNum>
  <w:abstractNum w:abstractNumId="60">
    <w:nsid w:val="19E21BB2"/>
    <w:multiLevelType w:val="hybridMultilevel"/>
    <w:lvl w:ilvl="0">
      <w:lvlJc w:val="left"/>
      <w:lvlText w:val="%1."/>
      <w:numFmt w:val="lowerRoman"/>
      <w:start w:val="1"/>
    </w:lvl>
  </w:abstractNum>
  <w:abstractNum w:abstractNumId="61">
    <w:nsid w:val="75E0858A"/>
    <w:multiLevelType w:val="hybridMultilevel"/>
    <w:lvl w:ilvl="0">
      <w:lvlJc w:val="left"/>
      <w:lvlText w:val="%1."/>
      <w:numFmt w:val="decimal"/>
      <w:start w:val="2"/>
    </w:lvl>
  </w:abstractNum>
  <w:abstractNum w:abstractNumId="62">
    <w:nsid w:val="57A61A29"/>
    <w:multiLevelType w:val="hybridMultilevel"/>
    <w:lvl w:ilvl="0">
      <w:lvlJc w:val="left"/>
      <w:lvlText w:val="%1."/>
      <w:numFmt w:val="decimal"/>
      <w:start w:val="3"/>
    </w:lvl>
  </w:abstractNum>
  <w:abstractNum w:abstractNumId="63">
    <w:nsid w:val="5399C654"/>
    <w:multiLevelType w:val="hybridMultilevel"/>
    <w:lvl w:ilvl="0">
      <w:lvlJc w:val="left"/>
      <w:lvlText w:val="(%1)"/>
      <w:numFmt w:val="lowerRoman"/>
      <w:start w:val="1"/>
    </w:lvl>
  </w:abstractNum>
  <w:abstractNum w:abstractNumId="64">
    <w:nsid w:val="20EE1348"/>
    <w:multiLevelType w:val="hybridMultilevel"/>
    <w:lvl w:ilvl="0">
      <w:lvlJc w:val="left"/>
      <w:lvlText w:val="•"/>
      <w:numFmt w:val="bullet"/>
      <w:start w:val="1"/>
    </w:lvl>
  </w:abstractNum>
  <w:abstractNum w:abstractNumId="65">
    <w:nsid w:val="4427069A"/>
    <w:multiLevelType w:val="hybridMultilevel"/>
    <w:lvl w:ilvl="0">
      <w:lvlJc w:val="left"/>
      <w:lvlText w:val="•"/>
      <w:numFmt w:val="bullet"/>
      <w:start w:val="1"/>
    </w:lvl>
    <w:lvl w:ilvl="1">
      <w:lvlJc w:val="left"/>
      <w:lvlText w:val="•"/>
      <w:numFmt w:val="bullet"/>
      <w:start w:val="1"/>
    </w:lvl>
  </w:abstractNum>
  <w:abstractNum w:abstractNumId="66">
    <w:nsid w:val="B37E80A"/>
    <w:multiLevelType w:val="hybridMultilevel"/>
    <w:lvl w:ilvl="0">
      <w:lvlJc w:val="left"/>
      <w:lvlText w:val="•"/>
      <w:numFmt w:val="bullet"/>
      <w:start w:val="1"/>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1)"/>
      <w:numFmt w:val="lowerRoman"/>
      <w:start w:val="3"/>
    </w:lvl>
  </w:abstractNum>
  <w:abstractNum w:abstractNumId="69">
    <w:nsid w:val="57D2F10E"/>
    <w:multiLevelType w:val="hybridMultilevel"/>
    <w:lvl w:ilvl="0">
      <w:lvlJc w:val="left"/>
      <w:lvlText w:val="•"/>
      <w:numFmt w:val="bullet"/>
      <w:start w:val="1"/>
    </w:lvl>
  </w:abstractNum>
  <w:abstractNum w:abstractNumId="70">
    <w:nsid w:val="BFFAE18"/>
    <w:multiLevelType w:val="hybridMultilevel"/>
    <w:lvl w:ilvl="0">
      <w:lvlJc w:val="left"/>
      <w:lvlText w:val="•"/>
      <w:numFmt w:val="bullet"/>
      <w:start w:val="1"/>
    </w:lvl>
  </w:abstractNum>
  <w:abstractNum w:abstractNumId="71">
    <w:nsid w:val="E3E47A8"/>
    <w:multiLevelType w:val="hybridMultilevel"/>
    <w:lvl w:ilvl="0">
      <w:lvlJc w:val="left"/>
      <w:lvlText w:val="(%1)"/>
      <w:numFmt w:val="lowerLetter"/>
      <w:start w:val="1"/>
    </w:lvl>
  </w:abstractNum>
  <w:abstractNum w:abstractNumId="72">
    <w:nsid w:val="2E48F044"/>
    <w:multiLevelType w:val="hybridMultilevel"/>
    <w:lvl w:ilvl="0">
      <w:lvlJc w:val="left"/>
      <w:lvlText w:val="(%1)"/>
      <w:numFmt w:val="lowerLetter"/>
      <w:start w:val="4"/>
    </w:lvl>
  </w:abstractNum>
  <w:abstractNum w:abstractNumId="73">
    <w:nsid w:val="49D0FEAC"/>
    <w:multiLevelType w:val="hybridMultilevel"/>
    <w:lvl w:ilvl="0">
      <w:lvlJc w:val="left"/>
      <w:lvlText w:val="(%1)"/>
      <w:numFmt w:val="lowerLetter"/>
      <w:start w:val="1"/>
    </w:lvl>
  </w:abstractNum>
  <w:abstractNum w:abstractNumId="74">
    <w:nsid w:val="4BEE5A5B"/>
    <w:multiLevelType w:val="hybridMultilevel"/>
    <w:lvl w:ilvl="0">
      <w:lvlJc w:val="left"/>
      <w:lvlText w:val="(%1)"/>
      <w:numFmt w:val="lowerLetter"/>
      <w:start w:val="4"/>
    </w:lvl>
  </w:abstractNum>
  <w:abstractNum w:abstractNumId="75">
    <w:nsid w:val="5551B9F3"/>
    <w:multiLevelType w:val="hybridMultilevel"/>
    <w:lvl w:ilvl="0">
      <w:lvlJc w:val="left"/>
      <w:lvlText w:val="(%1)"/>
      <w:numFmt w:val="lowerLetter"/>
      <w:start w:val="5"/>
    </w:lvl>
  </w:abstractNum>
  <w:abstractNum w:abstractNumId="76">
    <w:nsid w:val="24F6AB8E"/>
    <w:multiLevelType w:val="hybridMultilevel"/>
    <w:lvl w:ilvl="0">
      <w:lvlJc w:val="left"/>
      <w:lvlText w:val="(%1)"/>
      <w:numFmt w:val="lowerLetter"/>
      <w:start w:val="1"/>
    </w:lvl>
  </w:abstractNum>
  <w:abstractNum w:abstractNumId="77">
    <w:nsid w:val="634C574C"/>
    <w:multiLevelType w:val="hybridMultilevel"/>
    <w:lvl w:ilvl="0">
      <w:lvlJc w:val="left"/>
      <w:lvlText w:val="•"/>
      <w:numFmt w:val="bullet"/>
      <w:start w:val="1"/>
    </w:lvl>
  </w:abstractNum>
  <w:abstractNum w:abstractNumId="78">
    <w:nsid w:val="24E99DD7"/>
    <w:multiLevelType w:val="hybridMultilevel"/>
    <w:lvl w:ilvl="0">
      <w:lvlJc w:val="left"/>
      <w:lvlText w:val="•"/>
      <w:numFmt w:val="bullet"/>
      <w:start w:val="1"/>
    </w:lvl>
  </w:abstractNum>
  <w:abstractNum w:abstractNumId="79">
    <w:nsid w:val="2A31B62D"/>
    <w:multiLevelType w:val="hybridMultilevel"/>
    <w:lvl w:ilvl="0">
      <w:lvlJc w:val="left"/>
      <w:lvlText w:val="•"/>
      <w:numFmt w:val="bullet"/>
      <w:start w:val="1"/>
    </w:lvl>
  </w:abstractNum>
  <w:abstractNum w:abstractNumId="80">
    <w:nsid w:val="1849C29B"/>
    <w:multiLevelType w:val="hybridMultilevel"/>
    <w:lvl w:ilvl="0">
      <w:lvlJc w:val="left"/>
      <w:lvlText w:val="•"/>
      <w:numFmt w:val="bullet"/>
      <w:start w:val="1"/>
    </w:lvl>
  </w:abstractNum>
  <w:abstractNum w:abstractNumId="81">
    <w:nsid w:val="7DFF9D09"/>
    <w:multiLevelType w:val="hybridMultilevel"/>
    <w:lvl w:ilvl="0">
      <w:lvlJc w:val="left"/>
      <w:lvlText w:val="•"/>
      <w:numFmt w:val="bullet"/>
      <w:start w:val="1"/>
    </w:lvl>
  </w:abstractNum>
  <w:abstractNum w:abstractNumId="82">
    <w:nsid w:val="754342"/>
    <w:multiLevelType w:val="hybridMultilevel"/>
    <w:lvl w:ilvl="0">
      <w:lvlJc w:val="left"/>
      <w:lvlText w:val="(%1)"/>
      <w:numFmt w:val="lowerLetter"/>
      <w:start w:val="1"/>
    </w:lvl>
  </w:abstractNum>
  <w:abstractNum w:abstractNumId="83">
    <w:nsid w:val="69E7F3E5"/>
    <w:multiLevelType w:val="hybridMultilevel"/>
    <w:lvl w:ilvl="0">
      <w:lvlJc w:val="left"/>
      <w:lvlText w:val="(%1)"/>
      <w:numFmt w:val="lowerLetter"/>
      <w:start w:val="1"/>
    </w:lvl>
  </w:abstractNum>
  <w:abstractNum w:abstractNumId="84">
    <w:nsid w:val="2A6DE806"/>
    <w:multiLevelType w:val="hybridMultilevel"/>
    <w:lvl w:ilvl="0">
      <w:lvlJc w:val="left"/>
      <w:lvlText w:val="(%1)"/>
      <w:numFmt w:val="lowerRoman"/>
      <w:start w:val="2"/>
    </w:lvl>
  </w:abstractNum>
  <w:abstractNum w:abstractNumId="85">
    <w:nsid w:val="1816F8C4"/>
    <w:multiLevelType w:val="hybridMultilevel"/>
    <w:lvl w:ilvl="0">
      <w:lvlJc w:val="left"/>
      <w:lvlText w:val="(%1)"/>
      <w:numFmt w:val="lowerLetter"/>
      <w:start w:val="1"/>
    </w:lvl>
  </w:abstractNum>
  <w:abstractNum w:abstractNumId="86">
    <w:nsid w:val="37DF2233"/>
    <w:multiLevelType w:val="hybridMultilevel"/>
    <w:lvl w:ilvl="0">
      <w:lvlJc w:val="left"/>
      <w:lvlText w:val="(%1)"/>
      <w:numFmt w:val="lowerLetter"/>
      <w:start w:val="3"/>
    </w:lvl>
  </w:abstractNum>
  <w:abstractNum w:abstractNumId="87">
    <w:nsid w:val="7AB49DAF"/>
    <w:multiLevelType w:val="hybridMultilevel"/>
    <w:lvl w:ilvl="0">
      <w:lvlJc w:val="left"/>
      <w:lvlText w:val="(%1)"/>
      <w:numFmt w:val="lowerLetter"/>
      <w:start w:val="8"/>
    </w:lvl>
  </w:abstractNum>
  <w:abstractNum w:abstractNumId="88">
    <w:nsid w:val="759F82CD"/>
    <w:multiLevelType w:val="hybridMultilevel"/>
    <w:lvl w:ilvl="0">
      <w:lvlJc w:val="left"/>
      <w:lvlText w:val="(%1)"/>
      <w:numFmt w:val="lowerLetter"/>
      <w:start w:val="1"/>
    </w:lvl>
  </w:abstractNum>
  <w:abstractNum w:abstractNumId="89">
    <w:nsid w:val="61E74EA3"/>
    <w:multiLevelType w:val="hybridMultilevel"/>
    <w:lvl w:ilvl="0">
      <w:lvlJc w:val="left"/>
      <w:lvlText w:val="(%1)"/>
      <w:numFmt w:val="lowerLetter"/>
      <w:start w:val="1"/>
    </w:lvl>
  </w:abstractNum>
  <w:abstractNum w:abstractNumId="90">
    <w:nsid w:val="597B4D84"/>
    <w:multiLevelType w:val="hybridMultilevel"/>
    <w:lvl w:ilvl="0">
      <w:lvlJc w:val="left"/>
      <w:lvlText w:val="(%1)"/>
      <w:numFmt w:val="lowerLetter"/>
      <w:start w:val="1"/>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
      <w:numFmt w:val="bullet"/>
      <w:start w:val="1"/>
    </w:lvl>
  </w:abstractNum>
  <w:abstractNum w:abstractNumId="93">
    <w:nsid w:val="312167AD"/>
    <w:multiLevelType w:val="hybridMultilevel"/>
    <w:lvl w:ilvl="0">
      <w:lvlJc w:val="left"/>
      <w:lvlText w:val="•"/>
      <w:numFmt w:val="bullet"/>
      <w:start w:val="1"/>
    </w:lvl>
  </w:abstractNum>
  <w:abstractNum w:abstractNumId="94">
    <w:nsid w:val="631B64D4"/>
    <w:multiLevelType w:val="hybridMultilevel"/>
    <w:lvl w:ilvl="0">
      <w:lvlJc w:val="left"/>
      <w:lvlText w:val="•"/>
      <w:numFmt w:val="bullet"/>
      <w:start w:val="1"/>
    </w:lvl>
  </w:abstractNum>
  <w:abstractNum w:abstractNumId="95">
    <w:nsid w:val="78B5E776"/>
    <w:multiLevelType w:val="hybridMultilevel"/>
    <w:lvl w:ilvl="0">
      <w:lvlJc w:val="left"/>
      <w:lvlText w:val="•"/>
      <w:numFmt w:val="bullet"/>
      <w:start w:val="1"/>
    </w:lvl>
  </w:abstractNum>
  <w:abstractNum w:abstractNumId="96">
    <w:nsid w:val="75486E47"/>
    <w:multiLevelType w:val="hybridMultilevel"/>
    <w:lvl w:ilvl="0">
      <w:lvlJc w:val="left"/>
      <w:lvlText w:val="(%1)"/>
      <w:numFmt w:val="lowerLetter"/>
      <w:start w:val="1"/>
    </w:lvl>
  </w:abstractNum>
  <w:abstractNum w:abstractNumId="97">
    <w:nsid w:val="6E534CDE"/>
    <w:multiLevelType w:val="hybridMultilevel"/>
    <w:lvl w:ilvl="0">
      <w:lvlJc w:val="left"/>
      <w:lvlText w:val="(%1)"/>
      <w:numFmt w:val="lowerLetter"/>
      <w:start w:val="2"/>
    </w:lvl>
  </w:abstractNum>
  <w:abstractNum w:abstractNumId="98">
    <w:nsid w:val="1A0DDE32"/>
    <w:multiLevelType w:val="hybridMultilevel"/>
    <w:lvl w:ilvl="0">
      <w:lvlJc w:val="left"/>
      <w:lvlText w:val="(%1)"/>
      <w:numFmt w:val="lowerLetter"/>
      <w:start w:val="3"/>
    </w:lvl>
  </w:abstractNum>
  <w:abstractNum w:abstractNumId="99">
    <w:nsid w:val="65968C1C"/>
    <w:multiLevelType w:val="hybridMultilevel"/>
    <w:lvl w:ilvl="0">
      <w:lvlJc w:val="left"/>
      <w:lvlText w:val="(%1)"/>
      <w:numFmt w:val="lowerLetter"/>
      <w:start w:val="4"/>
    </w:lvl>
  </w:abstractNum>
  <w:abstractNum w:abstractNumId="100">
    <w:nsid w:val="46263DEC"/>
    <w:multiLevelType w:val="hybridMultilevel"/>
    <w:lvl w:ilvl="0">
      <w:lvlJc w:val="left"/>
      <w:lvlText w:val="(%1)"/>
      <w:numFmt w:val="lowerLetter"/>
      <w:start w:val="5"/>
    </w:lvl>
  </w:abstractNum>
  <w:abstractNum w:abstractNumId="101">
    <w:nsid w:val="260D8C4A"/>
    <w:multiLevelType w:val="hybridMultilevel"/>
    <w:lvl w:ilvl="0">
      <w:lvlJc w:val="left"/>
      <w:lvlText w:val="(%1)"/>
      <w:numFmt w:val="lowerLetter"/>
      <w:start w:val="1"/>
    </w:lvl>
  </w:abstractNum>
  <w:abstractNum w:abstractNumId="102">
    <w:nsid w:val="73D4D3C4"/>
    <w:multiLevelType w:val="hybridMultilevel"/>
    <w:lvl w:ilvl="0">
      <w:lvlJc w:val="left"/>
      <w:lvlText w:val="(%1)"/>
      <w:numFmt w:val="lowerLetter"/>
      <w:start w:val="2"/>
    </w:lvl>
  </w:abstractNum>
  <w:abstractNum w:abstractNumId="103">
    <w:nsid w:val="746F2E30"/>
    <w:multiLevelType w:val="hybridMultilevel"/>
    <w:lvl w:ilvl="0">
      <w:lvlJc w:val="left"/>
      <w:lvlText w:val="(%1)"/>
      <w:numFmt w:val="lowerLetter"/>
      <w:start w:val="1"/>
    </w:lvl>
  </w:abstractNum>
  <w:abstractNum w:abstractNumId="104">
    <w:nsid w:val="6FDE8AF6"/>
    <w:multiLevelType w:val="hybridMultilevel"/>
    <w:lvl w:ilvl="0">
      <w:lvlJc w:val="left"/>
      <w:lvlText w:val="*"/>
      <w:numFmt w:val="bullet"/>
      <w:start w:val="1"/>
    </w:lvl>
  </w:abstractNum>
  <w:abstractNum w:abstractNumId="105">
    <w:nsid w:val="3FC32E20"/>
    <w:multiLevelType w:val="hybridMultilevel"/>
    <w:lvl w:ilvl="0">
      <w:lvlJc w:val="left"/>
      <w:lvlText w:val="**"/>
      <w:numFmt w:val="bullet"/>
      <w:start w:val="1"/>
    </w:lvl>
  </w:abstractNum>
  <w:abstractNum w:abstractNumId="106">
    <w:nsid w:val="49C0E823"/>
    <w:multiLevelType w:val="hybridMultilevel"/>
    <w:lvl w:ilvl="0">
      <w:lvlJc w:val="left"/>
      <w:lvlText w:val="%1."/>
      <w:numFmt w:val="decimal"/>
      <w:start w:val="1"/>
    </w:lvl>
    <w:lvl w:ilvl="1">
      <w:lvlJc w:val="left"/>
      <w:lvlText w:val="•"/>
      <w:numFmt w:val="bullet"/>
      <w:start w:val="1"/>
    </w:lvl>
  </w:abstractNum>
  <w:abstractNum w:abstractNumId="107">
    <w:nsid w:val="14D53685"/>
    <w:multiLevelType w:val="hybridMultilevel"/>
    <w:lvl w:ilvl="0">
      <w:lvlJc w:val="left"/>
      <w:lvlText w:val="%1)"/>
      <w:numFmt w:val="lowerLetter"/>
      <w:start w:val="1"/>
    </w:lvl>
    <w:lvl w:ilvl="1">
      <w:lvlJc w:val="left"/>
      <w:lvlText w:val="•"/>
      <w:numFmt w:val="bullet"/>
      <w:start w:val="1"/>
    </w:lvl>
  </w:abstractNum>
  <w:abstractNum w:abstractNumId="108">
    <w:nsid w:val="230F856C"/>
    <w:multiLevelType w:val="hybridMultilevel"/>
    <w:lvl w:ilvl="0">
      <w:lvlJc w:val="left"/>
      <w:lvlText w:val="%1)"/>
      <w:numFmt w:val="lowerLetter"/>
      <w:start w:val="6"/>
    </w:lvl>
  </w:abstractNum>
  <w:abstractNum w:abstractNumId="109">
    <w:nsid w:val="6EAA85FB"/>
    <w:multiLevelType w:val="hybridMultilevel"/>
    <w:lvl w:ilvl="0">
      <w:lvlJc w:val="left"/>
      <w:lvlText w:val="%1)"/>
      <w:numFmt w:val="lowerLetter"/>
      <w:start w:val="1"/>
    </w:lvl>
    <w:lvl w:ilvl="1">
      <w:lvlJc w:val="left"/>
      <w:lvlText w:val="•"/>
      <w:numFmt w:val="bullet"/>
      <w:start w:val="1"/>
    </w:lvl>
  </w:abstractNum>
  <w:abstractNum w:abstractNumId="110">
    <w:nsid w:val="3F06ECB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11">
    <w:nsid w:val="3B594807"/>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12">
    <w:nsid w:val="6CAA2304"/>
    <w:multiLevelType w:val="hybridMultilevel"/>
    <w:lvl w:ilvl="0">
      <w:lvlJc w:val="left"/>
      <w:lvlText w:val="%1."/>
      <w:numFmt w:val="decimal"/>
      <w:start w:val="3"/>
    </w:lvl>
    <w:lvl w:ilvl="1">
      <w:lvlJc w:val="left"/>
      <w:lvlText w:val="•"/>
      <w:numFmt w:val="bullet"/>
      <w:start w:val="1"/>
    </w:lvl>
  </w:abstractNum>
  <w:abstractNum w:abstractNumId="113">
    <w:nsid w:val="3F7C2FF4"/>
    <w:multiLevelType w:val="hybridMultilevel"/>
    <w:lvl w:ilvl="0">
      <w:lvlJc w:val="left"/>
      <w:lvlText w:val="%1."/>
      <w:numFmt w:val="decimal"/>
      <w:start w:val="4"/>
    </w:lvl>
    <w:lvl w:ilvl="1">
      <w:lvlJc w:val="left"/>
      <w:lvlText w:val="%2)"/>
      <w:numFmt w:val="lowerLetter"/>
      <w:start w:val="2"/>
    </w:lvl>
    <w:lvl w:ilvl="2">
      <w:lvlJc w:val="left"/>
      <w:lvlText w:val="•"/>
      <w:numFmt w:val="bullet"/>
      <w:start w:val="1"/>
    </w:lvl>
  </w:abstractNum>
  <w:abstractNum w:abstractNumId="114">
    <w:nsid w:val="25413BEC"/>
    <w:multiLevelType w:val="hybridMultilevel"/>
    <w:lvl w:ilvl="0">
      <w:lvlJc w:val="left"/>
      <w:lvlText w:val="%1."/>
      <w:numFmt w:val="decimal"/>
      <w:start w:val="5"/>
    </w:lvl>
    <w:lvl w:ilvl="1">
      <w:lvlJc w:val="left"/>
      <w:lvlText w:val="(%2)"/>
      <w:numFmt w:val="lowerRoman"/>
      <w:start w:val="1"/>
    </w:lvl>
  </w:abstractNum>
  <w:abstractNum w:abstractNumId="115">
    <w:nsid w:val="17180B0B"/>
    <w:multiLevelType w:val="hybridMultilevel"/>
    <w:lvl w:ilvl="0">
      <w:lvlJc w:val="left"/>
      <w:lvlText w:val="%1"/>
      <w:numFmt w:val="decimal"/>
      <w:start w:val="1"/>
    </w:lvl>
    <w:lvl w:ilvl="1">
      <w:lvlJc w:val="left"/>
      <w:lvlText w:val="(%2)"/>
      <w:numFmt w:val="lowerRoman"/>
      <w:start w:val="1"/>
    </w:lvl>
  </w:abstractNum>
  <w:abstractNum w:abstractNumId="116">
    <w:nsid w:val="579328B9"/>
    <w:multiLevelType w:val="hybridMultilevel"/>
    <w:lvl w:ilvl="0">
      <w:lvlJc w:val="left"/>
      <w:lvlText w:val="%1."/>
      <w:numFmt w:val="decimal"/>
      <w:start w:val="7"/>
    </w:lvl>
  </w:abstractNum>
  <w:abstractNum w:abstractNumId="117">
    <w:nsid w:val="5D205E20"/>
    <w:multiLevelType w:val="hybridMultilevel"/>
    <w:lvl w:ilvl="0">
      <w:lvlJc w:val="left"/>
      <w:lvlText w:val="%1)"/>
      <w:numFmt w:val="lowerLetter"/>
      <w:start w:val="2"/>
    </w:lvl>
  </w:abstractNum>
  <w:abstractNum w:abstractNumId="118">
    <w:nsid w:val="11CCA8BA"/>
    <w:multiLevelType w:val="hybridMultilevel"/>
    <w:lvl w:ilvl="0">
      <w:lvlJc w:val="left"/>
      <w:lvlText w:val="(%1)"/>
      <w:numFmt w:val="lowerRoman"/>
      <w:start w:val="7"/>
    </w:lvl>
  </w:abstractNum>
  <w:abstractNum w:abstractNumId="119">
    <w:nsid w:val="4D32AB86"/>
    <w:multiLevelType w:val="hybridMultilevel"/>
    <w:lvl w:ilvl="0">
      <w:lvlJc w:val="left"/>
      <w:lvlText w:val="%1)"/>
      <w:numFmt w:val="lowerLetter"/>
      <w:start w:val="2"/>
    </w:lvl>
    <w:lvl w:ilvl="1">
      <w:lvlJc w:val="left"/>
      <w:lvlText w:val="•"/>
      <w:numFmt w:val="bullet"/>
      <w:start w:val="1"/>
    </w:lvl>
  </w:abstractNum>
  <w:abstractNum w:abstractNumId="120">
    <w:nsid w:val="3F07ACC3"/>
    <w:multiLevelType w:val="hybridMultilevel"/>
    <w:lvl w:ilvl="0">
      <w:lvlJc w:val="left"/>
      <w:lvlText w:val="%1."/>
      <w:numFmt w:val="decimal"/>
      <w:start w:val="1"/>
    </w:lvl>
  </w:abstractNum>
  <w:abstractNum w:abstractNumId="121">
    <w:nsid w:val="6B47F63E"/>
    <w:multiLevelType w:val="hybridMultilevel"/>
    <w:lvl w:ilvl="0">
      <w:lvlJc w:val="left"/>
      <w:lvlText w:val="%1)"/>
      <w:numFmt w:val="lowerLetter"/>
      <w:start w:val="1"/>
    </w:lvl>
    <w:lvl w:ilvl="1">
      <w:lvlJc w:val="left"/>
      <w:lvlText w:val="•"/>
      <w:numFmt w:val="bullet"/>
      <w:start w:val="1"/>
    </w:lvl>
  </w:abstractNum>
  <w:abstractNum w:abstractNumId="122">
    <w:nsid w:val="5CB44A05"/>
    <w:multiLevelType w:val="hybridMultilevel"/>
    <w:lvl w:ilvl="0">
      <w:lvlJc w:val="left"/>
      <w:lvlText w:val="%1."/>
      <w:numFmt w:val="decimal"/>
      <w:start w:val="1"/>
    </w:lvl>
    <w:lvl w:ilvl="1">
      <w:lvlJc w:val="left"/>
      <w:lvlText w:val="(%2)"/>
      <w:numFmt w:val="lowerLetter"/>
      <w:start w:val="2"/>
    </w:lvl>
  </w:abstractNum>
  <w:abstractNum w:abstractNumId="123">
    <w:nsid w:val="16CF80F1"/>
    <w:multiLevelType w:val="hybridMultilevel"/>
    <w:lvl w:ilvl="0">
      <w:lvlJc w:val="left"/>
      <w:lvlText w:val="(%1)"/>
      <w:numFmt w:val="lowerLetter"/>
      <w:start w:val="4"/>
    </w:lvl>
    <w:lvl w:ilvl="1">
      <w:lvlJc w:val="left"/>
      <w:lvlText w:val="•"/>
      <w:numFmt w:val="bullet"/>
      <w:start w:val="1"/>
    </w:lvl>
  </w:abstractNum>
  <w:abstractNum w:abstractNumId="124">
    <w:nsid w:val="1C695DEC"/>
    <w:multiLevelType w:val="hybridMultilevel"/>
    <w:lvl w:ilvl="0">
      <w:lvlJc w:val="left"/>
      <w:lvlText w:val="(%1)"/>
      <w:numFmt w:val="decimal"/>
      <w:start w:val="1"/>
    </w:lvl>
    <w:lvl w:ilvl="1">
      <w:lvlJc w:val="left"/>
      <w:lvlText w:val="•"/>
      <w:numFmt w:val="bullet"/>
      <w:start w:val="1"/>
    </w:lvl>
  </w:abstractNum>
  <w:abstractNum w:abstractNumId="125">
    <w:nsid w:val="3FCFAED9"/>
    <w:multiLevelType w:val="hybridMultilevel"/>
    <w:lvl w:ilvl="0">
      <w:lvlJc w:val="left"/>
      <w:lvlText w:val="(%1)"/>
      <w:numFmt w:val="decimal"/>
      <w:start w:val="5"/>
    </w:lvl>
  </w:abstractNum>
  <w:abstractNum w:abstractNumId="126">
    <w:nsid w:val="F856867"/>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127">
    <w:nsid w:val="11B1CC33"/>
    <w:multiLevelType w:val="hybridMultilevel"/>
    <w:lvl w:ilvl="0">
      <w:lvlJc w:val="left"/>
      <w:lvlText w:val="%1."/>
      <w:numFmt w:val="decimal"/>
      <w:start w:val="5"/>
    </w:lvl>
    <w:lvl w:ilvl="1">
      <w:lvlJc w:val="left"/>
      <w:lvlText w:val="•"/>
      <w:numFmt w:val="bullet"/>
      <w:start w:val="1"/>
    </w:lvl>
  </w:abstractNum>
  <w:abstractNum w:abstractNumId="128">
    <w:nsid w:val="2E22FBB7"/>
    <w:multiLevelType w:val="hybridMultilevel"/>
    <w:lvl w:ilvl="0">
      <w:lvlJc w:val="left"/>
      <w:lvlText w:val="%1."/>
      <w:numFmt w:val="decimal"/>
      <w:start w:val="1"/>
    </w:lvl>
  </w:abstractNum>
  <w:abstractNum w:abstractNumId="129">
    <w:nsid w:val="29934699"/>
    <w:multiLevelType w:val="hybridMultilevel"/>
    <w:lvl w:ilvl="0">
      <w:lvlJc w:val="left"/>
      <w:lvlText w:val="%1."/>
      <w:numFmt w:val="decimal"/>
      <w:start w:val="2"/>
    </w:lvl>
    <w:lvl w:ilvl="1">
      <w:lvlJc w:val="left"/>
      <w:lvlText w:val="(%2)"/>
      <w:numFmt w:val="lowerLetter"/>
      <w:start w:val="2"/>
    </w:lvl>
    <w:lvl w:ilvl="2">
      <w:lvlJc w:val="left"/>
      <w:lvlText w:val="•"/>
      <w:numFmt w:val="bullet"/>
      <w:start w:val="1"/>
    </w:lvl>
  </w:abstractNum>
  <w:abstractNum w:abstractNumId="130">
    <w:nsid w:val="77485850"/>
    <w:multiLevelType w:val="hybridMultilevel"/>
    <w:lvl w:ilvl="0">
      <w:lvlJc w:val="left"/>
      <w:lvlText w:val="(%1)"/>
      <w:numFmt w:val="lowerRoman"/>
      <w:start w:val="1"/>
    </w:lvl>
    <w:lvl w:ilvl="1">
      <w:lvlJc w:val="left"/>
      <w:lvlText w:val="%2."/>
      <w:numFmt w:val="lowerLetter"/>
      <w:start w:val="2"/>
    </w:lvl>
  </w:abstractNum>
  <w:abstractNum w:abstractNumId="131">
    <w:nsid w:val="744939A3"/>
    <w:multiLevelType w:val="hybridMultilevel"/>
    <w:lvl w:ilvl="0">
      <w:lvlJc w:val="left"/>
      <w:lvlText w:val="%1"/>
      <w:numFmt w:val="lowerLetter"/>
      <w:start w:val="1"/>
    </w:lvl>
    <w:lvl w:ilvl="1">
      <w:lvlJc w:val="left"/>
      <w:lvlText w:val="(%2)"/>
      <w:numFmt w:val="lowerRoman"/>
      <w:start w:val="1"/>
    </w:lvl>
  </w:abstractNum>
  <w:abstractNum w:abstractNumId="132">
    <w:nsid w:val="4FA0D2E3"/>
    <w:multiLevelType w:val="hybridMultilevel"/>
    <w:lvl w:ilvl="0">
      <w:lvlJc w:val="left"/>
      <w:lvlText w:val="%1."/>
      <w:numFmt w:val="lowerLetter"/>
      <w:start w:val="2"/>
    </w:lvl>
    <w:lvl w:ilvl="1">
      <w:lvlJc w:val="left"/>
      <w:lvlText w:val="%2"/>
      <w:numFmt w:val="lowerRoman"/>
      <w:start w:val="1"/>
    </w:lvl>
  </w:abstractNum>
  <w:abstractNum w:abstractNumId="133">
    <w:nsid w:val="6B1D2C14"/>
    <w:multiLevelType w:val="hybridMultilevel"/>
    <w:lvl w:ilvl="0">
      <w:lvlJc w:val="left"/>
      <w:lvlText w:val="(%1)"/>
      <w:numFmt w:val="lowerRoman"/>
      <w:start w:val="2"/>
    </w:lvl>
  </w:abstractNum>
  <w:abstractNum w:abstractNumId="134">
    <w:nsid w:val="68B867D3"/>
    <w:multiLevelType w:val="hybridMultilevel"/>
    <w:lvl w:ilvl="0">
      <w:lvlJc w:val="left"/>
      <w:lvlText w:val="(%1)"/>
      <w:numFmt w:val="upperLetter"/>
      <w:start w:val="1"/>
    </w:lvl>
  </w:abstractNum>
  <w:abstractNum w:abstractNumId="135">
    <w:nsid w:val="3F7F5DD9"/>
    <w:multiLevelType w:val="hybridMultilevel"/>
    <w:lvl w:ilvl="0">
      <w:lvlJc w:val="left"/>
      <w:lvlText w:val="(%1)"/>
      <w:numFmt w:val="upperLetter"/>
      <w:start w:val="2"/>
    </w:lvl>
  </w:abstractNum>
  <w:abstractNum w:abstractNumId="136">
    <w:nsid w:val="2AE05A34"/>
    <w:multiLevelType w:val="hybridMultilevel"/>
    <w:lvl w:ilvl="0">
      <w:lvlJc w:val="left"/>
      <w:lvlText w:val="%1."/>
      <w:numFmt w:val="decimal"/>
      <w:start w:val="1"/>
    </w:lvl>
    <w:lvl w:ilvl="1">
      <w:lvlJc w:val="left"/>
      <w:lvlText w:val="(%2)"/>
      <w:numFmt w:val="lowerLetter"/>
      <w:start w:val="1"/>
    </w:lvl>
  </w:abstractNum>
  <w:abstractNum w:abstractNumId="137">
    <w:nsid w:val="32794FF7"/>
    <w:multiLevelType w:val="hybridMultilevel"/>
    <w:lvl w:ilvl="0">
      <w:lvlJc w:val="left"/>
      <w:lvlText w:val="(%1)"/>
      <w:numFmt w:val="lowerLetter"/>
      <w:start w:val="3"/>
    </w:lvl>
  </w:abstractNum>
  <w:abstractNum w:abstractNumId="138">
    <w:nsid w:val="5454945E"/>
    <w:multiLevelType w:val="hybridMultilevel"/>
    <w:lvl w:ilvl="0">
      <w:lvlJc w:val="left"/>
      <w:lvlText w:val="(%1)"/>
      <w:numFmt w:val="lowerRoman"/>
      <w:start w:val="1"/>
    </w:lvl>
  </w:abstractNum>
  <w:abstractNum w:abstractNumId="139">
    <w:nsid w:val="4DEFDFA0"/>
    <w:multiLevelType w:val="hybridMultilevel"/>
    <w:lvl w:ilvl="0">
      <w:lvlJc w:val="left"/>
      <w:lvlText w:val="%1."/>
      <w:numFmt w:val="decimal"/>
      <w:start w:val="2"/>
    </w:lvl>
    <w:lvl w:ilvl="1">
      <w:lvlJc w:val="left"/>
      <w:lvlText w:val="(%2)"/>
      <w:numFmt w:val="lowerLetter"/>
      <w:start w:val="1"/>
    </w:lvl>
  </w:abstractNum>
  <w:abstractNum w:abstractNumId="140">
    <w:nsid w:val="2123D5F2"/>
    <w:multiLevelType w:val="hybridMultilevel"/>
    <w:lvl w:ilvl="0">
      <w:lvlJc w:val="left"/>
      <w:lvlText w:val="%1"/>
      <w:numFmt w:val="decimal"/>
      <w:start w:val="1"/>
    </w:lvl>
    <w:lvl w:ilvl="1">
      <w:lvlJc w:val="left"/>
      <w:lvlText w:val="(%2)"/>
      <w:numFmt w:val="lowerLetter"/>
      <w:start w:val="3"/>
    </w:lvl>
  </w:abstractNum>
  <w:abstractNum w:abstractNumId="141">
    <w:nsid w:val="135B8110"/>
    <w:multiLevelType w:val="hybridMultilevel"/>
    <w:lvl w:ilvl="0">
      <w:lvlJc w:val="left"/>
      <w:lvlText w:val="%1."/>
      <w:numFmt w:val="decimal"/>
      <w:start w:val="4"/>
    </w:lvl>
    <w:lvl w:ilvl="1">
      <w:lvlJc w:val="left"/>
      <w:lvlText w:val="%2"/>
      <w:numFmt w:val="lowerLetter"/>
      <w:start w:val="1"/>
    </w:lvl>
  </w:abstractNum>
  <w:abstractNum w:abstractNumId="142">
    <w:nsid w:val="94927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3">
    <w:nsid w:val="DCDF8F6"/>
    <w:multiLevelType w:val="hybridMultilevel"/>
    <w:lvl w:ilvl="0">
      <w:lvlJc w:val="left"/>
      <w:lvlText w:val="%1"/>
      <w:numFmt w:val="decimal"/>
      <w:start w:val="1"/>
    </w:lvl>
    <w:lvl w:ilvl="1">
      <w:lvlJc w:val="left"/>
      <w:lvlText w:val="(%2)"/>
      <w:numFmt w:val="lowerRoman"/>
      <w:start w:val="2"/>
    </w:lvl>
  </w:abstractNum>
  <w:abstractNum w:abstractNumId="144">
    <w:nsid w:val="52D7B105"/>
    <w:multiLevelType w:val="hybridMultilevel"/>
    <w:lvl w:ilvl="0">
      <w:lvlJc w:val="left"/>
      <w:lvlText w:val="%1."/>
      <w:numFmt w:val="decimal"/>
      <w:start w:val="6"/>
    </w:lvl>
    <w:lvl w:ilvl="1">
      <w:lvlJc w:val="left"/>
      <w:lvlText w:val="%2"/>
      <w:numFmt w:val="lowerRoman"/>
      <w:start w:val="1"/>
    </w:lvl>
  </w:abstractNum>
  <w:abstractNum w:abstractNumId="145">
    <w:nsid w:val="2E8A6394"/>
    <w:multiLevelType w:val="hybridMultilevel"/>
    <w:lvl w:ilvl="0">
      <w:lvlJc w:val="left"/>
      <w:lvlText w:val="%1."/>
      <w:numFmt w:val="decimal"/>
      <w:start w:val="8"/>
    </w:lvl>
    <w:lvl w:ilvl="1">
      <w:lvlJc w:val="left"/>
      <w:lvlText w:val="(%2)"/>
      <w:numFmt w:val="lowerLetter"/>
      <w:start w:val="1"/>
    </w:lvl>
  </w:abstractNum>
  <w:abstractNum w:abstractNumId="146">
    <w:nsid w:val="24E60401"/>
    <w:multiLevelType w:val="hybridMultilevel"/>
    <w:lvl w:ilvl="0">
      <w:lvlJc w:val="left"/>
      <w:lvlText w:val="(%1)"/>
      <w:numFmt w:val="lowerLetter"/>
      <w:start w:val="2"/>
    </w:lvl>
    <w:lvl w:ilvl="1">
      <w:lvlJc w:val="left"/>
      <w:lvlText w:val="(%2)"/>
      <w:numFmt w:val="lowerRoman"/>
      <w:start w:val="1"/>
    </w:lvl>
  </w:abstractNum>
  <w:abstractNum w:abstractNumId="147">
    <w:nsid w:val="2A6AD9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8">
    <w:nsid w:val="BAAC1B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9">
    <w:nsid w:val="36B2ACB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0">
    <w:nsid w:val="779D8544"/>
    <w:multiLevelType w:val="hybridMultilevel"/>
    <w:lvl w:ilvl="0">
      <w:lvlJc w:val="left"/>
      <w:lvlText w:val="(%1)"/>
      <w:numFmt w:val="lowerLetter"/>
      <w:start w:val="1"/>
    </w:lvl>
  </w:abstractNum>
  <w:abstractNum w:abstractNumId="151">
    <w:nsid w:val="4AB26E78"/>
    <w:multiLevelType w:val="hybridMultilevel"/>
    <w:lvl w:ilvl="0">
      <w:lvlJc w:val="left"/>
      <w:lvlText w:val="%1."/>
      <w:numFmt w:val="decimal"/>
      <w:start w:val="11"/>
    </w:lvl>
    <w:lvl w:ilvl="1">
      <w:lvlJc w:val="left"/>
      <w:lvlText w:val="(%2)"/>
      <w:numFmt w:val="lowerLetter"/>
      <w:start w:val="1"/>
    </w:lvl>
  </w:abstractNum>
  <w:abstractNum w:abstractNumId="152">
    <w:nsid w:val="21FAA2FA"/>
    <w:multiLevelType w:val="hybridMultilevel"/>
    <w:lvl w:ilvl="0">
      <w:lvlJc w:val="left"/>
      <w:lvlText w:val="(%1)"/>
      <w:numFmt w:val="lowerLetter"/>
      <w:start w:val="2"/>
    </w:lvl>
  </w:abstractNum>
  <w:abstractNum w:abstractNumId="153">
    <w:nsid w:val="5451CF49"/>
    <w:multiLevelType w:val="hybridMultilevel"/>
    <w:lvl w:ilvl="0">
      <w:lvlJc w:val="left"/>
      <w:lvlText w:val="(%1)"/>
      <w:numFmt w:val="lowerLetter"/>
      <w:start w:val="5"/>
    </w:lvl>
  </w:abstractNum>
  <w:abstractNum w:abstractNumId="154">
    <w:nsid w:val="6181EF69"/>
    <w:multiLevelType w:val="hybridMultilevel"/>
    <w:lvl w:ilvl="0">
      <w:lvlJc w:val="left"/>
      <w:lvlText w:val="(%1)"/>
      <w:numFmt w:val="lowerRoman"/>
      <w:start w:val="1"/>
    </w:lvl>
  </w:abstractNum>
  <w:abstractNum w:abstractNumId="155">
    <w:nsid w:val="3E6400E6"/>
    <w:multiLevelType w:val="hybridMultilevel"/>
    <w:lvl w:ilvl="0">
      <w:lvlJc w:val="left"/>
      <w:lvlText w:val="(%1)"/>
      <w:numFmt w:val="lowerLetter"/>
      <w:start w:val="1"/>
    </w:lvl>
  </w:abstractNum>
  <w:abstractNum w:abstractNumId="156">
    <w:nsid w:val="14217E23"/>
    <w:multiLevelType w:val="hybridMultilevel"/>
    <w:lvl w:ilvl="0">
      <w:lvlJc w:val="left"/>
      <w:lvlText w:val="(%1)"/>
      <w:numFmt w:val="lowerLetter"/>
      <w:start w:val="4"/>
    </w:lvl>
  </w:abstractNum>
  <w:abstractNum w:abstractNumId="157">
    <w:nsid w:val="710757D0"/>
    <w:multiLevelType w:val="hybridMultilevel"/>
    <w:lvl w:ilvl="0">
      <w:lvlJc w:val="left"/>
      <w:lvlText w:val="(%1)"/>
      <w:numFmt w:val="lowerLetter"/>
      <w:start w:val="4"/>
    </w:lvl>
  </w:abstractNum>
  <w:abstractNum w:abstractNumId="158">
    <w:nsid w:val="5015CD1A"/>
    <w:multiLevelType w:val="hybridMultilevel"/>
    <w:lvl w:ilvl="0">
      <w:lvlJc w:val="left"/>
      <w:lvlText w:val="(%1)"/>
      <w:numFmt w:val="lowerRoman"/>
      <w:start w:val="1"/>
    </w:lvl>
  </w:abstractNum>
  <w:abstractNum w:abstractNumId="159">
    <w:nsid w:val="424479DA"/>
    <w:multiLevelType w:val="hybridMultilevel"/>
    <w:lvl w:ilvl="0">
      <w:lvlJc w:val="left"/>
      <w:lvlText w:val="(%1)"/>
      <w:numFmt w:val="lowerRoman"/>
      <w:start w:val="4"/>
    </w:lvl>
  </w:abstractNum>
  <w:abstractNum w:abstractNumId="160">
    <w:nsid w:val="1A9A9E69"/>
    <w:multiLevelType w:val="hybridMultilevel"/>
    <w:lvl w:ilvl="0">
      <w:lvlJc w:val="left"/>
      <w:lvlText w:val="(%1)"/>
      <w:numFmt w:val="lowerLetter"/>
      <w:start w:val="4"/>
    </w:lvl>
  </w:abstractNum>
  <w:abstractNum w:abstractNumId="161">
    <w:nsid w:val="475E256A"/>
    <w:multiLevelType w:val="hybridMultilevel"/>
    <w:lvl w:ilvl="0">
      <w:lvlJc w:val="left"/>
      <w:lvlText w:val="%1."/>
      <w:numFmt w:val="decimal"/>
      <w:start w:val="1"/>
    </w:lvl>
  </w:abstractNum>
  <w:abstractNum w:abstractNumId="162">
    <w:nsid w:val="368DB37E"/>
    <w:multiLevelType w:val="hybridMultilevel"/>
    <w:lvl w:ilvl="0">
      <w:lvlJc w:val="left"/>
      <w:lvlText w:val="%1."/>
      <w:numFmt w:val="decimal"/>
      <w:start w:val="3"/>
    </w:lvl>
    <w:lvl w:ilvl="1">
      <w:lvlJc w:val="left"/>
      <w:lvlText w:val="•"/>
      <w:numFmt w:val="bullet"/>
      <w:start w:val="1"/>
    </w:lvl>
  </w:abstractNum>
  <w:abstractNum w:abstractNumId="163">
    <w:nsid w:val="6A3B714C"/>
    <w:multiLevelType w:val="hybridMultilevel"/>
    <w:lvl w:ilvl="0">
      <w:lvlJc w:val="left"/>
      <w:lvlText w:val="•"/>
      <w:numFmt w:val="bullet"/>
      <w:start w:val="1"/>
    </w:lvl>
  </w:abstractNum>
  <w:abstractNum w:abstractNumId="164">
    <w:nsid w:val="327B517E"/>
    <w:multiLevelType w:val="hybridMultilevel"/>
    <w:lvl w:ilvl="0">
      <w:lvlJc w:val="left"/>
      <w:lvlText w:val="%1."/>
      <w:numFmt w:val="decimal"/>
      <w:start w:val="4"/>
    </w:lvl>
  </w:abstractNum>
  <w:abstractNum w:abstractNumId="165">
    <w:nsid w:val="1F461B51"/>
    <w:multiLevelType w:val="hybridMultilevel"/>
    <w:lvl w:ilvl="0">
      <w:lvlJc w:val="left"/>
      <w:lvlText w:val="%1."/>
      <w:numFmt w:val="decimal"/>
      <w:start w:val="5"/>
    </w:lvl>
  </w:abstractNum>
  <w:abstractNum w:abstractNumId="166">
    <w:nsid w:val="29BACF25"/>
    <w:multiLevelType w:val="hybridMultilevel"/>
    <w:lvl w:ilvl="0">
      <w:lvlJc w:val="left"/>
      <w:lvlText w:val="%1."/>
      <w:numFmt w:val="decimal"/>
      <w:start w:val="6"/>
    </w:lvl>
  </w:abstractNum>
  <w:abstractNum w:abstractNumId="167">
    <w:nsid w:val="5D5BABB3"/>
    <w:multiLevelType w:val="hybridMultilevel"/>
    <w:lvl w:ilvl="0">
      <w:lvlJc w:val="left"/>
      <w:lvlText w:val="%1."/>
      <w:numFmt w:val="decimal"/>
      <w:start w:val="9"/>
    </w:lvl>
  </w:abstractNum>
  <w:abstractNum w:abstractNumId="168">
    <w:nsid w:val="51BF6B48"/>
    <w:multiLevelType w:val="hybridMultilevel"/>
    <w:lvl w:ilvl="0">
      <w:lvlJc w:val="left"/>
      <w:lvlText w:val="%1."/>
      <w:numFmt w:val="decimal"/>
      <w:start w:val="10"/>
    </w:lvl>
  </w:abstractNum>
  <w:abstractNum w:abstractNumId="169">
    <w:nsid w:val="7E0F6384"/>
    <w:multiLevelType w:val="hybridMultilevel"/>
    <w:lvl w:ilvl="0">
      <w:lvlJc w:val="left"/>
      <w:lvlText w:val="%1."/>
      <w:numFmt w:val="decimal"/>
      <w:start w:val="12"/>
    </w:lvl>
  </w:abstractNum>
  <w:abstractNum w:abstractNumId="170">
    <w:nsid w:val="2B4B8B53"/>
    <w:multiLevelType w:val="hybridMultilevel"/>
    <w:lvl w:ilvl="0">
      <w:lvlJc w:val="left"/>
      <w:lvlText w:val="%1."/>
      <w:numFmt w:val="decimal"/>
      <w:start w:val="15"/>
    </w:lvl>
  </w:abstractNum>
  <w:abstractNum w:abstractNumId="171">
    <w:nsid w:val="72E3413A"/>
    <w:multiLevelType w:val="hybridMultilevel"/>
    <w:lvl w:ilvl="0">
      <w:lvlJc w:val="left"/>
      <w:lvlText w:val="%1."/>
      <w:numFmt w:val="decimal"/>
      <w:start w:val="15"/>
    </w:lvl>
  </w:abstractNum>
  <w:abstractNum w:abstractNumId="172">
    <w:nsid w:val="116AE494"/>
    <w:multiLevelType w:val="hybridMultilevel"/>
    <w:lvl w:ilvl="0">
      <w:lvlJc w:val="left"/>
      <w:lvlText w:val="%1."/>
      <w:numFmt w:val="decimal"/>
      <w:start w:val="16"/>
    </w:lvl>
  </w:abstractNum>
  <w:abstractNum w:abstractNumId="173">
    <w:nsid w:val="3494B2FB"/>
    <w:multiLevelType w:val="hybridMultilevel"/>
    <w:lvl w:ilvl="0">
      <w:lvlJc w:val="left"/>
      <w:lvlText w:val="(%1)"/>
      <w:numFmt w:val="lowerLetter"/>
      <w:start w:val="1"/>
    </w:lvl>
  </w:abstractNum>
  <w:abstractNum w:abstractNumId="174">
    <w:nsid w:val="B13A31"/>
    <w:multiLevelType w:val="hybridMultilevel"/>
    <w:lvl w:ilvl="0">
      <w:lvlJc w:val="left"/>
      <w:lvlText w:val="(%1)"/>
      <w:numFmt w:val="lowerLetter"/>
      <w:start w:val="1"/>
    </w:lvl>
  </w:abstractNum>
  <w:abstractNum w:abstractNumId="175">
    <w:nsid w:val="64429599"/>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76">
    <w:nsid w:val="631F1690"/>
    <w:multiLevelType w:val="hybridMultilevel"/>
    <w:lvl w:ilvl="0">
      <w:lvlJc w:val="left"/>
      <w:lvlText w:val="(%1)"/>
      <w:numFmt w:val="lowerLetter"/>
      <w:start w:val="5"/>
    </w:lvl>
  </w:abstractNum>
  <w:abstractNum w:abstractNumId="177">
    <w:nsid w:val="25973E32"/>
    <w:multiLevelType w:val="hybridMultilevel"/>
    <w:lvl w:ilvl="0">
      <w:lvlJc w:val="left"/>
      <w:lvlText w:val="%1."/>
      <w:numFmt w:val="decimal"/>
      <w:start w:val="1"/>
    </w:lvl>
  </w:abstractNum>
  <w:abstractNum w:abstractNumId="178">
    <w:nsid w:val="EAD6F57"/>
    <w:multiLevelType w:val="hybridMultilevel"/>
    <w:lvl w:ilvl="0">
      <w:lvlJc w:val="left"/>
      <w:lvlText w:val="%1."/>
      <w:numFmt w:val="decimal"/>
      <w:start w:val="2"/>
    </w:lvl>
  </w:abstractNum>
  <w:abstractNum w:abstractNumId="179">
    <w:nsid w:val="6EC9D844"/>
    <w:multiLevelType w:val="hybridMultilevel"/>
    <w:lvl w:ilvl="0">
      <w:lvlJc w:val="left"/>
      <w:lvlText w:val="%1."/>
      <w:numFmt w:val="decimal"/>
      <w:start w:val="3"/>
    </w:lvl>
  </w:abstractNum>
  <w:abstractNum w:abstractNumId="180">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64AF4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2">
    <w:nsid w:val="397C46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83">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4">
    <w:nsid w:val="5A9CC3E5"/>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85">
    <w:nsid w:val="1AFE3625"/>
    <w:multiLevelType w:val="hybridMultilevel"/>
    <w:lvl w:ilvl="0">
      <w:lvlJc w:val="left"/>
      <w:lvlText w:val="%1"/>
      <w:numFmt w:val="decimal"/>
      <w:start w:val="1"/>
    </w:lvl>
    <w:lvl w:ilvl="1">
      <w:lvlJc w:val="left"/>
      <w:lvlText w:val="%2."/>
      <w:numFmt w:val="lowerRoman"/>
      <w:start w:val="2"/>
    </w:lvl>
    <w:lvl w:ilvl="2">
      <w:lvlJc w:val="left"/>
      <w:lvlText w:val="(%3)"/>
      <w:numFmt w:val="decimal"/>
      <w:start w:val="5"/>
    </w:lvl>
    <w:lvl w:ilvl="3">
      <w:lvlJc w:val="left"/>
      <w:lvlText w:val="%4"/>
      <w:numFmt w:val="upperLetter"/>
      <w:start w:val="1"/>
    </w:lvl>
  </w:abstractNum>
  <w:abstractNum w:abstractNumId="186">
    <w:nsid w:val="3CA88ECF"/>
    <w:multiLevelType w:val="hybridMultilevel"/>
    <w:lvl w:ilvl="0">
      <w:lvlJc w:val="left"/>
      <w:lvlText w:val="%1."/>
      <w:numFmt w:val="decimal"/>
      <w:start w:val="6"/>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87">
    <w:nsid w:val="6EBE4208"/>
    <w:multiLevelType w:val="hybridMultilevel"/>
    <w:lvl w:ilvl="0">
      <w:lvlJc w:val="left"/>
      <w:lvlText w:val="%1."/>
      <w:numFmt w:val="decimal"/>
      <w:start w:val="1"/>
    </w:lvl>
    <w:lvl w:ilvl="1">
      <w:lvlJc w:val="left"/>
      <w:lvlText w:val="%2."/>
      <w:numFmt w:val="lowerLetter"/>
      <w:start w:val="1"/>
    </w:lvl>
  </w:abstractNum>
  <w:abstractNum w:abstractNumId="188">
    <w:nsid w:val="C058DF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9">
    <w:nsid w:val="CBE5B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4"/>
    </w:lvl>
  </w:abstractNum>
  <w:abstractNum w:abstractNumId="190">
    <w:nsid w:val="3102BBE2"/>
    <w:multiLevelType w:val="hybridMultilevel"/>
    <w:lvl w:ilvl="0">
      <w:lvlJc w:val="left"/>
      <w:lvlText w:val="%1."/>
      <w:numFmt w:val="decimal"/>
      <w:start w:val="7"/>
    </w:lvl>
    <w:lvl w:ilvl="1">
      <w:lvlJc w:val="left"/>
      <w:lvlText w:val="%2."/>
      <w:numFmt w:val="lowerLetter"/>
      <w:start w:val="1"/>
    </w:lvl>
  </w:abstractNum>
  <w:abstractNum w:abstractNumId="191">
    <w:nsid w:val="26A02C5E"/>
    <w:multiLevelType w:val="hybridMultilevel"/>
    <w:lvl w:ilvl="0">
      <w:lvlJc w:val="left"/>
      <w:lvlText w:val="%1."/>
      <w:numFmt w:val="decimal"/>
      <w:start w:val="14"/>
    </w:lvl>
  </w:abstractNum>
  <w:abstractNum w:abstractNumId="192">
    <w:nsid w:val="541C8153"/>
    <w:multiLevelType w:val="hybridMultilevel"/>
    <w:lvl w:ilvl="0">
      <w:lvlJc w:val="left"/>
      <w:lvlText w:val="%1."/>
      <w:numFmt w:val="decimal"/>
      <w:start w:val="19"/>
    </w:lvl>
  </w:abstractNum>
  <w:abstractNum w:abstractNumId="193">
    <w:nsid w:val="67906F60"/>
    <w:multiLevelType w:val="hybridMultilevel"/>
    <w:lvl w:ilvl="0">
      <w:lvlJc w:val="left"/>
      <w:lvlText w:val="(%1)"/>
      <w:numFmt w:val="lowerLetter"/>
      <w:start w:val="1"/>
    </w:lvl>
  </w:abstractNum>
  <w:abstractNum w:abstractNumId="194">
    <w:nsid w:val="10DB9DAA"/>
    <w:multiLevelType w:val="hybridMultilevel"/>
    <w:lvl w:ilvl="0">
      <w:lvlJc w:val="left"/>
      <w:lvlText w:val="(%1)"/>
      <w:numFmt w:val="decimal"/>
      <w:start w:val="1"/>
    </w:lvl>
  </w:abstractNum>
  <w:abstractNum w:abstractNumId="195">
    <w:nsid w:val="697D2D2"/>
    <w:multiLevelType w:val="hybridMultilevel"/>
    <w:lvl w:ilvl="0">
      <w:lvlJc w:val="left"/>
      <w:lvlText w:val="%1."/>
      <w:numFmt w:val="lowerRoman"/>
      <w:start w:val="2"/>
    </w:lvl>
    <w:lvl w:ilvl="1">
      <w:lvlJc w:val="left"/>
      <w:lvlText w:val="%2."/>
      <w:numFmt w:val="upperLetter"/>
      <w:start w:val="1"/>
    </w:lvl>
  </w:abstractNum>
  <w:abstractNum w:abstractNumId="196">
    <w:nsid w:val="6D68AB2"/>
    <w:multiLevelType w:val="hybridMultilevel"/>
    <w:lvl w:ilvl="0">
      <w:lvlJc w:val="left"/>
      <w:lvlText w:val="%1."/>
      <w:numFmt w:val="lowerRoman"/>
      <w:start w:val="2"/>
    </w:lvl>
    <w:lvl w:ilvl="1">
      <w:lvlJc w:val="left"/>
      <w:lvlText w:val="%2."/>
      <w:numFmt w:val="upp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2019-12-29T09:30:22Z</dcterms:created>
  <dcterms:modified xsi:type="dcterms:W3CDTF">2019-12-29T09:30:22Z</dcterms:modified>
</cp:coreProperties>
</file>