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71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Carrasco Rafael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Operations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jc w:val="center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12,994.1177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12,519.1177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12,440.1177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151.42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12,240.1177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Settlement of performance share award granted under Waste Management, Inc. 2014 Stock Incentive Plan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Sale of additional shares to cover personal federal income tax obligation pursuant to a Rule 10b5-1 Trading Plan.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-2628265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41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2023-02-03T15:59:12Z</dcterms:created>
  <dcterms:modified xsi:type="dcterms:W3CDTF">2023-02-03T15:59:12Z</dcterms:modified>
</cp:coreProperties>
</file>