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1212"/>
        <w:spacing w:after="0" w:line="261" w:lineRule="auto"/>
        <w:rPr>
          <w:sz w:val="20"/>
          <w:szCs w:val="20"/>
          <w:color w:val="auto"/>
        </w:rPr>
      </w:pPr>
      <w:r>
        <w:rPr>
          <w:rFonts w:ascii="Times New Roman" w:cs="Times New Roman" w:eastAsia="Times New Roman" w:hAnsi="Times New Roman"/>
          <w:sz w:val="18"/>
          <w:szCs w:val="18"/>
          <w:color w:val="auto"/>
        </w:rPr>
        <w:t>At the Annual Meeting of Stockholders of Waste Management, Inc. (the “Company”) held on May 13, 2025, a total of 344,396,906 shares of the Company’s common stock, out of a total of 402,332,424 shares of common stock outstanding and entitled to vote, were present in person or represented by proxies. The items voted on by the Company’s stockholders and final vote results are set forth below. Each of the director nominees listed under item 1 were elected, and the Company’s stockholders approved the proposals in each of items 2 and 3.</w:t>
      </w:r>
    </w:p>
    <w:p>
      <w:pPr>
        <w:spacing w:after="0" w:line="180" w:lineRule="exact"/>
        <w:rPr>
          <w:sz w:val="20"/>
          <w:szCs w:val="20"/>
          <w:color w:val="auto"/>
        </w:rPr>
      </w:pPr>
    </w:p>
    <w:p>
      <w:pPr>
        <w:ind w:left="1140" w:hanging="565"/>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to the Company’s Board of Directors of the following nine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5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Thomas L. Bené</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297,490,836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1,947,840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350,602</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Bruce E. Chinn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296,975,150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2,463,412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350,716</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James C. Fish, Jr.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297,058,409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2,358,310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372,559</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Andrés R. Gluski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292,214,851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7,230,277</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344,150</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Victoria M. Holt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284,871,507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14,606,583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311,188</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Kathleen M. Mazzarella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291,807,152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7,641,944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340,182</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Sean E. Menke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293,771,726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5,676,918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340,634</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William B. Plummer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293,738,280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5,712,317</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338,681</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r>
        <w:trPr>
          <w:trHeight w:val="216"/>
        </w:trPr>
        <w:tc>
          <w:tcPr>
            <w:tcW w:w="5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Maryrose T. Sylvester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293,223,580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6,071,479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494,219</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44,607,628</w:t>
            </w:r>
          </w:p>
        </w:tc>
      </w:tr>
    </w:tbl>
    <w:p>
      <w:pPr>
        <w:spacing w:after="0" w:line="198" w:lineRule="exact"/>
        <w:rPr>
          <w:sz w:val="20"/>
          <w:szCs w:val="20"/>
          <w:color w:val="auto"/>
        </w:rPr>
      </w:pPr>
    </w:p>
    <w:p>
      <w:pPr>
        <w:ind w:left="114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fiscal year ending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38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321,370,355</w:t>
            </w:r>
          </w:p>
        </w:tc>
        <w:tc>
          <w:tcPr>
            <w:tcW w:w="4400" w:type="dxa"/>
            <w:vAlign w:val="bottom"/>
            <w:gridSpan w:val="2"/>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rPr>
              <w:t>22,381,502</w:t>
            </w:r>
          </w:p>
        </w:tc>
        <w:tc>
          <w:tcPr>
            <w:tcW w:w="346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645,049</w:t>
            </w:r>
          </w:p>
        </w:tc>
      </w:tr>
    </w:tbl>
    <w:p>
      <w:pPr>
        <w:spacing w:after="0" w:line="198" w:lineRule="exact"/>
        <w:rPr>
          <w:sz w:val="20"/>
          <w:szCs w:val="20"/>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Company’s executive compensation as described in the Company’s 2025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281,636,584</w:t>
            </w:r>
          </w:p>
        </w:tc>
        <w:tc>
          <w:tcPr>
            <w:tcW w:w="28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16,761,318</w:t>
            </w:r>
          </w:p>
        </w:tc>
        <w:tc>
          <w:tcPr>
            <w:tcW w:w="280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1,391,376</w:t>
            </w:r>
          </w:p>
        </w:tc>
        <w:tc>
          <w:tcPr>
            <w:tcW w:w="29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44,607,628</w:t>
            </w:r>
          </w:p>
        </w:tc>
      </w:tr>
      <w:tr>
        <w:trPr>
          <w:trHeight w:val="675"/>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2025-05-14T16:27:06Z</dcterms:created>
  <dcterms:modified xsi:type="dcterms:W3CDTF">2025-05-14T16:27:06Z</dcterms:modified>
</cp:coreProperties>
</file>