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7" w:lineRule="exact"/>
        <w:rPr>
          <w:sz w:val="24"/>
          <w:szCs w:val="24"/>
          <w:color w:val="auto"/>
        </w:rPr>
      </w:pPr>
    </w:p>
    <w:p>
      <w:pPr>
        <w:ind w:left="1560" w:hanging="973"/>
        <w:spacing w:after="0"/>
        <w:tabs>
          <w:tab w:leader="none" w:pos="15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spacing w:after="0" w:line="6" w:lineRule="exact"/>
        <w:rPr>
          <w:rFonts w:ascii="Courier New" w:cs="Courier New" w:eastAsia="Courier New" w:hAnsi="Courier New"/>
          <w:sz w:val="16"/>
          <w:szCs w:val="16"/>
          <w:color w:val="auto"/>
        </w:rPr>
      </w:pPr>
    </w:p>
    <w:p>
      <w:pPr>
        <w:ind w:left="2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95"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FOR THE QUARTERLY PERIOD ENDED MARCH 31, 2000</w:t>
      </w:r>
    </w:p>
    <w:p>
      <w:pPr>
        <w:spacing w:after="0" w:line="195"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780" w:hanging="193"/>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w:t>
      </w:r>
    </w:p>
    <w:p>
      <w:pPr>
        <w:spacing w:after="0" w:line="6" w:lineRule="exact"/>
        <w:rPr>
          <w:rFonts w:ascii="Courier New" w:cs="Courier New" w:eastAsia="Courier New" w:hAnsi="Courier New"/>
          <w:sz w:val="16"/>
          <w:szCs w:val="16"/>
          <w:color w:val="auto"/>
        </w:rPr>
      </w:pPr>
    </w:p>
    <w:p>
      <w:pPr>
        <w:ind w:left="2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ectPr>
          <w:pgSz w:w="11900" w:h="16838" w:orient="portrait"/>
          <w:cols w:equalWidth="0" w:num="1">
            <w:col w:w="10219"/>
          </w:cols>
          <w:pgMar w:left="240" w:top="242" w:right="1440" w:bottom="1440" w:gutter="0" w:footer="0" w:header="0"/>
        </w:sectPr>
      </w:pPr>
    </w:p>
    <w:p>
      <w:pPr>
        <w:spacing w:after="0" w:line="195"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95" w:lineRule="exact"/>
        <w:rPr>
          <w:sz w:val="24"/>
          <w:szCs w:val="24"/>
          <w:color w:val="auto"/>
        </w:rPr>
      </w:pPr>
    </w:p>
    <w:p>
      <w:pPr>
        <w:sectPr>
          <w:pgSz w:w="11900" w:h="16838" w:orient="portrait"/>
          <w:cols w:equalWidth="0" w:num="2">
            <w:col w:w="4560" w:space="720"/>
            <w:col w:w="4939"/>
          </w:cols>
          <w:pgMar w:left="240" w:top="242" w:right="1440" w:bottom="1440" w:gutter="0" w:footer="0" w:header="0"/>
          <w:type w:val="continuous"/>
        </w:sectPr>
      </w:pPr>
    </w:p>
    <w:p>
      <w:pPr>
        <w:jc w:val="center"/>
        <w:ind w:right="2399"/>
        <w:spacing w:after="0"/>
        <w:rPr>
          <w:sz w:val="20"/>
          <w:szCs w:val="20"/>
          <w:color w:val="auto"/>
        </w:rPr>
      </w:pPr>
      <w:r>
        <w:rPr>
          <w:rFonts w:ascii="Courier New" w:cs="Courier New" w:eastAsia="Courier New" w:hAnsi="Courier New"/>
          <w:sz w:val="16"/>
          <w:szCs w:val="16"/>
          <w:color w:val="auto"/>
        </w:rPr>
        <w:t>COMMISSION FILE NUMBER 1-12154</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2" w:right="1440" w:bottom="144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DELAWARE</w:t>
      </w:r>
    </w:p>
    <w:p>
      <w:pPr>
        <w:spacing w:after="0" w:line="7"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1"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73-1309529</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140" w:space="720"/>
            <w:col w:w="4359"/>
          </w:cols>
          <w:pgMar w:left="240" w:top="242" w:right="1440" w:bottom="1440" w:gutter="0" w:footer="0" w:header="0"/>
          <w:type w:val="continuous"/>
        </w:sectPr>
      </w:pPr>
    </w:p>
    <w:p>
      <w:pPr>
        <w:spacing w:after="0" w:line="183"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1001 FANNIN</w:t>
      </w:r>
    </w:p>
    <w:p>
      <w:pPr>
        <w:spacing w:after="0" w:line="7"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SUITE 4000</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HOUSTON, TEXAS 77002</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(713) 512-6200</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ind w:left="480"/>
              <w:spacing w:after="0"/>
              <w:rPr>
                <w:sz w:val="20"/>
                <w:szCs w:val="20"/>
                <w:color w:val="auto"/>
              </w:rPr>
            </w:pPr>
            <w:r>
              <w:rPr>
                <w:rFonts w:ascii="Courier New" w:cs="Courier New" w:eastAsia="Courier New" w:hAnsi="Courier New"/>
                <w:sz w:val="16"/>
                <w:szCs w:val="16"/>
                <w:color w:val="auto"/>
              </w:rPr>
              <w:t>Indicate by check mark</w:t>
            </w:r>
          </w:p>
        </w:tc>
        <w:tc>
          <w:tcPr>
            <w:tcW w:w="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whether</w:t>
            </w:r>
          </w:p>
        </w:tc>
        <w:tc>
          <w:tcPr>
            <w:tcW w:w="1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registrant</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13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has filed all</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reports</w:t>
            </w:r>
          </w:p>
        </w:tc>
      </w:tr>
      <w:tr>
        <w:trPr>
          <w:trHeight w:val="188"/>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rPr>
              <w:t>required to be filed by Section</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 or 15(d)</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the</w:t>
            </w:r>
          </w:p>
        </w:tc>
        <w:tc>
          <w:tcPr>
            <w:tcW w:w="23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Securities Exchange Act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8"/>
        </w:trPr>
        <w:tc>
          <w:tcPr>
            <w:tcW w:w="3460" w:type="dxa"/>
            <w:vAlign w:val="bottom"/>
            <w:gridSpan w:val="3"/>
          </w:tcPr>
          <w:p>
            <w:pPr>
              <w:spacing w:after="0"/>
              <w:rPr>
                <w:sz w:val="20"/>
                <w:szCs w:val="20"/>
                <w:color w:val="auto"/>
              </w:rPr>
            </w:pPr>
            <w:r>
              <w:rPr>
                <w:rFonts w:ascii="Courier New" w:cs="Courier New" w:eastAsia="Courier New" w:hAnsi="Courier New"/>
                <w:sz w:val="16"/>
                <w:szCs w:val="16"/>
                <w:color w:val="auto"/>
              </w:rPr>
              <w:t>1934 during the preceding 12 months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(or for</w:t>
            </w:r>
          </w:p>
        </w:tc>
        <w:tc>
          <w:tcPr>
            <w:tcW w:w="200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such shorter period</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that</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440" w:type="dxa"/>
            <w:vAlign w:val="bottom"/>
          </w:tcPr>
          <w:p>
            <w:pPr>
              <w:spacing w:after="0"/>
              <w:rPr>
                <w:sz w:val="16"/>
                <w:szCs w:val="16"/>
                <w:color w:val="auto"/>
              </w:rPr>
            </w:pPr>
          </w:p>
        </w:tc>
      </w:tr>
      <w:tr>
        <w:trPr>
          <w:trHeight w:val="188"/>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rPr>
              <w:t>registrant was required to file</w:t>
            </w:r>
          </w:p>
        </w:tc>
        <w:tc>
          <w:tcPr>
            <w:tcW w:w="14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such reports),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has been</w:t>
            </w:r>
          </w:p>
        </w:tc>
        <w:tc>
          <w:tcPr>
            <w:tcW w:w="1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subject to</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such</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filing requirements for the</w:t>
            </w:r>
          </w:p>
        </w:tc>
        <w:tc>
          <w:tcPr>
            <w:tcW w:w="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past 90</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days.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Yes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[X]</w:t>
            </w:r>
          </w:p>
        </w:tc>
        <w:tc>
          <w:tcPr>
            <w:tcW w:w="3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No [ ]</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spacing w:after="0" w:line="192" w:lineRule="exact"/>
        <w:rPr>
          <w:sz w:val="24"/>
          <w:szCs w:val="24"/>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number of shares of Common Stock, $.01 par value, of the registrant outstanding at May 9, 2000 was 621,088,479 (excluding 7,892,612 shares held in the Waste Management, Inc. Employee Stock Benefit Trust and treasury shares of 73,709).</w:t>
      </w:r>
    </w:p>
    <w:p>
      <w:pPr>
        <w:spacing w:after="0" w:line="188" w:lineRule="exact"/>
        <w:rPr>
          <w:sz w:val="24"/>
          <w:szCs w:val="24"/>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(IN THOUSANDS, EXCEPT SHARE AND PAR VALUE AMOUNTS)</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MARCH 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(UNAUDITED)</w:t>
            </w:r>
          </w:p>
        </w:tc>
        <w:tc>
          <w:tcPr>
            <w:tcW w:w="1260" w:type="dxa"/>
            <w:vAlign w:val="bottom"/>
          </w:tcPr>
          <w:p>
            <w:pPr>
              <w:spacing w:after="0"/>
              <w:rPr>
                <w:sz w:val="16"/>
                <w:szCs w:val="16"/>
                <w:color w:val="auto"/>
              </w:rPr>
            </w:pP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147,422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181,357</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1,614,113</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1,907,287</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Parts and supplies........................................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115,160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107,222</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Deferred income taxes.....................................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291,479</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298,433</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154,198</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190,744</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Operations held for sale..................................</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3,583,650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3,535,502</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current assets...............................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5,906,022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6,220,545</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Property and equipment, net.................................</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10,136,441</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10,303,803</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5,212,046</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5,185,909</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intangible assets, net................................</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152,735</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170,768</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assets................................................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816,937</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800,399</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assets.......................................</w:t>
            </w: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$22,224,181</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$22,681,424</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LIABILITIES AND STOCKHOLDERS' EQUITY</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payable..........................................</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965,868</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$ 1,062,536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Accrued liabilities.......................................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1,432,917</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1,512,873</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revenues.........................................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404,881</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407,084</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Current maturities of long-term debt......................</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2,760,371</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3,098,742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Operations held for sale..................................</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1,397,985</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1,408,220</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current liabilities..........................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6,962,022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7,489,455</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Long-term debt, less current maturities.....................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8,352,949</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8,399,346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income taxes.......................................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807,657</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729,902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Environmental liabilities...................................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849,312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837,407</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liabilities...........................................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790,515</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815,028</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liabilities..................................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17,762,455</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18,271,138</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Minority interest in subsidiaries...........................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8,964</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7,674</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$.01 par value; 10,000,000 shares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authorized; none issued.................................</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value; 1,500,000,000 shares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authorized; 629,006,157 and 627,283,618 shares issued,</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respectively............................................</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6,290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6,273</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Additional paid-in capital................................</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4,439,324</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4,440,159</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Retained earnings.........................................</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717,749</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662,746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(594,420)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(563,086)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Restricted stock unearned compensation....................</w:t>
            </w:r>
          </w:p>
        </w:tc>
        <w:tc>
          <w:tcPr>
            <w:tcW w:w="1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(4,261)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(3,936)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Treasury stock at cost, 73,709 shares.....................</w:t>
            </w:r>
          </w:p>
        </w:tc>
        <w:tc>
          <w:tcPr>
            <w:tcW w:w="1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(3,890)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(3,890)</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Employee stock benefit trust at market, 7,892,612</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shares..................................................</w:t>
            </w:r>
          </w:p>
        </w:tc>
        <w:tc>
          <w:tcPr>
            <w:tcW w:w="1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(108,030)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(135,654)</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stockholders' equity.........................</w:t>
            </w:r>
          </w:p>
        </w:tc>
        <w:tc>
          <w:tcPr>
            <w:tcW w:w="1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4,452,762</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4,402,612</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$22,224,181</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$22,681,424</w:t>
            </w:r>
          </w:p>
        </w:tc>
      </w:tr>
      <w:tr>
        <w:trPr>
          <w:trHeight w:val="188"/>
        </w:trPr>
        <w:tc>
          <w:tcPr>
            <w:tcW w:w="6060" w:type="dxa"/>
            <w:vAlign w:val="bottom"/>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statements.</w:t>
      </w:r>
    </w:p>
    <w:p>
      <w:pPr>
        <w:sectPr>
          <w:pgSz w:w="11900" w:h="16838" w:orient="portrait"/>
          <w:cols w:equalWidth="0" w:num="1">
            <w:col w:w="10219"/>
          </w:cols>
          <w:pgMar w:left="240" w:top="305" w:right="1440" w:bottom="751"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5" w:right="1440" w:bottom="751"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88"/>
        </w:trPr>
        <w:tc>
          <w:tcPr>
            <w:tcW w:w="5960" w:type="dxa"/>
            <w:vAlign w:val="bottom"/>
          </w:tcPr>
          <w:p>
            <w:pPr>
              <w:spacing w:after="0"/>
              <w:rPr>
                <w:sz w:val="16"/>
                <w:szCs w:val="16"/>
                <w:color w:val="auto"/>
              </w:rPr>
            </w:pPr>
          </w:p>
        </w:tc>
        <w:tc>
          <w:tcPr>
            <w:tcW w:w="254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96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(UNAUDITED)</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3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$3,217,309</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$3,070,635</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shown below)...........................................</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1,955,716</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1,676,783</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494,011</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259,938</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350,409</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356,332</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Merger and acquisition related costs......................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17,484</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Asset impairments and unusual items.......................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103,353</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2,903,489</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2,310,537</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from operations......................................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313,820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760,098</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(210,209)</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(176,157)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8,848</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2,818</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Minority interest.........................................</w:t>
            </w:r>
          </w:p>
        </w:tc>
        <w:tc>
          <w:tcPr>
            <w:tcW w:w="20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(5,972)</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(6,462)</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income, net.........................................</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13,366</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14,363</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(193,967)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(165,438)</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before income taxes..................................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119,853</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594,660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Provision for income taxes..................................</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64,850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247,972</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55,003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346,688</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Basic earnings per common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0.57</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Diluted earnings per common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0.55</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620,633</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602,522</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shares outstanding.................................</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621,542</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642,481</w:t>
            </w:r>
          </w:p>
        </w:tc>
      </w:tr>
      <w:tr>
        <w:trPr>
          <w:trHeight w:val="188"/>
        </w:trPr>
        <w:tc>
          <w:tcPr>
            <w:tcW w:w="596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statements.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5" w:right="1440" w:bottom="1440" w:gutter="0" w:footer="0" w:header="0"/>
        </w:sectPr>
      </w:pPr>
    </w:p>
    <w:bookmarkStart w:id="3" w:name="page4"/>
    <w:bookmarkEnd w:id="3"/>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CONDENSED CONSOLIDATED STATEMENT OF STOCKHOLDERS' EQUITY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THOUSANDS)</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(UNAUDITED)</w:t>
      </w:r>
    </w:p>
    <w:p>
      <w:pPr>
        <w:spacing w:after="0" w:line="383" w:lineRule="exact"/>
        <w:rPr>
          <w:sz w:val="20"/>
          <w:szCs w:val="20"/>
          <w:color w:val="auto"/>
        </w:rPr>
      </w:pPr>
    </w:p>
    <w:p>
      <w:pPr>
        <w:ind w:left="7420"/>
        <w:spacing w:after="0"/>
        <w:rPr>
          <w:sz w:val="20"/>
          <w:szCs w:val="20"/>
          <w:color w:val="auto"/>
        </w:rPr>
      </w:pPr>
      <w:r>
        <w:rPr>
          <w:rFonts w:ascii="Courier New" w:cs="Courier New" w:eastAsia="Courier New" w:hAnsi="Courier New"/>
          <w:sz w:val="16"/>
          <w:szCs w:val="16"/>
          <w:color w:val="auto"/>
        </w:rPr>
        <w:t>ACCUMULATED</w:t>
      </w:r>
    </w:p>
    <w:p>
      <w:pPr>
        <w:spacing w:after="0" w:line="7" w:lineRule="exact"/>
        <w:rPr>
          <w:sz w:val="20"/>
          <w:szCs w:val="20"/>
          <w:color w:val="auto"/>
        </w:rPr>
      </w:pPr>
    </w:p>
    <w:p>
      <w:pPr>
        <w:ind w:left="4980"/>
        <w:spacing w:after="0"/>
        <w:tabs>
          <w:tab w:leader="none" w:pos="7700" w:val="left"/>
          <w:tab w:leader="none" w:pos="8880" w:val="left"/>
        </w:tabs>
        <w:rPr>
          <w:sz w:val="20"/>
          <w:szCs w:val="20"/>
          <w:color w:val="auto"/>
        </w:rPr>
      </w:pPr>
      <w:r>
        <w:rPr>
          <w:rFonts w:ascii="Courier New" w:cs="Courier New" w:eastAsia="Courier New" w:hAnsi="Courier New"/>
          <w:sz w:val="16"/>
          <w:szCs w:val="16"/>
          <w:color w:val="auto"/>
        </w:rPr>
        <w:t>ADDITIONAL</w:t>
      </w:r>
      <w:r>
        <w:rPr>
          <w:sz w:val="20"/>
          <w:szCs w:val="20"/>
          <w:color w:val="auto"/>
        </w:rPr>
        <w:tab/>
      </w: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6"/>
          <w:szCs w:val="16"/>
          <w:color w:val="auto"/>
        </w:rPr>
        <w:t>RESTRICTED STOCK</w:t>
      </w:r>
    </w:p>
    <w:p>
      <w:pPr>
        <w:spacing w:after="0" w:line="7" w:lineRule="exact"/>
        <w:rPr>
          <w:sz w:val="20"/>
          <w:szCs w:val="20"/>
          <w:color w:val="auto"/>
        </w:rPr>
      </w:pPr>
    </w:p>
    <w:p>
      <w:pPr>
        <w:jc w:val="both"/>
        <w:ind w:left="2940"/>
        <w:spacing w:after="0"/>
        <w:tabs>
          <w:tab w:leader="none" w:pos="4080" w:val="left"/>
          <w:tab w:leader="none" w:pos="5060" w:val="left"/>
          <w:tab w:leader="none" w:pos="6240" w:val="left"/>
          <w:tab w:leader="none" w:pos="7320" w:val="left"/>
          <w:tab w:leader="none" w:pos="9260" w:val="left"/>
          <w:tab w:leader="none" w:pos="10740" w:val="left"/>
        </w:tabs>
        <w:rPr>
          <w:sz w:val="20"/>
          <w:szCs w:val="20"/>
          <w:color w:val="auto"/>
        </w:rPr>
      </w:pPr>
      <w:r>
        <w:rPr>
          <w:rFonts w:ascii="Courier New" w:cs="Courier New" w:eastAsia="Courier New" w:hAnsi="Courier New"/>
          <w:sz w:val="16"/>
          <w:szCs w:val="16"/>
          <w:color w:val="auto"/>
        </w:rPr>
        <w:t>PREFERRED</w:t>
        <w:tab/>
        <w:t>COMMON</w:t>
      </w:r>
      <w:r>
        <w:rPr>
          <w:sz w:val="20"/>
          <w:szCs w:val="20"/>
          <w:color w:val="auto"/>
        </w:rPr>
        <w:tab/>
      </w:r>
      <w:r>
        <w:rPr>
          <w:rFonts w:ascii="Courier New" w:cs="Courier New" w:eastAsia="Courier New" w:hAnsi="Courier New"/>
          <w:sz w:val="16"/>
          <w:szCs w:val="16"/>
          <w:color w:val="auto"/>
        </w:rPr>
        <w:t>PAID-IN</w:t>
      </w:r>
      <w:r>
        <w:rPr>
          <w:sz w:val="20"/>
          <w:szCs w:val="20"/>
          <w:color w:val="auto"/>
        </w:rPr>
        <w:tab/>
      </w:r>
      <w:r>
        <w:rPr>
          <w:rFonts w:ascii="Courier New" w:cs="Courier New" w:eastAsia="Courier New" w:hAnsi="Courier New"/>
          <w:sz w:val="16"/>
          <w:szCs w:val="16"/>
          <w:color w:val="auto"/>
        </w:rPr>
        <w:t>RETAINED</w:t>
      </w:r>
      <w:r>
        <w:rPr>
          <w:sz w:val="20"/>
          <w:szCs w:val="20"/>
          <w:color w:val="auto"/>
        </w:rPr>
        <w:tab/>
      </w:r>
      <w:r>
        <w:rPr>
          <w:rFonts w:ascii="Courier New" w:cs="Courier New" w:eastAsia="Courier New" w:hAnsi="Courier New"/>
          <w:sz w:val="16"/>
          <w:szCs w:val="16"/>
          <w:color w:val="auto"/>
        </w:rPr>
        <w:t>COMPREHENSIVE</w:t>
      </w:r>
      <w:r>
        <w:rPr>
          <w:sz w:val="20"/>
          <w:szCs w:val="20"/>
          <w:color w:val="auto"/>
        </w:rPr>
        <w:tab/>
      </w:r>
      <w:r>
        <w:rPr>
          <w:rFonts w:ascii="Courier New" w:cs="Courier New" w:eastAsia="Courier New" w:hAnsi="Courier New"/>
          <w:sz w:val="16"/>
          <w:szCs w:val="16"/>
          <w:color w:val="auto"/>
        </w:rPr>
        <w:t>UNEARNED</w:t>
      </w:r>
      <w:r>
        <w:rPr>
          <w:sz w:val="20"/>
          <w:szCs w:val="20"/>
          <w:color w:val="auto"/>
        </w:rPr>
        <w:tab/>
      </w:r>
      <w:r>
        <w:rPr>
          <w:rFonts w:ascii="Courier New" w:cs="Courier New" w:eastAsia="Courier New" w:hAnsi="Courier New"/>
          <w:sz w:val="15"/>
          <w:szCs w:val="15"/>
          <w:color w:val="auto"/>
        </w:rPr>
        <w:t>TREASURY</w:t>
      </w:r>
    </w:p>
    <w:p>
      <w:pPr>
        <w:spacing w:after="0" w:line="7" w:lineRule="exact"/>
        <w:rPr>
          <w:sz w:val="20"/>
          <w:szCs w:val="20"/>
          <w:color w:val="auto"/>
        </w:rPr>
      </w:pPr>
    </w:p>
    <w:p>
      <w:pPr>
        <w:ind w:left="3120"/>
        <w:spacing w:after="0"/>
        <w:tabs>
          <w:tab w:leader="none" w:pos="4080" w:val="left"/>
          <w:tab w:leader="none" w:pos="5060" w:val="left"/>
          <w:tab w:leader="none" w:pos="6240" w:val="left"/>
          <w:tab w:leader="none" w:pos="7320" w:val="left"/>
          <w:tab w:leader="none" w:pos="9060" w:val="left"/>
          <w:tab w:leader="none" w:pos="1082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CAPITAL</w:t>
      </w:r>
      <w:r>
        <w:rPr>
          <w:sz w:val="20"/>
          <w:szCs w:val="20"/>
          <w:color w:val="auto"/>
        </w:rPr>
        <w:tab/>
      </w:r>
      <w:r>
        <w:rPr>
          <w:rFonts w:ascii="Courier New" w:cs="Courier New" w:eastAsia="Courier New" w:hAnsi="Courier New"/>
          <w:sz w:val="16"/>
          <w:szCs w:val="16"/>
          <w:color w:val="auto"/>
        </w:rPr>
        <w:t>EARNINGS</w:t>
      </w:r>
      <w:r>
        <w:rPr>
          <w:sz w:val="20"/>
          <w:szCs w:val="20"/>
          <w:color w:val="auto"/>
        </w:rPr>
        <w:tab/>
      </w:r>
      <w:r>
        <w:rPr>
          <w:rFonts w:ascii="Courier New" w:cs="Courier New" w:eastAsia="Courier New" w:hAnsi="Courier New"/>
          <w:sz w:val="16"/>
          <w:szCs w:val="16"/>
          <w:color w:val="auto"/>
        </w:rPr>
        <w:t>INCOME (LOSS)</w:t>
      </w:r>
      <w:r>
        <w:rPr>
          <w:sz w:val="20"/>
          <w:szCs w:val="20"/>
          <w:color w:val="auto"/>
        </w:rPr>
        <w:tab/>
      </w: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6"/>
          <w:szCs w:val="16"/>
          <w:color w:val="auto"/>
        </w:rPr>
        <w:t>STOCK</w:t>
      </w:r>
    </w:p>
    <w:p>
      <w:pPr>
        <w:spacing w:after="0" w:line="7" w:lineRule="exact"/>
        <w:rPr>
          <w:sz w:val="20"/>
          <w:szCs w:val="20"/>
          <w:color w:val="auto"/>
        </w:rPr>
      </w:pPr>
    </w:p>
    <w:p>
      <w:pPr>
        <w:ind w:left="2940"/>
        <w:spacing w:after="0"/>
        <w:tabs>
          <w:tab w:leader="none" w:pos="4080" w:val="left"/>
          <w:tab w:leader="none" w:pos="4960" w:val="left"/>
          <w:tab w:leader="none" w:pos="6240" w:val="left"/>
          <w:tab w:leader="none" w:pos="7320" w:val="left"/>
          <w:tab w:leader="none" w:pos="8880" w:val="left"/>
          <w:tab w:leader="none" w:pos="10740" w:val="left"/>
        </w:tabs>
        <w:rPr>
          <w:sz w:val="20"/>
          <w:szCs w:val="20"/>
          <w:color w:val="auto"/>
        </w:rPr>
      </w:pPr>
      <w:r>
        <w:rPr>
          <w:rFonts w:ascii="Courier New" w:cs="Courier New" w:eastAsia="Courier New" w:hAnsi="Courier New"/>
          <w:sz w:val="16"/>
          <w:szCs w:val="16"/>
          <w:color w:val="auto"/>
        </w:rPr>
        <w:t>---------</w:t>
        <w:tab/>
        <w:t>------</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December 31,</w:t>
      </w:r>
    </w:p>
    <w:p>
      <w:pPr>
        <w:spacing w:after="0" w:line="7" w:lineRule="exact"/>
        <w:rPr>
          <w:sz w:val="20"/>
          <w:szCs w:val="20"/>
          <w:color w:val="auto"/>
        </w:rPr>
      </w:pPr>
    </w:p>
    <w:p>
      <w:pPr>
        <w:ind w:left="200"/>
        <w:spacing w:after="0"/>
        <w:tabs>
          <w:tab w:leader="none" w:pos="3100" w:val="left"/>
          <w:tab w:leader="none" w:pos="4080" w:val="left"/>
          <w:tab w:leader="none" w:pos="4960" w:val="left"/>
          <w:tab w:leader="none" w:pos="6240" w:val="left"/>
          <w:tab w:leader="none" w:pos="7500" w:val="left"/>
          <w:tab w:leader="none" w:pos="9260" w:val="left"/>
          <w:tab w:leader="none" w:pos="1074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$6,273</w:t>
        <w:tab/>
        <w:t>$4,440,159</w:t>
      </w:r>
      <w:r>
        <w:rPr>
          <w:sz w:val="20"/>
          <w:szCs w:val="20"/>
          <w:color w:val="auto"/>
        </w:rPr>
        <w:tab/>
      </w:r>
      <w:r>
        <w:rPr>
          <w:rFonts w:ascii="Courier New" w:cs="Courier New" w:eastAsia="Courier New" w:hAnsi="Courier New"/>
          <w:sz w:val="16"/>
          <w:szCs w:val="16"/>
          <w:color w:val="auto"/>
        </w:rPr>
        <w:t>$662,746</w:t>
      </w:r>
      <w:r>
        <w:rPr>
          <w:sz w:val="20"/>
          <w:szCs w:val="20"/>
          <w:color w:val="auto"/>
        </w:rPr>
        <w:tab/>
      </w:r>
      <w:r>
        <w:rPr>
          <w:rFonts w:ascii="Courier New" w:cs="Courier New" w:eastAsia="Courier New" w:hAnsi="Courier New"/>
          <w:sz w:val="16"/>
          <w:szCs w:val="16"/>
          <w:color w:val="auto"/>
        </w:rPr>
        <w:t>$(563,086)</w:t>
      </w:r>
      <w:r>
        <w:rPr>
          <w:sz w:val="20"/>
          <w:szCs w:val="20"/>
          <w:color w:val="auto"/>
        </w:rPr>
        <w:tab/>
      </w:r>
      <w:r>
        <w:rPr>
          <w:rFonts w:ascii="Courier New" w:cs="Courier New" w:eastAsia="Courier New" w:hAnsi="Courier New"/>
          <w:sz w:val="16"/>
          <w:szCs w:val="16"/>
          <w:color w:val="auto"/>
        </w:rPr>
        <w:t>$(3,936)</w:t>
      </w:r>
      <w:r>
        <w:rPr>
          <w:sz w:val="20"/>
          <w:szCs w:val="20"/>
          <w:color w:val="auto"/>
        </w:rPr>
        <w:tab/>
      </w:r>
      <w:r>
        <w:rPr>
          <w:rFonts w:ascii="Courier New" w:cs="Courier New" w:eastAsia="Courier New" w:hAnsi="Courier New"/>
          <w:sz w:val="15"/>
          <w:szCs w:val="15"/>
          <w:color w:val="auto"/>
        </w:rPr>
        <w:t>$(3,890)</w:t>
      </w:r>
    </w:p>
    <w:p>
      <w:pPr>
        <w:spacing w:after="0" w:line="7" w:lineRule="exact"/>
        <w:rPr>
          <w:sz w:val="20"/>
          <w:szCs w:val="20"/>
          <w:color w:val="auto"/>
        </w:rPr>
      </w:pPr>
    </w:p>
    <w:p>
      <w:pPr>
        <w:ind w:left="200"/>
        <w:spacing w:after="0"/>
        <w:tabs>
          <w:tab w:leader="none" w:pos="3300" w:val="left"/>
          <w:tab w:leader="none" w:pos="4380" w:val="left"/>
          <w:tab w:leader="none" w:pos="5740" w:val="left"/>
          <w:tab w:leader="none" w:pos="6440" w:val="left"/>
          <w:tab w:leader="none" w:pos="8200" w:val="left"/>
          <w:tab w:leader="none" w:pos="9760" w:val="left"/>
          <w:tab w:leader="none" w:pos="1122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55,003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Common stock issued upon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exercise of stock</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options and warrants and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grants of restricted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stock (including tax</w:t>
      </w:r>
    </w:p>
    <w:p>
      <w:pPr>
        <w:spacing w:after="0" w:line="7" w:lineRule="exact"/>
        <w:rPr>
          <w:sz w:val="20"/>
          <w:szCs w:val="20"/>
          <w:color w:val="auto"/>
        </w:rPr>
      </w:pPr>
    </w:p>
    <w:p>
      <w:pPr>
        <w:ind w:left="400"/>
        <w:spacing w:after="0"/>
        <w:tabs>
          <w:tab w:leader="none" w:pos="3300" w:val="left"/>
          <w:tab w:leader="none" w:pos="4480" w:val="left"/>
          <w:tab w:leader="none" w:pos="5460" w:val="left"/>
          <w:tab w:leader="none" w:pos="6820" w:val="left"/>
          <w:tab w:leader="none" w:pos="8200" w:val="left"/>
          <w:tab w:leader="none" w:pos="9560" w:val="left"/>
          <w:tab w:leader="none" w:pos="11220" w:val="left"/>
        </w:tabs>
        <w:rPr>
          <w:sz w:val="20"/>
          <w:szCs w:val="20"/>
          <w:color w:val="auto"/>
        </w:rPr>
      </w:pPr>
      <w:r>
        <w:rPr>
          <w:rFonts w:ascii="Courier New" w:cs="Courier New" w:eastAsia="Courier New" w:hAnsi="Courier New"/>
          <w:sz w:val="16"/>
          <w:szCs w:val="16"/>
          <w:color w:val="auto"/>
        </w:rPr>
        <w:t>benefit)................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1,559</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(685)</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Earned compensation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related to restricted</w:t>
      </w:r>
    </w:p>
    <w:p>
      <w:pPr>
        <w:spacing w:after="0" w:line="7" w:lineRule="exact"/>
        <w:rPr>
          <w:sz w:val="20"/>
          <w:szCs w:val="20"/>
          <w:color w:val="auto"/>
        </w:rPr>
      </w:pPr>
    </w:p>
    <w:p>
      <w:pPr>
        <w:ind w:left="400"/>
        <w:spacing w:after="0"/>
        <w:tabs>
          <w:tab w:leader="none" w:pos="3300" w:val="left"/>
          <w:tab w:leader="none" w:pos="4380" w:val="left"/>
          <w:tab w:leader="none" w:pos="5740" w:val="left"/>
          <w:tab w:leader="none" w:pos="6820" w:val="left"/>
          <w:tab w:leader="none" w:pos="8200" w:val="left"/>
          <w:tab w:leader="none" w:pos="9660" w:val="left"/>
          <w:tab w:leader="none" w:pos="1122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360</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Common stock issued in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connection with</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litigation</w:t>
      </w:r>
    </w:p>
    <w:p>
      <w:pPr>
        <w:spacing w:after="0" w:line="7" w:lineRule="exact"/>
        <w:rPr>
          <w:sz w:val="20"/>
          <w:szCs w:val="20"/>
          <w:color w:val="auto"/>
        </w:rPr>
      </w:pPr>
    </w:p>
    <w:p>
      <w:pPr>
        <w:ind w:left="400"/>
        <w:spacing w:after="0"/>
        <w:tabs>
          <w:tab w:leader="none" w:pos="3300" w:val="left"/>
          <w:tab w:leader="none" w:pos="4380" w:val="left"/>
          <w:tab w:leader="none" w:pos="5360" w:val="left"/>
          <w:tab w:leader="none" w:pos="6820" w:val="left"/>
          <w:tab w:leader="none" w:pos="8200" w:val="left"/>
          <w:tab w:leader="none" w:pos="9760" w:val="left"/>
          <w:tab w:leader="none" w:pos="11220" w:val="left"/>
        </w:tabs>
        <w:rPr>
          <w:sz w:val="20"/>
          <w:szCs w:val="20"/>
          <w:color w:val="auto"/>
        </w:rPr>
      </w:pPr>
      <w:r>
        <w:rPr>
          <w:rFonts w:ascii="Courier New" w:cs="Courier New" w:eastAsia="Courier New" w:hAnsi="Courier New"/>
          <w:sz w:val="16"/>
          <w:szCs w:val="16"/>
          <w:color w:val="auto"/>
        </w:rPr>
        <w:t>settlements.............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17,141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Adjustment of employee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stock benefit trust to</w:t>
      </w:r>
    </w:p>
    <w:p>
      <w:pPr>
        <w:spacing w:after="0" w:line="7" w:lineRule="exact"/>
        <w:rPr>
          <w:sz w:val="20"/>
          <w:szCs w:val="20"/>
          <w:color w:val="auto"/>
        </w:rPr>
      </w:pPr>
    </w:p>
    <w:p>
      <w:pPr>
        <w:ind w:left="400"/>
        <w:spacing w:after="0"/>
        <w:tabs>
          <w:tab w:leader="none" w:pos="3300" w:val="left"/>
          <w:tab w:leader="none" w:pos="4380" w:val="left"/>
          <w:tab w:leader="none" w:pos="5260" w:val="left"/>
          <w:tab w:leader="none" w:pos="6820" w:val="left"/>
          <w:tab w:leader="none" w:pos="8200" w:val="left"/>
          <w:tab w:leader="none" w:pos="9760" w:val="left"/>
          <w:tab w:leader="none" w:pos="11220" w:val="left"/>
        </w:tabs>
        <w:rPr>
          <w:sz w:val="20"/>
          <w:szCs w:val="20"/>
          <w:color w:val="auto"/>
        </w:rPr>
      </w:pPr>
      <w:r>
        <w:rPr>
          <w:rFonts w:ascii="Courier New" w:cs="Courier New" w:eastAsia="Courier New" w:hAnsi="Courier New"/>
          <w:sz w:val="16"/>
          <w:szCs w:val="16"/>
          <w:color w:val="auto"/>
        </w:rPr>
        <w:t>market value............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(27,624)</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Adjustment for minimum</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pension liability, net</w:t>
      </w:r>
    </w:p>
    <w:p>
      <w:pPr>
        <w:spacing w:after="0" w:line="7" w:lineRule="exact"/>
        <w:rPr>
          <w:sz w:val="20"/>
          <w:szCs w:val="20"/>
          <w:color w:val="auto"/>
        </w:rPr>
      </w:pPr>
    </w:p>
    <w:p>
      <w:pPr>
        <w:ind w:left="400"/>
        <w:spacing w:after="0"/>
        <w:tabs>
          <w:tab w:leader="none" w:pos="3300" w:val="left"/>
          <w:tab w:leader="none" w:pos="4380" w:val="left"/>
          <w:tab w:leader="none" w:pos="5740" w:val="left"/>
          <w:tab w:leader="none" w:pos="6820" w:val="left"/>
          <w:tab w:leader="none" w:pos="7800" w:val="left"/>
          <w:tab w:leader="none" w:pos="9760" w:val="left"/>
          <w:tab w:leader="none" w:pos="11220" w:val="left"/>
        </w:tabs>
        <w:rPr>
          <w:sz w:val="20"/>
          <w:szCs w:val="20"/>
          <w:color w:val="auto"/>
        </w:rPr>
      </w:pPr>
      <w:r>
        <w:rPr>
          <w:rFonts w:ascii="Courier New" w:cs="Courier New" w:eastAsia="Courier New" w:hAnsi="Courier New"/>
          <w:sz w:val="16"/>
          <w:szCs w:val="16"/>
          <w:color w:val="auto"/>
        </w:rPr>
        <w:t>of taxes................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48,013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Cumulative translation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adjustment of foreign</w:t>
      </w:r>
    </w:p>
    <w:p>
      <w:pPr>
        <w:spacing w:after="0" w:line="7" w:lineRule="exact"/>
        <w:rPr>
          <w:sz w:val="20"/>
          <w:szCs w:val="20"/>
          <w:color w:val="auto"/>
        </w:rPr>
      </w:pPr>
    </w:p>
    <w:p>
      <w:pPr>
        <w:ind w:left="400"/>
        <w:spacing w:after="0"/>
        <w:tabs>
          <w:tab w:leader="none" w:pos="3300" w:val="left"/>
          <w:tab w:leader="none" w:pos="4380" w:val="left"/>
          <w:tab w:leader="none" w:pos="5740" w:val="left"/>
          <w:tab w:leader="none" w:pos="6820" w:val="left"/>
          <w:tab w:leader="none" w:pos="7700" w:val="left"/>
          <w:tab w:leader="none" w:pos="9760" w:val="left"/>
          <w:tab w:leader="none" w:pos="11220" w:val="left"/>
        </w:tabs>
        <w:rPr>
          <w:sz w:val="20"/>
          <w:szCs w:val="20"/>
          <w:color w:val="auto"/>
        </w:rPr>
      </w:pPr>
      <w:r>
        <w:rPr>
          <w:rFonts w:ascii="Courier New" w:cs="Courier New" w:eastAsia="Courier New" w:hAnsi="Courier New"/>
          <w:sz w:val="16"/>
          <w:szCs w:val="16"/>
          <w:color w:val="auto"/>
        </w:rPr>
        <w:t>currency statements.....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(79,347)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tabs>
          <w:tab w:leader="none" w:pos="3300" w:val="left"/>
          <w:tab w:leader="none" w:pos="4480" w:val="left"/>
          <w:tab w:leader="none" w:pos="5460" w:val="left"/>
          <w:tab w:leader="none" w:pos="6820" w:val="left"/>
          <w:tab w:leader="none" w:pos="8200" w:val="left"/>
          <w:tab w:leader="none" w:pos="9760" w:val="left"/>
          <w:tab w:leader="none" w:pos="11220" w:val="left"/>
        </w:tabs>
        <w:rPr>
          <w:sz w:val="20"/>
          <w:szCs w:val="20"/>
          <w:color w:val="auto"/>
        </w:rPr>
      </w:pP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8,089</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4080" w:val="left"/>
          <w:tab w:leader="none" w:pos="4960" w:val="left"/>
          <w:tab w:leader="none" w:pos="6240" w:val="left"/>
          <w:tab w:leader="none" w:pos="7500" w:val="left"/>
          <w:tab w:leader="none" w:pos="9260" w:val="left"/>
          <w:tab w:leader="none" w:pos="10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3100" w:val="left"/>
          <w:tab w:leader="none" w:pos="4080" w:val="left"/>
          <w:tab w:leader="none" w:pos="4960" w:val="left"/>
          <w:tab w:leader="none" w:pos="6240" w:val="left"/>
          <w:tab w:leader="none" w:pos="7500" w:val="left"/>
          <w:tab w:leader="none" w:pos="9260" w:val="left"/>
          <w:tab w:leader="none" w:pos="10740" w:val="left"/>
        </w:tabs>
        <w:rPr>
          <w:sz w:val="20"/>
          <w:szCs w:val="20"/>
          <w:color w:val="auto"/>
        </w:rPr>
      </w:pPr>
      <w:r>
        <w:rPr>
          <w:rFonts w:ascii="Courier New" w:cs="Courier New" w:eastAsia="Courier New" w:hAnsi="Courier New"/>
          <w:sz w:val="16"/>
          <w:szCs w:val="16"/>
          <w:color w:val="auto"/>
        </w:rPr>
        <w:t>Balance, March 31, 2000.....</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$6,290</w:t>
        <w:tab/>
        <w:t>$4,439,324</w:t>
      </w:r>
      <w:r>
        <w:rPr>
          <w:sz w:val="20"/>
          <w:szCs w:val="20"/>
          <w:color w:val="auto"/>
        </w:rPr>
        <w:tab/>
      </w:r>
      <w:r>
        <w:rPr>
          <w:rFonts w:ascii="Courier New" w:cs="Courier New" w:eastAsia="Courier New" w:hAnsi="Courier New"/>
          <w:sz w:val="16"/>
          <w:szCs w:val="16"/>
          <w:color w:val="auto"/>
        </w:rPr>
        <w:t>$717,749</w:t>
      </w:r>
      <w:r>
        <w:rPr>
          <w:sz w:val="20"/>
          <w:szCs w:val="20"/>
          <w:color w:val="auto"/>
        </w:rPr>
        <w:tab/>
      </w:r>
      <w:r>
        <w:rPr>
          <w:rFonts w:ascii="Courier New" w:cs="Courier New" w:eastAsia="Courier New" w:hAnsi="Courier New"/>
          <w:sz w:val="16"/>
          <w:szCs w:val="16"/>
          <w:color w:val="auto"/>
        </w:rPr>
        <w:t>$(594,420)</w:t>
      </w:r>
      <w:r>
        <w:rPr>
          <w:sz w:val="20"/>
          <w:szCs w:val="20"/>
          <w:color w:val="auto"/>
        </w:rPr>
        <w:tab/>
      </w:r>
      <w:r>
        <w:rPr>
          <w:rFonts w:ascii="Courier New" w:cs="Courier New" w:eastAsia="Courier New" w:hAnsi="Courier New"/>
          <w:sz w:val="16"/>
          <w:szCs w:val="16"/>
          <w:color w:val="auto"/>
        </w:rPr>
        <w:t>$(4,261)</w:t>
      </w:r>
      <w:r>
        <w:rPr>
          <w:sz w:val="20"/>
          <w:szCs w:val="20"/>
          <w:color w:val="auto"/>
        </w:rPr>
        <w:tab/>
      </w:r>
      <w:r>
        <w:rPr>
          <w:rFonts w:ascii="Courier New" w:cs="Courier New" w:eastAsia="Courier New" w:hAnsi="Courier New"/>
          <w:sz w:val="15"/>
          <w:szCs w:val="15"/>
          <w:color w:val="auto"/>
        </w:rPr>
        <w:t>$(3,890)</w:t>
      </w:r>
    </w:p>
    <w:p>
      <w:pPr>
        <w:spacing w:after="0" w:line="7" w:lineRule="exact"/>
        <w:rPr>
          <w:sz w:val="20"/>
          <w:szCs w:val="20"/>
          <w:color w:val="auto"/>
        </w:rPr>
      </w:pPr>
    </w:p>
    <w:p>
      <w:pPr>
        <w:ind w:left="3120"/>
        <w:spacing w:after="0"/>
        <w:tabs>
          <w:tab w:leader="none" w:pos="4080" w:val="left"/>
          <w:tab w:leader="none" w:pos="4960" w:val="left"/>
          <w:tab w:leader="none" w:pos="6240" w:val="left"/>
          <w:tab w:leader="none" w:pos="7500" w:val="left"/>
          <w:tab w:leader="none" w:pos="9260" w:val="left"/>
          <w:tab w:leader="none" w:pos="10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6"/>
          <w:szCs w:val="16"/>
          <w:color w:val="auto"/>
        </w:rPr>
        <w:t>EMPLOYEE</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6"/>
          <w:szCs w:val="16"/>
          <w:color w:val="auto"/>
        </w:rPr>
        <w:t>BENEFIT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December 31,</w:t>
      </w:r>
    </w:p>
    <w:p>
      <w:pPr>
        <w:spacing w:after="0" w:line="7" w:lineRule="exact"/>
        <w:rPr>
          <w:sz w:val="20"/>
          <w:szCs w:val="20"/>
          <w:color w:val="auto"/>
        </w:rPr>
      </w:pPr>
    </w:p>
    <w:p>
      <w:pPr>
        <w:ind w:left="200"/>
        <w:spacing w:after="0"/>
        <w:tabs>
          <w:tab w:leader="none" w:pos="310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$(135,654)</w:t>
      </w:r>
    </w:p>
    <w:p>
      <w:pPr>
        <w:spacing w:after="0" w:line="7" w:lineRule="exact"/>
        <w:rPr>
          <w:sz w:val="20"/>
          <w:szCs w:val="20"/>
          <w:color w:val="auto"/>
        </w:rPr>
      </w:pPr>
    </w:p>
    <w:p>
      <w:pPr>
        <w:ind w:left="200"/>
        <w:spacing w:after="0"/>
        <w:tabs>
          <w:tab w:leader="none" w:pos="380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Common stock issued upon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exercise of stock</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options and warrants and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grants of restricted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stock (including tax</w:t>
      </w:r>
    </w:p>
    <w:p>
      <w:pPr>
        <w:spacing w:after="0" w:line="7" w:lineRule="exact"/>
        <w:rPr>
          <w:sz w:val="20"/>
          <w:szCs w:val="20"/>
          <w:color w:val="auto"/>
        </w:rPr>
      </w:pPr>
    </w:p>
    <w:p>
      <w:pPr>
        <w:ind w:left="400"/>
        <w:spacing w:after="0"/>
        <w:tabs>
          <w:tab w:leader="none" w:pos="3800" w:val="left"/>
        </w:tabs>
        <w:rPr>
          <w:sz w:val="20"/>
          <w:szCs w:val="20"/>
          <w:color w:val="auto"/>
        </w:rPr>
      </w:pPr>
      <w:r>
        <w:rPr>
          <w:rFonts w:ascii="Courier New" w:cs="Courier New" w:eastAsia="Courier New" w:hAnsi="Courier New"/>
          <w:sz w:val="16"/>
          <w:szCs w:val="16"/>
          <w:color w:val="auto"/>
        </w:rPr>
        <w:t>benefit)................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Earned compensation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related to restricted</w:t>
      </w:r>
    </w:p>
    <w:p>
      <w:pPr>
        <w:spacing w:after="0" w:line="7" w:lineRule="exact"/>
        <w:rPr>
          <w:sz w:val="20"/>
          <w:szCs w:val="20"/>
          <w:color w:val="auto"/>
        </w:rPr>
      </w:pPr>
    </w:p>
    <w:p>
      <w:pPr>
        <w:ind w:left="400"/>
        <w:spacing w:after="0"/>
        <w:tabs>
          <w:tab w:leader="none" w:pos="380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Common stock issued in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connection with</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litigation</w:t>
      </w:r>
    </w:p>
    <w:p>
      <w:pPr>
        <w:spacing w:after="0" w:line="7" w:lineRule="exact"/>
        <w:rPr>
          <w:sz w:val="20"/>
          <w:szCs w:val="20"/>
          <w:color w:val="auto"/>
        </w:rPr>
      </w:pPr>
    </w:p>
    <w:p>
      <w:pPr>
        <w:ind w:left="400"/>
        <w:spacing w:after="0"/>
        <w:tabs>
          <w:tab w:leader="none" w:pos="3800" w:val="left"/>
        </w:tabs>
        <w:rPr>
          <w:sz w:val="20"/>
          <w:szCs w:val="20"/>
          <w:color w:val="auto"/>
        </w:rPr>
      </w:pPr>
      <w:r>
        <w:rPr>
          <w:rFonts w:ascii="Courier New" w:cs="Courier New" w:eastAsia="Courier New" w:hAnsi="Courier New"/>
          <w:sz w:val="16"/>
          <w:szCs w:val="16"/>
          <w:color w:val="auto"/>
        </w:rPr>
        <w:t>settlements.............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Adjustment of employee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stock benefit trust to</w:t>
      </w:r>
    </w:p>
    <w:p>
      <w:pPr>
        <w:spacing w:after="0" w:line="7" w:lineRule="exact"/>
        <w:rPr>
          <w:sz w:val="20"/>
          <w:szCs w:val="20"/>
          <w:color w:val="auto"/>
        </w:rPr>
      </w:pPr>
    </w:p>
    <w:p>
      <w:pPr>
        <w:ind w:left="400"/>
        <w:spacing w:after="0"/>
        <w:tabs>
          <w:tab w:leader="none" w:pos="3400" w:val="left"/>
        </w:tabs>
        <w:rPr>
          <w:sz w:val="20"/>
          <w:szCs w:val="20"/>
          <w:color w:val="auto"/>
        </w:rPr>
      </w:pPr>
      <w:r>
        <w:rPr>
          <w:rFonts w:ascii="Courier New" w:cs="Courier New" w:eastAsia="Courier New" w:hAnsi="Courier New"/>
          <w:sz w:val="16"/>
          <w:szCs w:val="16"/>
          <w:color w:val="auto"/>
        </w:rPr>
        <w:t>market value............</w:t>
      </w:r>
      <w:r>
        <w:rPr>
          <w:sz w:val="20"/>
          <w:szCs w:val="20"/>
          <w:color w:val="auto"/>
        </w:rPr>
        <w:tab/>
      </w:r>
      <w:r>
        <w:rPr>
          <w:rFonts w:ascii="Courier New" w:cs="Courier New" w:eastAsia="Courier New" w:hAnsi="Courier New"/>
          <w:sz w:val="16"/>
          <w:szCs w:val="16"/>
          <w:color w:val="auto"/>
        </w:rPr>
        <w:t>27,624</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Adjustment for minimum</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pension liability, net</w:t>
      </w:r>
    </w:p>
    <w:p>
      <w:pPr>
        <w:spacing w:after="0" w:line="7" w:lineRule="exact"/>
        <w:rPr>
          <w:sz w:val="20"/>
          <w:szCs w:val="20"/>
          <w:color w:val="auto"/>
        </w:rPr>
      </w:pPr>
    </w:p>
    <w:p>
      <w:pPr>
        <w:ind w:left="400"/>
        <w:spacing w:after="0"/>
        <w:tabs>
          <w:tab w:leader="none" w:pos="3800" w:val="left"/>
        </w:tabs>
        <w:rPr>
          <w:sz w:val="20"/>
          <w:szCs w:val="20"/>
          <w:color w:val="auto"/>
        </w:rPr>
      </w:pPr>
      <w:r>
        <w:rPr>
          <w:rFonts w:ascii="Courier New" w:cs="Courier New" w:eastAsia="Courier New" w:hAnsi="Courier New"/>
          <w:sz w:val="16"/>
          <w:szCs w:val="16"/>
          <w:color w:val="auto"/>
        </w:rPr>
        <w:t>of taxes................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Cumulative translation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adjustment of foreign</w:t>
      </w:r>
    </w:p>
    <w:p>
      <w:pPr>
        <w:spacing w:after="0" w:line="7" w:lineRule="exact"/>
        <w:rPr>
          <w:sz w:val="20"/>
          <w:szCs w:val="20"/>
          <w:color w:val="auto"/>
        </w:rPr>
      </w:pPr>
    </w:p>
    <w:p>
      <w:pPr>
        <w:ind w:left="400"/>
        <w:spacing w:after="0"/>
        <w:tabs>
          <w:tab w:leader="none" w:pos="3800" w:val="left"/>
        </w:tabs>
        <w:rPr>
          <w:sz w:val="20"/>
          <w:szCs w:val="20"/>
          <w:color w:val="auto"/>
        </w:rPr>
      </w:pPr>
      <w:r>
        <w:rPr>
          <w:rFonts w:ascii="Courier New" w:cs="Courier New" w:eastAsia="Courier New" w:hAnsi="Courier New"/>
          <w:sz w:val="16"/>
          <w:szCs w:val="16"/>
          <w:color w:val="auto"/>
        </w:rPr>
        <w:t>currency statements.....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0"/>
        <w:spacing w:after="0"/>
        <w:tabs>
          <w:tab w:leader="none" w:pos="3800" w:val="left"/>
        </w:tabs>
        <w:rPr>
          <w:sz w:val="20"/>
          <w:szCs w:val="20"/>
          <w:color w:val="auto"/>
        </w:rPr>
      </w:pP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Balance, March 31, 2000.....</w:t>
      </w:r>
      <w:r>
        <w:rPr>
          <w:sz w:val="20"/>
          <w:szCs w:val="20"/>
          <w:color w:val="auto"/>
        </w:rPr>
        <w:tab/>
      </w:r>
      <w:r>
        <w:rPr>
          <w:rFonts w:ascii="Courier New" w:cs="Courier New" w:eastAsia="Courier New" w:hAnsi="Courier New"/>
          <w:sz w:val="16"/>
          <w:szCs w:val="16"/>
          <w:color w:val="auto"/>
        </w:rPr>
        <w:t>$(108,030)</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pacing w:after="0" w:line="7"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financial statements.</w:t>
      </w:r>
    </w:p>
    <w:p>
      <w:pPr>
        <w:sectPr>
          <w:pgSz w:w="11900" w:h="16850" w:orient="portrait"/>
          <w:cols w:equalWidth="0" w:num="1">
            <w:col w:w="11520"/>
          </w:cols>
          <w:pgMar w:left="240" w:top="305" w:right="139" w:bottom="0" w:gutter="0" w:footer="0" w:header="0"/>
        </w:sectPr>
      </w:pP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50" w:orient="portrait"/>
          <w:cols w:equalWidth="0" w:num="1">
            <w:col w:w="11520"/>
          </w:cols>
          <w:pgMar w:left="240" w:top="305" w:right="139" w:bottom="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596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3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55,003</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$ 346,688</w:t>
            </w:r>
          </w:p>
        </w:tc>
      </w:tr>
      <w:tr>
        <w:trPr>
          <w:trHeight w:val="188"/>
        </w:trPr>
        <w:tc>
          <w:tcPr>
            <w:tcW w:w="5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Adjustments to reconcile net income to net cash provided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by operating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Provision for bad debts................................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13,293</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8,994</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350,409</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356,332</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income tax provision..........................</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38,822</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129,726</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gain on disposal of assets.........................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(12,632)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(7,004)</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Minority interest in subsidiaries......................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5,972</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6,462</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Effect of asset impairments and unusual items..........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103,353</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Change in assets and liabilities, net of effects of</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2359"/>
              <w:spacing w:after="0"/>
              <w:rPr>
                <w:sz w:val="20"/>
                <w:szCs w:val="20"/>
                <w:color w:val="auto"/>
              </w:rPr>
            </w:pPr>
            <w:r>
              <w:rPr>
                <w:rFonts w:ascii="Courier New" w:cs="Courier New" w:eastAsia="Courier New" w:hAnsi="Courier New"/>
                <w:sz w:val="16"/>
                <w:szCs w:val="16"/>
                <w:color w:val="auto"/>
              </w:rPr>
              <w:t>acquisitions and divestitures: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receivable and other receivables............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288,043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(70,506)</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(20,782)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(88,697)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assets.........................................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21,049</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26,683</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payable and accrued liabilities.............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(182,017)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(34,245)</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revenues and other liabilities..............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16,712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(328,539)</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net...........................................</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(1,996)</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12,570</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675,229</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358,464</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Short-term investments....................................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53,733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(6,466)</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(114,110)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(280,797)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Capital expenditures......................................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(248,565)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(281,272)</w:t>
            </w:r>
          </w:p>
        </w:tc>
      </w:tr>
      <w:tr>
        <w:trPr>
          <w:trHeight w:val="188"/>
        </w:trPr>
        <w:tc>
          <w:tcPr>
            <w:tcW w:w="5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Proceeds from divestitures of businesses and other asset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sales..................................................</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62,022</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275,733</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(43,776)</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4,998</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cash used in investing activities.......................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(290,696)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(287,804)</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Proceeds from issuance of long-term debt..................</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64,774</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636,745</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Principal payments on long-term debt......................</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(481,649)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(757,217)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874</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24,069</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cash used in financing activities.......................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(416,001)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(96,403)</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 and cash</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equivalents...............................................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(2,467)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(1,766)</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Decrease in cash and cash equivalents.......................</w:t>
            </w:r>
          </w:p>
        </w:tc>
        <w:tc>
          <w:tcPr>
            <w:tcW w:w="3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(33,935)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(27,509)</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181,357</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86,873</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147,422</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59,364</w:t>
            </w:r>
          </w:p>
        </w:tc>
      </w:tr>
      <w:tr>
        <w:trPr>
          <w:trHeight w:val="188"/>
        </w:trPr>
        <w:tc>
          <w:tcPr>
            <w:tcW w:w="5960" w:type="dxa"/>
            <w:vAlign w:val="bottom"/>
          </w:tcPr>
          <w:p>
            <w:pPr>
              <w:spacing w:after="0"/>
              <w:rPr>
                <w:sz w:val="16"/>
                <w:szCs w:val="16"/>
                <w:color w:val="auto"/>
              </w:rPr>
            </w:pPr>
          </w:p>
        </w:tc>
        <w:tc>
          <w:tcPr>
            <w:tcW w:w="13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statements.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CONSOLIDATED STATEMENTS OF COMPREHENSIVE INCOME</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25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960" w:type="dxa"/>
            <w:vAlign w:val="bottom"/>
          </w:tcPr>
          <w:p>
            <w:pPr>
              <w:spacing w:after="0"/>
              <w:rPr>
                <w:sz w:val="16"/>
                <w:szCs w:val="16"/>
                <w:color w:val="auto"/>
              </w:rPr>
            </w:pPr>
          </w:p>
        </w:tc>
        <w:tc>
          <w:tcPr>
            <w:tcW w:w="25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5960" w:type="dxa"/>
            <w:vAlign w:val="bottom"/>
          </w:tcPr>
          <w:p>
            <w:pPr>
              <w:spacing w:after="0"/>
              <w:rPr>
                <w:sz w:val="16"/>
                <w:szCs w:val="16"/>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9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376"/>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$ 55,003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$346,688</w:t>
            </w:r>
          </w:p>
        </w:tc>
      </w:tr>
      <w:tr>
        <w:trPr>
          <w:trHeight w:val="188"/>
        </w:trPr>
        <w:tc>
          <w:tcPr>
            <w:tcW w:w="59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2559"/>
              <w:spacing w:after="0"/>
              <w:rPr>
                <w:sz w:val="20"/>
                <w:szCs w:val="20"/>
                <w:color w:val="auto"/>
              </w:rPr>
            </w:pPr>
            <w:r>
              <w:rPr>
                <w:rFonts w:ascii="Courier New" w:cs="Courier New" w:eastAsia="Courier New" w:hAnsi="Courier New"/>
                <w:sz w:val="16"/>
                <w:szCs w:val="16"/>
                <w:color w:val="auto"/>
              </w:rPr>
              <w:t>Other comprehensive income (loss):</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Foreign currency translation adjustment...................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(79,347)</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(61,545)</w:t>
            </w:r>
          </w:p>
        </w:tc>
      </w:tr>
      <w:tr>
        <w:trPr>
          <w:trHeight w:val="188"/>
        </w:trPr>
        <w:tc>
          <w:tcPr>
            <w:tcW w:w="5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Minimum pension liability adjustment, net of taxes of</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$30,568 in 2000........................................</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48,013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comprehensive income (loss)...........................</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(31,334)</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(61,545)</w:t>
            </w:r>
          </w:p>
        </w:tc>
      </w:tr>
      <w:tr>
        <w:trPr>
          <w:trHeight w:val="188"/>
        </w:trPr>
        <w:tc>
          <w:tcPr>
            <w:tcW w:w="59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Comprehensive income........................................</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$ 23,669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$285,143</w:t>
            </w:r>
          </w:p>
        </w:tc>
      </w:tr>
      <w:tr>
        <w:trPr>
          <w:trHeight w:val="188"/>
        </w:trPr>
        <w:tc>
          <w:tcPr>
            <w:tcW w:w="59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statements.</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condensed consolidated financial statements of Waste Management, Inc. and subsidiaries (collectively referred to herein as the "Company", unless the context indicates otherwise) presented herein are unaudited. In the opinion of management, these financial statements include all adjustments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Annual Report on Form 10-K for the year ended December 31, 1999.</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previously reported in the Company's Form 10-Q for the quarter ended September 30, 1999 and the Company's Form 10-K for the year ended December 31, 1999, the Company concluded that its internal controls for the preparation of interim financial information during 1999 did not provide an adequate basis for its independent public accountants to complete reviews of the 1999 quarterly financial information in accordance with standards established by the American Institute of Certified Public Accountants.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believes that the processes it used for the preparation of its March 31, 2000 interim financial statements have improved. In addition, the Company has committed substantial resources to mitigate the previously identified control weaknesses. Management believes these efforts have enabled the Company to produce timely and reliable interim financial statements as of March 31, 2000 and for the three months then ended. Management further believes that its processes will continue to improve throughout 2000, allowing it to reduce its reliance on the use of external resources as mitigating controls, although there can be no assurance that this will be the case.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requires management to make estimates and assumptions that affect reported amounts of assets, liabilities, income and expenses and disclosures of contingent assets and liabilities at the date of the financial statements and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 See "Management's Discussion and Analysis" elsewhere herein.</w:t>
      </w:r>
    </w:p>
    <w:p>
      <w:pPr>
        <w:spacing w:after="0" w:line="187" w:lineRule="exact"/>
        <w:rPr>
          <w:sz w:val="20"/>
          <w:szCs w:val="20"/>
          <w:color w:val="auto"/>
        </w:rPr>
      </w:pPr>
    </w:p>
    <w:p>
      <w:pPr>
        <w:jc w:val="both"/>
        <w:ind w:right="2979" w:firstLine="489"/>
        <w:spacing w:after="0" w:line="252" w:lineRule="auto"/>
        <w:rPr>
          <w:sz w:val="20"/>
          <w:szCs w:val="20"/>
          <w:color w:val="auto"/>
        </w:rPr>
      </w:pPr>
      <w:r>
        <w:rPr>
          <w:rFonts w:ascii="Courier New" w:cs="Courier New" w:eastAsia="Courier New" w:hAnsi="Courier New"/>
          <w:sz w:val="16"/>
          <w:szCs w:val="16"/>
          <w:color w:val="auto"/>
        </w:rPr>
        <w:t>Certain reclassifications have been made to prior year amounts in the financial statements in order to conform to the current year presentation.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LONG-TERM DEBT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Long-term debt consists of the following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MARCH 31,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860" w:type="dxa"/>
            <w:vAlign w:val="bottom"/>
          </w:tcPr>
          <w:p>
            <w:pPr>
              <w:spacing w:after="0"/>
              <w:rPr>
                <w:sz w:val="16"/>
                <w:szCs w:val="16"/>
                <w:color w:val="auto"/>
              </w:rPr>
            </w:pPr>
          </w:p>
        </w:tc>
        <w:tc>
          <w:tcPr>
            <w:tcW w:w="1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Bank credit facilities.....................................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2,290,000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$ 2,250,000</w:t>
            </w: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Commercial paper, average interest of 5.5% in 1999.........</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21,899</w:t>
            </w:r>
          </w:p>
        </w:tc>
      </w:tr>
      <w:tr>
        <w:trPr>
          <w:trHeight w:val="188"/>
        </w:trPr>
        <w:tc>
          <w:tcPr>
            <w:tcW w:w="5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Senior notes and debentures, interest of 6% to 8 3/4%</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through 2029.............................................</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6,750,725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6,749,785</w:t>
            </w: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 Convertible subordinated notes due 2002.................</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535,275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535,275</w:t>
            </w: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5.75% Convertible subordinated notes due 2005..............</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30,735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426,726</w:t>
            </w: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Tax-exempt and project bonds, principal payable in periodic</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installments, maturing through 2021, fixed and variable</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interest rates ranging from 4.0% to 9.25% at March 31,</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1,201,757</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1,234,668</w:t>
            </w:r>
          </w:p>
        </w:tc>
      </w:tr>
      <w:tr>
        <w:trPr>
          <w:trHeight w:val="188"/>
        </w:trPr>
        <w:tc>
          <w:tcPr>
            <w:tcW w:w="5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Installment loans, notes payable, and other, interest to</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 maturing through 2015...............................</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304,828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279,735</w:t>
            </w:r>
          </w:p>
        </w:tc>
      </w:tr>
      <w:tr>
        <w:trPr>
          <w:trHeight w:val="188"/>
        </w:trPr>
        <w:tc>
          <w:tcPr>
            <w:tcW w:w="5860" w:type="dxa"/>
            <w:vAlign w:val="bottom"/>
          </w:tcPr>
          <w:p>
            <w:pPr>
              <w:spacing w:after="0"/>
              <w:rPr>
                <w:sz w:val="16"/>
                <w:szCs w:val="16"/>
                <w:color w:val="auto"/>
              </w:rPr>
            </w:pPr>
          </w:p>
        </w:tc>
        <w:tc>
          <w:tcPr>
            <w:tcW w:w="1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11,113,320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11,498,088</w:t>
            </w:r>
          </w:p>
        </w:tc>
      </w:tr>
      <w:tr>
        <w:trPr>
          <w:trHeight w:val="188"/>
        </w:trPr>
        <w:tc>
          <w:tcPr>
            <w:tcW w:w="5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Less current maturities....................................</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2,760,371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3,098,742</w:t>
            </w:r>
          </w:p>
        </w:tc>
      </w:tr>
      <w:tr>
        <w:trPr>
          <w:trHeight w:val="188"/>
        </w:trPr>
        <w:tc>
          <w:tcPr>
            <w:tcW w:w="5860" w:type="dxa"/>
            <w:vAlign w:val="bottom"/>
          </w:tcPr>
          <w:p>
            <w:pPr>
              <w:spacing w:after="0"/>
              <w:rPr>
                <w:sz w:val="16"/>
                <w:szCs w:val="16"/>
                <w:color w:val="auto"/>
              </w:rPr>
            </w:pPr>
          </w:p>
        </w:tc>
        <w:tc>
          <w:tcPr>
            <w:tcW w:w="1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8,352,949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$ 8,399,346</w:t>
            </w:r>
          </w:p>
        </w:tc>
      </w:tr>
      <w:tr>
        <w:trPr>
          <w:trHeight w:val="188"/>
        </w:trPr>
        <w:tc>
          <w:tcPr>
            <w:tcW w:w="5860" w:type="dxa"/>
            <w:vAlign w:val="bottom"/>
          </w:tcPr>
          <w:p>
            <w:pPr>
              <w:spacing w:after="0"/>
              <w:rPr>
                <w:sz w:val="16"/>
                <w:szCs w:val="16"/>
                <w:color w:val="auto"/>
              </w:rPr>
            </w:pPr>
          </w:p>
        </w:tc>
        <w:tc>
          <w:tcPr>
            <w:tcW w:w="1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5" w:right="1440" w:bottom="751" w:gutter="0" w:footer="0" w:header="0"/>
        </w:sectPr>
      </w:pP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751"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has a $3 billion syndicated loan facility (the "Syndicated Facility") and a $2 billion senior revolving credit facility (the "Credit Facility"). The Syndicated Facility requires annual renewal by the lender and provides for a one-year term option at the Company's request in the event of non-renewal. The Syndicated Facility is available for borrowings, including letters of credit, and for supporting the issuance of commercial paper. The covenant restrictions for the Syndicated Facility and Credit Facility include, among others, interest coverage and debt capitalization ratios, limitations on dividends, additional indebtedness and liens. The Syndicated Facility and Credit Facility are used to refinance existing bank loans and letters of credit, to fund acquisitions, and for working capital purposes.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At March 31, 2000, the Company had borrowings of approximately $1.8 billion under the Syndicated Facility at an average interest rate of 7.03%, and had borrowings of $500.0 million under the Credit Facility at 7.0% interest. The facility fees were 0.20% and 0.25% per annum under the Syndicated Facility and Credit Facility, respectively, at March 31, 2000. The Company had issued letters of credit of approximately $1.2 billion in aggregate under the Syndicated Facility and Credit Facility leaving unused and available credit capacity of approximately $1.5 billion at March 31, 2000.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the terms of the Syndicated Facility and Credit Facility, the Company is obligated to repay its indebtedness under such facilities with the cash proceeds to be received from the divestitures of its international operations outside North America ("WM International"), domestic non-core assets and up to 10% of its North America solid waste ("NASW") operations. Specifically, the Company must use all of the first $1.5 billion from sales of domestic operations to repay indebtedness under such facilities. Additionally, 50% of the net proceeds greater than $1.5 billion but less than $2.5 billion from the sales of domestic operations must be used to repay the indebtedness. Finally, all net proceeds from the divestiture of the Company's WM International operations were required to be used to repay indebtedness under the Company's Eurocurrency facilities, all of which indebtedness, as described below, has been repaid since March 31, 2000. The net proceeds from WM International divestitures received by the Company after the repayment of the Eurocurrency facilities are subject to the same requirements to repay the Syndicated Facility and Credit Facility as net proceeds received from the sales of domestic operations.</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has obtained amendments to the Syndicated Facility and Credit Facility agreements for the quarter ended March 31, 2000 to maintain compliance with certain financial ratios. The Company anticipates that it may need to obtain further amendments to its existing financial covenants in those agreements in future quarters and, therefore, expects to restructure its covenant requirements during the renewal process for its Syndicated Facility in mid-2000. Until such restructuring is completed, the Company will continue to classify the borrowings outstanding under its Syndicated Facility and Credit Facility as short-term obligations. There can be no assurance the Company will be successful in obtaining a restructuring of its covenant requirements, and failure to obtain such a restructuring or additional amendments or waivers, would, in the event of an actual violation by the Company, have an adverse effect on the Company's financial condition, results of operations and cash flows.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December 17, 1999, the Company's two Eurocurrency facilities were converted into two term loans totaling Euro 180.6 million (equivalent to approximately $172.7 million at March 31, 2000). These loans are included in current liabilities of operations held for sale as of March 31, 2000 and December 31, 1999, as they relate to WM International operations, which are being sold pursuant to the Company's strategic plan. The interest rate was 4.91% for these loans as of March 31, 2000. Subsequent to March 31, 2000, the Company repaid and terminated its Eurocurrency term loans with net proceeds from its WM International divestiture activity.</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Company's 5.75% convertible subordinated notes due 2005 are subordinated to all existing and future senior indebtedness of the Company. Each note bears cash interest at the rate of two percent per annum of the $1,000 principal amount at maturity, payable semi-annually. The difference between the principal amount at maturity of $1,000 and the $717.80 stated issue price of each note represents the stated discount. At the option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of the holder, each note was redeemable for cash by the Company on March 15, 2000, at $843.03, plus accrued interest through the date of redemption. The notes are callable by the Company for cash, plus accrued stated discount and accrued interest. In addition, each $1,000 principal amount note is convertible at any time prior to maturity into approximately 18.9 shares of the Company's common stock, subject to adjustment upon the occurrence of certain events. Upon any such conversion, the Company has the option of paying cash equal to the market value of the shares which would otherwise be issuable. Through March 31, 2000, the Company had repurchased, for cash, $396.7 million of these notes that were outstanding at December 31,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INCOME TAXES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differences in federal income taxes computed at the federal statutory rate and reported income taxes for the three months ended March 31, 2000 and 1999 are primarily due to state and local income taxes, non-deductible costs related to acquired intangibles, and non-deductible held-for-sale impairment charges associated with certain foreign businesses.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EARNINGS PER SHARE</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following reconciles the number of common shares outstanding at March 31 of each year indicated to the weighted average number of common shares outstanding and the weighted average number of common and dilutive potential common shares outstanding for the purposes of calculating basic and dilutive earnings per common share, respectively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1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9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31,</w:t>
            </w:r>
          </w:p>
        </w:tc>
      </w:tr>
      <w:tr>
        <w:trPr>
          <w:trHeight w:val="188"/>
        </w:trPr>
        <w:tc>
          <w:tcPr>
            <w:tcW w:w="5960" w:type="dxa"/>
            <w:vAlign w:val="bottom"/>
          </w:tcPr>
          <w:p>
            <w:pPr>
              <w:spacing w:after="0"/>
              <w:rPr>
                <w:sz w:val="16"/>
                <w:szCs w:val="16"/>
                <w:color w:val="auto"/>
              </w:rPr>
            </w:pPr>
          </w:p>
        </w:tc>
        <w:tc>
          <w:tcPr>
            <w:tcW w:w="1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96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Number of common shares outstanding at end of period........</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621,040</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605,940</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Effect of using weighted average common shares</w:t>
            </w: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(3,418)</w:t>
            </w:r>
          </w:p>
        </w:tc>
      </w:tr>
      <w:tr>
        <w:trPr>
          <w:trHeight w:val="188"/>
        </w:trPr>
        <w:tc>
          <w:tcPr>
            <w:tcW w:w="596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620,633</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602,522</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Dilutive effect of common stock options and warrants........</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909</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9,652</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Diluted effect of convertible subordinated notes and</w:t>
            </w: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debentures................................................</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30,307</w:t>
            </w:r>
          </w:p>
        </w:tc>
      </w:tr>
      <w:tr>
        <w:trPr>
          <w:trHeight w:val="188"/>
        </w:trPr>
        <w:tc>
          <w:tcPr>
            <w:tcW w:w="596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5960" w:type="dxa"/>
            <w:vAlign w:val="bottom"/>
          </w:tcPr>
          <w:p>
            <w:pPr>
              <w:ind w:left="200"/>
              <w:spacing w:after="0"/>
              <w:rPr>
                <w:sz w:val="20"/>
                <w:szCs w:val="20"/>
                <w:color w:val="auto"/>
              </w:rPr>
            </w:pPr>
            <w:r>
              <w:rPr>
                <w:rFonts w:ascii="Courier New" w:cs="Courier New" w:eastAsia="Courier New" w:hAnsi="Courier New"/>
                <w:sz w:val="16"/>
                <w:szCs w:val="16"/>
                <w:color w:val="auto"/>
              </w:rPr>
              <w:t>common shares outstanding.................................</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621,542</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642,481</w:t>
            </w:r>
          </w:p>
        </w:tc>
      </w:tr>
      <w:tr>
        <w:trPr>
          <w:trHeight w:val="188"/>
        </w:trPr>
        <w:tc>
          <w:tcPr>
            <w:tcW w:w="596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For the three months ended March 31,1999, interest (net of taxes) of $7.2 million has been added to net income for the diluted earnings per share calculation. For the three months ended March 31, 2000, the effect of the Company's convertible subordinated notes and debentures are excluded from the dilutive earnings per share calculation since the inclusion of such items would be antidilutive.</w:t>
      </w:r>
    </w:p>
    <w:p>
      <w:pPr>
        <w:spacing w:after="0" w:line="187"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At March 31, 2000, there were approximately 56.6 million shares of common stock potentially issuable with respect to stock options, warrants and convertible debt, which could dilute basic earnings per share in the future.</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COMPREHENSIVE INCOME (LOSS)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 The components of accumulated other comprehensive income (loss) are as follows for the periods indicated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MINIMUM</w:t>
            </w:r>
          </w:p>
        </w:tc>
        <w:tc>
          <w:tcPr>
            <w:tcW w:w="14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ACCUMULATED</w:t>
            </w:r>
          </w:p>
        </w:tc>
      </w:tr>
      <w:tr>
        <w:trPr>
          <w:trHeight w:val="188"/>
        </w:trPr>
        <w:tc>
          <w:tcPr>
            <w:tcW w:w="42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FOREIGN CURRENCY</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PENSION LIABILITY</w:t>
            </w:r>
          </w:p>
        </w:tc>
        <w:tc>
          <w:tcPr>
            <w:tcW w:w="14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OTHER</w:t>
            </w:r>
          </w:p>
        </w:tc>
      </w:tr>
      <w:tr>
        <w:trPr>
          <w:trHeight w:val="188"/>
        </w:trPr>
        <w:tc>
          <w:tcPr>
            <w:tcW w:w="4200" w:type="dxa"/>
            <w:vAlign w:val="bottom"/>
          </w:tcPr>
          <w:p>
            <w:pPr>
              <w:spacing w:after="0"/>
              <w:rPr>
                <w:sz w:val="16"/>
                <w:szCs w:val="16"/>
                <w:color w:val="auto"/>
              </w:rPr>
            </w:pPr>
          </w:p>
        </w:tc>
        <w:tc>
          <w:tcPr>
            <w:tcW w:w="18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TRANSLATION</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ADJUSTMENT (NET</w:t>
            </w:r>
          </w:p>
        </w:tc>
        <w:tc>
          <w:tcPr>
            <w:tcW w:w="14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COMPREHENSIVE</w:t>
            </w:r>
          </w:p>
        </w:tc>
      </w:tr>
      <w:tr>
        <w:trPr>
          <w:trHeight w:val="188"/>
        </w:trPr>
        <w:tc>
          <w:tcPr>
            <w:tcW w:w="42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ADJUSTMENT</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OF TAX)</w:t>
            </w:r>
          </w:p>
        </w:tc>
        <w:tc>
          <w:tcPr>
            <w:tcW w:w="14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INCOME (LOSS)</w:t>
            </w:r>
          </w:p>
        </w:tc>
      </w:tr>
      <w:tr>
        <w:trPr>
          <w:trHeight w:val="188"/>
        </w:trPr>
        <w:tc>
          <w:tcPr>
            <w:tcW w:w="42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376"/>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Balance, December 31, 1999................</w:t>
            </w:r>
          </w:p>
        </w:tc>
        <w:tc>
          <w:tcPr>
            <w:tcW w:w="18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$(430,080)</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$(133,006)</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$(563,086)</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Year-to-date change.....................</w:t>
            </w:r>
          </w:p>
        </w:tc>
        <w:tc>
          <w:tcPr>
            <w:tcW w:w="18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(79,347)</w:t>
            </w:r>
          </w:p>
        </w:tc>
        <w:tc>
          <w:tcPr>
            <w:tcW w:w="19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48,013</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(31,334)</w:t>
            </w:r>
          </w:p>
        </w:tc>
      </w:tr>
      <w:tr>
        <w:trPr>
          <w:trHeight w:val="188"/>
        </w:trPr>
        <w:tc>
          <w:tcPr>
            <w:tcW w:w="4200" w:type="dxa"/>
            <w:vAlign w:val="bottom"/>
          </w:tcPr>
          <w:p>
            <w:pPr>
              <w:spacing w:after="0"/>
              <w:rPr>
                <w:sz w:val="16"/>
                <w:szCs w:val="16"/>
                <w:color w:val="auto"/>
              </w:rPr>
            </w:pPr>
          </w:p>
        </w:tc>
        <w:tc>
          <w:tcPr>
            <w:tcW w:w="18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Balance, March 31, 2000...................</w:t>
            </w:r>
          </w:p>
        </w:tc>
        <w:tc>
          <w:tcPr>
            <w:tcW w:w="18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$(509,427)</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(84,993)</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$(594,420)</w:t>
            </w:r>
          </w:p>
        </w:tc>
      </w:tr>
      <w:tr>
        <w:trPr>
          <w:trHeight w:val="188"/>
        </w:trPr>
        <w:tc>
          <w:tcPr>
            <w:tcW w:w="4200" w:type="dxa"/>
            <w:vAlign w:val="bottom"/>
          </w:tcPr>
          <w:p>
            <w:pPr>
              <w:spacing w:after="0"/>
              <w:rPr>
                <w:sz w:val="16"/>
                <w:szCs w:val="16"/>
                <w:color w:val="auto"/>
              </w:rPr>
            </w:pPr>
          </w:p>
        </w:tc>
        <w:tc>
          <w:tcPr>
            <w:tcW w:w="18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continuing the process of settling its obligations under the qualified defined benefit plan (the "Plan") for all eligible non-union domestic employees of Waste Management Holdings, Inc. ("WM Holdings") which was terminated as of October 31, 1999 in connection with the merger between the Company and WM Holdings in July 1998 (the "WM Holdings Merger"). To the extent that the termination benefit has not yet been charged to expense, additional minimum pension liability has been recorded as a charge to other comprehensive income. The pension related charge recorded in the three months ended March 31, 2000 of $78.6 million, which is included in asset impairments and unusual items, is primarily due to the settlement by the Plan of obligations to certain participants that occurred during the three months ended March 31, 2000. The settlements were funded by the Plan's trust and resulted in a reduction in the minimum pension liability and a credit to other comprehensive income for the period. The Company expects to settle the remaining obligations at various dates through the remainder of 2000, at which time settlement expense will be recorded and adjustments to other comprehensive income will be made. In conjunction with the termination of the Plan, the Company expects to make payments of approximately $185 million to the Plan's trust through the remainder of 2000.</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adopted a strategic plan in August 1999, one element of which is to pursue the divestiture of its WM International operations. Upon the divestiture of the Company's WM International operations, the foreign currency translation losses that are included in accumulated other comprehensive income (loss) will be recognized in the Company's statement of operations (decreasing any gain, or increasing any loss). The accumulated foreign currency translation loss for the Company's WM International operations was $424.7 million and $353.1 million as of March 31, 2000 and December 31, 1999, respectively; however, that amount will fluctuate from period to period with the change in foreign currency exchange rates. Such fluctuations may be material.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ENVIRONMENTAL LIABILITIES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has material financial commitments for the costs associated with its future obligations for final closure, which is the closure of the landfill and the capping of the final uncapped areas of a landfill or costs required by regulation associated with existing operations at a hazardous waste treatment, storage or disposal facility which are subject to the Toxic Substances Control Act ("TSCA") or Subtitle C of the Resource Conservation and Recovery Act ("RCRA"), and post-closure maintenance of those facilities.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are accrued using the calculated rate per ton and charged to expense as airspace is consumed such that the present value of total estimated final closure and post-closure cost will be accrued for each landfill at the time the site discontinues accepting waste and is closed. In the</w:t>
      </w:r>
    </w:p>
    <w:p>
      <w:pPr>
        <w:sectPr>
          <w:pgSz w:w="11900" w:h="16838" w:orient="portrait"/>
          <w:cols w:equalWidth="0" w:num="1">
            <w:col w:w="10219"/>
          </w:cols>
          <w:pgMar w:left="240" w:top="305" w:right="1440" w:bottom="1440" w:gutter="0" w:footer="0" w:header="0"/>
        </w:sectPr>
      </w:pP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United States, the final closure and post-closure requirements are established under the standards of the United States Environmental Protection Agency's ("EPA") Subtitle C and D regulations, as implemented and applied on a state-by-state basis. Such costs may increase in the future as a result of legislation or regulation.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based upon the estimated final closure and post-closure costs and the percentage of airspace utilized as of such date.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 Such costs for foreign landfills are estimated based on compliance with local laws, regulations and customs. For other facilities, final closure and post-closure costs are determined in consideration of regulatory requirements.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March 1996, the EPA issued regulations that require large, municipal solid waste landfills with significant emissions of nonmethane organic compounds ("NMOC") to install and monitor systems to collect and control landfill gas. The regulations apply to landfills designed to accommodate 2.5 million cubic meters or more of municipal solid waste that emit 50 megagrams or more of NMOC emissions and that accepted waste for disposal after November 8, 1987, regardless of whether the site is active or closed. The date by which each affected landfill must have such a gas collection and control system depends on whether the landfill began operations before or after May 30, 1991. In the United States, landfills constructed, reconstructed, modified or first accepting waste after May 30, 1991, generally were required to have systems in place by late 1998 or within approximately 30 months of triggering the applicability criteria. Older landfills are generally regulated by states and are required to have landfill gas systems in place within approximately 30 months of EPA's approval of the state program. Many state solid waste regulations already require gas collection and control systems.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has also established procedures to evaluate its potential remedial liabilities at closed sites which it owns or operates, or to which it transported waste, including 85 sites listed on the Superfund National Priorities List ("NPL") as of March 31, 2000. The majority of situations involving NPL sites relate to allegations that subsidiaries of the Company (or their predecessors) transported waste to the facilities in question, often prior to the acquisition of such subsidiaries by the Company. The Company routinely reviews and evaluates sites that require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 parties ("PRPs"), and the nature and estimated cost of the likely remedy. Cost estimates are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are jointly and severally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the Financial Accounting Standards Board's ("FASB") Statement of Financial Accounting Standards ("SFAS") No. 5, Accounting for Contingencies.</w:t>
      </w:r>
    </w:p>
    <w:p>
      <w:pPr>
        <w:spacing w:after="0" w:line="373"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Estimates of the extent of the Company's degree of responsibility for remediation of a particular site and the method and ultimate cost of remediation require a number of assumptions and are inherently difficult, and</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5"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Where the Company believes that both the amount of a particular environmental liability and the timing of the payments are reliably determinable, the cost in current dollars is inflated (3.0% at March 31, 2000 and 2% at December 31, 1999) until expected time of payment and then discounted to present value (6.5% at March 31, 2000 and 5.5% at December 31, 1999). The accretion of the interest related to the discounted environmental liabilities is included in the annual calculation of the landfill's final closure and post-closure cost per ton and is charged to operating expense as landfill airspace is consumed.</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 subsidiary having allegedly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has filed suit against numerous insurance carriers seeking reimbursement for past and future environmentally related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COMMITMENTS AND CONTINGENCIES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Financial instruments -- Letters of credit, performance bonds and other guarantees have been provided by the Company to support tax-exempt bonds, performance of landfill final closure and post-closure requirements, insurance contracts, and other contracts. The insurance policies are issued by a wholly-owned insurance company subsidiary, the sole business of which is to issue such policies to customers of the Company. In those instances where the use of captive insurance is not acceptable, the Company has available alternative bonding mechanisms. The Company has not experienced difficulty in obtaining performance bonds or letters of credit for its current operations. Because virtually no claims have been made against these financial instruments in the past, management does not expect these instruments will have a material adverse effect on the Company's consolidated financial statements.</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305"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 See Note 5 for further discussion.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Litigation-- In February 1998, WM Holdings announced a restatement of prior-period earnings for 1991 and earlier as well as for 1992 through 1996 and the first three quarters of 1997. Many actions were brought or claims made against WM Holdings as a result of this restatement, as set forth in earlier annual and quarterly reports made by the Company. The Company has resolved many of these actions and claims, as discussed in earlier filings, including the settlement, in January 2000, of two actions, one pending in Illinois state court and the other in Florida federal court. The following actions, however, remain outstanding.</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July 1998, a business owner who received WM Holdings common stock in the sale of his business to WM Holdings brought a purported class action against that company alleging breach of warranty. In April 1999, the court in that action granted summary judgment against WM Holdings and in favor of the individual plaintiff. In October 1999, the court certified a class consisting of all sellers of business assets to WM Holdings between January 1, 1990, and February 24, 1998, whose purchase agreements with WM Holdings contained express warranties regarding the accuracy of WM Holdings' financial statements. In March 1999, the court of appeals upheld this certification order. Also in March 1999, the trial court granted summary judgment on the claim of breach of warranty against WM Holdings and in favor of all members of the class except for a discrete group of plaintiffs whose claims may have expired under applicable statutes of limitations. The extent of damages, if any, in this class action has not yet been determined.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February and March 2000, two asset sellers who otherwise would have been included in the above class, as currently defined, brought separate actions against the Company for breach of contract and fraud, among other things. One of the suits arises out of a transaction valued at over $200 million at the time of closing in 1996, while the other involves a transaction in excess of $11 million at its closing in 1995. Both suits are in their early stages and the extent of possible damages, if any, has not yet been determined.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The defendants have removed this action to federal court but the case has been remanded back to the state forum. This action is in its early stages and the extent of possible damages, if any, has not yet been determined.</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settled consolidated federal securities class action described above. These actions have been consolidated and plaintiffs have filed a consolidated amended complaint. The plaintiffs seek to recover from the former officers and directors, on behalf of WM Holdings, the amounts paid in the federal class action as well as additional amounts based on alleged harms not at issue in the federal class action.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March and April 1999, two former officers of WM Holdings sued the Company for retirement and other benefits. These actions are in their early stages and the extent of possible damages, if any, has not yet been determined. Additionally, a third former officer brought a similar claim, that was subsequently dismissed,</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305"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in March 2000. The newest action included claims related to the decision by the board of WM Holdings to recommend the merger of WM Holdings with the Company.</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30 lawsuits that purport to be based on one or more of these announcements were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 1998 and August 16,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between March 31, 1999 and July 6, 1999 at prices allegedly known to be inflated by the alleged material misstatements and omissions. The plaintiffs in these actions seek damages with interest, costs and such other relief as the court deems proper. The case is at an early stage and the extent of possible damages, if any, can not yet be determined.</w:t>
      </w:r>
    </w:p>
    <w:p>
      <w:pPr>
        <w:spacing w:after="0" w:line="37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defending a lawsuit and two arbitration actions initiated by individuals who received common stock in sale of their business to the Company or to a company later acquired by the Company. The first of these actions was filed in state court in Oregon in November 1999. Subsequently, two arbitrations have been initiated, both related to the sale of businesses to Eastern Environmental Services, Inc. ("Eastern"). For reasons similar to those alleged in the class actions described above, or for reasons related to their acquisition by Eastern, these individuals allege that the stock they received was overvalued. These cases are in an early stage and the extent of possible damages, if any, have not yet been determined.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three of the Company's shareholders have filed purported derivative lawsuits against certain officers and directors of the Company in connection with the events surrounding the Company's second quarter 1999 earnings projections and July 6, 1999 earnings announcement. Two of these lawsuits were filed in the Delaware Court of Chancery on July 16, 1999 and August 18, 1999, respectively, and one was filed in the United States District Court for the Southern District of Texas on July 27, 1999. The Delaware cases have been consolidated and the plaintiffs have filed an amended consolidated complaint. The amended complaint alleges claims relating to the Company's 1999 annual and quarterly earnings, sales of Company stock by certain of the Company's officers and directors, and alleged self-dealing by certain Company's officers.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Beginning at year end 1999 the Company became involved in a series of disputes with Louis D. Paolino, former President and Chief Executive Officer of Eastern and others in connection with the merger between the Company and Eastern ("the Eastern Merger"). The Company alleges, among other things, that the defendants usurped Eastern corporate opportunities for personal gain and otherwise mismanaged certain</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305"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affairs of Eastern. Mr. Paolino and others allege that the Company and unnamed others committed security fraud alleging that the stock they were issued in connection with the Eastern Merger was over-valued because the Company failed to disclose that it was having problems integrating the operations of WM Holdings and the Company after the WM Holdings Merger. These disputes are in an early state and the extent that the Company may recover damages, if any, or be required to pay damages, if any, has not yet been determined.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aware of a lawsuit filed in state court in Houston, Texas by several related shareholders against the Company and three of its former officers. The Company has not been served.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As neither the Company nor the individual defendants have been served in this action, the defendants have filed no responsive pleadings in the action.</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New York Stock Exchange has notified the Company that its Market Trading Analysis Department is reviewing transactions in the common stock of the Company prior to the July 6, 1999 earnings forecast announcement.</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received a Civil Investigative Demand ("CID") from the Antitrust Division of the United States Department of Justice in July 1999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 with which the Company is fully cooperating.</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the federal Employee Retirement Income Security Act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w:t>
      </w:r>
    </w:p>
    <w:p>
      <w:pPr>
        <w:sectPr>
          <w:pgSz w:w="11900" w:h="16838" w:orient="portrait"/>
          <w:cols w:equalWidth="0" w:num="1">
            <w:col w:w="10219"/>
          </w:cols>
          <w:pgMar w:left="240" w:top="305" w:right="1440" w:bottom="1440" w:gutter="0" w:footer="0" w:header="0"/>
        </w:sectPr>
      </w:pP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305"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payment of all benefits allegedly owed to Plan participants, attorney's fees and costs, and other "appropriate" relief under the Internal Revenue Code, ERISA and the Plan. The case is in its early stages and the extent of possible damages, if any, can not yet be determined.</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March 31, 2000, there were four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 June 1999, the Company was notified that the EPA is conducting a civil investigation of alleged chlorofluorocarbons ("CFC") disposal violations by Waste Management of Massachusetts, Inc. ("WMMA"), one of the Company's wholly owned subsidiaries, to determine whether further enforcement measures are warranted. The activities giving rise to the allegations of CFC disposal violations appear to have</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305"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 investigation and believes that the ultimate outcome of this matter will not have a material adverse effect on the Company's financial statements.</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March 31, 2000, the Company or its subsidiaries had been notified that they are potentially responsible parties in connection with 85 locations listed on the NPL. Of the 85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68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November 1998, the Company was sued by the estate of Shayne Conner, who died on November 24, 1995 in Greenland, New Hampshire. Plaintiffs allege that Mr. Conner's death was caused by biosolids that were applied to a nearby field by the Company's BioGro business unit. The litigation is currently in the discovery phase, and the Company is preparing a rebuttal to plaintiff's expert report on causation. The Company is vigorously defending itself in the litigation.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financial statements.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305"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financial statements for potential recoveries.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 their respective financial conditions or results of operations in one or more future periods. The Company and WM Holdings intend to defend themselves vigorously in all the above matters.</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SEGMENT AND RELATED INFORMATION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NASW operations is the Company's principal reportable segment. This segment provides integrated waste management services consisting of collection, transfer, disposal (solid waste landfill, hazardous waste landfill and waste-to-energy facilities), recycling, and other miscellaneous services to commercial, industrial, municipal and residential customers in North America, including the United States, Puerto Rico, Mexico and Canada. Similar operations in international markets outside of North America are disclosed as a separate segment under WM International, which includes operations in Europe, the Pacific Rim, South America and Israel. The Company's other reportable segment consists of non-solid waste services, aggregated as a single segment for this reporting presentation. The non-solid waste segment includes other hazardous waste services such as chemical waste management services and low-level and other radioactive waste management services, the Company's independent power projects, and other non-solid waste services to commercial, industrial and government customers, and includes business lines that are being actively marketed and considered to be held for sale.</w:t>
      </w:r>
    </w:p>
    <w:p>
      <w:pPr>
        <w:spacing w:after="0" w:line="186"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Summarized financial information concerning the Company's reportable segments is shown in the following table.</w:t>
      </w:r>
    </w:p>
    <w:p>
      <w:pPr>
        <w:spacing w:after="0" w:line="200" w:lineRule="exact"/>
        <w:rPr>
          <w:sz w:val="20"/>
          <w:szCs w:val="20"/>
          <w:color w:val="auto"/>
        </w:rPr>
      </w:pPr>
    </w:p>
    <w:p>
      <w:pPr>
        <w:spacing w:after="0" w:line="359" w:lineRule="exact"/>
        <w:rPr>
          <w:sz w:val="20"/>
          <w:szCs w:val="20"/>
          <w:color w:val="auto"/>
        </w:rPr>
      </w:pPr>
    </w:p>
    <w:tbl>
      <w:tblPr>
        <w:tblLayout w:type="fixed"/>
        <w:tblInd w:w="294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Courier New" w:cs="Courier New" w:eastAsia="Courier New" w:hAnsi="Courier New"/>
                <w:sz w:val="16"/>
                <w:szCs w:val="16"/>
                <w:color w:val="auto"/>
              </w:rPr>
              <w:t>NORTH AMERICAN</w:t>
            </w:r>
          </w:p>
        </w:tc>
        <w:tc>
          <w:tcPr>
            <w:tcW w:w="18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NON-SOLID</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CORPORATE</w:t>
            </w:r>
          </w:p>
        </w:tc>
        <w:tc>
          <w:tcPr>
            <w:tcW w:w="1120" w:type="dxa"/>
            <w:vAlign w:val="bottom"/>
          </w:tcPr>
          <w:p>
            <w:pPr>
              <w:spacing w:after="0"/>
              <w:rPr>
                <w:sz w:val="15"/>
                <w:szCs w:val="15"/>
                <w:color w:val="auto"/>
              </w:rPr>
            </w:pPr>
          </w:p>
        </w:tc>
      </w:tr>
      <w:tr>
        <w:trPr>
          <w:trHeight w:val="188"/>
        </w:trPr>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SOLID WASTE</w:t>
            </w:r>
          </w:p>
        </w:tc>
        <w:tc>
          <w:tcPr>
            <w:tcW w:w="1860" w:type="dxa"/>
            <w:vAlign w:val="bottom"/>
          </w:tcPr>
          <w:p>
            <w:pPr>
              <w:ind w:left="160"/>
              <w:spacing w:after="0"/>
              <w:rPr>
                <w:sz w:val="20"/>
                <w:szCs w:val="20"/>
                <w:color w:val="auto"/>
              </w:rPr>
            </w:pPr>
            <w:r>
              <w:rPr>
                <w:rFonts w:ascii="Courier New" w:cs="Courier New" w:eastAsia="Courier New" w:hAnsi="Courier New"/>
                <w:sz w:val="16"/>
                <w:szCs w:val="16"/>
                <w:color w:val="auto"/>
              </w:rPr>
              <w:t>WM INTERNATIONAL</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WASTE</w:t>
            </w:r>
          </w:p>
        </w:tc>
        <w:tc>
          <w:tcPr>
            <w:tcW w:w="1460" w:type="dxa"/>
            <w:vAlign w:val="bottom"/>
          </w:tcPr>
          <w:p>
            <w:pPr>
              <w:ind w:left="140"/>
              <w:spacing w:after="0"/>
              <w:rPr>
                <w:sz w:val="20"/>
                <w:szCs w:val="20"/>
                <w:color w:val="auto"/>
              </w:rPr>
            </w:pPr>
            <w:r>
              <w:rPr>
                <w:rFonts w:ascii="Courier New" w:cs="Courier New" w:eastAsia="Courier New" w:hAnsi="Courier New"/>
                <w:sz w:val="16"/>
                <w:szCs w:val="16"/>
                <w:color w:val="auto"/>
              </w:rPr>
              <w:t>FUNCTIONS(A)</w:t>
            </w: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15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2000</w:t>
      </w:r>
    </w:p>
    <w:p>
      <w:pPr>
        <w:spacing w:after="0" w:line="7" w:lineRule="exact"/>
        <w:rPr>
          <w:sz w:val="20"/>
          <w:szCs w:val="20"/>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revenues(b)............</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$2,707,983</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$401,484</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$107,842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$3,217,309</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Earnings before interest</w:t>
            </w: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and taxes</w:t>
            </w: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(EBIT)(c),(d)..........</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529,606</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70,055</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12,173</w:t>
            </w:r>
          </w:p>
        </w:tc>
        <w:tc>
          <w:tcPr>
            <w:tcW w:w="34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(194,661)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417,173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1999</w:t>
      </w:r>
    </w:p>
    <w:p>
      <w:pPr>
        <w:spacing w:after="0" w:line="7" w:lineRule="exact"/>
        <w:rPr>
          <w:sz w:val="20"/>
          <w:szCs w:val="20"/>
          <w:color w:val="auto"/>
        </w:rPr>
      </w:pPr>
    </w:p>
    <w:p>
      <w:pPr>
        <w:ind w:left="200" w:hanging="200"/>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revenues(b)............</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$2,511,533</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$371,091</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$188,011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$3,070,635</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Earnings before interest</w:t>
            </w: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and taxes</w:t>
            </w: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(EBIT)(c),(d)..........</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673,515</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34,991</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24,363</w:t>
            </w:r>
          </w:p>
        </w:tc>
        <w:tc>
          <w:tcPr>
            <w:tcW w:w="4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44,713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777,582</w:t>
            </w:r>
          </w:p>
        </w:tc>
      </w:tr>
    </w:tbl>
    <w:p>
      <w:pPr>
        <w:spacing w:after="0" w:line="200" w:lineRule="exact"/>
        <w:rPr>
          <w:sz w:val="20"/>
          <w:szCs w:val="20"/>
          <w:color w:val="auto"/>
        </w:rPr>
      </w:pPr>
    </w:p>
    <w:p>
      <w:pPr>
        <w:sectPr>
          <w:pgSz w:w="11900" w:h="16838" w:orient="portrait"/>
          <w:cols w:equalWidth="0" w:num="1">
            <w:col w:w="10219"/>
          </w:cols>
          <w:pgMar w:left="240" w:top="305" w:right="1440" w:bottom="575" w:gutter="0" w:footer="0" w:header="0"/>
        </w:sectPr>
      </w:pP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305" w:right="1440" w:bottom="575"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80" w:right="2399" w:hanging="480"/>
        <w:spacing w:after="0" w:line="249"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functions include the corporate treasury function (except for limited amounts of locally negotiated and managed project debt), administration of corporate tax function, the corporate insurance function, management of closed landfill and related insurance recovery functions, other typical administrative functions and certain inter-segment transactions.</w:t>
      </w:r>
    </w:p>
    <w:p>
      <w:pPr>
        <w:spacing w:after="0" w:line="187" w:lineRule="exact"/>
        <w:rPr>
          <w:rFonts w:ascii="Courier New" w:cs="Courier New" w:eastAsia="Courier New" w:hAnsi="Courier New"/>
          <w:sz w:val="16"/>
          <w:szCs w:val="16"/>
          <w:color w:val="auto"/>
        </w:rPr>
      </w:pPr>
    </w:p>
    <w:p>
      <w:pPr>
        <w:ind w:left="480" w:right="2399" w:hanging="480"/>
        <w:spacing w:after="0" w:line="250"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Non-solid waste revenues are net of inter-segment revenue with NASW of $4.2 million and, $17.9 million, for the three months ended March 31, 2000 and 1999 respectively. There are no other significant sales between segments.</w:t>
      </w:r>
    </w:p>
    <w:p>
      <w:pPr>
        <w:spacing w:after="0" w:line="185" w:lineRule="exact"/>
        <w:rPr>
          <w:rFonts w:ascii="Courier New" w:cs="Courier New" w:eastAsia="Courier New" w:hAnsi="Courier New"/>
          <w:sz w:val="16"/>
          <w:szCs w:val="16"/>
          <w:color w:val="auto"/>
        </w:rPr>
      </w:pPr>
    </w:p>
    <w:p>
      <w:pPr>
        <w:ind w:left="480" w:right="2879" w:hanging="480"/>
        <w:spacing w:after="0" w:line="249"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 the Company's Form 10-K for the year ended December 31, 1999.</w:t>
      </w:r>
    </w:p>
    <w:p>
      <w:pPr>
        <w:spacing w:after="0" w:line="187" w:lineRule="exact"/>
        <w:rPr>
          <w:rFonts w:ascii="Courier New" w:cs="Courier New" w:eastAsia="Courier New" w:hAnsi="Courier New"/>
          <w:sz w:val="16"/>
          <w:szCs w:val="16"/>
          <w:color w:val="auto"/>
        </w:rPr>
      </w:pPr>
    </w:p>
    <w:p>
      <w:pPr>
        <w:ind w:left="480" w:right="2499" w:hanging="480"/>
        <w:spacing w:after="0" w:line="249"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material asymmetrical allocations of EBIT versus assets between segments or corporate. Certain asset impairments and unusual items reported in the reconciliation of EBIT to reported net income below, however, have resulted in adjustments to assets ultimately reflected on segment balance sheets. Assets are net of inter-segment receivables and investments.</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The reconciliation of total EBIT reported above to net income is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2"/>
          </w:tcPr>
          <w:p>
            <w:pPr>
              <w:jc w:val="right"/>
              <w:ind w:right="61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5960" w:type="dxa"/>
            <w:vAlign w:val="bottom"/>
          </w:tcPr>
          <w:p>
            <w:pPr>
              <w:spacing w:after="0"/>
              <w:rPr>
                <w:sz w:val="16"/>
                <w:szCs w:val="16"/>
                <w:color w:val="auto"/>
              </w:rPr>
            </w:pPr>
          </w:p>
        </w:tc>
        <w:tc>
          <w:tcPr>
            <w:tcW w:w="22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96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EBIT, as reported above(a)..................................</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417,173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$ 777,582</w:t>
            </w:r>
          </w:p>
        </w:tc>
      </w:tr>
      <w:tr>
        <w:trPr>
          <w:trHeight w:val="188"/>
        </w:trPr>
        <w:tc>
          <w:tcPr>
            <w:tcW w:w="5960" w:type="dxa"/>
            <w:vAlign w:val="bottom"/>
          </w:tcPr>
          <w:p>
            <w:pPr>
              <w:jc w:val="right"/>
              <w:ind w:right="5399"/>
              <w:spacing w:after="0"/>
              <w:rPr>
                <w:sz w:val="20"/>
                <w:szCs w:val="20"/>
                <w:color w:val="auto"/>
              </w:rPr>
            </w:pPr>
            <w:r>
              <w:rPr>
                <w:rFonts w:ascii="Courier New" w:cs="Courier New" w:eastAsia="Courier New" w:hAnsi="Courier New"/>
                <w:sz w:val="16"/>
                <w:szCs w:val="16"/>
                <w:color w:val="auto"/>
                <w:w w:val="95"/>
              </w:rPr>
              <w:t>Less: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Merger and acquisition related costs......................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17,484</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Asset impairments and unusual items.......................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103,353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from operations......................................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313,820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760,098</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(210,209)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(176,157)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8,848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2,818</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Minority interest...........................................</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(6,462)</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income, net...........................................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13,366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14,363</w:t>
            </w:r>
          </w:p>
        </w:tc>
      </w:tr>
      <w:tr>
        <w:trPr>
          <w:trHeight w:val="188"/>
        </w:trPr>
        <w:tc>
          <w:tcPr>
            <w:tcW w:w="596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before income taxes..................................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119,853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594,660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Provision for income taxes..................................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64,850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247,972</w:t>
            </w:r>
          </w:p>
        </w:tc>
      </w:tr>
      <w:tr>
        <w:trPr>
          <w:trHeight w:val="188"/>
        </w:trPr>
        <w:tc>
          <w:tcPr>
            <w:tcW w:w="596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55,003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$ 346,688</w:t>
            </w:r>
          </w:p>
        </w:tc>
      </w:tr>
      <w:tr>
        <w:trPr>
          <w:trHeight w:val="188"/>
        </w:trPr>
        <w:tc>
          <w:tcPr>
            <w:tcW w:w="596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80" w:right="2499" w:hanging="480"/>
        <w:spacing w:after="0" w:line="252" w:lineRule="auto"/>
        <w:tabs>
          <w:tab w:leader="none" w:pos="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 is defined as income from operations excluding merger and acquisition related costs and asset impairments and unusual items.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OPERATIONS HELD FOR SALE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During the third quarter of 1999, the Company's Board of Directors adopted a strategic plan, one element of which is for the Company to market for sale its WM International operations, significant portions of its domestic non-core businesses and selected NASW operations. As discussed in Note 2 to the financial statements in the Company's Form 10-K for the year ended December 31, 1999, the Company has recorded charges to write down certain of these assets. Additionally, the Company recorded a charge in the first quarter of 2000 to asset impairments and unusual items of approximately $24.8 million related primarily to the Company's WM International operations, which are held for sale, that have a carrying value greater than management's best current estimate of anticipated proceeds. In determining fair value, the Company considered, among other things, the range of preliminary purchase prices being discussed with potential</w:t>
      </w:r>
    </w:p>
    <w:p>
      <w:pPr>
        <w:sectPr>
          <w:pgSz w:w="11900" w:h="16838" w:orient="portrait"/>
          <w:cols w:equalWidth="0" w:num="1">
            <w:col w:w="10219"/>
          </w:cols>
          <w:pgMar w:left="240" w:top="305" w:right="1440" w:bottom="575" w:gutter="0" w:footer="0" w:header="0"/>
        </w:sect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305" w:right="1440" w:bottom="575"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buyers. These businesses' results of operations are included in revenues and expenses in the accompanying statement of operations.</w:t>
      </w:r>
    </w:p>
    <w:p>
      <w:pPr>
        <w:spacing w:after="0" w:line="183"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Operational information included in the statements of operations regarding the businesses classified as operations held for sale at March 31, 2000, is as follows (in thousands):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16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NORTH AMERICAN</w:t>
            </w:r>
          </w:p>
        </w:tc>
        <w:tc>
          <w:tcPr>
            <w:tcW w:w="19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NON-SOLID</w:t>
            </w:r>
          </w:p>
        </w:tc>
        <w:tc>
          <w:tcPr>
            <w:tcW w:w="940" w:type="dxa"/>
            <w:vAlign w:val="bottom"/>
          </w:tcPr>
          <w:p>
            <w:pPr>
              <w:spacing w:after="0"/>
              <w:rPr>
                <w:sz w:val="15"/>
                <w:szCs w:val="15"/>
                <w:color w:val="auto"/>
              </w:rPr>
            </w:pPr>
          </w:p>
        </w:tc>
      </w:tr>
      <w:tr>
        <w:trPr>
          <w:trHeight w:val="188"/>
        </w:trPr>
        <w:tc>
          <w:tcPr>
            <w:tcW w:w="4200" w:type="dxa"/>
            <w:vAlign w:val="bottom"/>
          </w:tcPr>
          <w:p>
            <w:pPr>
              <w:spacing w:after="0"/>
              <w:rPr>
                <w:sz w:val="16"/>
                <w:szCs w:val="16"/>
                <w:color w:val="auto"/>
              </w:rPr>
            </w:pP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SOLID WASTE</w:t>
            </w:r>
          </w:p>
        </w:tc>
        <w:tc>
          <w:tcPr>
            <w:tcW w:w="1960" w:type="dxa"/>
            <w:vAlign w:val="bottom"/>
          </w:tcPr>
          <w:p>
            <w:pPr>
              <w:ind w:left="140"/>
              <w:spacing w:after="0"/>
              <w:rPr>
                <w:sz w:val="20"/>
                <w:szCs w:val="20"/>
                <w:color w:val="auto"/>
              </w:rPr>
            </w:pPr>
            <w:r>
              <w:rPr>
                <w:rFonts w:ascii="Courier New" w:cs="Courier New" w:eastAsia="Courier New" w:hAnsi="Courier New"/>
                <w:sz w:val="16"/>
                <w:szCs w:val="16"/>
                <w:color w:val="auto"/>
              </w:rPr>
              <w:t>WM INTERNATIONAL</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9"/>
              </w:rPr>
              <w:t>WASTE</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THREE MONTHS ENDED:</w:t>
            </w: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March 31, 2000</w:t>
            </w: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Operating revenues......................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$123,259</w:t>
            </w:r>
          </w:p>
        </w:tc>
        <w:tc>
          <w:tcPr>
            <w:tcW w:w="19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$401,484</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$54,218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$578,961</w:t>
            </w: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Earnings before interest and taxes(a)...</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11,372</w:t>
            </w:r>
          </w:p>
        </w:tc>
        <w:tc>
          <w:tcPr>
            <w:tcW w:w="19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70,055</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12,466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93,893</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THREE MONTHS ENDED:</w:t>
            </w: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March 31, 1999</w:t>
            </w: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Operating revenues......................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$113,102</w:t>
            </w:r>
          </w:p>
        </w:tc>
        <w:tc>
          <w:tcPr>
            <w:tcW w:w="19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$371,091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$68,312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$552,505</w:t>
            </w: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Earnings before interest and taxes(a)...</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2,688</w:t>
            </w:r>
          </w:p>
        </w:tc>
        <w:tc>
          <w:tcPr>
            <w:tcW w:w="19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34,991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10,985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48,664</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80" w:right="2499" w:hanging="480"/>
        <w:spacing w:after="0" w:line="252"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 is defined as income from operations excluding merger and acquisition related costs and asset impairments and unusual items.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has classified as current operations held for sale its WM International operations and certain domestic operations, which management believes will be divested prior to March 31, 2001. The Company has classified as non-current operations held for sale its surplus real estate portfolio.</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16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NORTH AMERICAN</w:t>
            </w:r>
          </w:p>
        </w:tc>
        <w:tc>
          <w:tcPr>
            <w:tcW w:w="15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WM</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NON-SOLID</w:t>
            </w:r>
          </w:p>
        </w:tc>
        <w:tc>
          <w:tcPr>
            <w:tcW w:w="1320" w:type="dxa"/>
            <w:vAlign w:val="bottom"/>
          </w:tcPr>
          <w:p>
            <w:pPr>
              <w:spacing w:after="0"/>
              <w:rPr>
                <w:sz w:val="15"/>
                <w:szCs w:val="15"/>
                <w:color w:val="auto"/>
              </w:rPr>
            </w:pPr>
          </w:p>
        </w:tc>
      </w:tr>
      <w:tr>
        <w:trPr>
          <w:trHeight w:val="188"/>
        </w:trPr>
        <w:tc>
          <w:tcPr>
            <w:tcW w:w="4200" w:type="dxa"/>
            <w:vAlign w:val="bottom"/>
          </w:tcPr>
          <w:p>
            <w:pPr>
              <w:spacing w:after="0"/>
              <w:rPr>
                <w:sz w:val="16"/>
                <w:szCs w:val="16"/>
                <w:color w:val="auto"/>
              </w:rPr>
            </w:pP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SOLID WASTE</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INTERNATIONAL</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WASTE</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As of March 31, 2000:</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$ 26,715</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353,693</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$ 33,953</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414,361</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13,902</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203,842</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13,654</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231,398</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Property and equipment and other</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non-current assets......................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657,019</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2,220,035</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103,334</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2,980,388</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Current maturities of long-term debt......</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(2,344)</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(65,224)</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(67,568)</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Other current liabilities.................</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(19,638)</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(453,045)</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(58,465)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(531,148)</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Long-term debt, less current maturities...</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(54,326)</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(202,250)</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(256,576)</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(20,245)</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(394,655)</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(14,493)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(429,393)</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(109,096)</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(4,204)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(113,300)</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operations held for sale....</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$601,083</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$ 1,553,300</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$ 73,779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$ 2,228,162</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 held for sale................</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$655,139</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$ 2,777,570</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$150,941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$ 3,583,650</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Long-term assets: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Operations held for sale (included in</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assets)........................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42,497</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42,497</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 held for sale................</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(96,553)</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(1,224,270)</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(77,162)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(1,397,985)</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Operations held for sale (included in</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liabilities)...................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operations held for sale....</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$601,083</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$ 1,553,300</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$ 73,779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$ 2,228,162</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305"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At December 31, 1999, the Company classified as current operations held for sale its WM International operations and certain domestic operations. The Company classified as non-current operations held for sale certain NASW operations, which the Company had committed to sell to Allied Waste Industries, Inc. ("Allied") in connection with the Company's purchase of certain of Allied's operations, as well as the Company's surplus real estate portfolio.</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16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NORTH AMERICAN</w:t>
            </w:r>
          </w:p>
        </w:tc>
        <w:tc>
          <w:tcPr>
            <w:tcW w:w="15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WM</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NON-SOLID</w:t>
            </w:r>
          </w:p>
        </w:tc>
        <w:tc>
          <w:tcPr>
            <w:tcW w:w="1320" w:type="dxa"/>
            <w:vAlign w:val="bottom"/>
          </w:tcPr>
          <w:p>
            <w:pPr>
              <w:spacing w:after="0"/>
              <w:rPr>
                <w:sz w:val="15"/>
                <w:szCs w:val="15"/>
                <w:color w:val="auto"/>
              </w:rPr>
            </w:pPr>
          </w:p>
        </w:tc>
      </w:tr>
      <w:tr>
        <w:trPr>
          <w:trHeight w:val="188"/>
        </w:trPr>
        <w:tc>
          <w:tcPr>
            <w:tcW w:w="4200" w:type="dxa"/>
            <w:vAlign w:val="bottom"/>
          </w:tcPr>
          <w:p>
            <w:pPr>
              <w:spacing w:after="0"/>
              <w:rPr>
                <w:sz w:val="16"/>
                <w:szCs w:val="16"/>
                <w:color w:val="auto"/>
              </w:rPr>
            </w:pP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SOLID WASTE</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INTERNATIONAL</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WASTE</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As of December 31, 1999:</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36,506</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364,552</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$ 32,550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433,608</w:t>
            </w: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14,311</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208,842</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14,990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238,143</w:t>
            </w: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Property and equipment and other</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non-current assets...................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737,072</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2,271,611</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108,400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3,117,083</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Current maturities of long-term debt....</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(2,339)</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(51,817)</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(54,156)</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current liabilities...............</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(23,854)</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(481,617)</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(62,267)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(567,738)</w:t>
            </w: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Long-term debt, less current</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maturities...........................</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(57,871)</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(212,629)</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(270,500)</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noncurrent liabilities............</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(37,814)</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(347,264)</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(13,166)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(398,244)</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Minority interest.......................</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(117,676)</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(3,705)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(121,381)</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operations held for sale....</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$ 666,011</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$ 1,634,002</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$ 76,802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$ 2,376,815</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 held for sale................</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$ 534,557</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$ 2,845,005</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$155,940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$ 3,535,502</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Long-term assets: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Operations held for sale (included in</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assets)........................</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253,331</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253,331</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 held for sale................</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(118,079)</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(1,211,003)</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(79,138)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(1,408,220)</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Operations held for sale (included in</w:t>
            </w: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liabilities)...................</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(3,798)</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(3,798)</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operations held for sale....</w:t>
            </w: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$ 666,011</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$ 1,634,002</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$ 76,802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$ 2,376,815</w:t>
            </w:r>
          </w:p>
        </w:tc>
      </w:tr>
      <w:tr>
        <w:trPr>
          <w:trHeight w:val="188"/>
        </w:trPr>
        <w:tc>
          <w:tcPr>
            <w:tcW w:w="420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NEW ACCOUNTING PRONOUNCEMENTS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is effective for the Company in its first fiscal quarter in 2001. Management is currently assessing the impact that the adoption of SFAS No. 133 will have on the Company's consolidated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CONDENSED CONSOLIDATING FINANCIAL STATEMENTS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WM Holdings ("Guarantor"), a wholly-owned subsidiary of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unaudited condensed consolidating balance sheet as of March 31, 2000 and the condensed consolidated balance sheet as of December 31, 1999, the unaudited condensed consolidating statements of operations for the three months ended March 31, 2000 and 1999, along with the related unaudited statements of cash flows, have been provided below (in thousands).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305"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3180" w:type="dxa"/>
            <w:vAlign w:val="bottom"/>
          </w:tcPr>
          <w:p>
            <w:pPr>
              <w:jc w:val="right"/>
              <w:ind w:right="2619"/>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76"/>
        </w:trPr>
        <w:tc>
          <w:tcPr>
            <w:tcW w:w="5960" w:type="dxa"/>
            <w:vAlign w:val="bottom"/>
            <w:gridSpan w:val="5"/>
          </w:tcPr>
          <w:p>
            <w:pPr>
              <w:jc w:val="center"/>
              <w:ind w:left="1779"/>
              <w:spacing w:after="0"/>
              <w:rPr>
                <w:sz w:val="20"/>
                <w:szCs w:val="20"/>
                <w:color w:val="auto"/>
              </w:rPr>
            </w:pPr>
            <w:r>
              <w:rPr>
                <w:rFonts w:ascii="Courier New" w:cs="Courier New" w:eastAsia="Courier New" w:hAnsi="Courier New"/>
                <w:sz w:val="16"/>
                <w:szCs w:val="16"/>
                <w:color w:val="auto"/>
              </w:rPr>
              <w:t>WASTE MANAGEMENT, INC.</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6"/>
        </w:trPr>
        <w:tc>
          <w:tcPr>
            <w:tcW w:w="59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NOTES TO CONDENSED CONSOLIDATED FINANCIAL STATEMENTS --</w:t>
            </w:r>
          </w:p>
        </w:tc>
        <w:tc>
          <w:tcPr>
            <w:tcW w:w="100" w:type="dxa"/>
            <w:vAlign w:val="bottom"/>
          </w:tcPr>
          <w:p>
            <w:pPr>
              <w:spacing w:after="0"/>
              <w:rPr>
                <w:sz w:val="24"/>
                <w:szCs w:val="24"/>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(CONTINUED)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6"/>
        </w:trPr>
        <w:tc>
          <w:tcPr>
            <w:tcW w:w="5960" w:type="dxa"/>
            <w:vAlign w:val="bottom"/>
            <w:gridSpan w:val="5"/>
          </w:tcPr>
          <w:p>
            <w:pPr>
              <w:jc w:val="right"/>
              <w:ind w:right="219"/>
              <w:spacing w:after="0"/>
              <w:rPr>
                <w:sz w:val="20"/>
                <w:szCs w:val="20"/>
                <w:color w:val="auto"/>
              </w:rPr>
            </w:pPr>
            <w:r>
              <w:rPr>
                <w:rFonts w:ascii="Courier New" w:cs="Courier New" w:eastAsia="Courier New" w:hAnsi="Courier New"/>
                <w:sz w:val="16"/>
                <w:szCs w:val="16"/>
                <w:color w:val="auto"/>
              </w:rPr>
              <w:t>CONDENSED CONSOLIDATING BALANCE SHEET</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8"/>
        </w:trPr>
        <w:tc>
          <w:tcPr>
            <w:tcW w:w="31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MARCH 31, 2000</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(UNAUDITED)</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52"/>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PARENT</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GUARANTOR</w:t>
            </w:r>
          </w:p>
        </w:tc>
        <w:tc>
          <w:tcPr>
            <w:tcW w:w="43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NON-GUARANTOR   ELIMINATIONS   CONSOLIDATION</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1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57,290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89,382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147,422</w:t>
            </w: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36,604</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5,721,996</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5,758,600</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57,290</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37,354</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5,811,378</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5,906,022</w:t>
            </w: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 net.....</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10,136,441</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10,136,441</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Intercompany and investment in</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subsidiaries..................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11,438,171</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5,780,964</w:t>
            </w:r>
          </w:p>
        </w:tc>
        <w:tc>
          <w:tcPr>
            <w:tcW w:w="10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(12,744,917)</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(4,474,218)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19,257</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9,261</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6,153,200</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6,181,718</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$11,514,718</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$5,827,579</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9,356,102</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$(4,474,218)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$22,224,181</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180" w:type="dxa"/>
            <w:vAlign w:val="bottom"/>
          </w:tcPr>
          <w:p>
            <w:pPr>
              <w:spacing w:after="0"/>
              <w:rPr>
                <w:sz w:val="24"/>
                <w:szCs w:val="24"/>
                <w:color w:val="auto"/>
              </w:rPr>
            </w:pPr>
          </w:p>
        </w:tc>
        <w:tc>
          <w:tcPr>
            <w:tcW w:w="4200" w:type="dxa"/>
            <w:vAlign w:val="bottom"/>
            <w:gridSpan w:val="6"/>
          </w:tcPr>
          <w:p>
            <w:pPr>
              <w:ind w:left="140"/>
              <w:spacing w:after="0"/>
              <w:rPr>
                <w:sz w:val="20"/>
                <w:szCs w:val="20"/>
                <w:color w:val="auto"/>
              </w:rPr>
            </w:pPr>
            <w:r>
              <w:rPr>
                <w:rFonts w:ascii="Courier New" w:cs="Courier New" w:eastAsia="Courier New" w:hAnsi="Courier New"/>
                <w:sz w:val="16"/>
                <w:szCs w:val="16"/>
                <w:color w:val="auto"/>
              </w:rPr>
              <w:t>LIABILITIES AND STOCKHOLDERS' 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6"/>
        </w:trPr>
        <w:tc>
          <w:tcPr>
            <w:tcW w:w="31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$ 2,290,000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220,371</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$ 2,760,371</w:t>
            </w: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and other</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accrued liabilities........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114,761</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348,778</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3,738,112</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4,201,651</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2,404,761</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598,778</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3,958,483</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6,962,022</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Long-term debt, less current</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maturities....................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3,954,745</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3,111,989</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1,286,215</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8,352,949</w:t>
            </w: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2,447,484</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2,447,484</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6,359,506</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3,710,767</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7,692,182</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17,762,455</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Minority interest in</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subsidiaries..................</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8,964</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8,964</w:t>
            </w: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Stockholders' equity............</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5,155,212</w:t>
            </w:r>
          </w:p>
        </w:tc>
        <w:tc>
          <w:tcPr>
            <w:tcW w:w="14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2,116,812</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1,654,956</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(4,474,218)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4,452,762</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Total liabilities and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stockholders'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$11,514,718</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$5,827,579</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9,356,102</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$(4,474,218)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$22,224,181</w:t>
            </w:r>
          </w:p>
        </w:tc>
      </w:tr>
      <w:tr>
        <w:trPr>
          <w:trHeight w:val="188"/>
        </w:trPr>
        <w:tc>
          <w:tcPr>
            <w:tcW w:w="31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64"/>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3"/>
              </w:rPr>
              <w:t>21</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60"/>
          </w:cols>
          <w:pgMar w:left="240" w:top="305" w:right="13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ind w:left="300"/>
              <w:spacing w:after="0"/>
              <w:rPr>
                <w:sz w:val="20"/>
                <w:szCs w:val="20"/>
                <w:color w:val="auto"/>
              </w:rPr>
            </w:pPr>
            <w:r>
              <w:rPr>
                <w:rFonts w:ascii="Courier New" w:cs="Courier New" w:eastAsia="Courier New" w:hAnsi="Courier New"/>
                <w:sz w:val="16"/>
                <w:szCs w:val="16"/>
                <w:color w:val="auto"/>
              </w:rPr>
              <w:t>23</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76"/>
        </w:trPr>
        <w:tc>
          <w:tcPr>
            <w:tcW w:w="5960" w:type="dxa"/>
            <w:vAlign w:val="bottom"/>
            <w:gridSpan w:val="5"/>
          </w:tcPr>
          <w:p>
            <w:pPr>
              <w:jc w:val="center"/>
              <w:ind w:left="1779"/>
              <w:spacing w:after="0"/>
              <w:rPr>
                <w:sz w:val="20"/>
                <w:szCs w:val="20"/>
                <w:color w:val="auto"/>
              </w:rPr>
            </w:pPr>
            <w:r>
              <w:rPr>
                <w:rFonts w:ascii="Courier New" w:cs="Courier New" w:eastAsia="Courier New" w:hAnsi="Courier New"/>
                <w:sz w:val="16"/>
                <w:szCs w:val="16"/>
                <w:color w:val="auto"/>
              </w:rPr>
              <w:t>WASTE MANAGEMENT, INC.</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6"/>
        </w:trPr>
        <w:tc>
          <w:tcPr>
            <w:tcW w:w="59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NOTES TO CONDENSED CONSOLIDATED FINANCIAL STATEMENTS --</w:t>
            </w:r>
          </w:p>
        </w:tc>
        <w:tc>
          <w:tcPr>
            <w:tcW w:w="100" w:type="dxa"/>
            <w:vAlign w:val="bottom"/>
          </w:tcPr>
          <w:p>
            <w:pPr>
              <w:spacing w:after="0"/>
              <w:rPr>
                <w:sz w:val="24"/>
                <w:szCs w:val="24"/>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(CONTINUED)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6"/>
        </w:trPr>
        <w:tc>
          <w:tcPr>
            <w:tcW w:w="5960" w:type="dxa"/>
            <w:vAlign w:val="bottom"/>
            <w:gridSpan w:val="5"/>
          </w:tcPr>
          <w:p>
            <w:pPr>
              <w:jc w:val="right"/>
              <w:ind w:right="219"/>
              <w:spacing w:after="0"/>
              <w:rPr>
                <w:sz w:val="20"/>
                <w:szCs w:val="20"/>
                <w:color w:val="auto"/>
              </w:rPr>
            </w:pPr>
            <w:r>
              <w:rPr>
                <w:rFonts w:ascii="Courier New" w:cs="Courier New" w:eastAsia="Courier New" w:hAnsi="Courier New"/>
                <w:sz w:val="16"/>
                <w:szCs w:val="16"/>
                <w:color w:val="auto"/>
              </w:rPr>
              <w:t>CONDENSED CONSOLIDATING BALANCE SHEET</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1999</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ASSETS</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52"/>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PARENT</w:t>
            </w:r>
          </w:p>
        </w:tc>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rPr>
              <w:t>GUARANTOR</w:t>
            </w:r>
          </w:p>
        </w:tc>
        <w:tc>
          <w:tcPr>
            <w:tcW w:w="43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NON-GUARANTOR   ELIMINATIONS   CONSOLIDATION</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4"/>
        </w:trPr>
        <w:tc>
          <w:tcPr>
            <w:tcW w:w="30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8"/>
        </w:trPr>
        <w:tc>
          <w:tcPr>
            <w:tcW w:w="3040" w:type="dxa"/>
            <w:vAlign w:val="bottom"/>
          </w:tcPr>
          <w:p>
            <w:pPr>
              <w:ind w:left="200"/>
              <w:spacing w:after="0"/>
              <w:rPr>
                <w:sz w:val="20"/>
                <w:szCs w:val="20"/>
                <w:color w:val="auto"/>
              </w:rPr>
            </w:pPr>
            <w:r>
              <w:rPr>
                <w:rFonts w:ascii="Courier New" w:cs="Courier New" w:eastAsia="Courier New" w:hAnsi="Courier New"/>
                <w:sz w:val="16"/>
                <w:szCs w:val="16"/>
                <w:color w:val="auto"/>
                <w:w w:val="97"/>
              </w:rPr>
              <w:t>Cash and cash equivalents.....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33,690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4,496</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143,171</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181,357</w:t>
            </w:r>
          </w:p>
        </w:tc>
      </w:tr>
      <w:tr>
        <w:trPr>
          <w:trHeight w:val="188"/>
        </w:trPr>
        <w:tc>
          <w:tcPr>
            <w:tcW w:w="3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36,604</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6,002,584</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6,039,188</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33,690</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41,100</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6,145,755</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6,220,545</w:t>
            </w:r>
          </w:p>
        </w:tc>
      </w:tr>
      <w:tr>
        <w:trPr>
          <w:trHeight w:val="188"/>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 net.....</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10,303,803</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10,303,803</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Intercompany and investment in</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subsidiaries..................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11,367,467</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5,939,729</w:t>
            </w:r>
          </w:p>
        </w:tc>
        <w:tc>
          <w:tcPr>
            <w:tcW w:w="10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(13,139,748)</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(4,167,448)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Other assets....................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27,004</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9,795</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6,120,277</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6,157,076</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ind w:left="980"/>
              <w:spacing w:after="0"/>
              <w:rPr>
                <w:sz w:val="20"/>
                <w:szCs w:val="20"/>
                <w:color w:val="auto"/>
              </w:rPr>
            </w:pPr>
            <w:r>
              <w:rPr>
                <w:rFonts w:ascii="Courier New" w:cs="Courier New" w:eastAsia="Courier New" w:hAnsi="Courier New"/>
                <w:sz w:val="16"/>
                <w:szCs w:val="16"/>
                <w:color w:val="auto"/>
                <w:w w:val="96"/>
              </w:rPr>
              <w:t>Total assets..........</w:t>
            </w: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$11,428,161</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$5,990,624</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9,430,087</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$(4,167,448)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$22,681,424</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040" w:type="dxa"/>
            <w:vAlign w:val="bottom"/>
          </w:tcPr>
          <w:p>
            <w:pPr>
              <w:spacing w:after="0"/>
              <w:rPr>
                <w:sz w:val="24"/>
                <w:szCs w:val="24"/>
                <w:color w:val="auto"/>
              </w:rPr>
            </w:pPr>
          </w:p>
        </w:tc>
        <w:tc>
          <w:tcPr>
            <w:tcW w:w="4340" w:type="dxa"/>
            <w:vAlign w:val="bottom"/>
            <w:gridSpan w:val="6"/>
          </w:tcPr>
          <w:p>
            <w:pPr>
              <w:ind w:left="280"/>
              <w:spacing w:after="0"/>
              <w:rPr>
                <w:sz w:val="20"/>
                <w:szCs w:val="20"/>
                <w:color w:val="auto"/>
              </w:rPr>
            </w:pPr>
            <w:r>
              <w:rPr>
                <w:rFonts w:ascii="Courier New" w:cs="Courier New" w:eastAsia="Courier New" w:hAnsi="Courier New"/>
                <w:sz w:val="16"/>
                <w:szCs w:val="16"/>
                <w:color w:val="auto"/>
              </w:rPr>
              <w:t>LIABILITIES AND STOCKHOLDERS' 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6"/>
        </w:trPr>
        <w:tc>
          <w:tcPr>
            <w:tcW w:w="30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8"/>
        </w:trPr>
        <w:tc>
          <w:tcPr>
            <w:tcW w:w="304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w w:val="97"/>
              </w:rPr>
              <w:t>long-term debt.............</w:t>
            </w: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$ 2,271,899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576,843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$ 3,098,742</w:t>
            </w:r>
          </w:p>
        </w:tc>
      </w:tr>
      <w:tr>
        <w:trPr>
          <w:trHeight w:val="188"/>
        </w:trPr>
        <w:tc>
          <w:tcPr>
            <w:tcW w:w="304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and other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accrued liabilities........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100,978</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325,644</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3,964,091</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4,390,713</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2,372,877</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575,644</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4,540,934</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7,489,455</w:t>
            </w:r>
          </w:p>
        </w:tc>
      </w:tr>
      <w:tr>
        <w:trPr>
          <w:trHeight w:val="188"/>
        </w:trPr>
        <w:tc>
          <w:tcPr>
            <w:tcW w:w="3040" w:type="dxa"/>
            <w:vAlign w:val="bottom"/>
          </w:tcPr>
          <w:p>
            <w:pPr>
              <w:ind w:left="200"/>
              <w:spacing w:after="0"/>
              <w:rPr>
                <w:sz w:val="20"/>
                <w:szCs w:val="20"/>
                <w:color w:val="auto"/>
              </w:rPr>
            </w:pPr>
            <w:r>
              <w:rPr>
                <w:rFonts w:ascii="Courier New" w:cs="Courier New" w:eastAsia="Courier New" w:hAnsi="Courier New"/>
                <w:sz w:val="16"/>
                <w:szCs w:val="16"/>
                <w:color w:val="auto"/>
              </w:rPr>
              <w:t>Long-term debt, less current</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maturities.................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3,953,932</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3,507,853</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937,561</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8,399,346</w:t>
            </w:r>
          </w:p>
        </w:tc>
      </w:tr>
      <w:tr>
        <w:trPr>
          <w:trHeight w:val="188"/>
        </w:trPr>
        <w:tc>
          <w:tcPr>
            <w:tcW w:w="3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Other liabilities.............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2,382,337</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2,382,337</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42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Total liabilities.....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6,326,809</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4,083,497</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7,860,832</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18,271,138</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Minority interest in</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subsidiaries..................</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7,674</w:t>
            </w:r>
          </w:p>
        </w:tc>
        <w:tc>
          <w:tcPr>
            <w:tcW w:w="2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7,674</w:t>
            </w:r>
          </w:p>
        </w:tc>
      </w:tr>
      <w:tr>
        <w:trPr>
          <w:trHeight w:val="188"/>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5,101,352</w:t>
            </w:r>
          </w:p>
        </w:tc>
        <w:tc>
          <w:tcPr>
            <w:tcW w:w="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1,907,127</w:t>
            </w:r>
          </w:p>
        </w:tc>
        <w:tc>
          <w:tcPr>
            <w:tcW w:w="1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1,561,581</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(4,167,448)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4,402,612</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ind w:left="980"/>
              <w:spacing w:after="0"/>
              <w:rPr>
                <w:sz w:val="20"/>
                <w:szCs w:val="20"/>
                <w:color w:val="auto"/>
              </w:rPr>
            </w:pPr>
            <w:r>
              <w:rPr>
                <w:rFonts w:ascii="Courier New" w:cs="Courier New" w:eastAsia="Courier New" w:hAnsi="Courier New"/>
                <w:sz w:val="16"/>
                <w:szCs w:val="16"/>
                <w:color w:val="auto"/>
              </w:rPr>
              <w:t>Total liabilities and</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040" w:type="dxa"/>
            <w:vAlign w:val="bottom"/>
          </w:tcPr>
          <w:p>
            <w:pPr>
              <w:ind w:left="1180"/>
              <w:spacing w:after="0"/>
              <w:rPr>
                <w:sz w:val="20"/>
                <w:szCs w:val="20"/>
                <w:color w:val="auto"/>
              </w:rPr>
            </w:pPr>
            <w:r>
              <w:rPr>
                <w:rFonts w:ascii="Courier New" w:cs="Courier New" w:eastAsia="Courier New" w:hAnsi="Courier New"/>
                <w:sz w:val="16"/>
                <w:szCs w:val="16"/>
                <w:color w:val="auto"/>
              </w:rPr>
              <w:t>stockholders'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3040" w:type="dxa"/>
            <w:vAlign w:val="bottom"/>
          </w:tcPr>
          <w:p>
            <w:pPr>
              <w:ind w:left="1180"/>
              <w:spacing w:after="0"/>
              <w:rPr>
                <w:sz w:val="20"/>
                <w:szCs w:val="20"/>
                <w:color w:val="auto"/>
              </w:rPr>
            </w:pPr>
            <w:r>
              <w:rPr>
                <w:rFonts w:ascii="Courier New" w:cs="Courier New" w:eastAsia="Courier New" w:hAnsi="Courier New"/>
                <w:sz w:val="16"/>
                <w:szCs w:val="16"/>
                <w:color w:val="auto"/>
                <w:w w:val="95"/>
              </w:rPr>
              <w:t>equity..............</w:t>
            </w: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$11,428,161</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$5,990,624</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9,430,087</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$(4,167,448)</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$22,681,424</w:t>
            </w:r>
          </w:p>
        </w:tc>
      </w:tr>
      <w:tr>
        <w:trPr>
          <w:trHeight w:val="188"/>
        </w:trPr>
        <w:tc>
          <w:tcPr>
            <w:tcW w:w="304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64"/>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center"/>
              <w:ind w:right="219"/>
              <w:spacing w:after="0"/>
              <w:rPr>
                <w:sz w:val="20"/>
                <w:szCs w:val="20"/>
                <w:color w:val="auto"/>
              </w:rPr>
            </w:pPr>
            <w:r>
              <w:rPr>
                <w:rFonts w:ascii="Courier New" w:cs="Courier New" w:eastAsia="Courier New" w:hAnsi="Courier New"/>
                <w:sz w:val="16"/>
                <w:szCs w:val="16"/>
                <w:color w:val="auto"/>
                <w:w w:val="93"/>
              </w:rPr>
              <w:t>22</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60"/>
          </w:cols>
          <w:pgMar w:left="240" w:top="305" w:right="1399"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jc w:val="center"/>
        <w:ind w:right="2499"/>
        <w:spacing w:after="0" w:line="253" w:lineRule="auto"/>
        <w:rPr>
          <w:sz w:val="20"/>
          <w:szCs w:val="20"/>
          <w:color w:val="auto"/>
        </w:rPr>
      </w:pPr>
      <w:r>
        <w:rPr>
          <w:rFonts w:ascii="Courier New" w:cs="Courier New" w:eastAsia="Courier New" w:hAnsi="Courier New"/>
          <w:sz w:val="16"/>
          <w:szCs w:val="16"/>
          <w:color w:val="auto"/>
        </w:rPr>
        <w:t>CONDENSED CONSOLIDATING FINANCIAL STATEMENT OF OPERATIONS THREE MONTHS ENDED MARCH 31, 2000 (UNAUDITED)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PARENT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GUARANTOR</w:t>
            </w: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NON-GUARANTOR</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CONSOLIDATION</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32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$3,217,309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$3,217,309</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2,903,489</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2,903,489</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313,820</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313,820</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 (expense),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480"/>
              <w:spacing w:after="0"/>
              <w:rPr>
                <w:sz w:val="20"/>
                <w:szCs w:val="20"/>
                <w:color w:val="auto"/>
              </w:rPr>
            </w:pPr>
            <w:r>
              <w:rPr>
                <w:rFonts w:ascii="Courier New" w:cs="Courier New" w:eastAsia="Courier New" w:hAnsi="Courier New"/>
                <w:sz w:val="16"/>
                <w:szCs w:val="16"/>
                <w:color w:val="auto"/>
              </w:rPr>
              <w:t>net.........................</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(126,471)</w:t>
            </w:r>
          </w:p>
        </w:tc>
        <w:tc>
          <w:tcPr>
            <w:tcW w:w="2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(61,879)</w:t>
            </w:r>
          </w:p>
        </w:tc>
        <w:tc>
          <w:tcPr>
            <w:tcW w:w="3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(13,011)</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(201,361)</w:t>
            </w: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Equity in subsidiaries, net of</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480"/>
              <w:spacing w:after="0"/>
              <w:rPr>
                <w:sz w:val="20"/>
                <w:szCs w:val="20"/>
                <w:color w:val="auto"/>
              </w:rPr>
            </w:pPr>
            <w:r>
              <w:rPr>
                <w:rFonts w:ascii="Courier New" w:cs="Courier New" w:eastAsia="Courier New" w:hAnsi="Courier New"/>
                <w:sz w:val="16"/>
                <w:szCs w:val="16"/>
                <w:color w:val="auto"/>
              </w:rPr>
              <w:t>taxes.......................</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134,048</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172,722</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(306,770)</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Minority interest..............</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(5,972)</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(5,972)</w:t>
            </w: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Other, net.....................</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13,366</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13,366</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7,577</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110,843</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308,203</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(306,770)</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119,853</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Provision for (benefit from)</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income taxes...................</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(47,426)</w:t>
            </w:r>
          </w:p>
        </w:tc>
        <w:tc>
          <w:tcPr>
            <w:tcW w:w="2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(23,205)</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135,481</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64,850</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55,003</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$134,048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172,722</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$(306,770)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55,003</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64"/>
        </w:trPr>
        <w:tc>
          <w:tcPr>
            <w:tcW w:w="7180" w:type="dxa"/>
            <w:vAlign w:val="bottom"/>
            <w:gridSpan w:val="7"/>
          </w:tcPr>
          <w:p>
            <w:pPr>
              <w:jc w:val="right"/>
              <w:ind w:right="939"/>
              <w:spacing w:after="0"/>
              <w:rPr>
                <w:sz w:val="20"/>
                <w:szCs w:val="20"/>
                <w:color w:val="auto"/>
              </w:rPr>
            </w:pPr>
            <w:r>
              <w:rPr>
                <w:rFonts w:ascii="Courier New" w:cs="Courier New" w:eastAsia="Courier New" w:hAnsi="Courier New"/>
                <w:sz w:val="16"/>
                <w:szCs w:val="16"/>
                <w:color w:val="auto"/>
              </w:rPr>
              <w:t>CONDENSED CONSOLIDATING STATEMENT OF OPERATIONS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5620" w:type="dxa"/>
            <w:vAlign w:val="bottom"/>
            <w:gridSpan w:val="5"/>
          </w:tcPr>
          <w:p>
            <w:pPr>
              <w:jc w:val="right"/>
              <w:ind w:right="59"/>
              <w:spacing w:after="0"/>
              <w:rPr>
                <w:sz w:val="20"/>
                <w:szCs w:val="20"/>
                <w:color w:val="auto"/>
              </w:rPr>
            </w:pPr>
            <w:r>
              <w:rPr>
                <w:rFonts w:ascii="Courier New" w:cs="Courier New" w:eastAsia="Courier New" w:hAnsi="Courier New"/>
                <w:sz w:val="16"/>
                <w:szCs w:val="16"/>
                <w:color w:val="auto"/>
              </w:rPr>
              <w:t>THREE MONTHS ENDED MARCH 31, 1999</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752"/>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PARENT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GUARANTOR</w:t>
            </w: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NON-GUARANTOR</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CONSOLIDATION</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32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$3,070,635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$3,070,635</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2,310,537</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2,310,537</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760,098</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760,098</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 (expense),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480"/>
              <w:spacing w:after="0"/>
              <w:rPr>
                <w:sz w:val="20"/>
                <w:szCs w:val="20"/>
                <w:color w:val="auto"/>
              </w:rPr>
            </w:pPr>
            <w:r>
              <w:rPr>
                <w:rFonts w:ascii="Courier New" w:cs="Courier New" w:eastAsia="Courier New" w:hAnsi="Courier New"/>
                <w:sz w:val="16"/>
                <w:szCs w:val="16"/>
                <w:color w:val="auto"/>
              </w:rPr>
              <w:t>net..........................</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(85,965)</w:t>
            </w:r>
          </w:p>
        </w:tc>
        <w:tc>
          <w:tcPr>
            <w:tcW w:w="2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(72,248)</w:t>
            </w:r>
          </w:p>
        </w:tc>
        <w:tc>
          <w:tcPr>
            <w:tcW w:w="3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(15,126)</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(173,339)</w:t>
            </w: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Equity in subsidiaries, net of</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480"/>
              <w:spacing w:after="0"/>
              <w:rPr>
                <w:sz w:val="20"/>
                <w:szCs w:val="20"/>
                <w:color w:val="auto"/>
              </w:rPr>
            </w:pPr>
            <w:r>
              <w:rPr>
                <w:rFonts w:ascii="Courier New" w:cs="Courier New" w:eastAsia="Courier New" w:hAnsi="Courier New"/>
                <w:sz w:val="16"/>
                <w:szCs w:val="16"/>
                <w:color w:val="auto"/>
              </w:rPr>
              <w:t>taxes........................</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400,416</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445,571</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(845,987)</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Minority interest...............</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(6,462)</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(6,462)</w:t>
            </w: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Other, net......................</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14,363</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14,363</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314,451</w:t>
            </w:r>
          </w:p>
        </w:tc>
        <w:tc>
          <w:tcPr>
            <w:tcW w:w="2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373,323</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752,873</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(845,987)</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594,660</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Provision for (benefit from)</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income taxes....................</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(32,237)</w:t>
            </w:r>
          </w:p>
        </w:tc>
        <w:tc>
          <w:tcPr>
            <w:tcW w:w="2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(27,093)</w:t>
            </w:r>
          </w:p>
        </w:tc>
        <w:tc>
          <w:tcPr>
            <w:tcW w:w="34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307,302</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247,972</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$346,688</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$400,416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445,571</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$(845,987)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346,688</w:t>
            </w:r>
          </w:p>
        </w:tc>
      </w:tr>
      <w:tr>
        <w:trPr>
          <w:trHeight w:val="188"/>
        </w:trPr>
        <w:tc>
          <w:tcPr>
            <w:tcW w:w="33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64"/>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CONSOLIDATING STATEMENT OF CASH FLOWS</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THREE MONTHS ENDED MARCH 31, 2000</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PARENT</w:t>
            </w:r>
          </w:p>
        </w:tc>
        <w:tc>
          <w:tcPr>
            <w:tcW w:w="11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GUARANTOR</w:t>
            </w:r>
          </w:p>
        </w:tc>
        <w:tc>
          <w:tcPr>
            <w:tcW w:w="15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NON-GUARANTOR</w:t>
            </w:r>
          </w:p>
        </w:tc>
        <w:tc>
          <w:tcPr>
            <w:tcW w:w="14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ELIMINATIONS</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CONSOLIDATION</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flows from operating</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55,003</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$ 134,048</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$ 172,722</w:t>
            </w: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$(306,770)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55,003</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Equity in earnings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subsidiaries, net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(134,048)</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(172,722)</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306,770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Other adjustments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charges....................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28,913</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93,493</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497,820</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620,226</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Net cash provided by (used in)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operating activities..........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(50,132)</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54,819</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670,542</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675,229</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flows from investing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Short-term investments........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53,733</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53,733</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Acquisitions of businesses,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net of cash acquired.......</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(114,110)</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(114,110)</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(248,565)</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(248,565)</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sale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62,022</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62,022</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(43,776)</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(43,776)</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Net cash used in investing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(290,696)</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(290,696)</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flows from financing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long-term debt.............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40,000</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24,774</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64,774</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long-term debt.............</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(21,899)</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(396,684)</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(63,066)</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(481,649)</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(Increase) decrease in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intercompany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investments, net...........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55,631</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338,119</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(393,750)</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874</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874</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Net cash provided by (used in)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financing activities..........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73,732</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(58,565)</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(431,168)</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(416,001)</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on cash and cash</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equivalents...................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(2,467)</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(2,467)</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cash equivalents..............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23,600</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(3,746)</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(53,789)</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(33,935)</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beginning of period...........</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33,690</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4,496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143,171</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181,357</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of period.....................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57,290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750</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89,382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$ 147,422</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64"/>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26</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CONSOLIDATING STATEMENT OF CASH FLOWS</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THREE MONTHS ENDED MARCH 31, 1999</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PARENT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GUARANTOR</w:t>
            </w:r>
          </w:p>
        </w:tc>
        <w:tc>
          <w:tcPr>
            <w:tcW w:w="15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NON-GUARANTOR</w:t>
            </w:r>
          </w:p>
        </w:tc>
        <w:tc>
          <w:tcPr>
            <w:tcW w:w="14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ELIMINATIONS</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CONSOLIDATION</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flows from operating</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346,688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$ 400,416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$ 445,571</w:t>
            </w: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$(845,987)</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$ 346,688</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Equity in earnings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subsidiaries, net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(400,416)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(445,571)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845,987</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Other adjustments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changes....................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35,195</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(22,633)</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11,776</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Net cash provided by (used in)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operating activities..........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(54,514)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(9,960)</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422,938</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358,464</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flows from investing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Short-term investments........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(6,466)</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(6,466)</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Acquisitions of businesses,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net of cash acquired.......</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(280,797)</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(280,797)</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(281,272)</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(281,272)</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sale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275,733</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275,733</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4,998</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4,998</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Net cash used in investing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(287,804)</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(287,804)</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Cash flows from financing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long-term debt.............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629,384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7,361</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636,745</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long-term debt.............</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(519,532)</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1,573</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(239,258)</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(757,217)</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exercise of</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common stock options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warrants...................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24,069</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24,069</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(Increase) decrease in amounts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due to and from</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subsidiaries, net..........</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(72,314)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(6,340)</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78,654</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Net cash provided by (used in)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financing activities.......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61,607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(4,767)</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(153,243)</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(96,403)</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Effect of exchange rate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changes on cash and cash</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equivalents................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(1,766)</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(1,766)</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Increase (decrease) in cash</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and cash equivalents.......</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7,093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(14,727)</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(19,875)</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(27,509)</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 at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beginning of period........</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27,726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(48,578)</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107,725</w:t>
            </w:r>
          </w:p>
        </w:tc>
        <w:tc>
          <w:tcPr>
            <w:tcW w:w="40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86,873</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 at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end of period..............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34,819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(63,305)</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87,850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59,364</w:t>
            </w:r>
          </w:p>
        </w:tc>
      </w:tr>
      <w:tr>
        <w:trPr>
          <w:trHeight w:val="188"/>
        </w:trPr>
        <w:tc>
          <w:tcPr>
            <w:tcW w:w="322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305"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27</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SUBSEQUENT EVENTS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March 29, 2000, the Company announced that its wholly-owned subsidiary had reached a definitive agreement to sell its nuclear waste services operations to GTS Duratek, Inc. for up to $65 million in cash, consisting of $55 million at closing and up to $10 million in additional cash consideration upon the satisfaction of certain post-closing conditions. The Company expects the sale to be completed in the second quarter of 2000. The transaction is subject to certain regulatory approvals and the other customary conditions.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March 31, 2000, the Company completed the previously announced purchase of certain of the Canadian solid waste assets of Allied for approximately $75 million in cash. Under separate agreements, Allied contracted to purchase certain of the Company's domestic solid waste operations, including 11 landfill operations, 21 collection operations, seven transfer stations and a landfill operating contract for approximately $234 million. On February 15, 2000, the Company completed the sale to Allied of seven of such collection operations, a transfer station and a landfill. On May 1, 2000, the Company completed the sale to Allied of six collection operations, five landfill operations and three transfer stations. The scope of some of the remaining domestic assets to be acquired by Allied from the Company remains under antitrust review. However, the Company expects all such sales to be completed in 2000.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April of 2000, the Company announced that its wholly-owned subsidiaries had completed the previously announced transactions regarding the sales of waste services operations in the Netherlands and Finland, and the majority interest in Waste Management New Zealand Limited. Additionally, the Company announced that its wholly-owned subsidiary had reached an agreement to sell Pacific Waste Management, its Australian subsidiary, to SITA for $230 million. Finally, the Company announced that its wholly owned subsidiary had reached an agreement to sell its waste services operations in Italy to Emas S.p.A. and Italcogim S.p.A. for approximately $70 million. The Australian and Italian sales are expected to be completed in the second quarter of 2000.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April 25, 2000, the Company announced that it had reached a definitive agreement to sell ten waste collection businesses in Arkansas, Kentucky, Missouri, Nebraska, Oklahoma and Texas, 12 landfills in Arkansas, Kansas, Kentucky, Missouri, Nebraska, Oklahoma and Texas and seven transfer stations in Arkansas, Missouri, Nebraska and Oklahoma to Waste Corporation of America for approximately $110 million and the assumption of closure and post-closure liabilities. The transaction is expected to be completed in the third quarter of 2000, and is subject to approvals from various state and federal agencies, as well as customary closing conditions.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May 1, 2000, the Company announced that it had reached a definitive agreement to sell its BioGro business, a leading manager of organic residuals in North America, to Synagro Technologies, Inc. for approximately $200 million in cash and assumed debt. The Company expects to complete the sale in the second quarter of 2000.</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On May 7, 2000, the Company announced that its wholly-owned subsidiary had reached an agreement to sell its waste operations in Germany to Cleanaway Deutschland Holding GmbH for approximately $80 million. The Company expects the sale to be completed in the second half of 2000.</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5"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discussion below and elsewhere in this Form 10-Q includes statements that are "forward-looking statements" within the meaning of Section 27A of the Securities Act of 1933 and Section 21E of the Exchange Act. These include statements that describe anticipated revenues, capital expenditures and other financial items, statements that describe the Company's business plans and objectives, and statements that describe the expected impact of competition, government regulation, litigation and other factors on the Company's future financial condition and results of operations. The words "may," "could," "should", "expect," "believe," "anticipate," "project," "estimate," and similar expressions are intended to identify forward-looking statements. Such risks and uncertainties, any one of which may cause actual results to differ materially from those described in the forward-looking statements, include or relate to, among other things:</w:t>
      </w:r>
    </w:p>
    <w:p>
      <w:pPr>
        <w:spacing w:after="0" w:line="187" w:lineRule="exact"/>
        <w:rPr>
          <w:sz w:val="20"/>
          <w:szCs w:val="20"/>
          <w:color w:val="auto"/>
        </w:rPr>
      </w:pPr>
    </w:p>
    <w:p>
      <w:pPr>
        <w:ind w:left="680" w:right="3079" w:hanging="191"/>
        <w:spacing w:after="0" w:line="252"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pending or threatened litigation and/or governmental inquiries and investigation involving the Company.</w:t>
      </w:r>
    </w:p>
    <w:p>
      <w:pPr>
        <w:spacing w:after="0" w:line="183" w:lineRule="exact"/>
        <w:rPr>
          <w:rFonts w:ascii="Courier New" w:cs="Courier New" w:eastAsia="Courier New" w:hAnsi="Courier New"/>
          <w:sz w:val="16"/>
          <w:szCs w:val="16"/>
          <w:color w:val="auto"/>
        </w:rPr>
      </w:pPr>
    </w:p>
    <w:p>
      <w:pPr>
        <w:ind w:left="680" w:right="2499" w:hanging="191"/>
        <w:spacing w:after="0" w:line="252"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stabilize its accounting systems and procedures and maintain stability.</w:t>
      </w:r>
    </w:p>
    <w:p>
      <w:pPr>
        <w:spacing w:after="0" w:line="183"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uncertainties to the Company's proposed strategic initiative, including the willingness of prospective purchasers to purchase the 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such transactions, including the availability of financing and uncertainties relating to the impact of the proposed strategic initiative on the Company's credit ratings and consequently the availability and cost of debt and equity financing to the Company.</w:t>
      </w:r>
    </w:p>
    <w:p>
      <w:pPr>
        <w:spacing w:after="0" w:line="187"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successfully integrate the operations of acquired companies with its existing operations, including risks and uncertainties relating to its ability to achieve projected earnings estimates, achieve administrative and operating cost savings and anticipated synergies, rationalize collection routes, and generally capitalize on its asset base and strategic position through its strategy of decentralized decision making; and the risks and uncertainties regarding government-forced divestitures.</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the ability of the Company to accurately assess the prior pre-existing liabilities and assets of acquisition candidates and the restraints imposed by federal and state statutes and agencies respecting market concentration and competitive behavior.</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187"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impact of environmental and other regulation on the Company's business, including risks and uncertainties concerning the ultimate cost to the Company of complying with final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187" w:lineRule="exact"/>
        <w:rPr>
          <w:rFonts w:ascii="Courier New" w:cs="Courier New" w:eastAsia="Courier New" w:hAnsi="Courier New"/>
          <w:sz w:val="16"/>
          <w:szCs w:val="16"/>
          <w:color w:val="auto"/>
        </w:rPr>
      </w:pPr>
    </w:p>
    <w:p>
      <w:pPr>
        <w:ind w:left="680" w:right="2599" w:hanging="191"/>
        <w:spacing w:after="0" w:line="249"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generate sufficient cash flows from operations to cover its cash needs, the Company's ability to obtain additional capital if needed and the possible default under credit facilities if cash flows are lower than expected or capital expenditures are greater than expected.</w:t>
      </w:r>
    </w:p>
    <w:p>
      <w:pPr>
        <w:spacing w:after="0" w:line="187" w:lineRule="exact"/>
        <w:rPr>
          <w:rFonts w:ascii="Courier New" w:cs="Courier New" w:eastAsia="Courier New" w:hAnsi="Courier New"/>
          <w:sz w:val="16"/>
          <w:szCs w:val="16"/>
          <w:color w:val="auto"/>
        </w:rPr>
      </w:pPr>
    </w:p>
    <w:p>
      <w:pPr>
        <w:jc w:val="both"/>
        <w:ind w:left="680" w:right="3279" w:hanging="191"/>
        <w:spacing w:after="0" w:line="250"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changes in estimates from ongoing analysis of site remediation requirements, final closure and post-closure issues, compliance and other audits and regulatory developments.</w:t>
      </w:r>
    </w:p>
    <w:p>
      <w:pPr>
        <w:sectPr>
          <w:pgSz w:w="11900" w:h="16838" w:orient="portrait"/>
          <w:cols w:equalWidth="0" w:num="1">
            <w:col w:w="10219"/>
          </w:cols>
          <w:pgMar w:left="240" w:top="305" w:right="1440" w:bottom="951"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305" w:right="1440" w:bottom="951"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29</w:t>
      </w:r>
    </w:p>
    <w:p>
      <w:pPr>
        <w:spacing w:after="0" w:line="195" w:lineRule="exact"/>
        <w:rPr>
          <w:sz w:val="20"/>
          <w:szCs w:val="20"/>
          <w:color w:val="auto"/>
        </w:rPr>
      </w:pPr>
    </w:p>
    <w:p>
      <w:pPr>
        <w:ind w:left="680" w:right="2399" w:hanging="191"/>
        <w:spacing w:after="0" w:line="252" w:lineRule="auto"/>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effectiveness of changes in management and the ability of the Company to retain qualified individuals to serve in senior management positions.</w:t>
      </w:r>
    </w:p>
    <w:p>
      <w:pPr>
        <w:spacing w:after="0" w:line="183"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price fluctuations of recyclable materials processed by the Company.</w:t>
      </w:r>
    </w:p>
    <w:p>
      <w:pPr>
        <w:spacing w:after="0" w:line="183" w:lineRule="exact"/>
        <w:rPr>
          <w:rFonts w:ascii="Courier New" w:cs="Courier New" w:eastAsia="Courier New" w:hAnsi="Courier New"/>
          <w:sz w:val="16"/>
          <w:szCs w:val="16"/>
          <w:color w:val="auto"/>
        </w:rPr>
      </w:pPr>
    </w:p>
    <w:p>
      <w:pPr>
        <w:ind w:left="680" w:right="2599" w:hanging="191"/>
        <w:spacing w:after="0" w:line="250" w:lineRule="auto"/>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risks that are inherent in operating in foreign countries that are beyond the control of the Company, including but not limited to political, social, and economic instability and government regulations.</w:t>
      </w:r>
    </w:p>
    <w:p>
      <w:pPr>
        <w:spacing w:after="0" w:line="185"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impairment charges against earnings related to long-lived assets which may result from possible future business events.</w:t>
      </w:r>
    </w:p>
    <w:p>
      <w:pPr>
        <w:spacing w:after="0" w:line="183" w:lineRule="exact"/>
        <w:rPr>
          <w:rFonts w:ascii="Courier New" w:cs="Courier New" w:eastAsia="Courier New" w:hAnsi="Courier New"/>
          <w:sz w:val="16"/>
          <w:szCs w:val="16"/>
          <w:color w:val="auto"/>
        </w:rPr>
      </w:pPr>
    </w:p>
    <w:p>
      <w:pPr>
        <w:ind w:left="680" w:right="2499" w:hanging="191"/>
        <w:spacing w:after="0" w:line="249" w:lineRule="auto"/>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that recent trends regarding mandating recycling, waste reduction at the source and prohibiting the disposal of certain types of wastes could have on volumes of waste going to landfills and waste-to-energy facilities.</w:t>
      </w:r>
    </w:p>
    <w:p>
      <w:pPr>
        <w:spacing w:after="0" w:line="187" w:lineRule="exact"/>
        <w:rPr>
          <w:rFonts w:ascii="Courier New" w:cs="Courier New" w:eastAsia="Courier New" w:hAnsi="Courier New"/>
          <w:sz w:val="16"/>
          <w:szCs w:val="16"/>
          <w:color w:val="auto"/>
        </w:rPr>
      </w:pPr>
    </w:p>
    <w:p>
      <w:pPr>
        <w:ind w:left="680" w:right="2399" w:hanging="191"/>
        <w:spacing w:after="0" w:line="250" w:lineRule="auto"/>
        <w:tabs>
          <w:tab w:leader="none" w:pos="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impact of government regulation on the Company's ability to obtain and maintain necessary permits and approvals required for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Strategic Plan</w:t>
      </w:r>
    </w:p>
    <w:p>
      <w:pPr>
        <w:spacing w:after="0" w:line="19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In August 1999, the Company's Board of Directors adopted a strategic plan that is intended to enhance value for its shareholders, customers, and employees. The plan's major elements are to:</w:t>
      </w:r>
    </w:p>
    <w:p>
      <w:pPr>
        <w:spacing w:after="0" w:line="185" w:lineRule="exact"/>
        <w:rPr>
          <w:sz w:val="20"/>
          <w:szCs w:val="20"/>
          <w:color w:val="auto"/>
        </w:rPr>
      </w:pPr>
    </w:p>
    <w:p>
      <w:pPr>
        <w:ind w:left="680" w:right="2699" w:hanging="191"/>
        <w:spacing w:after="0" w:line="249" w:lineRule="auto"/>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the Company's non-strategic and under-performing assets, including the Company's international operations outside North America ("WM International"), its non-core assets and up to 10% of its North American solid waste ("NASW") assets.</w:t>
      </w:r>
    </w:p>
    <w:p>
      <w:pPr>
        <w:spacing w:after="0" w:line="187" w:lineRule="exact"/>
        <w:rPr>
          <w:rFonts w:ascii="Courier New" w:cs="Courier New" w:eastAsia="Courier New" w:hAnsi="Courier New"/>
          <w:sz w:val="16"/>
          <w:szCs w:val="16"/>
          <w:color w:val="auto"/>
        </w:rPr>
      </w:pPr>
    </w:p>
    <w:p>
      <w:pPr>
        <w:ind w:left="680" w:right="2879" w:hanging="191"/>
        <w:spacing w:after="0" w:line="250" w:lineRule="auto"/>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or improve the Company's long-term investment grade characteristics while using disposition proceeds for debt repayment, repurchases of shares and selected tuck-in acquisitions.</w:t>
      </w:r>
    </w:p>
    <w:p>
      <w:pPr>
        <w:spacing w:after="0" w:line="185" w:lineRule="exact"/>
        <w:rPr>
          <w:rFonts w:ascii="Courier New" w:cs="Courier New" w:eastAsia="Courier New" w:hAnsi="Courier New"/>
          <w:sz w:val="16"/>
          <w:szCs w:val="16"/>
          <w:color w:val="auto"/>
        </w:rPr>
      </w:pPr>
    </w:p>
    <w:p>
      <w:pPr>
        <w:ind w:left="680" w:right="3179" w:hanging="191"/>
        <w:spacing w:after="0" w:line="250" w:lineRule="auto"/>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Bring more discipline and accountability to the enterprise while continuing the Company's decentralized business model, which puts authority close to the customer.</w:t>
      </w:r>
    </w:p>
    <w:p>
      <w:pPr>
        <w:spacing w:after="0" w:line="185" w:lineRule="exact"/>
        <w:rPr>
          <w:rFonts w:ascii="Courier New" w:cs="Courier New" w:eastAsia="Courier New" w:hAnsi="Courier New"/>
          <w:sz w:val="16"/>
          <w:szCs w:val="16"/>
          <w:color w:val="auto"/>
        </w:rPr>
      </w:pPr>
    </w:p>
    <w:p>
      <w:pPr>
        <w:ind w:left="680" w:right="2979" w:hanging="191"/>
        <w:spacing w:after="0" w:line="252" w:lineRule="auto"/>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Restore a disciplined capital allocation philosophy that focuses on profits as opposed to growth.</w:t>
      </w:r>
    </w:p>
    <w:p>
      <w:pPr>
        <w:spacing w:after="0" w:line="183" w:lineRule="exact"/>
        <w:rPr>
          <w:rFonts w:ascii="Courier New" w:cs="Courier New" w:eastAsia="Courier New" w:hAnsi="Courier New"/>
          <w:sz w:val="16"/>
          <w:szCs w:val="16"/>
          <w:color w:val="auto"/>
        </w:rPr>
      </w:pPr>
    </w:p>
    <w:p>
      <w:pPr>
        <w:ind w:left="680" w:right="2699" w:hanging="191"/>
        <w:spacing w:after="0" w:line="252" w:lineRule="auto"/>
        <w:tabs>
          <w:tab w:leader="none" w:pos="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employees the tools they need to do their jobs, including updated and more efficient information systems.</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Waste Management is one of the largest publicly-owned companies providing integrated waste management services in North America and internationally. In North America, the Company provides solid waste management services throughout the United States and Puerto Rico, as well as in Canada and Mexico, including collection, transfer, recycling and resource recovery services, and disposal services. In addition, the Company is a leading developer, operator and owner of waste-to-energy facilities in the United States. The Company also engages in hazardous waste management services throughout North America, as well as low-level and other radioactive waste services.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Internationally, the Company operates throughout Europe, the Pacific Rim, and South America. Included in the Company's WM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305"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30</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of disposal fees (known as tipping fees) charged to third parties and are normally billed monthly or semi-monthly. Tipping fees are based on the volume of waste being disposed of at the Company's disposal facilities. Fees are charged at transfer stations based on the volume of waste deposited, taking into account the Company's cost of loading, transporting, and disposing of the solid waste at a disposal site. Intercompany revenues between the Company's operations have been eliminated in the consolidated financial statements presented elsewhere herein.</w:t>
      </w:r>
    </w:p>
    <w:p>
      <w:pPr>
        <w:spacing w:after="0" w:line="374"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Operating expenses from waste management operations include direct and indirect labor and the related taxes and benefits, fuel, maintenance and repairs of equipment and facilities, tipping fees paid to third party disposal facilities,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expenses, such as administrative salaries and general corporate overhead, are expensed in the period incurred. At times, the Company receives reimbursements from insurance carriers relating to past and future environmentally related remedial, defense and tort claim costs at a number of the Company's sites. Such recoveries are included in operating costs and expenses as an offset to environmental expenses.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General and administrative costs include management salaries, clerical and administrative costs, professional services, facility rentals, provision for doubtful accounts, and certain related insurance costs as well as costs related to the Company's marketing and sales force.</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Depreciation and amortization includes (i) amortization of the excess of cost over net assets of acquired businesses on a straight-line basis over a period not greater than 40 years commencing on the dates of the respective acquisitions; (ii) amortization of other intangible assets on a straight-line basis from 3 to 40 years; (iii) depreciation of property and equipment on a straight-line basis from 3 to 40 years; and (iv) amortization of landfill costs on a units-of-consumption method as landfill airspace is consumed over the estimated remaining capacity of a site. The remaining capacity of a site is determined by the unutilized permitted airspace and expansion airspace when the success of obtaining such an expansion is considered probable. Effective as of the third quarter of 1999, the Company applied a newly defined, more stringent set of criteria for evaluating the probability of obtaining an expansion to landfill airspace at existing sites, which are as follows:</w:t>
      </w:r>
    </w:p>
    <w:p>
      <w:pPr>
        <w:spacing w:after="0" w:line="187" w:lineRule="exact"/>
        <w:rPr>
          <w:sz w:val="20"/>
          <w:szCs w:val="20"/>
          <w:color w:val="auto"/>
        </w:rPr>
      </w:pPr>
    </w:p>
    <w:p>
      <w:pPr>
        <w:ind w:left="680" w:right="3079" w:hanging="191"/>
        <w:spacing w:after="0" w:line="252"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are actively working to obtain land use, local and state approvals for an expansion of an existing landfill;</w:t>
      </w:r>
    </w:p>
    <w:p>
      <w:pPr>
        <w:spacing w:after="0" w:line="183" w:lineRule="exact"/>
        <w:rPr>
          <w:rFonts w:ascii="Courier New" w:cs="Courier New" w:eastAsia="Courier New" w:hAnsi="Courier New"/>
          <w:sz w:val="16"/>
          <w:szCs w:val="16"/>
          <w:color w:val="auto"/>
        </w:rPr>
      </w:pPr>
    </w:p>
    <w:p>
      <w:pPr>
        <w:ind w:left="680" w:right="2399" w:hanging="191"/>
        <w:spacing w:after="0" w:line="249"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187" w:lineRule="exact"/>
        <w:rPr>
          <w:rFonts w:ascii="Courier New" w:cs="Courier New" w:eastAsia="Courier New" w:hAnsi="Courier New"/>
          <w:sz w:val="16"/>
          <w:szCs w:val="16"/>
          <w:color w:val="auto"/>
        </w:rPr>
      </w:pPr>
    </w:p>
    <w:p>
      <w:pPr>
        <w:ind w:left="680" w:right="2399" w:hanging="191"/>
        <w:spacing w:after="0" w:line="252"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landfill owners or the Company has a legal right to use or obtain land to be included in the expansion plan;</w:t>
      </w:r>
    </w:p>
    <w:p>
      <w:pPr>
        <w:spacing w:after="0" w:line="183" w:lineRule="exact"/>
        <w:rPr>
          <w:rFonts w:ascii="Courier New" w:cs="Courier New" w:eastAsia="Courier New" w:hAnsi="Courier New"/>
          <w:sz w:val="16"/>
          <w:szCs w:val="16"/>
          <w:color w:val="auto"/>
        </w:rPr>
      </w:pPr>
    </w:p>
    <w:p>
      <w:pPr>
        <w:ind w:left="680" w:right="2499" w:hanging="191"/>
        <w:spacing w:after="0" w:line="250"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significant known technical, legal, community, business, or political restrictions or issues that could impair the success of such expansion;</w:t>
      </w:r>
    </w:p>
    <w:p>
      <w:pPr>
        <w:spacing w:after="0" w:line="185" w:lineRule="exact"/>
        <w:rPr>
          <w:rFonts w:ascii="Courier New" w:cs="Courier New" w:eastAsia="Courier New" w:hAnsi="Courier New"/>
          <w:sz w:val="16"/>
          <w:szCs w:val="16"/>
          <w:color w:val="auto"/>
        </w:rPr>
      </w:pPr>
    </w:p>
    <w:p>
      <w:pPr>
        <w:ind w:left="680" w:right="2599" w:hanging="191"/>
        <w:spacing w:after="0" w:line="252"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83" w:lineRule="exact"/>
        <w:rPr>
          <w:rFonts w:ascii="Courier New" w:cs="Courier New" w:eastAsia="Courier New" w:hAnsi="Courier New"/>
          <w:sz w:val="16"/>
          <w:szCs w:val="16"/>
          <w:color w:val="auto"/>
        </w:rPr>
      </w:pPr>
    </w:p>
    <w:p>
      <w:pPr>
        <w:ind w:left="680" w:right="2979" w:hanging="191"/>
        <w:spacing w:after="0" w:line="252"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Airspace and related costs, including additional final closure and post-closure costs, have been estimated based on conceptual design.</w:t>
      </w:r>
    </w:p>
    <w:p>
      <w:pPr>
        <w:sectPr>
          <w:pgSz w:w="11900" w:h="16838" w:orient="portrait"/>
          <w:cols w:equalWidth="0" w:num="1">
            <w:col w:w="10219"/>
          </w:cols>
          <w:pgMar w:left="240" w:top="305" w:right="1440" w:bottom="1440" w:gutter="0" w:footer="0" w:header="0"/>
        </w:sectPr>
      </w:pP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305"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31</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Additionally, to include airspace from an expansion effort, the expansion permit application must generally be expected to be submitted within one year, and the expansion permit must be expected to be received within two to five years. Exceptions to these criteria must be approved through a landfill specific approval process that includes an approval from the Company's Chief Financial Officer and prompt review by the Audit Committee of the Board of Directors. Such exceptions at 35 landfill locations at March 31, 2000 were generally due to permit application processes beyond the one-year limit, which in most cases were due to state-specific permitting procedures. Generally, the Company has been successful in obtaining landfill expansions pursued; however, there can be no assurance that the Company will be successful in obtaining landfill expansions in the future.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disposal volumes are affected by seasonality and competitive factors, airspace amortization varies from period to period due to changes in volumes of waste disposed at the Company's landfills. Airspace amortization is also affected by changes in engineering and cost estimates.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MONTHS ENDED MARCH 31, 2000 AND 1999</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following table presents, for the periods indicated, the period to period change in dollars (in thousands) and percentages for the various consolidated statements of operations line items and for certain supplementary data.</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PERIOD TO PERIOD</w:t>
            </w:r>
          </w:p>
        </w:tc>
      </w:tr>
      <w:tr>
        <w:trPr>
          <w:trHeight w:val="188"/>
        </w:trPr>
        <w:tc>
          <w:tcPr>
            <w:tcW w:w="5960" w:type="dxa"/>
            <w:vAlign w:val="bottom"/>
          </w:tcPr>
          <w:p>
            <w:pPr>
              <w:spacing w:after="0"/>
              <w:rPr>
                <w:sz w:val="16"/>
                <w:szCs w:val="16"/>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CHANGE FOR THE</w:t>
            </w:r>
          </w:p>
        </w:tc>
      </w:tr>
      <w:tr>
        <w:trPr>
          <w:trHeight w:val="188"/>
        </w:trPr>
        <w:tc>
          <w:tcPr>
            <w:tcW w:w="5960" w:type="dxa"/>
            <w:vAlign w:val="bottom"/>
          </w:tcPr>
          <w:p>
            <w:pPr>
              <w:spacing w:after="0"/>
              <w:rPr>
                <w:sz w:val="16"/>
                <w:szCs w:val="16"/>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960" w:type="dxa"/>
            <w:vAlign w:val="bottom"/>
          </w:tcPr>
          <w:p>
            <w:pPr>
              <w:spacing w:after="0"/>
              <w:rPr>
                <w:sz w:val="16"/>
                <w:szCs w:val="16"/>
                <w:color w:val="auto"/>
              </w:rPr>
            </w:pPr>
          </w:p>
        </w:tc>
        <w:tc>
          <w:tcPr>
            <w:tcW w:w="24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MARCH 31, 2000 AND 1999</w:t>
            </w:r>
          </w:p>
        </w:tc>
      </w:tr>
      <w:tr>
        <w:trPr>
          <w:trHeight w:val="188"/>
        </w:trPr>
        <w:tc>
          <w:tcPr>
            <w:tcW w:w="5960" w:type="dxa"/>
            <w:vAlign w:val="bottom"/>
          </w:tcPr>
          <w:p>
            <w:pPr>
              <w:spacing w:after="0"/>
              <w:rPr>
                <w:sz w:val="16"/>
                <w:szCs w:val="16"/>
                <w:color w:val="auto"/>
              </w:rPr>
            </w:pPr>
          </w:p>
        </w:tc>
        <w:tc>
          <w:tcPr>
            <w:tcW w:w="24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$ 146,674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5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shown below)...........................................</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278,933</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16.6</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General and administrative................................</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234,073</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90.0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(5,923)</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Merger and acquisition related costs......................</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(17,484)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Asset impairments and unusual items.......................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103,353</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592,952</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25.7</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from operations......................................</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(446,278)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(58.7)</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expense..........................................</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(34,052)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(19.3)</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and other income, net............................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5,033</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29.3</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Minority interest.........................................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490</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8"/>
        </w:trPr>
        <w:tc>
          <w:tcPr>
            <w:tcW w:w="596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(28,529)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before income taxes..................................</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(474,807)</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(79.8)</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Provision for income taxes..................................</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(183,122)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(73.8)</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$(291,685)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(84.1)%</w:t>
            </w:r>
          </w:p>
        </w:tc>
      </w:tr>
      <w:tr>
        <w:trPr>
          <w:trHeight w:val="188"/>
        </w:trPr>
        <w:tc>
          <w:tcPr>
            <w:tcW w:w="596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r>
      <w:tr>
        <w:trPr>
          <w:trHeight w:val="564"/>
        </w:trPr>
        <w:tc>
          <w:tcPr>
            <w:tcW w:w="5960" w:type="dxa"/>
            <w:vAlign w:val="bottom"/>
          </w:tcPr>
          <w:p>
            <w:pPr>
              <w:jc w:val="right"/>
              <w:ind w:right="1879"/>
              <w:spacing w:after="0"/>
              <w:rPr>
                <w:sz w:val="20"/>
                <w:szCs w:val="20"/>
                <w:color w:val="auto"/>
              </w:rPr>
            </w:pPr>
            <w:r>
              <w:rPr>
                <w:rFonts w:ascii="Courier New" w:cs="Courier New" w:eastAsia="Courier New" w:hAnsi="Courier New"/>
                <w:sz w:val="16"/>
                <w:szCs w:val="16"/>
                <w:color w:val="auto"/>
              </w:rPr>
              <w:t>30</w:t>
            </w: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32</w:t>
      </w:r>
    </w:p>
    <w:p>
      <w:pPr>
        <w:spacing w:after="0" w:line="195" w:lineRule="exact"/>
        <w:rPr>
          <w:sz w:val="20"/>
          <w:szCs w:val="20"/>
          <w:color w:val="auto"/>
        </w:rPr>
      </w:pPr>
    </w:p>
    <w:p>
      <w:pPr>
        <w:jc w:val="both"/>
        <w:ind w:right="2699" w:firstLine="489"/>
        <w:spacing w:after="0" w:line="250"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statements of operations line items and certain supplementary data bear to operating revenues: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5"/>
                <w:szCs w:val="15"/>
                <w:color w:val="auto"/>
              </w:rPr>
            </w:pPr>
          </w:p>
        </w:tc>
        <w:tc>
          <w:tcPr>
            <w:tcW w:w="15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THREE MONTHS</w:t>
            </w:r>
          </w:p>
        </w:tc>
      </w:tr>
      <w:tr>
        <w:trPr>
          <w:trHeight w:val="188"/>
        </w:trPr>
        <w:tc>
          <w:tcPr>
            <w:tcW w:w="596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ENDED MARCH 31,</w:t>
            </w:r>
          </w:p>
        </w:tc>
      </w:tr>
      <w:tr>
        <w:trPr>
          <w:trHeight w:val="188"/>
        </w:trPr>
        <w:tc>
          <w:tcPr>
            <w:tcW w:w="59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960" w:type="dxa"/>
            <w:vAlign w:val="bottom"/>
          </w:tcPr>
          <w:p>
            <w:pPr>
              <w:spacing w:after="0"/>
              <w:rPr>
                <w:sz w:val="16"/>
                <w:szCs w:val="16"/>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5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shown below)...........................................</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60.8</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54.6</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General and administrative................................</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15.4</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and amortization.............................</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10.9</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Merger and acquisition related costs......................</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Asset impairments and unusual items.......................</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3.1</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90.2</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75.2</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from operations......................................</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9.8</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24.8</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expense..........................................</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and other income, net............................</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0.7</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Minority interest.........................................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before income taxes..................................</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3.7</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Provision for income taxes..................................</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88"/>
        </w:trPr>
        <w:tc>
          <w:tcPr>
            <w:tcW w:w="596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As previously reported in the Company's Form 10-Q for the quarter ended September 30, 1999 and the Company's Form 10-K for the year ended December 31, 1999, the Company concluded that its internal controls for the preparation of interim financial information during 1999 did not provide an adequate basis for its independent public accountants to complete reviews of the 1999 quarterly financial information in accordance with standards established by the American Institute of Certified Public Accountants.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believes that the processes it used for the preparation of its March 31, 2000 interim financial statements have improved. In addition, the Company has committed substantial resources to mitigate the previously identified control weaknesses. Management believes these efforts have enabled the Company to produce timely and reliable interim financial statements as of March 31, 2000 and for the three months then ended. Management further believes that its processes will continue to improve throughout 2000, allowing it to reduce its reliance on the use of external resources as mitigating controls, although there can be no assurance that this will be the case.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principal business is its NASW operations,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through its WM International operations. As previously discussed, the Company's Board of Directors adopted a plan in 1999 to divest its WM International operations. Additionally, the Company performs certain non-solid waste services, primarily in North America, such as low-level and other radioactive waste management, and operates waste-fuel powered independent power facilities. The Company announced in March 2000 that, in accordance with its strategic plan, one of its subsidiaries had entered into an agreement to sell all of its low-level and other radioactive waste service operations. Through June 30, 1999, the Company's non-solid waste services also included non-land disposal hazardous waste operations and on-site industrial cleaning services located in North America. However, on June 30, 1999, the Company sold a 51% interest in these operations to Vivendi S.A. The Company retained interest of 49% is being accounted for using the equity method of accounting.</w:t>
      </w:r>
    </w:p>
    <w:p>
      <w:pPr>
        <w:sectPr>
          <w:pgSz w:w="11900" w:h="16838" w:orient="portrait"/>
          <w:cols w:equalWidth="0" w:num="1">
            <w:col w:w="10219"/>
          </w:cols>
          <w:pgMar w:left="240" w:top="305" w:right="1440" w:bottom="763" w:gutter="0" w:footer="0" w:header="0"/>
        </w:sectPr>
      </w:pP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305" w:right="1440" w:bottom="763"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33</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Operating Revenues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For the three months ended March 31, 2000, the Company's operating revenues increased $146.7 million, or 4.8% as compared to the corresponding 1999 period. The following presents the operating revenues by reportable segment for the respective periods (dollars in millions):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5"/>
                <w:szCs w:val="15"/>
                <w:color w:val="auto"/>
              </w:rPr>
            </w:pPr>
          </w:p>
        </w:tc>
        <w:tc>
          <w:tcPr>
            <w:tcW w:w="372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THREE MONTHS ENDED MARCH 31,</w:t>
            </w:r>
          </w:p>
        </w:tc>
      </w:tr>
      <w:tr>
        <w:trPr>
          <w:trHeight w:val="188"/>
        </w:trPr>
        <w:tc>
          <w:tcPr>
            <w:tcW w:w="4880" w:type="dxa"/>
            <w:vAlign w:val="bottom"/>
          </w:tcPr>
          <w:p>
            <w:pPr>
              <w:spacing w:after="0"/>
              <w:rPr>
                <w:sz w:val="16"/>
                <w:szCs w:val="16"/>
                <w:color w:val="auto"/>
              </w:rPr>
            </w:pPr>
          </w:p>
        </w:tc>
        <w:tc>
          <w:tcPr>
            <w:tcW w:w="37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w:t>
            </w: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640" w:type="dxa"/>
            <w:vAlign w:val="bottom"/>
          </w:tcPr>
          <w:p>
            <w:pPr>
              <w:spacing w:after="0"/>
              <w:rPr>
                <w:sz w:val="16"/>
                <w:szCs w:val="16"/>
                <w:color w:val="auto"/>
              </w:rPr>
            </w:pPr>
          </w:p>
        </w:tc>
      </w:tr>
      <w:tr>
        <w:trPr>
          <w:trHeight w:val="188"/>
        </w:trPr>
        <w:tc>
          <w:tcPr>
            <w:tcW w:w="4880" w:type="dxa"/>
            <w:vAlign w:val="bottom"/>
          </w:tcPr>
          <w:p>
            <w:pPr>
              <w:spacing w:after="0"/>
              <w:rPr>
                <w:sz w:val="16"/>
                <w:szCs w:val="16"/>
                <w:color w:val="auto"/>
              </w:rPr>
            </w:pPr>
          </w:p>
        </w:tc>
        <w:tc>
          <w:tcPr>
            <w:tcW w:w="19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NASW.............................................</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$2,708.0</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84.2%</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$2,511.5</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81.8%</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WM International.................................</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401.5</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12.5</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371.1</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Non-solid waste..................................</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107.8</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3.3</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188.0</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8"/>
        </w:trPr>
        <w:tc>
          <w:tcPr>
            <w:tcW w:w="48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revenues.............................</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$3,217.3</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100.0%</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$3,070.6</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48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64"/>
        </w:trPr>
        <w:tc>
          <w:tcPr>
            <w:tcW w:w="7960" w:type="dxa"/>
            <w:vAlign w:val="bottom"/>
            <w:gridSpan w:val="4"/>
          </w:tcPr>
          <w:p>
            <w:pPr>
              <w:jc w:val="right"/>
              <w:ind w:right="539"/>
              <w:spacing w:after="0"/>
              <w:rPr>
                <w:sz w:val="20"/>
                <w:szCs w:val="20"/>
                <w:color w:val="auto"/>
              </w:rPr>
            </w:pPr>
            <w:r>
              <w:rPr>
                <w:rFonts w:ascii="Courier New" w:cs="Courier New" w:eastAsia="Courier New" w:hAnsi="Courier New"/>
                <w:sz w:val="16"/>
                <w:szCs w:val="16"/>
                <w:color w:val="auto"/>
              </w:rPr>
              <w:t>The increase in the Company's operating revenues for the quarter ended</w:t>
            </w:r>
          </w:p>
        </w:tc>
        <w:tc>
          <w:tcPr>
            <w:tcW w:w="640" w:type="dxa"/>
            <w:vAlign w:val="bottom"/>
          </w:tcPr>
          <w:p>
            <w:pPr>
              <w:spacing w:after="0"/>
              <w:rPr>
                <w:sz w:val="24"/>
                <w:szCs w:val="24"/>
                <w:color w:val="auto"/>
              </w:rPr>
            </w:pPr>
          </w:p>
        </w:tc>
      </w:tr>
      <w:tr>
        <w:trPr>
          <w:trHeight w:val="188"/>
        </w:trPr>
        <w:tc>
          <w:tcPr>
            <w:tcW w:w="7960" w:type="dxa"/>
            <w:vAlign w:val="bottom"/>
            <w:gridSpan w:val="4"/>
          </w:tcPr>
          <w:p>
            <w:pPr>
              <w:spacing w:after="0"/>
              <w:rPr>
                <w:sz w:val="20"/>
                <w:szCs w:val="20"/>
                <w:color w:val="auto"/>
              </w:rPr>
            </w:pPr>
            <w:r>
              <w:rPr>
                <w:rFonts w:ascii="Courier New" w:cs="Courier New" w:eastAsia="Courier New" w:hAnsi="Courier New"/>
                <w:sz w:val="16"/>
                <w:szCs w:val="16"/>
                <w:color w:val="auto"/>
              </w:rPr>
              <w:t>March 31, 2000 is primarily due to NASW operations. The following table presents</w:t>
            </w:r>
          </w:p>
        </w:tc>
        <w:tc>
          <w:tcPr>
            <w:tcW w:w="640" w:type="dxa"/>
            <w:vAlign w:val="bottom"/>
          </w:tcPr>
          <w:p>
            <w:pPr>
              <w:spacing w:after="0"/>
              <w:rPr>
                <w:sz w:val="16"/>
                <w:szCs w:val="16"/>
                <w:color w:val="auto"/>
              </w:rPr>
            </w:pPr>
          </w:p>
        </w:tc>
      </w:tr>
      <w:tr>
        <w:trPr>
          <w:trHeight w:val="188"/>
        </w:trPr>
        <w:tc>
          <w:tcPr>
            <w:tcW w:w="7960" w:type="dxa"/>
            <w:vAlign w:val="bottom"/>
            <w:gridSpan w:val="4"/>
          </w:tcPr>
          <w:p>
            <w:pPr>
              <w:spacing w:after="0"/>
              <w:rPr>
                <w:sz w:val="20"/>
                <w:szCs w:val="20"/>
                <w:color w:val="auto"/>
              </w:rPr>
            </w:pPr>
            <w:r>
              <w:rPr>
                <w:rFonts w:ascii="Courier New" w:cs="Courier New" w:eastAsia="Courier New" w:hAnsi="Courier New"/>
                <w:sz w:val="16"/>
                <w:szCs w:val="16"/>
                <w:color w:val="auto"/>
              </w:rPr>
              <w:t>the Company's mix of operating revenues from NASW for the respective periods</w:t>
            </w:r>
          </w:p>
        </w:tc>
        <w:tc>
          <w:tcPr>
            <w:tcW w:w="640" w:type="dxa"/>
            <w:vAlign w:val="bottom"/>
          </w:tcPr>
          <w:p>
            <w:pPr>
              <w:spacing w:after="0"/>
              <w:rPr>
                <w:sz w:val="16"/>
                <w:szCs w:val="16"/>
                <w:color w:val="auto"/>
              </w:rPr>
            </w:pP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(dollars in millions):</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752"/>
        </w:trPr>
        <w:tc>
          <w:tcPr>
            <w:tcW w:w="4880" w:type="dxa"/>
            <w:vAlign w:val="bottom"/>
          </w:tcPr>
          <w:p>
            <w:pPr>
              <w:spacing w:after="0"/>
              <w:rPr>
                <w:sz w:val="24"/>
                <w:szCs w:val="24"/>
                <w:color w:val="auto"/>
              </w:rPr>
            </w:pPr>
          </w:p>
        </w:tc>
        <w:tc>
          <w:tcPr>
            <w:tcW w:w="372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THREE MONTHS ENDED MARCH 31,</w:t>
            </w:r>
          </w:p>
        </w:tc>
      </w:tr>
      <w:tr>
        <w:trPr>
          <w:trHeight w:val="188"/>
        </w:trPr>
        <w:tc>
          <w:tcPr>
            <w:tcW w:w="4880" w:type="dxa"/>
            <w:vAlign w:val="bottom"/>
          </w:tcPr>
          <w:p>
            <w:pPr>
              <w:spacing w:after="0"/>
              <w:rPr>
                <w:sz w:val="16"/>
                <w:szCs w:val="16"/>
                <w:color w:val="auto"/>
              </w:rPr>
            </w:pPr>
          </w:p>
        </w:tc>
        <w:tc>
          <w:tcPr>
            <w:tcW w:w="37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w:t>
            </w: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640" w:type="dxa"/>
            <w:vAlign w:val="bottom"/>
          </w:tcPr>
          <w:p>
            <w:pPr>
              <w:spacing w:after="0"/>
              <w:rPr>
                <w:sz w:val="16"/>
                <w:szCs w:val="16"/>
                <w:color w:val="auto"/>
              </w:rPr>
            </w:pPr>
          </w:p>
        </w:tc>
      </w:tr>
      <w:tr>
        <w:trPr>
          <w:trHeight w:val="188"/>
        </w:trPr>
        <w:tc>
          <w:tcPr>
            <w:tcW w:w="4880" w:type="dxa"/>
            <w:vAlign w:val="bottom"/>
          </w:tcPr>
          <w:p>
            <w:pPr>
              <w:spacing w:after="0"/>
              <w:rPr>
                <w:sz w:val="16"/>
                <w:szCs w:val="16"/>
                <w:color w:val="auto"/>
              </w:rPr>
            </w:pPr>
          </w:p>
        </w:tc>
        <w:tc>
          <w:tcPr>
            <w:tcW w:w="19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NASW:</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Collection.....................................</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$1,861.6</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58.4%</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$1,789.3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60.5%</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Disposal.......................................</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803.8</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25.2</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758.6</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Transfer.......................................</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322.4</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265.6</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Recycling and other............................</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202.6</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6.3</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143.2</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w:t>
            </w:r>
          </w:p>
        </w:tc>
      </w:tr>
      <w:tr>
        <w:trPr>
          <w:trHeight w:val="188"/>
        </w:trPr>
        <w:tc>
          <w:tcPr>
            <w:tcW w:w="48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3,190.4</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100.0%</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2,956.7</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4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Intercompany...................................</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(482.4)</w:t>
            </w:r>
          </w:p>
        </w:tc>
        <w:tc>
          <w:tcPr>
            <w:tcW w:w="74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(445.2)</w:t>
            </w:r>
          </w:p>
        </w:tc>
        <w:tc>
          <w:tcPr>
            <w:tcW w:w="640" w:type="dxa"/>
            <w:vAlign w:val="bottom"/>
          </w:tcPr>
          <w:p>
            <w:pPr>
              <w:spacing w:after="0"/>
              <w:rPr>
                <w:sz w:val="16"/>
                <w:szCs w:val="16"/>
                <w:color w:val="auto"/>
              </w:rPr>
            </w:pPr>
          </w:p>
        </w:tc>
      </w:tr>
      <w:tr>
        <w:trPr>
          <w:trHeight w:val="188"/>
        </w:trPr>
        <w:tc>
          <w:tcPr>
            <w:tcW w:w="48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revenues.....................</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$2,708.0</w:t>
            </w:r>
          </w:p>
        </w:tc>
        <w:tc>
          <w:tcPr>
            <w:tcW w:w="74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$2,511.5</w:t>
            </w:r>
          </w:p>
        </w:tc>
        <w:tc>
          <w:tcPr>
            <w:tcW w:w="640" w:type="dxa"/>
            <w:vAlign w:val="bottom"/>
          </w:tcPr>
          <w:p>
            <w:pPr>
              <w:spacing w:after="0"/>
              <w:rPr>
                <w:sz w:val="16"/>
                <w:szCs w:val="16"/>
                <w:color w:val="auto"/>
              </w:rPr>
            </w:pPr>
          </w:p>
        </w:tc>
      </w:tr>
      <w:tr>
        <w:trPr>
          <w:trHeight w:val="188"/>
        </w:trPr>
        <w:tc>
          <w:tcPr>
            <w:tcW w:w="48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r>
    </w:tbl>
    <w:p>
      <w:pPr>
        <w:spacing w:after="0" w:line="380"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increase in operating revenues in the first quarter of 2000 for NASW as compared to the prior year period is primarily attributable to internal growth of comparable operations. The increase in operating revenues due to internal growth of NASW operations was $132.3 million, or 5.3%, comprised of 1.4% for pricing increases and 3.9% for volume increases. The improvements in pricing were favorably impacted by the improvements in the commodities markets for recyclable materials as well as a fuel surcharge that was implemented in certain operations during March 2000. Additionally, the Company's NASW operating revenues increased $79.7 million due to acquisitions primarily of collection operations throughout the United States and $4.0 million related to the foreign currency fluctuation of the Canadian dollar. Offsetting the increase in operating revenues was a decline in operating revenues of $19.5 million associated with divestitures of NASW businesses.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operating revenues from the Company's WM International operations increased $30.4 million, or 8.2%, in the first quarter of 2000 as compared to the prior year period. This increase in operating revenues is due to acquisitions of solid waste businesses, primarily in Europe and Australia, with operating revenues of approximately $65.4 million in the first quarter of 2000, as well as internal growth of comparable operations of 1.0%. However, the increase in operating revenues from the Company's WM International operations was negatively impacted by the decline in operating revenues of $37.3 million due to fluctuations in foreign currency.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Operating revenues for non-solid waste services decreased in the first quarter of 2000 as compared to the prior year period due to the June 1999 sale of a 51% interest in certain non-solid waste operations, as previously discussed herein. However, this decrease was partially offset by the increase in operating revenues associated with the acquisition of a geosynthetic manufacturing and installation service company in July 1999. The Company expects decreasing operating revenues from its non-solid waste operations in future periods as</w:t>
      </w:r>
    </w:p>
    <w:p>
      <w:pPr>
        <w:sectPr>
          <w:pgSz w:w="11900" w:h="16838" w:orient="portrait"/>
          <w:cols w:equalWidth="0" w:num="1">
            <w:col w:w="10219"/>
          </w:cols>
          <w:pgMar w:left="240" w:top="305" w:right="1440" w:bottom="387"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305" w:right="1440" w:bottom="387"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34</w:t>
      </w:r>
    </w:p>
    <w:p>
      <w:pPr>
        <w:spacing w:after="0" w:line="195"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the Company has entered into agreements for the sale of, or is actively marketing, its non-solid waste operations pursuant to its strategic plan.</w:t>
      </w:r>
    </w:p>
    <w:p>
      <w:pPr>
        <w:spacing w:after="0" w:line="183" w:lineRule="exact"/>
        <w:rPr>
          <w:sz w:val="20"/>
          <w:szCs w:val="20"/>
          <w:color w:val="auto"/>
        </w:rPr>
      </w:pPr>
    </w:p>
    <w:p>
      <w:pPr>
        <w:ind w:left="200" w:right="2399"/>
        <w:spacing w:after="0" w:line="252" w:lineRule="auto"/>
        <w:rPr>
          <w:sz w:val="20"/>
          <w:szCs w:val="20"/>
          <w:color w:val="auto"/>
        </w:rPr>
      </w:pPr>
      <w:r>
        <w:rPr>
          <w:rFonts w:ascii="Courier New" w:cs="Courier New" w:eastAsia="Courier New" w:hAnsi="Courier New"/>
          <w:sz w:val="16"/>
          <w:szCs w:val="16"/>
          <w:color w:val="auto"/>
        </w:rPr>
        <w:t>Operating Costs and Expenses (Exclusive of Depreciation and Amortization Shown Below)</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Operating costs and expenses increased $278.9 million or 16.6% in the first quarter of 2000, as compared to the first quarter of 1999. As a percentage of operating revenues, operating costs and expenses increased from 54.6% in the first quarter of 1999 to 60.8% in the first quarter of 2000. The increase in operating costs and expenses in the respective periods is due to internal revenue growth and acquisitions of businesses, net of dispositions. Additionally, the Company realized certain short-term cost reductions through the first quarter of 1999 from its integration plan that was adopted in connection with the Company's merger with Waste Management Holdings, Inc. ("WM Holdings") which was completed in July 1998 (the "WM Holdings Merger"). The integration plan included significant employee headcount reductions (particularly including supervisory operating personnel), the elimination of excess operating capacity through the sale or abandonment of certain assets and operations, and the reconfiguration of operations within certain domestic markets in which the Company operates. However, due to the breadth and comprehensive nature of the changes the Company attempted to implement in 1999, the Company was unable to sustain the effectiveness of its integration plan. As a result, operating costs and expenses increased significantly as a percentage of revenues in the second half of 1999 and in 2000 because the short-term cost reductions experienced in the first quarter of 1999 were not sustained in these subsequent periods.</w:t>
      </w:r>
    </w:p>
    <w:p>
      <w:pPr>
        <w:spacing w:after="0" w:line="374"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part of its ongoing operations, the Company reviews its reserve requirements for remediation and other environmental matters based on an analysis of, among other things, the regulatory context surrounding landfills, site-specific environmental issues and remaining airspace capacity in light of changes in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operating landfill. The impact of revisions to remedial, environmental and other similar liabilities resulted in a reduction of operating costs and expenses as a percentage of revenues of 1.9% in the first quarter of 1999. There were no such adjustments in the first quarter of 2000.</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General and Administrative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General and administrative expenses increased $234.1 million or 90.0% in the first quarter of 2000 as compared to the 1999 period. As a percentage of operating revenues, the Company's general and administrative expenses were 15.4% and 8.5% for the three months ended March 31, 2000 and 1999, respectively. As discussed above, the Company believes it experienced short-term cost reductions related to the elimination of duplicate corporate administrative functions from the WM Holdings Merger through the second quarter of 1999. Such cost reductions were substantially offset in the second half of 1999 and the first quarter of 2000 by the effect of difficulties encountered by the Company in integrating the operations of WM Holdings, including increased administrative costs in field operations attributable to increased costs to perform billing, collections and other administrative functions. Additionally, the Company experienced significant cost increases in its corporate administrative functions for items such as additional personnel and professional accounting and consulting services in the first quarter of 2000 that became necessary as a result of the ineffectiveness of the WM Holdings Merger integration plan.</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Depreciation and Amortization</w:t>
      </w:r>
    </w:p>
    <w:p>
      <w:pPr>
        <w:spacing w:after="0" w:line="195" w:lineRule="exact"/>
        <w:rPr>
          <w:sz w:val="20"/>
          <w:szCs w:val="20"/>
          <w:color w:val="auto"/>
        </w:rPr>
      </w:pPr>
    </w:p>
    <w:p>
      <w:pPr>
        <w:ind w:right="2699" w:firstLine="489"/>
        <w:spacing w:after="0" w:line="248" w:lineRule="auto"/>
        <w:rPr>
          <w:sz w:val="20"/>
          <w:szCs w:val="20"/>
          <w:color w:val="auto"/>
        </w:rPr>
      </w:pPr>
      <w:r>
        <w:rPr>
          <w:rFonts w:ascii="Courier New" w:cs="Courier New" w:eastAsia="Courier New" w:hAnsi="Courier New"/>
          <w:sz w:val="16"/>
          <w:szCs w:val="16"/>
          <w:color w:val="auto"/>
        </w:rPr>
        <w:t>Depreciation and amortization expense decreased $5.9 million or 1.7% for the first quarter of 2000 as compared to the first quarter of 1999. As a percentage of operating revenues, depreciation and amortization expense was</w:t>
      </w:r>
    </w:p>
    <w:p>
      <w:pPr>
        <w:spacing w:after="0" w:line="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10.9% and 11.6% for the quarters ended March 31, 2000 and 1999, respectively. The decrease in depreciation and amortization expense as a percentage of operating revenues is primarily due to the suspension of depreciation on fixed assets related to certain operations which were held for sale as of December 31, 1999. The depreciation suspension in the first quarter of 2000 for these operations held for sale was $51.0 million, or 1.6% of operating revenues for the first quarter of 2000. The suspension of depreciation was partially offset by</w:t>
      </w:r>
    </w:p>
    <w:p>
      <w:pPr>
        <w:sectPr>
          <w:pgSz w:w="11900" w:h="16838" w:orient="portrait"/>
          <w:cols w:equalWidth="0" w:num="1">
            <w:col w:w="10219"/>
          </w:cols>
          <w:pgMar w:left="240" w:top="305" w:right="1440" w:bottom="1440" w:gutter="0" w:footer="0" w:header="0"/>
        </w:sect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305"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35</w:t>
      </w:r>
    </w:p>
    <w:p>
      <w:pPr>
        <w:spacing w:after="0" w:line="195"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an increase of $32.8 million, or 1.0% of operating revenues, in landfill depletion, which is primarily due to increased landfill volumes and depletion rates.</w:t>
      </w:r>
    </w:p>
    <w:p>
      <w:pPr>
        <w:spacing w:after="0" w:line="18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Merger and Acquisition Related Costs, Asset Impairments and Unusual Items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Company is in the process of settling its obligations under the Company's qualified defined benefit plan (the "Plan"). The Plan was terminated as of October 31, 1999 in connection with the WM Holdings Merger. Termination benefits that were paid to certain plan participants in the first quarter of 2000 from the trust fund assets of the Plan as well as other customary Plan period costs resulted in a non-cash charge to asset impairments and unusual items of approximately $78.6 million for the quarter.</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Additionally, the Company recorded a charge in the first quarter of 2000 to asset impairments and unusual items of approximately $24.8 million related to operations held for sale that have a carrying value greater than management's best current estimate of anticipated proceeds.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connection with merger transactions that the Company completed in 1998, the Company incurred approximately $33.1 million of costs in the first quarter of 1999 that were transitional in nature. Such costs included transitional wages and other reorganizational costs. Offsetting these costs was an adjustment of $15.6 million primarily to conform accounting methods of the Company's ash monofil landfills to that of its solid waste landfills.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from Operations</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Income from operations was $313.8 million and $760.1 million for the quarters ended March 31, 2000 and 1999, respectively, for the reasons discussed above.</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Income and Expenses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Other income and expenses consists of interest expense, interest income, other income (including gains and losses on sales of businesses) and minority interest. The most significant of these is interest expense. The increase in interest expense is primarily due to the decline in the Company's public credit ratings during the last six months of 1999, as well as a general market increase in interest rates since the first quarter of 1999. Furthermore, the Company has experienced a decrease in the amount of interest it has capitalized from $11.1 million in the first quarter of 1999 to $4.3 million during the first quarter of 2000.</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Other income in the quarter ended March 31, 2000 also includes a net gain of approximately $11.1 million on the sale of certain NASW operations in accordance with the Company's strategic plan to divest of non-strategic and underperforming assets.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Provision for Income Taxes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Company recorded a provision for income taxes of $64.9 million and</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$248.0 million for the three months ended March 31, 2000 and 1999, respectively. The difference between the federal income taxes at the federal statutory rate and the provision for income taxes for the three months ended March 31, 2000 is primarily due to state and local income taxes, non-deductible costs related to acquired intangibles and non-deductible costs associated with additional impairment charges in the first quarter associated with certain foreign businesses.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Income</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For the three months ended March 31, 2000 and 1999, net income was $55.0 million and $346.7 million or $0.09 and $0.55 per share on a diluted basis, respectively, for the reasons discussed above.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305"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36</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at the time, including the incurrence of debt and the issuance of its common stock. In August 1999, the Company announced a strategic plan that included the sale of certain assets included in its WM International operations, its non-core assets and up to 10% of its NASW operations. The proceeds from these dispositions, which are primarily expected to be realized in 2000, will be utilized for debt repayment, repurchases of shares and selected tuck-in acquisitions. Although the Company has unused and available credit capacity under its domestic bank facilities of $1.5 billion at March 31, 2000, the Company expects reductions in bank line availability as debt levels are decreased in connection with the strategic plan. In connection with its strategic plan, the Company's acquisition activity has decreased as compared to prior years and the divestiture activity has increased. Therefore, the Company's level of capital expenditures is expected to decline along with its needs for large amounts of credit capacity.</w:t>
      </w:r>
    </w:p>
    <w:p>
      <w:pPr>
        <w:spacing w:after="0" w:line="374"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December 1999, the Company received unanimous approval for amendments to its Syndicated Facility, Credit Facility and Eurocurrency bank credit facilities. The approvals provided permanent amendments to the waivers previously granted to the Company related to its operating results for the third quarter of 1999. Additionally, the amended terms and conditions of the facilities contain the necessary provisions for the Company to proceed with divestitures pursuant to its strategic plan. Through May 10, 2000, the Company has announced agreements for sales of assets pursuant to its strategic plan from its WM International, non-solid waste, and NASW operations with proceeds totaling $1.3 billion. The proceeds collected related to its strategic plan are in excess of $500 million, substantially all of which has been received since March 31, 2000.</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the terms of the Syndicated Facility and Credit Facility, the Company is obligated to repay its indebtedness under such facilities with the cash proceeds to be received from the divestitures of its strategic plan. Specifically, the Company must use all of the first $1.5 billion of net proceeds it receives from the sales of any domestic operations to repay indebtedness under the Syndicated Facility and Credit Facility. Additionally, 50% of the net proceeds greater than $1.5 billion but less than $2.5 billion from sales of domestic operations must be used to repay indebtedness under such facilities. Finally, all net proceeds from the divestiture of the Company's WM International operations were required be used to repay indebtedness under the Company's Eurocurrency facilities, all of which indebtedness, as described in Note 1 to the financial statements, has been repaid. The net proceeds from WM International divestitures received by the Company after the repayment of the Eurocurrency facilities are subject to the same requirements to repay the Syndicated Facility and Credit Facility as net proceeds received from the sales of domestic operations. Subsequent to March 31, 2000, the Company repaid and terminated its Eurocurrency term loans with net proceeds from its WM International divestiture activity.</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has obtained amendments to the Syndicated Facility and Credit Facility agreements for the quarter ended March 31, 2000 to maintain compliance with certain financial ratios. The Company anticipates that it may need to obtain further amendments to its existing financial covenants in those agreements in future quarters and, therefore, expects to restructure its covenant requirements during the renewal process for its Syndicated Facility in mid-2000. Until such restructuring is completed, the Company will continue to classify the borrowings outstanding under its Syndicated Facility and Credit Facility as short-term obligations. There can be no assurance that the Company will be successful in obtaining a restructuring of its covenant requirements and failure to obtain such a restructuring or additional amendments or waivers, would, in the event of an actual violation by the Company, have an adverse effect on the Company's financial condition, results of operations and cash flows.</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During the last six months of 1999, the Company experienced a decline in its public credit ratings which curtailed its access to the commercial paper market. All outstanding commercial paper was redeemed by March 1, 2000. The Company does not expect that it will be in a position to reissue commercial paper in the foreseeable future. Additionally, as a result of a decline in its credit ratings, the Company expects to incur substantially higher costs of financing for the foreseeable future as compared to prior years should it attempt any capital market activity. Should any of the Company's bonding sources become unavailable without</w:t>
      </w:r>
    </w:p>
    <w:p>
      <w:pPr>
        <w:sectPr>
          <w:pgSz w:w="11900" w:h="16838" w:orient="portrait"/>
          <w:cols w:equalWidth="0" w:num="1">
            <w:col w:w="10219"/>
          </w:cols>
          <w:pgMar w:left="240" w:top="305" w:right="1440" w:bottom="1139"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305" w:right="1440" w:bottom="1139" w:gutter="0" w:footer="0" w:header="0"/>
          <w:type w:val="continuous"/>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37</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replacement from other bonding sources, the Company would have to utilize its bank lines, which are at significantly higher rates, for replacement purposes.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March 31, 2000, the Company had a working capital deficit of $1.1 billion (a ratio of current assets to current liabilities of 0.85:1) and a cash balance of $147.4 million, which compares to a working capital deficit of $1.3 billion (a ratio of current assets to current liabilities of 0.83:1) and a cash balance of $181.4 million at December 31, 1999. For the quarter ended March 31, 2000, cash used to acquire businesses of $114.1 million, capital expenditures of $248.6 million and net debt reductions of approximately $416.9 million were primarily financed with cash flows from operating activities of $675.2 million and proceeds from the sale of assets of $62.0 million. Favorably impacting cash flows from operations for the quarter ended March 31, 2000 was a tax refund of approximately $200 million and improvements in the Company's accounts receivable average days sales outstanding. For the quarter ended March 31, 1999, cash used to acquire businesses of $280.8 million, capital expenditures of $281.3 million and net debt reductions of approximately $120.5 million were primarily financed with cash flows from operating activities of $358.5 million and proceeds from the sale of assets of $275.7 million.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From December 15, 1999 through March 16, 2000, the Company repurchased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$429.0 million of its 5.75% convertible subordinated notes due 2005 with funds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from internally generated cash flows and its domestic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The Company has a scheduled maturity of $250 million of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October 15, 2000. The Company expects to repay the notes with funds available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its domestic credit facilities.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has material financial commitments for the costs associated with its future obligations for final closure, which is the closure of the landfills and the capping of the final uncapped areas of the landfills, and for post-closure of the landfills it operates or for which it is otherwise responsible. The final closure and post-closure liabilities are charged to expense as airspace is consumed such that the present value of total estimated final closure and post-closure cost will be accrued for each landfill at the time each site discontinues accepting waste and is closed. The Company has also established procedures to evaluate its potential remedial liabilities at closed sites which it owns or operated, or to which it transported waste, including 85 sites listed on the NPL. The majority of situations involving NPL sites relate to allegations that subsidiaries of the Company (or their predecessors) transported waste to the facilities in question, often prior to the acquisition of such subsidiaries by the Company. In instances in which the Company has concluded that it is probable that a liability has been incurred, an accrual has been recorded in the financial statements.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have a material adverse impact on the Company's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March 29, 2000, the Company announced that its wholly-owned subsidiary had reached a definitive agreement to sell its nuclear waste services operations to GTS Duratek, Inc. for up to $65 million in cash, consisting of $55 million at closing and up to $10 million in additional cash consideration upon the satisfaction of certain post-closing conditions. The Company expects the sale to be completed in the second quarter. The transaction is subject to certain regulatory approvals and other customary conditions.</w:t>
      </w:r>
    </w:p>
    <w:p>
      <w:pPr>
        <w:spacing w:after="0" w:line="187" w:lineRule="exact"/>
        <w:rPr>
          <w:sz w:val="20"/>
          <w:szCs w:val="20"/>
          <w:color w:val="auto"/>
        </w:rPr>
      </w:pPr>
    </w:p>
    <w:p>
      <w:pPr>
        <w:ind w:right="2499" w:firstLine="489"/>
        <w:spacing w:after="0" w:line="248" w:lineRule="auto"/>
        <w:rPr>
          <w:sz w:val="20"/>
          <w:szCs w:val="20"/>
          <w:color w:val="auto"/>
        </w:rPr>
      </w:pPr>
      <w:r>
        <w:rPr>
          <w:rFonts w:ascii="Courier New" w:cs="Courier New" w:eastAsia="Courier New" w:hAnsi="Courier New"/>
          <w:sz w:val="16"/>
          <w:szCs w:val="16"/>
          <w:color w:val="auto"/>
        </w:rPr>
        <w:t>On March 31, 2000, the Company completed the previously announced purchase of certain of the Canadian solid waste assets of Allied Waste Industries, Inc. ("Allied") for approximately $75 million in cash.</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5"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38</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Under separate agreements, Allied contracted to purchase certain of the Company's U.S. solid waste operations, including 11 landfill operations, 21 collection operations, seven transfer stations and a landfill operating contract for approximately $234 million. On February 15, 2000, the Company completed the sale to Allied of seven of such collection operations, a transfer station and a landfill. On May 1, 2000, the Company completed the sale to Allied of six collection operations, five landfill operations and three transfer stations. The scope of some of the remaining U.S. assets to be acquired by Allied from the Company remains under anti-trust review. However, the Company expects all such sales to be completed in 2000.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April of 2000, the Company announced that its wholly-owned subsidiaries had completed the previously announced transactions regarding the sales of waste services operations in the Netherlands and Finland, and the majority interest in Waste Management New Zealand Limited. Additionally, the Company announced that its wholly-owned subsidiary had reached an agreement to sell Pacific Waste Management, its Australian subsidiary, to SITA for $230 million. Finally, the Company announced that its wholly owned subsidiary had reached an agreement to sell its waste services operations in Italy to Emas S.p.A. and Italcogim S.p.A. for approximately $70 million. The Australian and Italian sales are expected to be completed in the second quarter of 2000.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April 25, 2000, the Company announced that it had reached a definitive agreement to sell ten waste collection businesses in Arkansas, Kentucky, Missouri, Nebraska, Oklahoma and Texas, 12 landfills in Arkansas, Kansas, Kentucky, Missouri, Nebraska, Oklahoma and Texas and seven transfer stations in Arkansas, Missouri, Nebraska and Oklahoma to Waste Corporation of America for approximately $110 million and the assumption of closure and post-closure liabilities. The transaction is expected to be completed in the third quarter of 2000, and is subject to approvals from various state and federal agencies as well as customary closing conditions.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May 1, 2000, the Company announced that it had reached a definitive agreement to sell its BioGro business, a leading manager of organic residuals in North America, to Synagro Technologies, Inc. for approximately $200 million in cash and assumed debt. The Company expects to complete the sale in the second quarter of 2000.</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On May 7, 2000, the Company announced that its wholly-owned subsidiary had reached an agreement to sell its waste operations in Germany to Cleanaway Deutschland Holding GmbH for approximately $80 million. The Company expects the sale to be completed in the second half of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INFLATION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operating revenues tend to be somewhat lower in the winter months. This is generally reflected in the Company's first quarter and fourth quarter operating results. This is primarily attributable to the facts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187"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The Company believes that inflation and changing prices have not had, and are not expected to have, any material adverse effect on the results of operations in the near future.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Statement of Financial Accounting Standards ("SFAS") No. 133, Accounting for Derivative Instruments and Hedging Activities was issued in 1998.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is effective for the Company in its first fiscal quarter of 2001. Management is currently assessing the impact that the adoption of SFAS No. 133 will have on the Company's financial statements.</w:t>
      </w:r>
    </w:p>
    <w:p>
      <w:pPr>
        <w:sectPr>
          <w:pgSz w:w="11900" w:h="16838" w:orient="portrait"/>
          <w:cols w:equalWidth="0" w:num="1">
            <w:col w:w="10219"/>
          </w:cols>
          <w:pgMar w:left="240" w:top="305" w:right="1440" w:bottom="1440" w:gutter="0" w:footer="0" w:header="0"/>
        </w:sect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305"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39</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LEGAL PROCEEDINGS.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In February 1998, WM Holdings announced a restatement of prior-period earnings for 1991 and earlier as well as for 1992 through 1996 and the first three quarters of 1997. Many actions were brought or claims made against WM Holdings as a result of this restatement, as set forth in earlier annual and quarterly reports made by the Company. The Company has resolved many of these actions and claims, as discussed in earlier filings, including the settlement, in January 2000, of two actions, one pending in Illinois state court and the other in Florida federal court. The following actions, however, remain outstanding.</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July 1998, a business owner who received WM Holdings common stock in the sale of his business to WM Holdings brought a purported class action against that company alleging breach of warranty. In April 1999, the court in that action granted summary judgment against WM Holdings and in favor of the individual plaintiff. In October 1999, the court certified a class consisting of all sellers of business assets to WM Holdings between January 1, 1990, and February 24, 1998, whose purchase agreements with WM Holdings contained express warranties regarding the accuracy of WM Holdings' financial statements. In March 1999, the court of appeals upheld this certification order. Also in March 1999, the trial court granted summary judgment on the claim of breach of warranty against WM Holdings and in favor of all members of the class except for a discrete group of plaintiffs whose claims may have expired under applicable statutes of limitations. The extent of damages, if any, in this class action has not yet been determined.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February and March 2000, two asset sellers who otherwise would have been included in the above class, as currently defined, brought separate actions against the Company for breach of contract and fraud, among other things. One of the suits arises out of a transaction valued at over $200 million at the time of closing in 1996, while the other involves a transaction in excess of $11 million at its closing in 1995. Both suits are in their early stages and the extent of possible damages, if any, has not yet been determined.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The Defendants have removed this action to federal court but the case has been remanded back to the state forum. This action is in its early stages and the extent of possible damages, if any, has not yet been determined.</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settled consolidated federal securities class action described above. These actions have been consolidated and plaintiffs have filed a consolidated amended complaint. The plaintiffs seek to recover from the former officers and directors, on behalf of WM Holdings, the amounts paid in the federal class action as well as additional amounts based on alleged harms not at issue in the federal class action.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March and April 1999, two former officers of WM Holdings sued the Company for retirement and other benefits. These actions are in their early stages and the extent of possible damages, if any, has not yet been determined. Additionally, a third former officer brought a similar claim, that was subsequently dismissed, in March 2000. The newest action included claims related to the decision by the board of WM Holdings to recommend the merger of WM Holdings with the Company.</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305"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40</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30 lawsuits that purport to be based on one or more of these announcements were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 1998 and August 16,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between March 31, 1999 and July 6, 1999 at prices allegedly known to be inflated by the alleged material misstatements and omissions. The plaintiffs in these actions seek damages with interest, costs and such other relief as the court deems proper. The case is at an early stage and the extent of possible damages, if any, can not yet be determined.</w:t>
      </w:r>
    </w:p>
    <w:p>
      <w:pPr>
        <w:spacing w:after="0" w:line="37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defending a lawsuit and two arbitration actions initiated by individuals who received common stock in sale of their business to the Company or to a company later acquired by the Company. The first of these actions was filed in state court in Oregon in November 1999. Subsequently, two arbitrations have been initiated, both related to the sale of businesses to Eastern Environmental Services, Inc. ("Eastern"). For reasons similar to those alleged in the class actions described above, or for reasons related to their acquisition by Eastern, these individuals allege that the stock they received was overvalued. These cases are in an early stage and the extent of possible damages, if any, have not yet been determined.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three of the Company's shareholders have filed purported derivative lawsuits against certain officers and directors of the Company in connection with the events surrounding the Company's second quarter 1999 earnings projections and July 6, 1999 earnings announcement. Two of these lawsuits were filed in the Delaware Court of Chancery on July 16, 1999 and August 18, 1999, respectively, and one was filed in the United States District Court for the Southern District of Texas on July 27, 1999. The Delaware cases have been consolidated and the plaintiffs have filed an amended consolidated complaint. The amended complaint alleges claims relating to the Company's 1999 annual and quarterly earnings, sales of Company stock by certain of the Company's officers and directors, and alleged self-dealing by certain Company's officers.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Beginning at year end 1999 the Company became involved in a series of disputes with Louis D. Paolino, former President and Chief Executive Officer of Eastern and others in connection with the merger between the Company and Eastern ("the Eastern Merger"). The Company alleges, among other things, that the defendants usurped Eastern corporate opportunities for personal gain and otherwise mismanaged certain affairs of Eastern. Mr. Paolino and others allege that the Company and unnamed others committed security fraud alleging that the stock they were issued in connection with the Eastern Merger was over-valued because the Company failed to disclose that it was having problems integrating the operations of WM Holdings and the Company after the WM Holdings Merger. These disputes are in an early state and the extent that the Company may recover damages, if any, or be required to pay damages, if any, has not yet been determined.</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305"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41</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aware of a lawsuit filed in state court in Houston, Texas by several related shareholders against the Company and three of its former officers. The Company has not been served.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As neither the Company nor the individual defendants have been served in this action, the defendants have filed no responsive pleadings in the action.</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New York Stock Exchange has notified the Company that its Market Trading Analysis Department is reviewing transactions in the common stock of the Company prior to the July 6, 1999 earnings forecast announcement.</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received a Civil Investigative Demand ("CID") from the Antitrust Division of the United States Department of Justice in July 1999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 with which the Company is fully cooperating.</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the federal Employee Retirement Income Security Act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 payment of all benefits allegedly owed to Plan participants, attorney's fees and costs, and other "appropriate" relief under the Internal Revenue Code, ERISA and the Plan. The case is in its early stages and the extent of possible damages, if any, can not yet be determined.</w:t>
      </w:r>
    </w:p>
    <w:p>
      <w:pPr>
        <w:spacing w:after="0" w:line="186"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w:t>
      </w:r>
    </w:p>
    <w:p>
      <w:pPr>
        <w:sectPr>
          <w:pgSz w:w="11900" w:h="16838" w:orient="portrait"/>
          <w:cols w:equalWidth="0" w:num="1">
            <w:col w:w="10219"/>
          </w:cols>
          <w:pgMar w:left="240" w:top="305" w:right="1440" w:bottom="1440" w:gutter="0" w:footer="0" w:header="0"/>
        </w:sectPr>
      </w:pP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305" w:right="1440" w:bottom="1440"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42</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March 31, 2000, there were four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June 1999, the Company was notified that the EPA is conducting a civil investigation of alleged chlorofluorocarbons ("CFC") disposal violations by Waste Management of Massachusetts, Inc. ("WMMA"), one of the Company's wholly owned subsidiaries,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w:t>
      </w:r>
    </w:p>
    <w:p>
      <w:pPr>
        <w:sectPr>
          <w:pgSz w:w="11900" w:h="16838" w:orient="portrait"/>
          <w:cols w:equalWidth="0" w:num="1">
            <w:col w:w="10219"/>
          </w:cols>
          <w:pgMar w:left="240" w:top="305" w:right="1440" w:bottom="1440" w:gutter="0" w:footer="0" w:header="0"/>
        </w:sect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305" w:right="1440" w:bottom="1440"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43</w:t>
      </w:r>
    </w:p>
    <w:p>
      <w:pPr>
        <w:spacing w:after="0" w:line="195"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investigation and believes that the ultimate outcome of this matter will not have a material adverse effect on the Company's financial statements.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As of March 31, 2000, the Company or its subsidiaries had been notified that they are potentially responsible parties in connection with 85 locations listed on the NPL. Of the 85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68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86"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In November 1998, the Company was sued by the estate of Shayne Conner, who died on November 24, 1995 in Greenland, New Hampshire. Plaintiffs allege that Mr. Conner's death was caused by biosolids that were applied to a nearby field by the Company's BioGro business unit. The litigation is currently in the discovery phase, and the Company is preparing a rebuttal to plaintiff's expert report on causation. The Company is vigorously defending itself in the litigation.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financial statements.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financial statements for potential recoveries.</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305"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44</w:t>
      </w:r>
    </w:p>
    <w:p>
      <w:pPr>
        <w:spacing w:after="0" w:line="195"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their respective financial conditions or results of operations in one or more future periods. The Company and WM Holdings intend to defend themselves vigorously in all the above matters.</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OTHER INFORMATION</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Exhibits:</w:t>
      </w:r>
    </w:p>
    <w:p>
      <w:pPr>
        <w:spacing w:after="0" w:line="200" w:lineRule="exact"/>
        <w:rPr>
          <w:sz w:val="20"/>
          <w:szCs w:val="20"/>
          <w:color w:val="auto"/>
        </w:rPr>
      </w:pPr>
    </w:p>
    <w:p>
      <w:pPr>
        <w:spacing w:after="0" w:line="371"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340" w:type="dxa"/>
            <w:vAlign w:val="bottom"/>
          </w:tcPr>
          <w:p>
            <w:pPr>
              <w:spacing w:after="0"/>
              <w:rPr>
                <w:sz w:val="15"/>
                <w:szCs w:val="15"/>
                <w:color w:val="auto"/>
              </w:rPr>
            </w:pP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340" w:type="dxa"/>
            <w:vAlign w:val="bottom"/>
          </w:tcPr>
          <w:p>
            <w:pPr>
              <w:ind w:left="282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340" w:type="dxa"/>
            <w:vAlign w:val="bottom"/>
          </w:tcPr>
          <w:p>
            <w:pPr>
              <w:ind w:left="2820"/>
              <w:spacing w:after="0"/>
              <w:rPr>
                <w:sz w:val="20"/>
                <w:szCs w:val="20"/>
                <w:color w:val="auto"/>
              </w:rPr>
            </w:pPr>
            <w:r>
              <w:rPr>
                <w:rFonts w:ascii="Courier New" w:cs="Courier New" w:eastAsia="Courier New" w:hAnsi="Courier New"/>
                <w:sz w:val="16"/>
                <w:szCs w:val="16"/>
                <w:color w:val="auto"/>
              </w:rPr>
              <w:t>-----------</w:t>
            </w:r>
          </w:p>
        </w:tc>
      </w:tr>
      <w:tr>
        <w:trPr>
          <w:trHeight w:val="376"/>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10.1</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January 21, 2000 between Waste</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Management, Inc. and Lawrence O' Donnell, III.</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10.2</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March 30, 2000 between Waste</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Management, Inc. and David R. Hopkins.</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10.3</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November 18, 1999 between</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Waste Management, Inc. and Thomas L. Smith.</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10.4</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May 10, 2000 between Waste</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Management, Inc. and Robert E. Dees, Jr.</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12</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Computation of Ratio of Earnings to Fixed Charges.</w:t>
            </w:r>
          </w:p>
        </w:tc>
      </w:tr>
    </w:tbl>
    <w:p>
      <w:pPr>
        <w:spacing w:after="0" w:line="4" w:lineRule="exact"/>
        <w:rPr>
          <w:sz w:val="20"/>
          <w:szCs w:val="20"/>
          <w:color w:val="auto"/>
        </w:rPr>
      </w:pPr>
    </w:p>
    <w:p>
      <w:pPr>
        <w:ind w:left="2440" w:hanging="1462"/>
        <w:spacing w:after="0"/>
        <w:tabs>
          <w:tab w:leader="none" w:pos="24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Financial Data Schedule.</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right="2599" w:hanging="200"/>
        <w:spacing w:after="0" w:line="250" w:lineRule="auto"/>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Securities and Exchange Act of 1934, the Registrant's file number under that Act is 1-12154.</w:t>
      </w:r>
    </w:p>
    <w:p>
      <w:pPr>
        <w:spacing w:after="0" w:line="185"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During the first quarter of 2000, the Company filed a Current Report on Form 8-K dated February 10, 2000, to announce its intention to sell the 60.5% of the shares it owns in Waste Management New Zealand, Inc.</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5"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45</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300"/>
        <w:spacing w:after="0"/>
        <w:tabs>
          <w:tab w:leader="none" w:pos="4860" w:val="left"/>
        </w:tabs>
        <w:rPr>
          <w:sz w:val="20"/>
          <w:szCs w:val="20"/>
          <w:color w:val="auto"/>
        </w:rPr>
      </w:pPr>
      <w:r>
        <w:rPr>
          <w:rFonts w:ascii="Courier New" w:cs="Courier New" w:eastAsia="Courier New" w:hAnsi="Courier New"/>
          <w:sz w:val="16"/>
          <w:szCs w:val="16"/>
          <w:color w:val="auto"/>
        </w:rPr>
        <w:t>By:</w:t>
        <w:tab/>
        <w:t>/s/ WILLIAM. L. TRUBECK</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William L. Trubeck</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Senior Vice President and</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Chief Financial Officer</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(Principal Financial Officer)</w:t>
      </w:r>
    </w:p>
    <w:p>
      <w:pPr>
        <w:spacing w:after="0" w:line="195" w:lineRule="exact"/>
        <w:rPr>
          <w:sz w:val="20"/>
          <w:szCs w:val="20"/>
          <w:color w:val="auto"/>
        </w:rPr>
      </w:pPr>
    </w:p>
    <w:p>
      <w:pPr>
        <w:ind w:left="4300"/>
        <w:spacing w:after="0"/>
        <w:tabs>
          <w:tab w:leader="none" w:pos="50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BRUCE E. SNYDER</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Bruce E. Snyder</w:t>
      </w:r>
    </w:p>
    <w:p>
      <w:pPr>
        <w:spacing w:after="0" w:line="7"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Vice President and</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Chief Accounting Officer</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(Principal Accounting Officer)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12, 2000</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5"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46</w:t>
      </w:r>
    </w:p>
    <w:p>
      <w:pPr>
        <w:spacing w:after="0" w:line="195"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180" w:type="dxa"/>
            <w:vAlign w:val="bottom"/>
          </w:tcPr>
          <w:p>
            <w:pPr>
              <w:spacing w:after="0"/>
              <w:rPr>
                <w:sz w:val="15"/>
                <w:szCs w:val="15"/>
                <w:color w:val="auto"/>
              </w:rPr>
            </w:pPr>
          </w:p>
        </w:tc>
        <w:tc>
          <w:tcPr>
            <w:tcW w:w="6340" w:type="dxa"/>
            <w:vAlign w:val="bottom"/>
          </w:tcPr>
          <w:p>
            <w:pPr>
              <w:ind w:left="1080"/>
              <w:spacing w:after="0"/>
              <w:rPr>
                <w:sz w:val="20"/>
                <w:szCs w:val="20"/>
                <w:color w:val="auto"/>
              </w:rPr>
            </w:pPr>
            <w:r>
              <w:rPr>
                <w:rFonts w:ascii="Courier New" w:cs="Courier New" w:eastAsia="Courier New" w:hAnsi="Courier New"/>
                <w:sz w:val="16"/>
                <w:szCs w:val="16"/>
                <w:color w:val="auto"/>
              </w:rPr>
              <w:t>INDEX TO EXHIBITS</w:t>
            </w:r>
          </w:p>
        </w:tc>
      </w:tr>
      <w:tr>
        <w:trPr>
          <w:trHeight w:val="752"/>
        </w:trPr>
        <w:tc>
          <w:tcPr>
            <w:tcW w:w="11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340" w:type="dxa"/>
            <w:vAlign w:val="bottom"/>
          </w:tcPr>
          <w:p>
            <w:pPr>
              <w:spacing w:after="0"/>
              <w:rPr>
                <w:sz w:val="24"/>
                <w:szCs w:val="24"/>
                <w:color w:val="auto"/>
              </w:rPr>
            </w:pP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340" w:type="dxa"/>
            <w:vAlign w:val="bottom"/>
          </w:tcPr>
          <w:p>
            <w:pPr>
              <w:ind w:left="282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340" w:type="dxa"/>
            <w:vAlign w:val="bottom"/>
          </w:tcPr>
          <w:p>
            <w:pPr>
              <w:ind w:left="2820"/>
              <w:spacing w:after="0"/>
              <w:rPr>
                <w:sz w:val="20"/>
                <w:szCs w:val="20"/>
                <w:color w:val="auto"/>
              </w:rPr>
            </w:pPr>
            <w:r>
              <w:rPr>
                <w:rFonts w:ascii="Courier New" w:cs="Courier New" w:eastAsia="Courier New" w:hAnsi="Courier New"/>
                <w:sz w:val="16"/>
                <w:szCs w:val="16"/>
                <w:color w:val="auto"/>
              </w:rPr>
              <w:t>-----------</w:t>
            </w:r>
          </w:p>
        </w:tc>
      </w:tr>
      <w:tr>
        <w:trPr>
          <w:trHeight w:val="376"/>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10.1</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January 21, 2000 between Waste</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Management, Inc. and Lawrence O'Donnell, III.</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10.2</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March 30, 2000 between Waste</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Management, Inc. and David R. Hopkins.</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10.3</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November 18, 1999 between</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Waste Management, Inc. and Thomas L. Smith.</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10.4</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Employment Agreement dated May 10, 2000 between Waste</w:t>
            </w:r>
          </w:p>
        </w:tc>
      </w:tr>
      <w:tr>
        <w:trPr>
          <w:trHeight w:val="188"/>
        </w:trPr>
        <w:tc>
          <w:tcPr>
            <w:tcW w:w="1180" w:type="dxa"/>
            <w:vAlign w:val="bottom"/>
          </w:tcPr>
          <w:p>
            <w:pPr>
              <w:spacing w:after="0"/>
              <w:rPr>
                <w:sz w:val="16"/>
                <w:szCs w:val="16"/>
                <w:color w:val="auto"/>
              </w:rPr>
            </w:pPr>
          </w:p>
        </w:tc>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Management, Inc. and Robert E. Dees, Jr.</w:t>
            </w:r>
          </w:p>
        </w:tc>
      </w:tr>
      <w:tr>
        <w:trPr>
          <w:trHeight w:val="188"/>
        </w:trPr>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12</w:t>
            </w:r>
          </w:p>
        </w:tc>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 Computation of Ratio of Earnings to Fixed Charges.</w:t>
            </w:r>
          </w:p>
        </w:tc>
      </w:tr>
    </w:tbl>
    <w:p>
      <w:pPr>
        <w:spacing w:after="0" w:line="4" w:lineRule="exact"/>
        <w:rPr>
          <w:sz w:val="20"/>
          <w:szCs w:val="20"/>
          <w:color w:val="auto"/>
        </w:rPr>
      </w:pPr>
    </w:p>
    <w:p>
      <w:pPr>
        <w:ind w:left="2440" w:hanging="1462"/>
        <w:spacing w:after="0"/>
        <w:tabs>
          <w:tab w:leader="none" w:pos="244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Financial Data Schedule.</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right="2599" w:hanging="200"/>
        <w:spacing w:after="0" w:line="250" w:lineRule="auto"/>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19"/>
          </w:cols>
          <w:pgMar w:left="240" w:top="305"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37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EMPLOYMENT AGREEMENT</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WASTE MANAGEMENT, INC. (the "Company"), and LAWRENCE O'DONNELL, III (the "Executive") hereby enter into this EMPLOYMENT AGREEMENT ("Agreement") dated as of January 21, 2000, as follows:</w:t>
      </w:r>
    </w:p>
    <w:p>
      <w:pPr>
        <w:spacing w:after="0" w:line="185" w:lineRule="exact"/>
        <w:rPr>
          <w:sz w:val="20"/>
          <w:szCs w:val="20"/>
          <w:color w:val="auto"/>
        </w:rPr>
      </w:pPr>
    </w:p>
    <w:p>
      <w:pPr>
        <w:ind w:left="880" w:hanging="880"/>
        <w:spacing w:after="0"/>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9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185" w:lineRule="exact"/>
        <w:rPr>
          <w:sz w:val="20"/>
          <w:szCs w:val="20"/>
          <w:color w:val="auto"/>
        </w:rPr>
      </w:pPr>
    </w:p>
    <w:p>
      <w:pPr>
        <w:ind w:left="880" w:hanging="880"/>
        <w:spacing w:after="0"/>
        <w:tabs>
          <w:tab w:leader="none" w:pos="8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period of Executive's employment under this Agreement shall commence on February 14, 2000, or sooner at the option of the Executive, and be for a continuously renewing (on a daily basis) five (5)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87" w:lineRule="exact"/>
        <w:rPr>
          <w:sz w:val="20"/>
          <w:szCs w:val="20"/>
          <w:color w:val="auto"/>
        </w:rPr>
      </w:pPr>
    </w:p>
    <w:p>
      <w:pPr>
        <w:ind w:left="880" w:hanging="880"/>
        <w:spacing w:after="0"/>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95" w:lineRule="exact"/>
        <w:rPr>
          <w:sz w:val="20"/>
          <w:szCs w:val="20"/>
          <w:color w:val="auto"/>
        </w:rPr>
      </w:pPr>
    </w:p>
    <w:p>
      <w:pPr>
        <w:ind w:left="880" w:right="2399" w:hanging="880"/>
        <w:spacing w:after="0" w:line="249" w:lineRule="auto"/>
        <w:tabs>
          <w:tab w:leader="none" w:pos="8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Senior Vice President and General Counsel, and shall serve as Secretary to the Board of Directors of the Company (the "Board"). In such capacities, Executive shall perform such duties and have the power, authority and functions commensurate with such positions in similarly sized public companies and such other authority and functions consistent with such positions as may be assigned to Executive from time to time by the Board.</w:t>
      </w:r>
    </w:p>
    <w:p>
      <w:pPr>
        <w:spacing w:after="0" w:line="187"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(which shall not unreasonably be withheld or delayed) serve on boards of other for profit entities, provided such activities do not materially interfere with the performance of his duties hereunder. Service on the for profit boards that Executive is currently serving on are hereby approved.</w:t>
      </w:r>
    </w:p>
    <w:p>
      <w:pPr>
        <w:spacing w:after="0" w:line="187" w:lineRule="exact"/>
        <w:rPr>
          <w:sz w:val="20"/>
          <w:szCs w:val="20"/>
          <w:color w:val="auto"/>
        </w:rPr>
      </w:pPr>
    </w:p>
    <w:p>
      <w:pPr>
        <w:ind w:left="880" w:hanging="880"/>
        <w:spacing w:after="0"/>
        <w:tabs>
          <w:tab w:leader="none" w:pos="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95" w:lineRule="exact"/>
        <w:rPr>
          <w:sz w:val="20"/>
          <w:szCs w:val="20"/>
          <w:color w:val="auto"/>
        </w:rPr>
      </w:pPr>
    </w:p>
    <w:p>
      <w:pPr>
        <w:ind w:left="880" w:right="2499" w:hanging="880"/>
        <w:spacing w:after="0" w:line="249" w:lineRule="auto"/>
        <w:tabs>
          <w:tab w:leader="none" w:pos="8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Company shall pay Executive a base salary at the annual rate of four hundred seventy thousand ($470,000) dollars per year or such higher rate as may be determined from time to time by the Company ("Base Salary"). Such Base Salary shall be paid in accordance with the Company's standard payroll practice for its executive officers. Once increased, Base Salary shall not be reduced.</w:t>
      </w:r>
    </w:p>
    <w:p>
      <w:pPr>
        <w:sectPr>
          <w:pgSz w:w="11900" w:h="16838" w:orient="portrait"/>
          <w:cols w:equalWidth="0" w:num="1">
            <w:col w:w="10219"/>
          </w:cols>
          <w:pgMar w:left="240" w:top="142"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left="880" w:right="2399" w:hanging="880"/>
        <w:spacing w:after="0" w:line="249"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The Executive's target annual bonus will be sixty percent (60%) of his Base Salary as in effect for such year (the "Target Bonus"), and his actual annual bonus may range from 0% to 120% (two times target), and will be determined based upon achievement of performance goals (seventy percent [70%] financial [return on capital investments and EBITDA] and thirty percent [30%] personal) as approved by the Compensation Committee of the Board.</w:t>
      </w:r>
    </w:p>
    <w:p>
      <w:pPr>
        <w:spacing w:after="0" w:line="187" w:lineRule="exact"/>
        <w:rPr>
          <w:rFonts w:ascii="Courier New" w:cs="Courier New" w:eastAsia="Courier New" w:hAnsi="Courier New"/>
          <w:sz w:val="16"/>
          <w:szCs w:val="16"/>
          <w:color w:val="auto"/>
        </w:rPr>
      </w:pPr>
    </w:p>
    <w:p>
      <w:pPr>
        <w:ind w:left="880" w:right="2399" w:hanging="880"/>
        <w:spacing w:after="0" w:line="250"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SIGN-ON BONUS. Within thirty (30) days after the Commencement Date, the Company will pay Executive a two hundred thousand ($200,000) dollar sign-on bonus.</w:t>
      </w:r>
    </w:p>
    <w:p>
      <w:pPr>
        <w:spacing w:after="0" w:line="185" w:lineRule="exact"/>
        <w:rPr>
          <w:rFonts w:ascii="Courier New" w:cs="Courier New" w:eastAsia="Courier New" w:hAnsi="Courier New"/>
          <w:sz w:val="16"/>
          <w:szCs w:val="16"/>
          <w:color w:val="auto"/>
        </w:rPr>
      </w:pPr>
    </w:p>
    <w:p>
      <w:pPr>
        <w:jc w:val="both"/>
        <w:ind w:left="880" w:right="2799" w:hanging="880"/>
        <w:spacing w:after="0" w:line="250"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BONUS GUARANTEED. The Company will pay to Executive a minimum guaranteed bonus in the amount of one hundred eighty-eight thousand ($188,000) dollars, to be paid in 2001.</w:t>
      </w:r>
    </w:p>
    <w:p>
      <w:pPr>
        <w:spacing w:after="0" w:line="185"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w:t>
      </w:r>
    </w:p>
    <w:p>
      <w:pPr>
        <w:spacing w:after="0" w:line="194"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the date of this Agreement, Executive will be granted a ten-year stock option award under the Stock Incentive Plan to purchase three hundred fifty thousand (350,000) shares of Stock. The exercise price shall be the fair market value on such date, and the options shall vest in equal installments in each of the first four (4) anniversaries of the date of this Agreement.</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February/March, 2001 meeting of the Compensation Committee of the Board of Directors, Executive will be granted a ten (10) year stock option award under the Stock Incentive Plan to purchase one hundred seventy-five thousand (175,000) shares of Stock. The exercise price shall be the fair market value on the date the Compensation Committee meets to award the options, and the options shall vest in equal installments over five (5) years. Thereafter, Executive shall participate in the Company's annual stock option award program as administered by, and at the discretion of, the Compensation Committee of the Board of Directors.</w:t>
      </w:r>
    </w:p>
    <w:p>
      <w:pPr>
        <w:spacing w:after="0" w:line="186"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AWARDS. In order to address certain forfeitures that Executive will face upon termination of his employment with his prior employer, Executive shall be awarded or receive the following:</w:t>
      </w:r>
    </w:p>
    <w:p>
      <w:pPr>
        <w:spacing w:after="0" w:line="185" w:lineRule="exact"/>
        <w:rPr>
          <w:sz w:val="20"/>
          <w:szCs w:val="20"/>
          <w:color w:val="auto"/>
        </w:rPr>
      </w:pPr>
    </w:p>
    <w:p>
      <w:pPr>
        <w:ind w:left="1360" w:right="2399"/>
        <w:spacing w:after="0" w:line="249" w:lineRule="auto"/>
        <w:rPr>
          <w:sz w:val="20"/>
          <w:szCs w:val="20"/>
          <w:color w:val="auto"/>
        </w:rPr>
      </w:pPr>
      <w:r>
        <w:rPr>
          <w:rFonts w:ascii="Courier New" w:cs="Courier New" w:eastAsia="Courier New" w:hAnsi="Courier New"/>
          <w:sz w:val="16"/>
          <w:szCs w:val="16"/>
          <w:color w:val="auto"/>
        </w:rPr>
        <w:t>Restricted Stock Award. Effective as of the Commencement Date, the Company will grant Executive an award of restricted shares of the Company's common stock (the "Stock") (valued at three hundred thousand [$300,000] dollars on the date of grant) under the Waste Management, Inc. 1993 Stock Incentive Plan (the "Stock Incentive Plan") that will vest in equal installments on each of the first four (4) anniversaries of the Commencement Date, subject (except as otherwise provided herein) to Executive's continuous employment with the Company through the applicable vesting date (the "Restricted Stock Grant"). The Restricted Stock Grant shall be deemed outstanding shares for all purposes and Executive shall be fully vested in any cash dividends paid therein (and non cash dividends being subject to the same forfeiture provisions as the underlying Restricted Stock Grant shares).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2 of 19</w:t>
      </w:r>
    </w:p>
    <w:p>
      <w:pPr>
        <w:sectPr>
          <w:pgSz w:w="11900" w:h="16838" w:orient="portrait"/>
          <w:cols w:equalWidth="0" w:num="1">
            <w:col w:w="10219"/>
          </w:cols>
          <w:pgMar w:left="240" w:top="305"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left="880" w:right="2499" w:hanging="880"/>
        <w:spacing w:after="0" w:line="249" w:lineRule="auto"/>
        <w:tabs>
          <w:tab w:leader="none" w:pos="8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COMPENSATION. Executive shall be entitled to participate in the Company's "Executive Deferral Plan" and any incentive or supplemental compensation plan, or arrangement maintained or instituted by the Company, and covering its principal executive officers, at a level commensurate with his positions and to receive additional compensation from the Company in such form, and to such extent, if any, as the Compensation Committee may in its sole discretion from time to time specify.</w:t>
      </w:r>
    </w:p>
    <w:p>
      <w:pPr>
        <w:spacing w:after="0" w:line="187"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positions. All waiting periods for welfare plans shall be waived, and pre-existing medical conditions for Executive and Executive's family members will not be a basis for withholding medical insurance benefits.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 after 90 days of employment.</w:t>
      </w:r>
    </w:p>
    <w:p>
      <w:pPr>
        <w:spacing w:after="0" w:line="186" w:lineRule="exact"/>
        <w:rPr>
          <w:rFonts w:ascii="Courier New" w:cs="Courier New" w:eastAsia="Courier New" w:hAnsi="Courier New"/>
          <w:sz w:val="16"/>
          <w:szCs w:val="16"/>
          <w:color w:val="auto"/>
        </w:rPr>
      </w:pPr>
    </w:p>
    <w:p>
      <w:pPr>
        <w:ind w:left="880" w:right="3179" w:hanging="880"/>
        <w:spacing w:after="0" w:line="252" w:lineRule="auto"/>
        <w:tabs>
          <w:tab w:leader="none" w:pos="8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PERQUISITES. Executive shall be entitled to the following benefits:</w:t>
      </w:r>
    </w:p>
    <w:p>
      <w:pPr>
        <w:spacing w:after="0" w:line="183" w:lineRule="exact"/>
        <w:rPr>
          <w:rFonts w:ascii="Courier New" w:cs="Courier New" w:eastAsia="Courier New" w:hAnsi="Courier New"/>
          <w:sz w:val="16"/>
          <w:szCs w:val="16"/>
          <w:color w:val="auto"/>
        </w:rPr>
      </w:pPr>
    </w:p>
    <w:p>
      <w:pPr>
        <w:ind w:left="1760" w:right="2499" w:hanging="880"/>
        <w:spacing w:after="0" w:line="252" w:lineRule="auto"/>
        <w:tabs>
          <w:tab w:leader="none" w:pos="17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 Allowance in the amount of one thousand ($1,000) dollars per month;</w:t>
      </w:r>
    </w:p>
    <w:p>
      <w:pPr>
        <w:spacing w:after="0" w:line="371" w:lineRule="exact"/>
        <w:rPr>
          <w:rFonts w:ascii="Courier New" w:cs="Courier New" w:eastAsia="Courier New" w:hAnsi="Courier New"/>
          <w:sz w:val="16"/>
          <w:szCs w:val="16"/>
          <w:color w:val="auto"/>
        </w:rPr>
      </w:pPr>
    </w:p>
    <w:p>
      <w:pPr>
        <w:ind w:left="1760" w:right="2499" w:hanging="880"/>
        <w:spacing w:after="0" w:line="252" w:lineRule="auto"/>
        <w:tabs>
          <w:tab w:leader="none" w:pos="17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Planning Services at actual cost, and not to exceed fifteen thousand ($15,000) dollars annually;</w:t>
      </w:r>
    </w:p>
    <w:p>
      <w:pPr>
        <w:spacing w:after="0" w:line="183" w:lineRule="exact"/>
        <w:rPr>
          <w:rFonts w:ascii="Courier New" w:cs="Courier New" w:eastAsia="Courier New" w:hAnsi="Courier New"/>
          <w:sz w:val="16"/>
          <w:szCs w:val="16"/>
          <w:color w:val="auto"/>
        </w:rPr>
      </w:pPr>
    </w:p>
    <w:p>
      <w:pPr>
        <w:ind w:left="1760" w:right="2699" w:hanging="880"/>
        <w:spacing w:after="0" w:line="252" w:lineRule="auto"/>
        <w:tabs>
          <w:tab w:leader="none" w:pos="17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Club Dues and Assessments at actual cost, and not to exceed twelve thousand ($12,000) dollars annually; and</w:t>
      </w:r>
    </w:p>
    <w:p>
      <w:pPr>
        <w:spacing w:after="0" w:line="183" w:lineRule="exact"/>
        <w:rPr>
          <w:rFonts w:ascii="Courier New" w:cs="Courier New" w:eastAsia="Courier New" w:hAnsi="Courier New"/>
          <w:sz w:val="16"/>
          <w:szCs w:val="16"/>
          <w:color w:val="auto"/>
        </w:rPr>
      </w:pPr>
    </w:p>
    <w:p>
      <w:pPr>
        <w:ind w:left="1760" w:right="2499" w:hanging="880"/>
        <w:spacing w:after="0" w:line="252" w:lineRule="auto"/>
        <w:tabs>
          <w:tab w:leader="none" w:pos="17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Physical Examination on a program designated by the Company.</w:t>
      </w:r>
    </w:p>
    <w:p>
      <w:pPr>
        <w:spacing w:after="0" w:line="371"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 In addition the Company shall (i) pay for the reasonable costs, fees and expenses incurred by Executive, his consultants or legal advisors in connection with the negotiation and execution of this Agreement in an amount not to exceed ten thousand ($10,000) dollars.</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3 of 19</w:t>
      </w:r>
    </w:p>
    <w:p>
      <w:pPr>
        <w:sectPr>
          <w:pgSz w:w="11900" w:h="16838" w:orient="portrait"/>
          <w:cols w:equalWidth="0" w:num="1">
            <w:col w:w="10219"/>
          </w:cols>
          <w:pgMar w:left="240" w:top="305"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80" w:hanging="880"/>
        <w:spacing w:after="0"/>
        <w:tabs>
          <w:tab w:leader="none" w:pos="8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9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371" w:lineRule="exact"/>
        <w:rPr>
          <w:sz w:val="20"/>
          <w:szCs w:val="20"/>
          <w:color w:val="auto"/>
        </w:rPr>
      </w:pPr>
    </w:p>
    <w:p>
      <w:pPr>
        <w:ind w:left="880" w:right="3479" w:hanging="880"/>
        <w:spacing w:after="0" w:line="252" w:lineRule="auto"/>
        <w:tabs>
          <w:tab w:leader="none" w:pos="8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371" w:lineRule="exact"/>
        <w:rPr>
          <w:rFonts w:ascii="Courier New" w:cs="Courier New" w:eastAsia="Courier New" w:hAnsi="Courier New"/>
          <w:sz w:val="16"/>
          <w:szCs w:val="16"/>
          <w:color w:val="auto"/>
        </w:rPr>
      </w:pPr>
    </w:p>
    <w:p>
      <w:pPr>
        <w:ind w:left="880" w:right="2399" w:hanging="880"/>
        <w:spacing w:after="0" w:line="248" w:lineRule="auto"/>
        <w:tabs>
          <w:tab w:leader="none" w:pos="8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w:t>
      </w:r>
    </w:p>
    <w:p>
      <w:pPr>
        <w:spacing w:after="0" w:line="5" w:lineRule="exact"/>
        <w:rPr>
          <w:rFonts w:ascii="Courier New" w:cs="Courier New" w:eastAsia="Courier New" w:hAnsi="Courier New"/>
          <w:sz w:val="16"/>
          <w:szCs w:val="16"/>
          <w:color w:val="auto"/>
        </w:rPr>
      </w:pPr>
    </w:p>
    <w:p>
      <w:pPr>
        <w:ind w:left="880" w:right="2599"/>
        <w:spacing w:after="0" w:line="249" w:lineRule="auto"/>
        <w:tabs>
          <w:tab w:leader="none" w:pos="136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87" w:lineRule="exact"/>
        <w:rPr>
          <w:rFonts w:ascii="Courier New" w:cs="Courier New" w:eastAsia="Courier New" w:hAnsi="Courier New"/>
          <w:sz w:val="16"/>
          <w:szCs w:val="16"/>
          <w:color w:val="auto"/>
        </w:rPr>
      </w:pPr>
    </w:p>
    <w:p>
      <w:pPr>
        <w:ind w:left="880" w:right="2499" w:hanging="880"/>
        <w:spacing w:after="0" w:line="248" w:lineRule="auto"/>
        <w:tabs>
          <w:tab w:leader="none" w:pos="8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within ninety</w:t>
      </w:r>
    </w:p>
    <w:p>
      <w:pPr>
        <w:spacing w:after="0" w:line="1" w:lineRule="exact"/>
        <w:rPr>
          <w:rFonts w:ascii="Courier New" w:cs="Courier New" w:eastAsia="Courier New" w:hAnsi="Courier New"/>
          <w:sz w:val="16"/>
          <w:szCs w:val="16"/>
          <w:color w:val="auto"/>
        </w:rPr>
      </w:pPr>
    </w:p>
    <w:p>
      <w:pPr>
        <w:ind w:left="880" w:right="2699"/>
        <w:spacing w:after="0" w:line="252" w:lineRule="auto"/>
        <w:tabs>
          <w:tab w:leader="none" w:pos="136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Chairman of the Audit or Governance Committee of the Board has knowledge thereof.</w:t>
      </w:r>
    </w:p>
    <w:p>
      <w:pPr>
        <w:spacing w:after="0" w:line="183" w:lineRule="exact"/>
        <w:rPr>
          <w:sz w:val="20"/>
          <w:szCs w:val="20"/>
          <w:color w:val="auto"/>
        </w:rPr>
      </w:pPr>
    </w:p>
    <w:p>
      <w:pPr>
        <w:ind w:left="1760" w:right="2399" w:hanging="880"/>
        <w:spacing w:after="0" w:line="249" w:lineRule="auto"/>
        <w:tabs>
          <w:tab w:leader="none" w:pos="17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be limited to (1) willful misconduct by Executive with regard to the Company which has a material adverse effect on the Company; (2) the willful refusal of Executive to attempt to follow the proper written direction of the Board,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Board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185"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4 of 19</w:t>
      </w:r>
    </w:p>
    <w:p>
      <w:pPr>
        <w:sectPr>
          <w:pgSz w:w="11900" w:h="16838" w:orient="portrait"/>
          <w:cols w:equalWidth="0" w:num="1">
            <w:col w:w="10219"/>
          </w:cols>
          <w:pgMar w:left="240" w:top="305"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87" w:lineRule="exact"/>
        <w:rPr>
          <w:sz w:val="20"/>
          <w:szCs w:val="20"/>
          <w:color w:val="auto"/>
        </w:rPr>
      </w:pPr>
    </w:p>
    <w:p>
      <w:pPr>
        <w:ind w:left="880" w:right="2499" w:hanging="880"/>
        <w:spacing w:after="0" w:line="250" w:lineRule="auto"/>
        <w:tabs>
          <w:tab w:leader="none" w:pos="8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with or without Good Reason at any time upon written notice to the Company.</w:t>
      </w:r>
    </w:p>
    <w:p>
      <w:pPr>
        <w:spacing w:after="0" w:line="185" w:lineRule="exact"/>
        <w:rPr>
          <w:rFonts w:ascii="Courier New" w:cs="Courier New" w:eastAsia="Courier New" w:hAnsi="Courier New"/>
          <w:sz w:val="16"/>
          <w:szCs w:val="16"/>
          <w:color w:val="auto"/>
        </w:rPr>
      </w:pPr>
    </w:p>
    <w:p>
      <w:pPr>
        <w:ind w:left="1760" w:right="2399" w:hanging="880"/>
        <w:spacing w:after="0" w:line="248" w:lineRule="auto"/>
        <w:tabs>
          <w:tab w:leader="none" w:pos="17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or, the assignment to Executive of duties or responsibilities that are inconsistent with Executive's then position; provided that if the Company becomes a fifty percent or more subsidiary of any other entity, Executive shall be deemed to have a material diminution of his position unless he is also Senior Vice President and General Counsel, and Secretary to the Board of the ultimate parent entity; (2) removal of, or the non-re-election of, the Executive from officer positions with the Company specified herein or removal of the Executive from any of his then officer positions; (3) requiring Executive's principal place of business to be located other than in the Houston, Texas greater Metropolitan region;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w:t>
      </w:r>
    </w:p>
    <w:p>
      <w:pPr>
        <w:spacing w:after="0" w:line="200" w:lineRule="exact"/>
        <w:rPr>
          <w:sz w:val="20"/>
          <w:szCs w:val="20"/>
          <w:color w:val="auto"/>
        </w:rPr>
      </w:pPr>
    </w:p>
    <w:p>
      <w:pPr>
        <w:spacing w:after="0" w:line="20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5 of 19</w:t>
      </w:r>
    </w:p>
    <w:p>
      <w:pPr>
        <w:sectPr>
          <w:pgSz w:w="11900" w:h="16838" w:orient="portrait"/>
          <w:cols w:equalWidth="0" w:num="1">
            <w:col w:w="10219"/>
          </w:cols>
          <w:pgMar w:left="240" w:top="305"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successor to the Company (whether direct or indirect and whether by merger, acquisition, consolidation or otherwise) to assume in a writing delivered to Executive upon the assignee becoming such, the obligations of the Company hereunder.</w:t>
      </w:r>
    </w:p>
    <w:p>
      <w:pPr>
        <w:spacing w:after="0" w:line="188" w:lineRule="exact"/>
        <w:rPr>
          <w:sz w:val="20"/>
          <w:szCs w:val="20"/>
          <w:color w:val="auto"/>
        </w:rPr>
      </w:pPr>
    </w:p>
    <w:p>
      <w:pPr>
        <w:ind w:left="1760" w:right="2399" w:hanging="880"/>
        <w:spacing w:after="0" w:line="248" w:lineRule="auto"/>
        <w:tabs>
          <w:tab w:leader="none" w:pos="17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(i)(1) or</w:t>
      </w:r>
    </w:p>
    <w:p>
      <w:pPr>
        <w:spacing w:after="0" w:line="9" w:lineRule="exact"/>
        <w:rPr>
          <w:rFonts w:ascii="Courier New" w:cs="Courier New" w:eastAsia="Courier New" w:hAnsi="Courier New"/>
          <w:sz w:val="16"/>
          <w:szCs w:val="16"/>
          <w:color w:val="auto"/>
        </w:rPr>
      </w:pPr>
    </w:p>
    <w:p>
      <w:pPr>
        <w:ind w:left="1760" w:right="2799" w:hanging="1"/>
        <w:spacing w:after="0" w:line="252" w:lineRule="auto"/>
        <w:tabs>
          <w:tab w:leader="none" w:pos="2151"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may be five (5) days after the giving of such notice.</w:t>
      </w:r>
    </w:p>
    <w:p>
      <w:pPr>
        <w:spacing w:after="0" w:line="183" w:lineRule="exact"/>
        <w:rPr>
          <w:rFonts w:ascii="Courier New" w:cs="Courier New" w:eastAsia="Courier New" w:hAnsi="Courier New"/>
          <w:sz w:val="16"/>
          <w:szCs w:val="16"/>
          <w:color w:val="auto"/>
        </w:rPr>
      </w:pPr>
    </w:p>
    <w:p>
      <w:pPr>
        <w:ind w:left="880" w:right="2399" w:hanging="880"/>
        <w:spacing w:after="0" w:line="250" w:lineRule="auto"/>
        <w:tabs>
          <w:tab w:leader="none" w:pos="8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upon written notice to Executive.</w:t>
      </w:r>
    </w:p>
    <w:p>
      <w:pPr>
        <w:spacing w:after="0" w:line="185" w:lineRule="exact"/>
        <w:rPr>
          <w:rFonts w:ascii="Courier New" w:cs="Courier New" w:eastAsia="Courier New" w:hAnsi="Courier New"/>
          <w:sz w:val="16"/>
          <w:szCs w:val="16"/>
          <w:color w:val="auto"/>
        </w:rPr>
      </w:pPr>
    </w:p>
    <w:p>
      <w:pPr>
        <w:ind w:left="880" w:right="2399" w:hanging="880"/>
        <w:spacing w:after="0" w:line="250" w:lineRule="auto"/>
        <w:tabs>
          <w:tab w:leader="none" w:pos="8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Upon any termination of employment, Executive shall immediately resign from all Board memberships and other positions with the Company or any of its subsidiaries held by him at such time.</w:t>
      </w:r>
    </w:p>
    <w:p>
      <w:pPr>
        <w:spacing w:after="0" w:line="185" w:lineRule="exact"/>
        <w:rPr>
          <w:sz w:val="20"/>
          <w:szCs w:val="20"/>
          <w:color w:val="auto"/>
        </w:rPr>
      </w:pPr>
    </w:p>
    <w:p>
      <w:pPr>
        <w:ind w:left="880" w:hanging="880"/>
        <w:spacing w:after="0"/>
        <w:tabs>
          <w:tab w:leader="none" w:pos="8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95"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185" w:lineRule="exact"/>
        <w:rPr>
          <w:sz w:val="20"/>
          <w:szCs w:val="20"/>
          <w:color w:val="auto"/>
        </w:rPr>
      </w:pPr>
    </w:p>
    <w:p>
      <w:pPr>
        <w:ind w:left="880" w:right="2599" w:hanging="880"/>
        <w:spacing w:after="0" w:line="250" w:lineRule="auto"/>
        <w:tabs>
          <w:tab w:leader="none" w:pos="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Executive's employment is terminated by reason of Executive's death, the Company shall pay the following amounts to Executive's beneficiary or estate:</w:t>
      </w:r>
    </w:p>
    <w:p>
      <w:pPr>
        <w:spacing w:after="0" w:line="185"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 pro-rata "bonus" or incentive compensation payment to the extent payments are awarded senior executives and paid at the same time as senior executives are paid, and any vacation accrued to the date of death.</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Sections 4(g)-(i) hereof), as determined and paid in accordance with the terms of such plans, policies and arrangements.</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6 of 19</w:t>
      </w:r>
    </w:p>
    <w:p>
      <w:pPr>
        <w:sectPr>
          <w:pgSz w:w="11900" w:h="16838" w:orient="portrait"/>
          <w:cols w:equalWidth="0" w:num="1">
            <w:col w:w="10219"/>
          </w:cols>
          <w:pgMar w:left="240" w:top="305"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left="1760" w:right="2499" w:hanging="880"/>
        <w:spacing w:after="0" w:line="249" w:lineRule="auto"/>
        <w:tabs>
          <w:tab w:leader="none" w:pos="17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87"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and the Restricted Stock Grant shall be fully vested and Executive's estate or beneficiary shall have up to one (1) year from the date of death to exercise all such options.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4" w:lineRule="exact"/>
        <w:rPr>
          <w:rFonts w:ascii="Courier New" w:cs="Courier New" w:eastAsia="Courier New" w:hAnsi="Courier New"/>
          <w:sz w:val="16"/>
          <w:szCs w:val="16"/>
          <w:color w:val="auto"/>
        </w:rPr>
      </w:pPr>
    </w:p>
    <w:p>
      <w:pPr>
        <w:ind w:left="880" w:right="2599" w:hanging="880"/>
        <w:spacing w:after="0" w:line="249" w:lineRule="auto"/>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for the year in which Executive is terminated.</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Sections 4(g)-(i)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87"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the Restricted Stock Grant and Executive shall have up to one (1) year from the date of termination by reason of Total Disability to exercise all such options.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7 of 19</w:t>
      </w:r>
    </w:p>
    <w:p>
      <w:pPr>
        <w:sectPr>
          <w:pgSz w:w="11900" w:h="16838" w:orient="portrait"/>
          <w:cols w:equalWidth="0" w:num="1">
            <w:col w:w="10219"/>
          </w:cols>
          <w:pgMar w:left="240" w:top="305"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ind w:left="880" w:right="2879" w:hanging="880"/>
        <w:spacing w:after="0" w:line="250" w:lineRule="auto"/>
        <w:tabs>
          <w:tab w:leader="none" w:pos="8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the Company shall pay the following amounts to Executive:</w:t>
      </w:r>
    </w:p>
    <w:p>
      <w:pPr>
        <w:spacing w:after="0" w:line="185"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Sections 4(g)-(i)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Any options, restricted stock or other awards that have not vested prior to the date of such termination of employment shall be cancelled and any options held by Executive shall be cancelled, whether or not then vested.</w:t>
      </w:r>
    </w:p>
    <w:p>
      <w:pPr>
        <w:spacing w:after="0" w:line="188" w:lineRule="exact"/>
        <w:rPr>
          <w:sz w:val="20"/>
          <w:szCs w:val="20"/>
          <w:color w:val="auto"/>
        </w:rPr>
      </w:pPr>
    </w:p>
    <w:p>
      <w:pPr>
        <w:ind w:left="880" w:right="2979" w:hanging="880"/>
        <w:spacing w:after="0" w:line="250" w:lineRule="auto"/>
        <w:tabs>
          <w:tab w:leader="none" w:pos="8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In the event that Executive voluntarily terminates employment other than for Good Reason, the Company shall pay the following amounts to Executive:</w:t>
      </w:r>
    </w:p>
    <w:p>
      <w:pPr>
        <w:spacing w:after="0" w:line="185"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Sections 4(g)-(i)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Any options, restricted stock or other awards that have not vested prior to the date of such termination of employment shall be cancelled and Executive shall have 90 days following termination of employment to exercise any previously vested options (or, if earlier, until the stated expiration thereof).</w:t>
      </w:r>
    </w:p>
    <w:p>
      <w:pPr>
        <w:spacing w:after="0" w:line="187" w:lineRule="exact"/>
        <w:rPr>
          <w:sz w:val="20"/>
          <w:szCs w:val="20"/>
          <w:color w:val="auto"/>
        </w:rPr>
      </w:pPr>
    </w:p>
    <w:p>
      <w:pPr>
        <w:ind w:left="880" w:right="2399" w:hanging="880"/>
        <w:spacing w:after="0" w:line="249" w:lineRule="auto"/>
        <w:tabs>
          <w:tab w:leader="none" w:pos="8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8 of 19</w:t>
      </w:r>
    </w:p>
    <w:p>
      <w:pPr>
        <w:sectPr>
          <w:pgSz w:w="11900" w:h="16838" w:orient="portrait"/>
          <w:cols w:equalWidth="0" w:num="1">
            <w:col w:w="10219"/>
          </w:cols>
          <w:pgMar w:left="240" w:top="30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ind w:left="1460" w:right="2599" w:hanging="880"/>
        <w:spacing w:after="0" w:line="249" w:lineRule="auto"/>
        <w:tabs>
          <w:tab w:leader="none" w:pos="1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460" w:right="2599" w:hanging="880"/>
        <w:spacing w:after="0" w:line="249" w:lineRule="auto"/>
        <w:tabs>
          <w:tab w:leader="none" w:pos="1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Sections 4(g)-(i)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460" w:right="2399" w:hanging="880"/>
        <w:spacing w:after="0" w:line="249" w:lineRule="auto"/>
        <w:tabs>
          <w:tab w:leader="none" w:pos="1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375" w:lineRule="exact"/>
        <w:rPr>
          <w:rFonts w:ascii="Courier New" w:cs="Courier New" w:eastAsia="Courier New" w:hAnsi="Courier New"/>
          <w:sz w:val="16"/>
          <w:szCs w:val="16"/>
          <w:color w:val="auto"/>
        </w:rPr>
      </w:pPr>
    </w:p>
    <w:p>
      <w:pPr>
        <w:ind w:left="1460" w:right="2399" w:hanging="880"/>
        <w:spacing w:after="0" w:line="249" w:lineRule="auto"/>
        <w:tabs>
          <w:tab w:leader="none" w:pos="1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two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86" w:lineRule="exact"/>
        <w:rPr>
          <w:rFonts w:ascii="Courier New" w:cs="Courier New" w:eastAsia="Courier New" w:hAnsi="Courier New"/>
          <w:sz w:val="16"/>
          <w:szCs w:val="16"/>
          <w:color w:val="auto"/>
        </w:rPr>
      </w:pPr>
    </w:p>
    <w:p>
      <w:pPr>
        <w:ind w:left="1460" w:right="2499" w:hanging="880"/>
        <w:spacing w:after="0" w:line="249" w:lineRule="auto"/>
        <w:tabs>
          <w:tab w:leader="none" w:pos="1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pro-rated for the fiscal year in which the Executive is terminated.</w:t>
      </w:r>
    </w:p>
    <w:p>
      <w:pPr>
        <w:spacing w:after="0" w:line="186" w:lineRule="exact"/>
        <w:rPr>
          <w:rFonts w:ascii="Courier New" w:cs="Courier New" w:eastAsia="Courier New" w:hAnsi="Courier New"/>
          <w:sz w:val="16"/>
          <w:szCs w:val="16"/>
          <w:color w:val="auto"/>
        </w:rPr>
      </w:pPr>
    </w:p>
    <w:p>
      <w:pPr>
        <w:ind w:left="1460" w:right="2399" w:hanging="880"/>
        <w:spacing w:after="0" w:line="249" w:lineRule="auto"/>
        <w:tabs>
          <w:tab w:leader="none" w:pos="1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such termination of employment, the stock options awarded to Executive pursuant to Section 4(e)(i) hereof and the Restricted Stock Grant shall be fully vested. Executive shall continue to vest in all other stock option awards or restricted stock awards over the two (2) year period commencing on the date of such termination. Executive shall have two (2) years and six (6) months after the date of termination to exercise all options, unless by virtue of the particular stock option award, the option grant expires on an earlier date.</w:t>
      </w:r>
    </w:p>
    <w:p>
      <w:pPr>
        <w:spacing w:after="0" w:line="375" w:lineRule="exact"/>
        <w:rPr>
          <w:rFonts w:ascii="Courier New" w:cs="Courier New" w:eastAsia="Courier New" w:hAnsi="Courier New"/>
          <w:sz w:val="16"/>
          <w:szCs w:val="16"/>
          <w:color w:val="auto"/>
        </w:rPr>
      </w:pPr>
    </w:p>
    <w:p>
      <w:pPr>
        <w:ind w:left="1460" w:hanging="880"/>
        <w:spacing w:after="0"/>
        <w:tabs>
          <w:tab w:leader="none" w:pos="14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Page 9 of 19</w:t>
      </w:r>
    </w:p>
    <w:p>
      <w:pPr>
        <w:sectPr>
          <w:pgSz w:w="11900" w:h="16838" w:orient="portrait"/>
          <w:cols w:equalWidth="0" w:num="1">
            <w:col w:w="9919"/>
          </w:cols>
          <w:pgMar w:left="540" w:top="305"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6"/>
          <w:szCs w:val="16"/>
          <w:color w:val="auto"/>
        </w:rPr>
        <w:t>10</w:t>
      </w:r>
    </w:p>
    <w:p>
      <w:pPr>
        <w:spacing w:after="0" w:line="383" w:lineRule="exact"/>
        <w:rPr>
          <w:sz w:val="20"/>
          <w:szCs w:val="20"/>
          <w:color w:val="auto"/>
        </w:rPr>
      </w:pPr>
    </w:p>
    <w:p>
      <w:pPr>
        <w:ind w:left="880" w:right="2399" w:hanging="880"/>
        <w:spacing w:after="0" w:line="249" w:lineRule="auto"/>
        <w:tabs>
          <w:tab w:leader="none" w:pos="8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87" w:lineRule="exact"/>
        <w:rPr>
          <w:sz w:val="20"/>
          <w:szCs w:val="20"/>
          <w:color w:val="auto"/>
        </w:rPr>
      </w:pPr>
    </w:p>
    <w:p>
      <w:pPr>
        <w:ind w:left="580" w:right="3279" w:hanging="580"/>
        <w:spacing w:after="0" w:line="252" w:lineRule="auto"/>
        <w:tabs>
          <w:tab w:leader="none" w:pos="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183" w:lineRule="exact"/>
        <w:rPr>
          <w:sz w:val="20"/>
          <w:szCs w:val="20"/>
          <w:color w:val="auto"/>
        </w:rPr>
      </w:pPr>
    </w:p>
    <w:p>
      <w:pPr>
        <w:ind w:left="880" w:right="2399" w:hanging="880"/>
        <w:spacing w:after="0" w:line="249" w:lineRule="auto"/>
        <w:tabs>
          <w:tab w:leader="none" w:pos="8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payments and benefits provided for in Section 6(e), except that (A) the period with respect to which severance is calculated pursuant to Section 6(e)(iii) will be three (3) years and the amount shall be paid in a lump-sum and (B) the benefit continuation period in Section 6(e)(iv) shall be three years.</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will be 100% vested in all benefits, awards, and grants (including stock option grants and stock awards, all of such stock options exercisable for three (3) years following Termination)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10 of 19</w:t>
      </w:r>
    </w:p>
    <w:p>
      <w:pPr>
        <w:sectPr>
          <w:pgSz w:w="11900" w:h="16838" w:orient="portrait"/>
          <w:cols w:equalWidth="0" w:num="1">
            <w:col w:w="10219"/>
          </w:cols>
          <w:pgMar w:left="240" w:top="304"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87" w:lineRule="exact"/>
        <w:rPr>
          <w:sz w:val="20"/>
          <w:szCs w:val="20"/>
          <w:color w:val="auto"/>
        </w:rPr>
      </w:pPr>
    </w:p>
    <w:p>
      <w:pPr>
        <w:ind w:left="880" w:hanging="880"/>
        <w:spacing w:after="0"/>
        <w:tabs>
          <w:tab w:leader="none" w:pos="8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ADDITIONAL PAYMENTS BY THE COMPANY.</w:t>
      </w:r>
    </w:p>
    <w:p>
      <w:pPr>
        <w:spacing w:after="0" w:line="194"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373"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86" w:lineRule="exact"/>
        <w:rPr>
          <w:rFonts w:ascii="Courier New" w:cs="Courier New" w:eastAsia="Courier New" w:hAnsi="Courier New"/>
          <w:sz w:val="16"/>
          <w:szCs w:val="16"/>
          <w:color w:val="auto"/>
        </w:rPr>
      </w:pPr>
    </w:p>
    <w:p>
      <w:pPr>
        <w:ind w:left="1760" w:right="2799" w:hanging="880"/>
        <w:spacing w:after="0" w:line="250" w:lineRule="auto"/>
        <w:tabs>
          <w:tab w:leader="none" w:pos="17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amount of the Gross-up Payment, the Executive shall be deemed to pay U.S. federal income taxes at the highest marginal rate of</w:t>
      </w:r>
    </w:p>
    <w:p>
      <w:pPr>
        <w:spacing w:after="0" w:line="37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11 of 19</w:t>
      </w:r>
    </w:p>
    <w:p>
      <w:pPr>
        <w:sectPr>
          <w:pgSz w:w="11900" w:h="16838" w:orient="portrait"/>
          <w:cols w:equalWidth="0" w:num="1">
            <w:col w:w="10219"/>
          </w:cols>
          <w:pgMar w:left="240" w:top="30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12</w:t>
      </w:r>
    </w:p>
    <w:p>
      <w:pPr>
        <w:spacing w:after="0" w:line="383" w:lineRule="exact"/>
        <w:rPr>
          <w:sz w:val="20"/>
          <w:szCs w:val="20"/>
          <w:color w:val="auto"/>
        </w:rPr>
      </w:pPr>
    </w:p>
    <w:p>
      <w:pPr>
        <w:ind w:left="1460" w:right="2399"/>
        <w:spacing w:after="0" w:line="248" w:lineRule="auto"/>
        <w:rPr>
          <w:sz w:val="20"/>
          <w:szCs w:val="20"/>
          <w:color w:val="auto"/>
        </w:rPr>
      </w:pPr>
      <w:r>
        <w:rPr>
          <w:rFonts w:ascii="Courier New" w:cs="Courier New" w:eastAsia="Courier New" w:hAnsi="Courier New"/>
          <w:sz w:val="16"/>
          <w:szCs w:val="16"/>
          <w:color w:val="auto"/>
        </w:rPr>
        <w:t>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9" w:lineRule="exact"/>
        <w:rPr>
          <w:sz w:val="20"/>
          <w:szCs w:val="20"/>
          <w:color w:val="auto"/>
        </w:rPr>
      </w:pPr>
    </w:p>
    <w:p>
      <w:pPr>
        <w:ind w:left="1460" w:right="2399"/>
        <w:spacing w:after="0" w:line="249" w:lineRule="auto"/>
        <w:rPr>
          <w:sz w:val="20"/>
          <w:szCs w:val="20"/>
          <w:color w:val="auto"/>
        </w:rPr>
      </w:pPr>
      <w:r>
        <w:rPr>
          <w:rFonts w:ascii="Courier New" w:cs="Courier New" w:eastAsia="Courier New" w:hAnsi="Courier New"/>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87" w:lineRule="exact"/>
        <w:rPr>
          <w:sz w:val="20"/>
          <w:szCs w:val="20"/>
          <w:color w:val="auto"/>
        </w:rPr>
      </w:pPr>
    </w:p>
    <w:p>
      <w:pPr>
        <w:ind w:left="1460" w:right="2399" w:hanging="880"/>
        <w:spacing w:after="0" w:line="249" w:lineRule="auto"/>
        <w:tabs>
          <w:tab w:leader="none" w:pos="14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w:t>
      </w:r>
    </w:p>
    <w:p>
      <w:pPr>
        <w:spacing w:after="0" w:line="37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Page 12 of 19</w:t>
      </w:r>
    </w:p>
    <w:p>
      <w:pPr>
        <w:sectPr>
          <w:pgSz w:w="11900" w:h="16838" w:orient="portrait"/>
          <w:cols w:equalWidth="0" w:num="1">
            <w:col w:w="9919"/>
          </w:cols>
          <w:pgMar w:left="540" w:top="305"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left="1760" w:right="2399"/>
        <w:spacing w:after="0" w:line="250" w:lineRule="auto"/>
        <w:rPr>
          <w:sz w:val="20"/>
          <w:szCs w:val="20"/>
          <w:color w:val="auto"/>
        </w:rPr>
      </w:pPr>
      <w:r>
        <w:rPr>
          <w:rFonts w:ascii="Courier New" w:cs="Courier New" w:eastAsia="Courier New" w:hAnsi="Courier New"/>
          <w:sz w:val="16"/>
          <w:szCs w:val="16"/>
          <w:color w:val="auto"/>
        </w:rPr>
        <w:t>to the Executive, payable on the fifth day after demand by the Company (together with interest at the rate provided in Section 1274(b)(2)(B) of the Code).</w:t>
      </w:r>
    </w:p>
    <w:p>
      <w:pPr>
        <w:spacing w:after="0" w:line="373" w:lineRule="exact"/>
        <w:rPr>
          <w:sz w:val="20"/>
          <w:szCs w:val="20"/>
          <w:color w:val="auto"/>
        </w:rPr>
      </w:pPr>
    </w:p>
    <w:p>
      <w:pPr>
        <w:ind w:left="1760" w:right="2399" w:hanging="880"/>
        <w:spacing w:after="0" w:line="249" w:lineRule="auto"/>
        <w:tabs>
          <w:tab w:leader="none" w:pos="17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86" w:lineRule="exact"/>
        <w:rPr>
          <w:rFonts w:ascii="Courier New" w:cs="Courier New" w:eastAsia="Courier New" w:hAnsi="Courier New"/>
          <w:sz w:val="16"/>
          <w:szCs w:val="16"/>
          <w:color w:val="auto"/>
        </w:rPr>
      </w:pPr>
    </w:p>
    <w:p>
      <w:pPr>
        <w:ind w:left="1760" w:right="3079" w:hanging="880"/>
        <w:spacing w:after="0" w:line="252" w:lineRule="auto"/>
        <w:tabs>
          <w:tab w:leader="none" w:pos="17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responsible for all charges of the Accountant.</w:t>
      </w:r>
    </w:p>
    <w:p>
      <w:pPr>
        <w:spacing w:after="0" w:line="183"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87" w:lineRule="exact"/>
        <w:rPr>
          <w:rFonts w:ascii="Courier New" w:cs="Courier New" w:eastAsia="Courier New" w:hAnsi="Courier New"/>
          <w:sz w:val="16"/>
          <w:szCs w:val="16"/>
          <w:color w:val="auto"/>
        </w:rPr>
      </w:pPr>
    </w:p>
    <w:p>
      <w:pPr>
        <w:ind w:left="880" w:right="2499" w:hanging="880"/>
        <w:spacing w:after="0" w:line="252" w:lineRule="auto"/>
        <w:tabs>
          <w:tab w:leader="none" w:pos="8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183"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374"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consummated merger or consolidation of the Company or any direct or indirect subsidiary of the Company with any other corporation, other than (A) a merger or consolidation which would result in the voting securities of the</w:t>
      </w:r>
    </w:p>
    <w:p>
      <w:pPr>
        <w:spacing w:after="0" w:line="18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13 of 19</w:t>
      </w:r>
    </w:p>
    <w:p>
      <w:pPr>
        <w:sectPr>
          <w:pgSz w:w="11900" w:h="16838" w:orient="portrait"/>
          <w:cols w:equalWidth="0" w:num="1">
            <w:col w:w="10219"/>
          </w:cols>
          <w:pgMar w:left="240" w:top="305"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87" w:lineRule="exact"/>
        <w:rPr>
          <w:sz w:val="20"/>
          <w:szCs w:val="20"/>
          <w:color w:val="auto"/>
        </w:rPr>
      </w:pPr>
    </w:p>
    <w:p>
      <w:pPr>
        <w:ind w:left="1760" w:right="2399" w:hanging="880"/>
        <w:spacing w:after="0" w:line="249" w:lineRule="auto"/>
        <w:tabs>
          <w:tab w:leader="none" w:pos="17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7" w:lineRule="exact"/>
        <w:rPr>
          <w:sz w:val="20"/>
          <w:szCs w:val="20"/>
          <w:color w:val="auto"/>
        </w:rPr>
      </w:pPr>
    </w:p>
    <w:p>
      <w:pPr>
        <w:ind w:left="880" w:right="2599"/>
        <w:spacing w:after="0" w:line="252" w:lineRule="auto"/>
        <w:rPr>
          <w:sz w:val="20"/>
          <w:szCs w:val="20"/>
          <w:color w:val="auto"/>
        </w:rPr>
      </w:pPr>
      <w:r>
        <w:rPr>
          <w:rFonts w:ascii="Courier New" w:cs="Courier New" w:eastAsia="Courier New" w:hAnsi="Courier New"/>
          <w:sz w:val="16"/>
          <w:szCs w:val="16"/>
          <w:color w:val="auto"/>
        </w:rPr>
        <w:t>For purposes of this Section 7(c), the following terms shall have the following meanings:</w:t>
      </w:r>
    </w:p>
    <w:p>
      <w:pPr>
        <w:spacing w:after="0" w:line="183" w:lineRule="exact"/>
        <w:rPr>
          <w:sz w:val="20"/>
          <w:szCs w:val="20"/>
          <w:color w:val="auto"/>
        </w:rPr>
      </w:pPr>
    </w:p>
    <w:p>
      <w:pPr>
        <w:ind w:left="1760" w:right="2499" w:hanging="1"/>
        <w:spacing w:after="0" w:line="249" w:lineRule="auto"/>
        <w:tabs>
          <w:tab w:leader="none" w:pos="215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 affiliate of the Company, as defined in Rule 12b-2 promulgated under Section 12 of the Securities Exchange Act of 1934, as amended from time to time (the "Exchange Act");</w:t>
      </w:r>
    </w:p>
    <w:p>
      <w:pPr>
        <w:spacing w:after="0" w:line="187" w:lineRule="exact"/>
        <w:rPr>
          <w:rFonts w:ascii="Courier New" w:cs="Courier New" w:eastAsia="Courier New" w:hAnsi="Courier New"/>
          <w:sz w:val="16"/>
          <w:szCs w:val="16"/>
          <w:color w:val="auto"/>
        </w:rPr>
      </w:pPr>
    </w:p>
    <w:p>
      <w:pPr>
        <w:ind w:left="1760" w:right="2699" w:hanging="1"/>
        <w:spacing w:after="0" w:line="252" w:lineRule="auto"/>
        <w:tabs>
          <w:tab w:leader="none" w:pos="2249"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shall have the meaning set forth in Rule 13d-3 under the Exchange Act;</w:t>
      </w:r>
    </w:p>
    <w:p>
      <w:pPr>
        <w:spacing w:after="0" w:line="183" w:lineRule="exact"/>
        <w:rPr>
          <w:rFonts w:ascii="Courier New" w:cs="Courier New" w:eastAsia="Courier New" w:hAnsi="Courier New"/>
          <w:sz w:val="16"/>
          <w:szCs w:val="16"/>
          <w:color w:val="auto"/>
        </w:rPr>
      </w:pPr>
    </w:p>
    <w:p>
      <w:pPr>
        <w:ind w:left="1760" w:right="2399" w:hanging="1"/>
        <w:spacing w:after="0" w:line="249" w:lineRule="auto"/>
        <w:tabs>
          <w:tab w:leader="none" w:pos="2346"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95" w:lineRule="exact"/>
        <w:rPr>
          <w:sz w:val="20"/>
          <w:szCs w:val="20"/>
          <w:color w:val="auto"/>
        </w:rPr>
      </w:pPr>
    </w:p>
    <w:p>
      <w:pPr>
        <w:ind w:left="880" w:right="2499" w:hanging="880"/>
        <w:spacing w:after="0" w:line="248" w:lineRule="auto"/>
        <w:tabs>
          <w:tab w:leader="none" w:pos="8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ACTIVITY. Executive covenants and agrees that at all times during Executive's period of employment with the Company, and for two</w:t>
      </w:r>
    </w:p>
    <w:p>
      <w:pPr>
        <w:spacing w:after="0" w:line="1" w:lineRule="exact"/>
        <w:rPr>
          <w:rFonts w:ascii="Courier New" w:cs="Courier New" w:eastAsia="Courier New" w:hAnsi="Courier New"/>
          <w:sz w:val="16"/>
          <w:szCs w:val="16"/>
          <w:color w:val="auto"/>
        </w:rPr>
      </w:pPr>
    </w:p>
    <w:p>
      <w:pPr>
        <w:ind w:left="880" w:right="2399"/>
        <w:spacing w:after="0" w:line="249" w:lineRule="auto"/>
        <w:tabs>
          <w:tab w:leader="none" w:pos="127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14 of 19</w:t>
      </w:r>
    </w:p>
    <w:p>
      <w:pPr>
        <w:sectPr>
          <w:pgSz w:w="11900" w:h="16838" w:orient="portrait"/>
          <w:cols w:equalWidth="0" w:num="1">
            <w:col w:w="10219"/>
          </w:cols>
          <w:pgMar w:left="240" w:top="305"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 Notwithstanding the foregoing, Executive may be employed by or provide services to, an investment banking firm, law firm or consulting firm that provides services to entities described in the previous sentence, provided that Executive does not personally represent or provide services to such entities.</w:t>
      </w:r>
    </w:p>
    <w:p>
      <w:pPr>
        <w:spacing w:after="0" w:line="187" w:lineRule="exact"/>
        <w:rPr>
          <w:sz w:val="20"/>
          <w:szCs w:val="20"/>
          <w:color w:val="auto"/>
        </w:rPr>
      </w:pPr>
    </w:p>
    <w:p>
      <w:pPr>
        <w:ind w:left="880" w:right="2399" w:hanging="880"/>
        <w:spacing w:after="0" w:line="249" w:lineRule="auto"/>
        <w:tabs>
          <w:tab w:leader="none" w:pos="8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two (2) 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186" w:lineRule="exact"/>
        <w:rPr>
          <w:rFonts w:ascii="Courier New" w:cs="Courier New" w:eastAsia="Courier New" w:hAnsi="Courier New"/>
          <w:sz w:val="16"/>
          <w:szCs w:val="16"/>
          <w:color w:val="auto"/>
        </w:rPr>
      </w:pPr>
    </w:p>
    <w:p>
      <w:pPr>
        <w:ind w:left="880" w:right="2499" w:hanging="880"/>
        <w:spacing w:after="0" w:line="248" w:lineRule="auto"/>
        <w:tabs>
          <w:tab w:leader="none" w:pos="8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6"/>
          <w:szCs w:val="16"/>
          <w:color w:val="auto"/>
        </w:rPr>
      </w:pPr>
    </w:p>
    <w:p>
      <w:pPr>
        <w:ind w:left="880" w:right="2399"/>
        <w:spacing w:after="0" w:line="249" w:lineRule="auto"/>
        <w:tabs>
          <w:tab w:leader="none" w:pos="1369"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 (i) while employed by the Company, Executive may in good faith make disclosures he believes desirable, and (ii) Executive may comply with legal process.</w:t>
      </w:r>
    </w:p>
    <w:p>
      <w:pPr>
        <w:spacing w:after="0" w:line="200" w:lineRule="exact"/>
        <w:rPr>
          <w:sz w:val="20"/>
          <w:szCs w:val="20"/>
          <w:color w:val="auto"/>
        </w:rPr>
      </w:pPr>
    </w:p>
    <w:p>
      <w:pPr>
        <w:spacing w:after="0" w:line="36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15 of 19</w:t>
      </w:r>
    </w:p>
    <w:p>
      <w:pPr>
        <w:sectPr>
          <w:pgSz w:w="11900" w:h="16838" w:orient="portrait"/>
          <w:cols w:equalWidth="0" w:num="1">
            <w:col w:w="10219"/>
          </w:cols>
          <w:pgMar w:left="240" w:top="305"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71" w:lineRule="exact"/>
        <w:rPr>
          <w:sz w:val="20"/>
          <w:szCs w:val="20"/>
          <w:color w:val="auto"/>
        </w:rPr>
      </w:pPr>
    </w:p>
    <w:p>
      <w:pPr>
        <w:ind w:left="880" w:hanging="880"/>
        <w:spacing w:after="0"/>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95" w:lineRule="exact"/>
        <w:rPr>
          <w:sz w:val="20"/>
          <w:szCs w:val="20"/>
          <w:color w:val="auto"/>
        </w:rPr>
      </w:pPr>
    </w:p>
    <w:p>
      <w:pPr>
        <w:ind w:left="880" w:right="2399" w:hanging="880"/>
        <w:spacing w:after="0" w:line="249" w:lineRule="auto"/>
        <w:tabs>
          <w:tab w:leader="none" w:pos="8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86"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86"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87" w:lineRule="exact"/>
        <w:rPr>
          <w:sz w:val="20"/>
          <w:szCs w:val="20"/>
          <w:color w:val="auto"/>
        </w:rPr>
      </w:pPr>
    </w:p>
    <w:p>
      <w:pPr>
        <w:ind w:left="880" w:hanging="880"/>
        <w:spacing w:after="0"/>
        <w:tabs>
          <w:tab w:leader="none" w:pos="8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law for any action or inaction of Executive while serving as an officer and director of the Company or, at the Company's request, as an officer or director of any other entity or as a fiduciary of any benefit plan. The Company shall cover the Executive under directors and officers liability insurance both during and, while potential liability exists, after the Employment Term in the same amount and to the same extent as the Company covers its other officers and directors.</w:t>
      </w:r>
    </w:p>
    <w:p>
      <w:pPr>
        <w:spacing w:after="0" w:line="187" w:lineRule="exact"/>
        <w:rPr>
          <w:sz w:val="20"/>
          <w:szCs w:val="20"/>
          <w:color w:val="auto"/>
        </w:rPr>
      </w:pPr>
    </w:p>
    <w:p>
      <w:pPr>
        <w:ind w:left="880" w:hanging="880"/>
        <w:spacing w:after="0"/>
        <w:tabs>
          <w:tab w:leader="none" w:pos="8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AND PAYMENT OF ATTORNEY'S FEES.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16 of 19</w:t>
      </w:r>
    </w:p>
    <w:p>
      <w:pPr>
        <w:sectPr>
          <w:pgSz w:w="11900" w:h="16838" w:orient="portrait"/>
          <w:cols w:equalWidth="0" w:num="1">
            <w:col w:w="10219"/>
          </w:cols>
          <w:pgMar w:left="240" w:top="305"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87" w:lineRule="exact"/>
        <w:rPr>
          <w:sz w:val="20"/>
          <w:szCs w:val="20"/>
          <w:color w:val="auto"/>
        </w:rPr>
      </w:pPr>
    </w:p>
    <w:p>
      <w:pPr>
        <w:ind w:left="880" w:hanging="880"/>
        <w:spacing w:after="0"/>
        <w:tabs>
          <w:tab w:leader="none" w:pos="8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183" w:lineRule="exact"/>
        <w:rPr>
          <w:sz w:val="20"/>
          <w:szCs w:val="20"/>
          <w:color w:val="auto"/>
        </w:rPr>
      </w:pPr>
    </w:p>
    <w:p>
      <w:pPr>
        <w:ind w:left="880" w:hanging="880"/>
        <w:spacing w:after="0"/>
        <w:tabs>
          <w:tab w:leader="none" w:pos="8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75" w:lineRule="exact"/>
        <w:rPr>
          <w:sz w:val="20"/>
          <w:szCs w:val="20"/>
          <w:color w:val="auto"/>
        </w:rPr>
      </w:pPr>
    </w:p>
    <w:p>
      <w:pPr>
        <w:ind w:left="880" w:hanging="880"/>
        <w:spacing w:after="0"/>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86" w:lineRule="exact"/>
        <w:rPr>
          <w:sz w:val="20"/>
          <w:szCs w:val="20"/>
          <w:color w:val="auto"/>
        </w:rPr>
      </w:pPr>
    </w:p>
    <w:p>
      <w:pPr>
        <w:ind w:left="880" w:hanging="880"/>
        <w:spacing w:after="0"/>
        <w:tabs>
          <w:tab w:leader="none" w:pos="8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17 of 19</w:t>
      </w:r>
    </w:p>
    <w:p>
      <w:pPr>
        <w:sectPr>
          <w:pgSz w:w="11900" w:h="16838" w:orient="portrait"/>
          <w:cols w:equalWidth="0" w:num="1">
            <w:col w:w="10219"/>
          </w:cols>
          <w:pgMar w:left="240" w:top="305"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71" w:lineRule="exact"/>
        <w:rPr>
          <w:sz w:val="20"/>
          <w:szCs w:val="20"/>
          <w:color w:val="auto"/>
        </w:rPr>
      </w:pPr>
    </w:p>
    <w:p>
      <w:pPr>
        <w:ind w:left="880" w:hanging="880"/>
        <w:spacing w:after="0"/>
        <w:tabs>
          <w:tab w:leader="none" w:pos="8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185" w:lineRule="exact"/>
        <w:rPr>
          <w:sz w:val="20"/>
          <w:szCs w:val="20"/>
          <w:color w:val="auto"/>
        </w:rPr>
      </w:pPr>
    </w:p>
    <w:p>
      <w:pPr>
        <w:ind w:left="880" w:hanging="880"/>
        <w:spacing w:after="0"/>
        <w:tabs>
          <w:tab w:leader="none" w:pos="8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7" w:lineRule="exact"/>
        <w:rPr>
          <w:sz w:val="20"/>
          <w:szCs w:val="20"/>
          <w:color w:val="auto"/>
        </w:rPr>
      </w:pPr>
    </w:p>
    <w:p>
      <w:pPr>
        <w:ind w:left="880" w:hanging="880"/>
        <w:spacing w:after="0"/>
        <w:tabs>
          <w:tab w:leader="none" w:pos="8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Secretary</w:t>
      </w:r>
    </w:p>
    <w:p>
      <w:pPr>
        <w:spacing w:after="0" w:line="195" w:lineRule="exact"/>
        <w:rPr>
          <w:sz w:val="20"/>
          <w:szCs w:val="20"/>
          <w:color w:val="auto"/>
        </w:rPr>
      </w:pPr>
    </w:p>
    <w:p>
      <w:pPr>
        <w:sectPr>
          <w:pgSz w:w="11900" w:h="16838" w:orient="portrait"/>
          <w:cols w:equalWidth="0" w:num="2">
            <w:col w:w="2740" w:space="380"/>
            <w:col w:w="7099"/>
          </w:cols>
          <w:pgMar w:left="240" w:top="305"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At the address for Executive set forth below.</w:t>
      </w:r>
    </w:p>
    <w:p>
      <w:pPr>
        <w:spacing w:after="0" w:line="195" w:lineRule="exact"/>
        <w:rPr>
          <w:sz w:val="20"/>
          <w:szCs w:val="20"/>
          <w:color w:val="auto"/>
        </w:rPr>
      </w:pPr>
    </w:p>
    <w:p>
      <w:pPr>
        <w:sectPr>
          <w:pgSz w:w="11900" w:h="16838" w:orient="portrait"/>
          <w:cols w:equalWidth="0" w:num="2">
            <w:col w:w="2540" w:space="580"/>
            <w:col w:w="7099"/>
          </w:cols>
          <w:pgMar w:left="240" w:top="305" w:right="1440" w:bottom="1440" w:gutter="0" w:footer="0" w:header="0"/>
          <w:type w:val="continuous"/>
        </w:sectPr>
      </w:pPr>
    </w:p>
    <w:p>
      <w:pPr>
        <w:ind w:left="880" w:hanging="880"/>
        <w:spacing w:after="0"/>
        <w:tabs>
          <w:tab w:leader="none" w:pos="8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left="880" w:right="2399" w:hanging="880"/>
        <w:spacing w:after="0" w:line="249" w:lineRule="auto"/>
        <w:tabs>
          <w:tab w:leader="none" w:pos="8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18 of 19</w:t>
      </w:r>
    </w:p>
    <w:p>
      <w:pPr>
        <w:sectPr>
          <w:pgSz w:w="11900" w:h="16838" w:orient="portrait"/>
          <w:cols w:equalWidth="0" w:num="1">
            <w:col w:w="10219"/>
          </w:cols>
          <w:pgMar w:left="240" w:top="305" w:right="1440" w:bottom="1440" w:gutter="0" w:footer="0" w:header="0"/>
          <w:type w:val="continuous"/>
        </w:sectPr>
      </w:pPr>
    </w:p>
    <w:bookmarkStart w:id="64" w:name="page65"/>
    <w:bookmarkEnd w:id="64"/>
    <w:p>
      <w:pPr>
        <w:ind w:left="30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80" w:right="2399" w:hanging="880"/>
        <w:spacing w:after="0" w:line="250" w:lineRule="auto"/>
        <w:tabs>
          <w:tab w:leader="none" w:pos="8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185" w:lineRule="exact"/>
        <w:rPr>
          <w:rFonts w:ascii="Courier New" w:cs="Courier New" w:eastAsia="Courier New" w:hAnsi="Courier New"/>
          <w:sz w:val="16"/>
          <w:szCs w:val="16"/>
          <w:color w:val="auto"/>
        </w:rPr>
      </w:pPr>
    </w:p>
    <w:p>
      <w:pPr>
        <w:ind w:left="880" w:right="2399" w:hanging="880"/>
        <w:spacing w:after="0" w:line="252" w:lineRule="auto"/>
        <w:tabs>
          <w:tab w:leader="none" w:pos="8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183" w:lineRule="exact"/>
        <w:rPr>
          <w:rFonts w:ascii="Courier New" w:cs="Courier New" w:eastAsia="Courier New" w:hAnsi="Courier New"/>
          <w:sz w:val="16"/>
          <w:szCs w:val="16"/>
          <w:color w:val="auto"/>
        </w:rPr>
      </w:pPr>
    </w:p>
    <w:p>
      <w:pPr>
        <w:ind w:left="880" w:right="3079" w:hanging="880"/>
        <w:spacing w:after="0" w:line="249" w:lineRule="auto"/>
        <w:tabs>
          <w:tab w:leader="none" w:pos="8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18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38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 Maurice Myers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A. Maurice Myers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Chairman, Chief Executive Officer and President</w:t>
      </w:r>
    </w:p>
    <w:p>
      <w:pPr>
        <w:spacing w:after="0" w:line="195"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January 21, 2000</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O'Donnell, III</w:t>
      </w:r>
    </w:p>
    <w:p>
      <w:pPr>
        <w:spacing w:after="0" w:line="7" w:lineRule="exact"/>
        <w:rPr>
          <w:sz w:val="20"/>
          <w:szCs w:val="20"/>
          <w:color w:val="auto"/>
        </w:rPr>
      </w:pPr>
    </w:p>
    <w:p>
      <w:pPr>
        <w:ind w:left="200" w:hanging="200"/>
        <w:spacing w:after="0"/>
        <w:tabs>
          <w:tab w:leader="none" w:pos="2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Lawrence O'Donnell, III</w:t>
      </w:r>
    </w:p>
    <w:p>
      <w:pPr>
        <w:spacing w:after="0" w:line="19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January 21, 2000</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Number: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19 of 19</w:t>
      </w:r>
    </w:p>
    <w:p>
      <w:pPr>
        <w:sectPr>
          <w:pgSz w:w="11900" w:h="16838" w:orient="portrait"/>
          <w:cols w:equalWidth="0" w:num="1">
            <w:col w:w="10219"/>
          </w:cols>
          <w:pgMar w:left="240" w:top="305"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10.2</w:t>
      </w:r>
    </w:p>
    <w:p>
      <w:pPr>
        <w:spacing w:after="0" w:line="200" w:lineRule="exact"/>
        <w:rPr>
          <w:sz w:val="20"/>
          <w:szCs w:val="20"/>
          <w:color w:val="auto"/>
        </w:rPr>
      </w:pPr>
    </w:p>
    <w:p>
      <w:pPr>
        <w:spacing w:after="0" w:line="37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EMPLOYMENT AGREEMENT</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WASTE MANAGEMENT, INC. (the "Company"), and DAVID HOPKINS (the "Executive") hereby enter into this EMPLOYMENT AGREEMENT ("Agreement") dated as of March 30, 2000, as follows:</w:t>
      </w:r>
    </w:p>
    <w:p>
      <w:pPr>
        <w:spacing w:after="0" w:line="185" w:lineRule="exact"/>
        <w:rPr>
          <w:sz w:val="20"/>
          <w:szCs w:val="20"/>
          <w:color w:val="auto"/>
        </w:rPr>
      </w:pPr>
    </w:p>
    <w:p>
      <w:pPr>
        <w:ind w:left="880" w:hanging="880"/>
        <w:spacing w:after="0"/>
        <w:tabs>
          <w:tab w:leader="none" w:pos="8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9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185" w:lineRule="exact"/>
        <w:rPr>
          <w:sz w:val="20"/>
          <w:szCs w:val="20"/>
          <w:color w:val="auto"/>
        </w:rPr>
      </w:pPr>
    </w:p>
    <w:p>
      <w:pPr>
        <w:ind w:left="880" w:hanging="880"/>
        <w:spacing w:after="0"/>
        <w:tabs>
          <w:tab w:leader="none" w:pos="8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period of Executive's employment under this Agreement shall commence on April 17, 2000, and be for a continuously renewing (on a daily basis) three (3)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87" w:lineRule="exact"/>
        <w:rPr>
          <w:sz w:val="20"/>
          <w:szCs w:val="20"/>
          <w:color w:val="auto"/>
        </w:rPr>
      </w:pPr>
    </w:p>
    <w:p>
      <w:pPr>
        <w:ind w:left="880" w:hanging="880"/>
        <w:spacing w:after="0"/>
        <w:tabs>
          <w:tab w:leader="none" w:pos="8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95" w:lineRule="exact"/>
        <w:rPr>
          <w:sz w:val="20"/>
          <w:szCs w:val="20"/>
          <w:color w:val="auto"/>
        </w:rPr>
      </w:pPr>
    </w:p>
    <w:p>
      <w:pPr>
        <w:ind w:left="880" w:right="2399" w:hanging="880"/>
        <w:spacing w:after="0" w:line="249" w:lineRule="auto"/>
        <w:tabs>
          <w:tab w:leader="none" w:pos="8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Senior Vice President of the Company with responsibility for the Southern Area operations, as designated from time to time by the Chief Executive Officer or President of the Company, or such other areas of operation as designated by the Chief Executive Officer or President of the Company from time to time. In such capacities, Executive shall perform such duties and have the power, authority and functions commensurate with such positions in similarly sized public companies and such other authority and functions consistent with such positions as may be assigned to Executive from time to time by the Chief Executive Officer, President, or the Board of Directors.</w:t>
      </w:r>
    </w:p>
    <w:p>
      <w:pPr>
        <w:spacing w:after="0" w:line="374"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serve on boards of other for profit entities, provided such activities do not materially interfere with the performance of his duties hereunder.</w:t>
      </w:r>
    </w:p>
    <w:p>
      <w:pPr>
        <w:spacing w:after="0" w:line="187" w:lineRule="exact"/>
        <w:rPr>
          <w:sz w:val="20"/>
          <w:szCs w:val="20"/>
          <w:color w:val="auto"/>
        </w:rPr>
      </w:pPr>
    </w:p>
    <w:p>
      <w:pPr>
        <w:ind w:left="880" w:hanging="880"/>
        <w:spacing w:after="0"/>
        <w:tabs>
          <w:tab w:leader="none" w:pos="8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95" w:lineRule="exact"/>
        <w:rPr>
          <w:sz w:val="20"/>
          <w:szCs w:val="20"/>
          <w:color w:val="auto"/>
        </w:rPr>
      </w:pPr>
    </w:p>
    <w:p>
      <w:pPr>
        <w:ind w:left="880" w:right="2399" w:hanging="880"/>
        <w:spacing w:after="0" w:line="249" w:lineRule="auto"/>
        <w:tabs>
          <w:tab w:leader="none" w:pos="8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Company shall pay Executive a base salary at the annual rate of FOUR HUNDRED THOUSAND ($400,000.00) dollars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 of 20</w:t>
      </w:r>
    </w:p>
    <w:p>
      <w:pPr>
        <w:sectPr>
          <w:pgSz w:w="11900" w:h="16838" w:orient="portrait"/>
          <w:cols w:equalWidth="0" w:num="1">
            <w:col w:w="10219"/>
          </w:cols>
          <w:pgMar w:left="240" w:top="142" w:right="1440" w:bottom="1440" w:gutter="0" w:footer="0" w:header="0"/>
        </w:sectPr>
      </w:pPr>
    </w:p>
    <w:bookmarkStart w:id="66" w:name="page67"/>
    <w:bookmarkEnd w:id="66"/>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0" w:right="2399" w:hanging="880"/>
        <w:spacing w:after="0" w:line="249" w:lineRule="auto"/>
        <w:tabs>
          <w:tab w:leader="none" w:pos="8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The Executive's target annual bonus will be sixty percent (60%) of his Base Salary as in effect for such year (the "Target Bonus"), and his actual annual bonus may range from 0% to 120% (2 times target), and will be determined based upon achievement of performance goals (seventy percent (70%) financial (initially return on capital investments and EBITDA, but may be tied to other metrics as may be established from time to time by the Compensation Committee of the Board) and thirty percent (30%) personal), all as approved by the Compensation Committee of the Board from time to time.</w:t>
      </w:r>
    </w:p>
    <w:p>
      <w:pPr>
        <w:spacing w:after="0" w:line="186"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Executive shall be granted a stock option for 100,000 shares of the Company's common stock following the meeting of the Compensation Committee at the end of February, 2000, subject to the approval of the Compensation Committee of the Board of Directors, under the terms of the Company's 1993 Stock Incentive Plan. The exercise price for this option will be the fair market value on the date the option is granted by the Compensation Committee, and the option will vest in equal installments of 25,000 shares over four (4) years beginning on the first anniversary of the date of the grant of such option. Thereafter, Executive shall be eligible to be considered for stock option grants under the Company's annual stock option award program as administered by, and at the discretion of, the Compensation Committee of the Board of Directors.</w:t>
      </w:r>
    </w:p>
    <w:p>
      <w:pPr>
        <w:spacing w:after="0" w:line="186"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 after 90 days of employment.</w:t>
      </w:r>
    </w:p>
    <w:p>
      <w:pPr>
        <w:spacing w:after="0" w:line="374" w:lineRule="exact"/>
        <w:rPr>
          <w:rFonts w:ascii="Courier New" w:cs="Courier New" w:eastAsia="Courier New" w:hAnsi="Courier New"/>
          <w:sz w:val="16"/>
          <w:szCs w:val="16"/>
          <w:color w:val="auto"/>
        </w:rPr>
      </w:pPr>
    </w:p>
    <w:p>
      <w:pPr>
        <w:ind w:left="880" w:right="3179" w:hanging="880"/>
        <w:spacing w:after="0" w:line="252" w:lineRule="auto"/>
        <w:tabs>
          <w:tab w:leader="none" w:pos="8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PERQUISITES. Executive shall be entitled to the following benefits:</w:t>
      </w:r>
    </w:p>
    <w:p>
      <w:pPr>
        <w:spacing w:after="0" w:line="183" w:lineRule="exact"/>
        <w:rPr>
          <w:rFonts w:ascii="Courier New" w:cs="Courier New" w:eastAsia="Courier New" w:hAnsi="Courier New"/>
          <w:sz w:val="16"/>
          <w:szCs w:val="16"/>
          <w:color w:val="auto"/>
        </w:rPr>
      </w:pPr>
    </w:p>
    <w:p>
      <w:pPr>
        <w:ind w:left="1960" w:right="2699" w:hanging="494"/>
        <w:spacing w:after="0" w:line="252" w:lineRule="auto"/>
        <w:tabs>
          <w:tab w:leader="none" w:pos="19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Planning Services at actual cost, not to exceed Fifteen Thousand Dollars ($15,000.00) annually;</w:t>
      </w:r>
    </w:p>
    <w:p>
      <w:pPr>
        <w:spacing w:after="0" w:line="183" w:lineRule="exact"/>
        <w:rPr>
          <w:rFonts w:ascii="Courier New" w:cs="Courier New" w:eastAsia="Courier New" w:hAnsi="Courier New"/>
          <w:sz w:val="16"/>
          <w:szCs w:val="16"/>
          <w:color w:val="auto"/>
        </w:rPr>
      </w:pPr>
    </w:p>
    <w:p>
      <w:pPr>
        <w:ind w:left="1960" w:right="2399" w:hanging="494"/>
        <w:spacing w:after="0" w:line="252" w:lineRule="auto"/>
        <w:tabs>
          <w:tab w:leader="none" w:pos="19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Club Dues and Assessments at actual costs, and not to exceed Twelve Thousand Dollars ($12,000.00) annually.</w:t>
      </w:r>
    </w:p>
    <w:p>
      <w:pPr>
        <w:spacing w:after="0" w:line="183" w:lineRule="exact"/>
        <w:rPr>
          <w:rFonts w:ascii="Courier New" w:cs="Courier New" w:eastAsia="Courier New" w:hAnsi="Courier New"/>
          <w:sz w:val="16"/>
          <w:szCs w:val="16"/>
          <w:color w:val="auto"/>
        </w:rPr>
      </w:pPr>
    </w:p>
    <w:p>
      <w:pPr>
        <w:ind w:left="1960" w:right="2699" w:hanging="494"/>
        <w:spacing w:after="0" w:line="252" w:lineRule="auto"/>
        <w:tabs>
          <w:tab w:leader="none" w:pos="19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Physical Examination on a program designated by the Company.</w:t>
      </w:r>
    </w:p>
    <w:p>
      <w:pPr>
        <w:spacing w:after="0" w:line="200" w:lineRule="exact"/>
        <w:rPr>
          <w:sz w:val="20"/>
          <w:szCs w:val="20"/>
          <w:color w:val="auto"/>
        </w:rPr>
      </w:pPr>
    </w:p>
    <w:p>
      <w:pPr>
        <w:spacing w:after="0" w:line="35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2 of 20</w:t>
      </w:r>
    </w:p>
    <w:p>
      <w:pPr>
        <w:sectPr>
          <w:pgSz w:w="11900" w:h="16838" w:orient="portrait"/>
          <w:cols w:equalWidth="0" w:num="1">
            <w:col w:w="10219"/>
          </w:cols>
          <w:pgMar w:left="240" w:top="305"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left="880" w:right="2599" w:hanging="880"/>
        <w:spacing w:after="0" w:line="249" w:lineRule="auto"/>
        <w:tabs>
          <w:tab w:leader="none" w:pos="8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BENEFITS. Executive shall be entitled to participate in the Company's "Executive Deferral Plan", as it presently exists or may be modified in the future, for the Company's executive officers, at a level commensurate with the Executive's position.</w:t>
      </w:r>
    </w:p>
    <w:p>
      <w:pPr>
        <w:spacing w:after="0" w:line="187"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INCENTIVES. Executive shall be eligible to (i) receive incentive compensation for 1999 to the extent of the achievement of certain EBIT, EBITDA and free cash flow goals, as previously established; and (ii) continue his participation in the "divestiture incentive program", consisting of a "retention incentive" and a "divestiture sale incentive"; all as detailed in the memos dated August 25, 1999, September 22, 1999, and December 22, 1999, and the agreements of Steve Miller and Ralph Whitworth interlineated by hand in those memos, with no reduction or penalty for having transferred to a new Waste Management executive position.</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187" w:lineRule="exact"/>
        <w:rPr>
          <w:rFonts w:ascii="Courier New" w:cs="Courier New" w:eastAsia="Courier New" w:hAnsi="Courier New"/>
          <w:sz w:val="16"/>
          <w:szCs w:val="16"/>
          <w:color w:val="auto"/>
        </w:rPr>
      </w:pPr>
    </w:p>
    <w:p>
      <w:pPr>
        <w:ind w:left="880" w:right="2699" w:hanging="880"/>
        <w:spacing w:after="0" w:line="249" w:lineRule="auto"/>
        <w:tabs>
          <w:tab w:leader="none" w:pos="8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RELOCATION. The Company will reimburse Executive for reasonable and necessary expenses incurred in connection with the relocation of his principal residence from Houston, Texas to Atlanta, Georgia, as follows:</w:t>
      </w:r>
    </w:p>
    <w:p>
      <w:pPr>
        <w:spacing w:after="0" w:line="187" w:lineRule="exact"/>
        <w:rPr>
          <w:rFonts w:ascii="Courier New" w:cs="Courier New" w:eastAsia="Courier New" w:hAnsi="Courier New"/>
          <w:sz w:val="16"/>
          <w:szCs w:val="16"/>
          <w:color w:val="auto"/>
        </w:rPr>
      </w:pPr>
    </w:p>
    <w:p>
      <w:pPr>
        <w:ind w:left="1960" w:right="2699" w:hanging="494"/>
        <w:spacing w:after="0" w:line="252" w:lineRule="auto"/>
        <w:tabs>
          <w:tab w:leader="none" w:pos="19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costs of temporary housing in the Atlanta area for up to ninety (90) days.</w:t>
      </w:r>
    </w:p>
    <w:p>
      <w:pPr>
        <w:spacing w:after="0" w:line="183" w:lineRule="exact"/>
        <w:rPr>
          <w:rFonts w:ascii="Courier New" w:cs="Courier New" w:eastAsia="Courier New" w:hAnsi="Courier New"/>
          <w:sz w:val="16"/>
          <w:szCs w:val="16"/>
          <w:color w:val="auto"/>
        </w:rPr>
      </w:pPr>
    </w:p>
    <w:p>
      <w:pPr>
        <w:ind w:left="1960" w:right="2699" w:hanging="494"/>
        <w:spacing w:after="0" w:line="249" w:lineRule="auto"/>
        <w:tabs>
          <w:tab w:leader="none" w:pos="19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Normal and customary expenses incurred in connection with the sale of Executive's residence in Houston such as real estate commissions, title insurance, escrow fees, and reasonable attorneys fees.</w:t>
      </w:r>
    </w:p>
    <w:p>
      <w:pPr>
        <w:spacing w:after="0" w:line="187" w:lineRule="exact"/>
        <w:rPr>
          <w:rFonts w:ascii="Courier New" w:cs="Courier New" w:eastAsia="Courier New" w:hAnsi="Courier New"/>
          <w:sz w:val="16"/>
          <w:szCs w:val="16"/>
          <w:color w:val="auto"/>
        </w:rPr>
      </w:pPr>
    </w:p>
    <w:p>
      <w:pPr>
        <w:ind w:left="1960" w:right="2699" w:hanging="494"/>
        <w:spacing w:after="0" w:line="252" w:lineRule="auto"/>
        <w:tabs>
          <w:tab w:leader="none" w:pos="19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costs to move Executive's household goods from Houston to Atlanta.</w:t>
      </w:r>
    </w:p>
    <w:p>
      <w:pPr>
        <w:spacing w:after="0" w:line="183" w:lineRule="exact"/>
        <w:rPr>
          <w:rFonts w:ascii="Courier New" w:cs="Courier New" w:eastAsia="Courier New" w:hAnsi="Courier New"/>
          <w:sz w:val="16"/>
          <w:szCs w:val="16"/>
          <w:color w:val="auto"/>
        </w:rPr>
      </w:pPr>
    </w:p>
    <w:p>
      <w:pPr>
        <w:ind w:left="1960" w:right="2699" w:hanging="494"/>
        <w:spacing w:after="0" w:line="249" w:lineRule="auto"/>
        <w:tabs>
          <w:tab w:leader="none" w:pos="19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Normal and customary expenses incurred in connection with the purchase by Executive of a new residence in Atlanta, such as loan origination fees, mortgagee title insurance, escrow fees, and reasonable attorneys fees, but not including equity costs.</w:t>
      </w:r>
    </w:p>
    <w:p>
      <w:pPr>
        <w:spacing w:after="0" w:line="187" w:lineRule="exact"/>
        <w:rPr>
          <w:rFonts w:ascii="Courier New" w:cs="Courier New" w:eastAsia="Courier New" w:hAnsi="Courier New"/>
          <w:sz w:val="16"/>
          <w:szCs w:val="16"/>
          <w:color w:val="auto"/>
        </w:rPr>
      </w:pPr>
    </w:p>
    <w:p>
      <w:pPr>
        <w:ind w:left="1960" w:right="2499" w:hanging="494"/>
        <w:spacing w:after="0" w:line="249" w:lineRule="auto"/>
        <w:tabs>
          <w:tab w:leader="none" w:pos="19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Executive is not able to sell his residence in Houston within sixty (60) days after the date of this Agreement, at Executive's option, Executive may elect to have the Company (or a relocation company selected by the Company) purchase Executive's home in Houston under the Company's relocation program, which includes having the home appraised by two appraisers selected by the Company.</w:t>
      </w:r>
    </w:p>
    <w:p>
      <w:pPr>
        <w:spacing w:after="0" w:line="375" w:lineRule="exact"/>
        <w:rPr>
          <w:sz w:val="20"/>
          <w:szCs w:val="20"/>
          <w:color w:val="auto"/>
        </w:rPr>
      </w:pPr>
    </w:p>
    <w:p>
      <w:pPr>
        <w:ind w:left="880" w:hanging="880"/>
        <w:spacing w:after="0"/>
        <w:tabs>
          <w:tab w:leader="none" w:pos="8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9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3 of 20</w:t>
      </w:r>
    </w:p>
    <w:p>
      <w:pPr>
        <w:sectPr>
          <w:pgSz w:w="11900" w:h="16838" w:orient="portrait"/>
          <w:cols w:equalWidth="0" w:num="1">
            <w:col w:w="10219"/>
          </w:cols>
          <w:pgMar w:left="240" w:top="305"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left="880" w:right="3479" w:hanging="880"/>
        <w:spacing w:after="0" w:line="252" w:lineRule="auto"/>
        <w:tabs>
          <w:tab w:leader="none" w:pos="8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371" w:lineRule="exact"/>
        <w:rPr>
          <w:rFonts w:ascii="Courier New" w:cs="Courier New" w:eastAsia="Courier New" w:hAnsi="Courier New"/>
          <w:sz w:val="16"/>
          <w:szCs w:val="16"/>
          <w:color w:val="auto"/>
        </w:rPr>
      </w:pPr>
    </w:p>
    <w:p>
      <w:pPr>
        <w:ind w:left="880" w:right="2399" w:hanging="880"/>
        <w:spacing w:after="0" w:line="248" w:lineRule="auto"/>
        <w:tabs>
          <w:tab w:leader="none" w:pos="8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w:t>
      </w:r>
    </w:p>
    <w:p>
      <w:pPr>
        <w:spacing w:after="0" w:line="5" w:lineRule="exact"/>
        <w:rPr>
          <w:rFonts w:ascii="Courier New" w:cs="Courier New" w:eastAsia="Courier New" w:hAnsi="Courier New"/>
          <w:sz w:val="16"/>
          <w:szCs w:val="16"/>
          <w:color w:val="auto"/>
        </w:rPr>
      </w:pPr>
    </w:p>
    <w:p>
      <w:pPr>
        <w:ind w:left="880" w:right="2599"/>
        <w:spacing w:after="0" w:line="249" w:lineRule="auto"/>
        <w:tabs>
          <w:tab w:leader="none" w:pos="1369"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87"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Provided that Executive has not tendered a timely "Notice of Termination for Good Reason" in accordance with Section 5(d) below in a situation where Good Reason exists, the Company may terminate Executive's employment hereunder for "Cause" at any time within ninety (90) days after the Chairman of the Audit or Governance Committee of the Board has knowledge thereof.</w:t>
      </w:r>
    </w:p>
    <w:p>
      <w:pPr>
        <w:spacing w:after="0" w:line="187" w:lineRule="exact"/>
        <w:rPr>
          <w:sz w:val="20"/>
          <w:szCs w:val="20"/>
          <w:color w:val="auto"/>
        </w:rPr>
      </w:pPr>
    </w:p>
    <w:p>
      <w:pPr>
        <w:ind w:left="1760" w:right="2499" w:hanging="880"/>
        <w:spacing w:after="0" w:line="249" w:lineRule="auto"/>
        <w:tabs>
          <w:tab w:leader="none" w:pos="17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be limited to (1) willful misconduct by Executive with regard to the Company which has a material adverse effect on the Company; (2) the willful refusal of Executive to attempt to follow the proper written direction of the Chief Executive Officer, the President, or the Board of Directors,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Chief Executive Officer, the President, or the Board of Directors,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185"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4 of 20</w:t>
      </w:r>
    </w:p>
    <w:p>
      <w:pPr>
        <w:sectPr>
          <w:pgSz w:w="11900" w:h="16838" w:orient="portrait"/>
          <w:cols w:equalWidth="0" w:num="1">
            <w:col w:w="10219"/>
          </w:cols>
          <w:pgMar w:left="240" w:top="305"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87" w:lineRule="exact"/>
        <w:rPr>
          <w:sz w:val="20"/>
          <w:szCs w:val="20"/>
          <w:color w:val="auto"/>
        </w:rPr>
      </w:pPr>
    </w:p>
    <w:p>
      <w:pPr>
        <w:ind w:left="880" w:right="2499" w:hanging="880"/>
        <w:spacing w:after="0" w:line="250" w:lineRule="auto"/>
        <w:tabs>
          <w:tab w:leader="none" w:pos="8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with or without Good Reason at any time upon written notice to the Company.</w:t>
      </w:r>
    </w:p>
    <w:p>
      <w:pPr>
        <w:spacing w:after="0" w:line="185" w:lineRule="exact"/>
        <w:rPr>
          <w:rFonts w:ascii="Courier New" w:cs="Courier New" w:eastAsia="Courier New" w:hAnsi="Courier New"/>
          <w:sz w:val="16"/>
          <w:szCs w:val="16"/>
          <w:color w:val="auto"/>
        </w:rPr>
      </w:pPr>
    </w:p>
    <w:p>
      <w:pPr>
        <w:ind w:left="1760" w:right="2499" w:hanging="880"/>
        <w:spacing w:after="0" w:line="248" w:lineRule="auto"/>
        <w:tabs>
          <w:tab w:leader="none" w:pos="176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provided that the change in the geographic area of Executive's responsibility or the reassignment of Executive to a different geographic area within the United States or the change in reporting structure shall not constitute Good Reason under any circumstances; further provided that if the Company becomes a fifty percent or more subsidiary of any other entity, Executive shall be deemed to have a material diminution of his position unless he is also a Senior Vice President of the ultimate parent entity; (2) removal of, or the non-re-election of, the Executive from officer positions with the Company specified herein; (3) requiring Executive's principal place of business to be located other than in the United States;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therefore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5 of 20</w:t>
      </w:r>
    </w:p>
    <w:p>
      <w:pPr>
        <w:sectPr>
          <w:pgSz w:w="11900" w:h="16838" w:orient="portrait"/>
          <w:cols w:equalWidth="0" w:num="1">
            <w:col w:w="10219"/>
          </w:cols>
          <w:pgMar w:left="240" w:top="305"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60" w:right="2799"/>
        <w:spacing w:after="0" w:line="249" w:lineRule="auto"/>
        <w:rPr>
          <w:sz w:val="20"/>
          <w:szCs w:val="20"/>
          <w:color w:val="auto"/>
        </w:rPr>
      </w:pPr>
      <w:r>
        <w:rPr>
          <w:rFonts w:ascii="Courier New" w:cs="Courier New" w:eastAsia="Courier New" w:hAnsi="Courier New"/>
          <w:sz w:val="16"/>
          <w:szCs w:val="16"/>
          <w:color w:val="auto"/>
        </w:rPr>
        <w:t>provision of this Agreement, including without limitation Section 10 hereof; or (6)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187" w:lineRule="exact"/>
        <w:rPr>
          <w:sz w:val="20"/>
          <w:szCs w:val="20"/>
          <w:color w:val="auto"/>
        </w:rPr>
      </w:pPr>
    </w:p>
    <w:p>
      <w:pPr>
        <w:ind w:left="1760" w:right="2499" w:hanging="880"/>
        <w:spacing w:after="0" w:line="248" w:lineRule="auto"/>
        <w:tabs>
          <w:tab w:leader="none" w:pos="176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9" w:lineRule="exact"/>
        <w:rPr>
          <w:rFonts w:ascii="Courier New" w:cs="Courier New" w:eastAsia="Courier New" w:hAnsi="Courier New"/>
          <w:sz w:val="16"/>
          <w:szCs w:val="16"/>
          <w:color w:val="auto"/>
        </w:rPr>
      </w:pPr>
    </w:p>
    <w:p>
      <w:pPr>
        <w:ind w:left="1760" w:right="28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5(d)(i)(1) or (2) the date may be five (5) days after the giving of such notice.</w:t>
      </w:r>
    </w:p>
    <w:p>
      <w:pPr>
        <w:spacing w:after="0" w:line="183" w:lineRule="exact"/>
        <w:rPr>
          <w:rFonts w:ascii="Courier New" w:cs="Courier New" w:eastAsia="Courier New" w:hAnsi="Courier New"/>
          <w:sz w:val="16"/>
          <w:szCs w:val="16"/>
          <w:color w:val="auto"/>
        </w:rPr>
      </w:pPr>
    </w:p>
    <w:p>
      <w:pPr>
        <w:ind w:left="880" w:right="2399" w:hanging="880"/>
        <w:spacing w:after="0" w:line="250" w:lineRule="auto"/>
        <w:tabs>
          <w:tab w:leader="none" w:pos="8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upon written notice to Executive.</w:t>
      </w:r>
    </w:p>
    <w:p>
      <w:pPr>
        <w:spacing w:after="0" w:line="185" w:lineRule="exact"/>
        <w:rPr>
          <w:rFonts w:ascii="Courier New" w:cs="Courier New" w:eastAsia="Courier New" w:hAnsi="Courier New"/>
          <w:sz w:val="16"/>
          <w:szCs w:val="16"/>
          <w:color w:val="auto"/>
        </w:rPr>
      </w:pPr>
    </w:p>
    <w:p>
      <w:pPr>
        <w:ind w:left="880" w:right="2399" w:hanging="880"/>
        <w:spacing w:after="0" w:line="250" w:lineRule="auto"/>
        <w:tabs>
          <w:tab w:leader="none" w:pos="8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Upon any termination of employment, Executive shall immediately resign from all Board memberships and other positions with the Company or any of its subsidiaries held by him at such time.</w:t>
      </w:r>
    </w:p>
    <w:p>
      <w:pPr>
        <w:spacing w:after="0" w:line="185" w:lineRule="exact"/>
        <w:rPr>
          <w:sz w:val="20"/>
          <w:szCs w:val="20"/>
          <w:color w:val="auto"/>
        </w:rPr>
      </w:pPr>
    </w:p>
    <w:p>
      <w:pPr>
        <w:ind w:left="880" w:hanging="880"/>
        <w:spacing w:after="0"/>
        <w:tabs>
          <w:tab w:leader="none" w:pos="8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95"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185" w:lineRule="exact"/>
        <w:rPr>
          <w:sz w:val="20"/>
          <w:szCs w:val="20"/>
          <w:color w:val="auto"/>
        </w:rPr>
      </w:pPr>
    </w:p>
    <w:p>
      <w:pPr>
        <w:ind w:left="880" w:right="2599" w:hanging="880"/>
        <w:spacing w:after="0" w:line="250" w:lineRule="auto"/>
        <w:tabs>
          <w:tab w:leader="none" w:pos="8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Executive's employment is terminated by reason of Executive's death, the Company shall pay the following amounts to Executive's beneficiary or estate:</w:t>
      </w:r>
    </w:p>
    <w:p>
      <w:pPr>
        <w:spacing w:after="0" w:line="185"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6 of 20</w:t>
      </w:r>
    </w:p>
    <w:p>
      <w:pPr>
        <w:sectPr>
          <w:pgSz w:w="11900" w:h="16838" w:orient="portrait"/>
          <w:cols w:equalWidth="0" w:num="1">
            <w:col w:w="10219"/>
          </w:cols>
          <w:pgMar w:left="240" w:top="305"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60" w:right="2699" w:hanging="880"/>
        <w:spacing w:after="0" w:line="249" w:lineRule="auto"/>
        <w:tabs>
          <w:tab w:leader="none" w:pos="176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Sections 4(d), (e) and (f) hereof), as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87"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and Executive's estate or beneficiary shall have up to one (1) year from the date of death to exercise all such options,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4" w:lineRule="exact"/>
        <w:rPr>
          <w:rFonts w:ascii="Courier New" w:cs="Courier New" w:eastAsia="Courier New" w:hAnsi="Courier New"/>
          <w:sz w:val="16"/>
          <w:szCs w:val="16"/>
          <w:color w:val="auto"/>
        </w:rPr>
      </w:pPr>
    </w:p>
    <w:p>
      <w:pPr>
        <w:ind w:left="880" w:right="2599" w:hanging="880"/>
        <w:spacing w:after="0" w:line="249" w:lineRule="auto"/>
        <w:tabs>
          <w:tab w:leader="none" w:pos="8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375"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187"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Sections 4(d), (e) and (f)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200" w:lineRule="exact"/>
        <w:rPr>
          <w:sz w:val="20"/>
          <w:szCs w:val="20"/>
          <w:color w:val="auto"/>
        </w:rPr>
      </w:pPr>
    </w:p>
    <w:p>
      <w:pPr>
        <w:spacing w:after="0" w:line="36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7 of 20</w:t>
      </w:r>
    </w:p>
    <w:p>
      <w:pPr>
        <w:sectPr>
          <w:pgSz w:w="11900" w:h="16838" w:orient="portrait"/>
          <w:cols w:equalWidth="0" w:num="1">
            <w:col w:w="10219"/>
          </w:cols>
          <w:pgMar w:left="240" w:top="305"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60" w:right="2499" w:hanging="880"/>
        <w:spacing w:after="0" w:line="249" w:lineRule="auto"/>
        <w:tabs>
          <w:tab w:leader="none" w:pos="176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4" w:lineRule="exact"/>
        <w:rPr>
          <w:rFonts w:ascii="Courier New" w:cs="Courier New" w:eastAsia="Courier New" w:hAnsi="Courier New"/>
          <w:sz w:val="16"/>
          <w:szCs w:val="16"/>
          <w:color w:val="auto"/>
        </w:rPr>
      </w:pPr>
    </w:p>
    <w:p>
      <w:pPr>
        <w:ind w:left="880" w:right="2879" w:hanging="880"/>
        <w:spacing w:after="0" w:line="250" w:lineRule="auto"/>
        <w:tabs>
          <w:tab w:leader="none" w:pos="8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the Company shall pay the following amounts to Executive:</w:t>
      </w:r>
    </w:p>
    <w:p>
      <w:pPr>
        <w:spacing w:after="0" w:line="185"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(e) and (f) hereof up to the date of termination)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Any options, restricted stock or other awards that have not vested prior to the date of such termination of employment shall be cancelled and any options held by Executive shall be cancelled, whether or not then vested.</w:t>
      </w:r>
    </w:p>
    <w:p>
      <w:pPr>
        <w:spacing w:after="0" w:line="376" w:lineRule="exact"/>
        <w:rPr>
          <w:sz w:val="20"/>
          <w:szCs w:val="20"/>
          <w:color w:val="auto"/>
        </w:rPr>
      </w:pPr>
    </w:p>
    <w:p>
      <w:pPr>
        <w:ind w:left="880" w:right="2979" w:hanging="880"/>
        <w:spacing w:after="0" w:line="250" w:lineRule="auto"/>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In the event that Executive voluntarily terminates employment other than for Good Reason, the Company shall pay the following amounts to Executive:</w:t>
      </w:r>
    </w:p>
    <w:p>
      <w:pPr>
        <w:spacing w:after="0" w:line="185"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Sections 4(d), (e) and (f) hereof up to the date of termination)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880" w:right="2499"/>
        <w:spacing w:after="0" w:line="250" w:lineRule="auto"/>
        <w:rPr>
          <w:sz w:val="20"/>
          <w:szCs w:val="20"/>
          <w:color w:val="auto"/>
        </w:rPr>
      </w:pPr>
      <w:r>
        <w:rPr>
          <w:rFonts w:ascii="Courier New" w:cs="Courier New" w:eastAsia="Courier New" w:hAnsi="Courier New"/>
          <w:sz w:val="16"/>
          <w:szCs w:val="16"/>
          <w:color w:val="auto"/>
        </w:rPr>
        <w:t>Any options, restricted stock or other awards that have not vested prior to the date of such termination of employment shall be cancelled and Executive shall have 90 days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8 of 20</w:t>
      </w:r>
    </w:p>
    <w:p>
      <w:pPr>
        <w:sectPr>
          <w:pgSz w:w="11900" w:h="16838" w:orient="portrait"/>
          <w:cols w:equalWidth="0" w:num="1">
            <w:col w:w="10219"/>
          </w:cols>
          <w:pgMar w:left="240" w:top="305" w:right="1440" w:bottom="144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jc w:val="both"/>
        <w:ind w:left="880" w:right="2699"/>
        <w:spacing w:after="0" w:line="250" w:lineRule="auto"/>
        <w:rPr>
          <w:sz w:val="20"/>
          <w:szCs w:val="20"/>
          <w:color w:val="auto"/>
        </w:rPr>
      </w:pPr>
      <w:r>
        <w:rPr>
          <w:rFonts w:ascii="Courier New" w:cs="Courier New" w:eastAsia="Courier New" w:hAnsi="Courier New"/>
          <w:sz w:val="16"/>
          <w:szCs w:val="16"/>
          <w:color w:val="auto"/>
        </w:rPr>
        <w:t>termination of employment to exercise any previously vested options, provided that in no event will any option be exercisable beyond its term.</w:t>
      </w:r>
    </w:p>
    <w:p>
      <w:pPr>
        <w:spacing w:after="0" w:line="185" w:lineRule="exact"/>
        <w:rPr>
          <w:sz w:val="20"/>
          <w:szCs w:val="20"/>
          <w:color w:val="auto"/>
        </w:rPr>
      </w:pPr>
    </w:p>
    <w:p>
      <w:pPr>
        <w:ind w:left="880" w:right="2399" w:hanging="880"/>
        <w:spacing w:after="0" w:line="249" w:lineRule="auto"/>
        <w:tabs>
          <w:tab w:leader="none" w:pos="8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187"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Sections 4(d) and (e)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87" w:lineRule="exact"/>
        <w:rPr>
          <w:rFonts w:ascii="Courier New" w:cs="Courier New" w:eastAsia="Courier New" w:hAnsi="Courier New"/>
          <w:sz w:val="16"/>
          <w:szCs w:val="16"/>
          <w:color w:val="auto"/>
        </w:rPr>
      </w:pPr>
    </w:p>
    <w:p>
      <w:pPr>
        <w:ind w:left="1760" w:right="2499" w:hanging="880"/>
        <w:spacing w:after="0" w:line="248"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w:t>
      </w:r>
    </w:p>
    <w:p>
      <w:pPr>
        <w:spacing w:after="0" w:line="4" w:lineRule="exact"/>
        <w:rPr>
          <w:rFonts w:ascii="Courier New" w:cs="Courier New" w:eastAsia="Courier New" w:hAnsi="Courier New"/>
          <w:sz w:val="16"/>
          <w:szCs w:val="16"/>
          <w:color w:val="auto"/>
        </w:rPr>
      </w:pPr>
    </w:p>
    <w:p>
      <w:pPr>
        <w:ind w:left="1760" w:right="2499" w:hanging="1"/>
        <w:spacing w:after="0" w:line="248" w:lineRule="auto"/>
        <w:tabs>
          <w:tab w:leader="none" w:pos="2151" w:val="left"/>
        </w:tabs>
        <w:numPr>
          <w:ilvl w:val="2"/>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 years after the date of termination; (B) Executive's death (provided that benefits payable to Executive's beneficiaries shall not terminate upon Executive's death); or</w:t>
      </w:r>
    </w:p>
    <w:p>
      <w:pPr>
        <w:spacing w:after="0" w:line="1" w:lineRule="exact"/>
        <w:rPr>
          <w:rFonts w:ascii="Courier New" w:cs="Courier New" w:eastAsia="Courier New" w:hAnsi="Courier New"/>
          <w:sz w:val="16"/>
          <w:szCs w:val="16"/>
          <w:color w:val="auto"/>
        </w:rPr>
      </w:pPr>
    </w:p>
    <w:p>
      <w:pPr>
        <w:ind w:left="1760" w:right="2799" w:hanging="1"/>
        <w:spacing w:after="0" w:line="249" w:lineRule="auto"/>
        <w:tabs>
          <w:tab w:leader="none" w:pos="2151" w:val="left"/>
        </w:tabs>
        <w:numPr>
          <w:ilvl w:val="2"/>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87"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and except as otherwise provided herein, Executive will be 100% vested in all benefits, awards, and grants accrued but unpaid as of the date of termination under any pension plan, profit sharing plan,</w:t>
      </w:r>
    </w:p>
    <w:p>
      <w:pPr>
        <w:spacing w:after="0" w:line="200" w:lineRule="exact"/>
        <w:rPr>
          <w:sz w:val="20"/>
          <w:szCs w:val="20"/>
          <w:color w:val="auto"/>
        </w:rPr>
      </w:pPr>
    </w:p>
    <w:p>
      <w:pPr>
        <w:spacing w:after="0" w:line="36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9 of 20</w:t>
      </w:r>
    </w:p>
    <w:p>
      <w:pPr>
        <w:sectPr>
          <w:pgSz w:w="11900" w:h="16838" w:orient="portrait"/>
          <w:cols w:equalWidth="0" w:num="1">
            <w:col w:w="10219"/>
          </w:cols>
          <w:pgMar w:left="240" w:top="305"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of the Company, pro-rated for the fiscal year in which the Executive is terminated.</w:t>
      </w:r>
    </w:p>
    <w:p>
      <w:pPr>
        <w:spacing w:after="0" w:line="187" w:lineRule="exact"/>
        <w:rPr>
          <w:sz w:val="20"/>
          <w:szCs w:val="20"/>
          <w:color w:val="auto"/>
        </w:rPr>
      </w:pPr>
    </w:p>
    <w:p>
      <w:pPr>
        <w:ind w:left="1760" w:right="2699" w:hanging="880"/>
        <w:spacing w:after="0" w:line="249" w:lineRule="auto"/>
        <w:tabs>
          <w:tab w:leader="none" w:pos="176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4"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87" w:lineRule="exact"/>
        <w:rPr>
          <w:sz w:val="20"/>
          <w:szCs w:val="20"/>
          <w:color w:val="auto"/>
        </w:rPr>
      </w:pPr>
    </w:p>
    <w:p>
      <w:pPr>
        <w:ind w:left="880" w:right="2979" w:hanging="880"/>
        <w:spacing w:after="0" w:line="252" w:lineRule="auto"/>
        <w:tabs>
          <w:tab w:leader="none" w:pos="8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183" w:lineRule="exact"/>
        <w:rPr>
          <w:sz w:val="20"/>
          <w:szCs w:val="20"/>
          <w:color w:val="auto"/>
        </w:rPr>
      </w:pPr>
    </w:p>
    <w:p>
      <w:pPr>
        <w:ind w:left="880" w:right="2399" w:hanging="880"/>
        <w:spacing w:after="0" w:line="249" w:lineRule="auto"/>
        <w:tabs>
          <w:tab w:leader="none" w:pos="8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87" w:lineRule="exact"/>
        <w:rPr>
          <w:rFonts w:ascii="Courier New" w:cs="Courier New" w:eastAsia="Courier New" w:hAnsi="Courier New"/>
          <w:sz w:val="16"/>
          <w:szCs w:val="16"/>
          <w:color w:val="auto"/>
        </w:rPr>
      </w:pPr>
    </w:p>
    <w:p>
      <w:pPr>
        <w:ind w:left="1760" w:right="2499" w:hanging="880"/>
        <w:spacing w:after="0" w:line="250" w:lineRule="auto"/>
        <w:tabs>
          <w:tab w:leader="none" w:pos="176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payments and benefits provided for in Section 6(e), except that the severance amount which is calculated pursuant to Section 6(e)(iii) will be paid in a lump-sum.</w:t>
      </w:r>
    </w:p>
    <w:p>
      <w:pPr>
        <w:spacing w:after="0" w:line="200" w:lineRule="exact"/>
        <w:rPr>
          <w:sz w:val="20"/>
          <w:szCs w:val="20"/>
          <w:color w:val="auto"/>
        </w:rPr>
      </w:pPr>
    </w:p>
    <w:p>
      <w:pPr>
        <w:spacing w:after="0" w:line="36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10 of 20</w:t>
      </w:r>
    </w:p>
    <w:p>
      <w:pPr>
        <w:sectPr>
          <w:pgSz w:w="11900" w:h="16838" w:orient="portrait"/>
          <w:cols w:equalWidth="0" w:num="1">
            <w:col w:w="10219"/>
          </w:cols>
          <w:pgMar w:left="240" w:top="305"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60" w:right="2499" w:hanging="880"/>
        <w:spacing w:after="0" w:line="249" w:lineRule="auto"/>
        <w:tabs>
          <w:tab w:leader="none" w:pos="176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will be 100% vested in all benefits, awards, and grants (including stock option grants and stock awards, all of such stock options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85"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ADDITIONAL PAYMENTS BY THE COMPANY.</w:t>
      </w:r>
    </w:p>
    <w:p>
      <w:pPr>
        <w:spacing w:after="0" w:line="194"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86" w:lineRule="exact"/>
        <w:rPr>
          <w:sz w:val="20"/>
          <w:szCs w:val="20"/>
          <w:color w:val="auto"/>
        </w:rPr>
      </w:pPr>
    </w:p>
    <w:p>
      <w:pPr>
        <w:ind w:left="1760" w:right="2699" w:hanging="880"/>
        <w:spacing w:after="0" w:line="249" w:lineRule="auto"/>
        <w:tabs>
          <w:tab w:leader="none" w:pos="17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11 of 20</w:t>
      </w:r>
    </w:p>
    <w:p>
      <w:pPr>
        <w:sectPr>
          <w:pgSz w:w="11900" w:h="16838" w:orient="portrait"/>
          <w:cols w:equalWidth="0" w:num="1">
            <w:col w:w="10219"/>
          </w:cols>
          <w:pgMar w:left="240" w:top="305"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60" w:right="2499"/>
        <w:spacing w:after="0" w:line="249" w:lineRule="auto"/>
        <w:rPr>
          <w:sz w:val="20"/>
          <w:szCs w:val="20"/>
          <w:color w:val="auto"/>
        </w:rPr>
      </w:pPr>
      <w:r>
        <w:rPr>
          <w:rFonts w:ascii="Courier New" w:cs="Courier New" w:eastAsia="Courier New" w:hAnsi="Courier New"/>
          <w:sz w:val="16"/>
          <w:szCs w:val="16"/>
          <w:color w:val="auto"/>
        </w:rPr>
        <w:t>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87" w:lineRule="exact"/>
        <w:rPr>
          <w:sz w:val="20"/>
          <w:szCs w:val="20"/>
          <w:color w:val="auto"/>
        </w:rPr>
      </w:pPr>
    </w:p>
    <w:p>
      <w:pPr>
        <w:ind w:left="1460" w:right="2499" w:hanging="880"/>
        <w:spacing w:after="0" w:line="248" w:lineRule="auto"/>
        <w:tabs>
          <w:tab w:leader="none" w:pos="14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399" w:lineRule="exact"/>
        <w:rPr>
          <w:rFonts w:ascii="Courier New" w:cs="Courier New" w:eastAsia="Courier New" w:hAnsi="Courier New"/>
          <w:sz w:val="16"/>
          <w:szCs w:val="16"/>
          <w:color w:val="auto"/>
        </w:rPr>
      </w:pPr>
    </w:p>
    <w:p>
      <w:pPr>
        <w:ind w:left="146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375" w:lineRule="exact"/>
        <w:rPr>
          <w:rFonts w:ascii="Courier New" w:cs="Courier New" w:eastAsia="Courier New" w:hAnsi="Courier New"/>
          <w:sz w:val="16"/>
          <w:szCs w:val="16"/>
          <w:color w:val="auto"/>
        </w:rPr>
      </w:pPr>
    </w:p>
    <w:p>
      <w:pPr>
        <w:jc w:val="both"/>
        <w:ind w:left="1460" w:right="3079" w:hanging="880"/>
        <w:spacing w:after="0" w:line="250" w:lineRule="auto"/>
        <w:tabs>
          <w:tab w:leader="none" w:pos="14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Gross-up Payment or portion thereof provided for in subsection (iii) above shall be paid not later than the thirtieth (30th) day following an event occurring</w:t>
      </w:r>
    </w:p>
    <w:p>
      <w:pPr>
        <w:sectPr>
          <w:pgSz w:w="11900" w:h="16838" w:orient="portrait"/>
          <w:cols w:equalWidth="0" w:num="1">
            <w:col w:w="9919"/>
          </w:cols>
          <w:pgMar w:left="540" w:top="305" w:right="1440" w:bottom="1440" w:gutter="0" w:footer="0" w:header="0"/>
        </w:sectPr>
      </w:pPr>
    </w:p>
    <w:p>
      <w:pPr>
        <w:spacing w:after="0" w:line="37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Page 12 of 20</w:t>
      </w:r>
    </w:p>
    <w:p>
      <w:pPr>
        <w:sectPr>
          <w:pgSz w:w="11900" w:h="16838" w:orient="portrait"/>
          <w:cols w:equalWidth="0" w:num="1">
            <w:col w:w="9919"/>
          </w:cols>
          <w:pgMar w:left="540" w:top="305" w:right="1440" w:bottom="1440" w:gutter="0" w:footer="0" w:header="0"/>
          <w:type w:val="continuous"/>
        </w:sectPr>
      </w:pPr>
    </w:p>
    <w:bookmarkStart w:id="77" w:name="page78"/>
    <w:bookmarkEnd w:id="77"/>
    <w:p>
      <w:pPr>
        <w:ind w:left="300"/>
        <w:spacing w:after="0"/>
        <w:rPr>
          <w:sz w:val="20"/>
          <w:szCs w:val="20"/>
          <w:color w:val="auto"/>
        </w:rPr>
      </w:pPr>
      <w:r>
        <w:rPr>
          <w:rFonts w:ascii="Courier New" w:cs="Courier New" w:eastAsia="Courier New" w:hAnsi="Courier New"/>
          <w:sz w:val="16"/>
          <w:szCs w:val="16"/>
          <w:color w:val="auto"/>
        </w:rPr>
        <w:t>13</w:t>
      </w:r>
    </w:p>
    <w:p>
      <w:pPr>
        <w:spacing w:after="0" w:line="383"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186" w:lineRule="exact"/>
        <w:rPr>
          <w:sz w:val="20"/>
          <w:szCs w:val="20"/>
          <w:color w:val="auto"/>
        </w:rPr>
      </w:pPr>
    </w:p>
    <w:p>
      <w:pPr>
        <w:ind w:left="1760" w:right="2499" w:hanging="880"/>
        <w:spacing w:after="0" w:line="249" w:lineRule="auto"/>
        <w:tabs>
          <w:tab w:leader="none" w:pos="176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86" w:lineRule="exact"/>
        <w:rPr>
          <w:rFonts w:ascii="Courier New" w:cs="Courier New" w:eastAsia="Courier New" w:hAnsi="Courier New"/>
          <w:sz w:val="16"/>
          <w:szCs w:val="16"/>
          <w:color w:val="auto"/>
        </w:rPr>
      </w:pPr>
    </w:p>
    <w:p>
      <w:pPr>
        <w:ind w:left="1760" w:right="3079" w:hanging="880"/>
        <w:spacing w:after="0" w:line="252" w:lineRule="auto"/>
        <w:tabs>
          <w:tab w:leader="none" w:pos="176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responsible for all charges of the Accountant.</w:t>
      </w:r>
    </w:p>
    <w:p>
      <w:pPr>
        <w:spacing w:after="0" w:line="183"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87" w:lineRule="exact"/>
        <w:rPr>
          <w:rFonts w:ascii="Courier New" w:cs="Courier New" w:eastAsia="Courier New" w:hAnsi="Courier New"/>
          <w:sz w:val="16"/>
          <w:szCs w:val="16"/>
          <w:color w:val="auto"/>
        </w:rPr>
      </w:pPr>
    </w:p>
    <w:p>
      <w:pPr>
        <w:ind w:left="880" w:right="2499" w:hanging="880"/>
        <w:spacing w:after="0" w:line="252" w:lineRule="auto"/>
        <w:tabs>
          <w:tab w:leader="none" w:pos="8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183"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87"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w:t>
      </w:r>
    </w:p>
    <w:p>
      <w:pPr>
        <w:spacing w:after="0" w:line="200" w:lineRule="exact"/>
        <w:rPr>
          <w:sz w:val="20"/>
          <w:szCs w:val="20"/>
          <w:color w:val="auto"/>
        </w:rPr>
      </w:pPr>
    </w:p>
    <w:p>
      <w:pPr>
        <w:spacing w:after="0" w:line="36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13 of 20</w:t>
      </w:r>
    </w:p>
    <w:p>
      <w:pPr>
        <w:sectPr>
          <w:pgSz w:w="11900" w:h="16838" w:orient="portrait"/>
          <w:cols w:equalWidth="0" w:num="1">
            <w:col w:w="10219"/>
          </w:cols>
          <w:pgMar w:left="240" w:top="305"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375" w:lineRule="exact"/>
        <w:rPr>
          <w:sz w:val="20"/>
          <w:szCs w:val="20"/>
          <w:color w:val="auto"/>
        </w:rPr>
      </w:pPr>
    </w:p>
    <w:p>
      <w:pPr>
        <w:ind w:left="1760" w:right="2499" w:hanging="880"/>
        <w:spacing w:after="0" w:line="249" w:lineRule="auto"/>
        <w:tabs>
          <w:tab w:leader="none" w:pos="17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374"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7"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For purposes of this Section 7(c), the following terms shall have the following meanings:</w:t>
      </w:r>
    </w:p>
    <w:p>
      <w:pPr>
        <w:spacing w:after="0" w:line="183" w:lineRule="exact"/>
        <w:rPr>
          <w:sz w:val="20"/>
          <w:szCs w:val="20"/>
          <w:color w:val="auto"/>
        </w:rPr>
      </w:pPr>
    </w:p>
    <w:p>
      <w:pPr>
        <w:ind w:left="1760" w:right="2499" w:hanging="1"/>
        <w:spacing w:after="0" w:line="249" w:lineRule="auto"/>
        <w:tabs>
          <w:tab w:leader="none" w:pos="215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 affiliate of the Company, as defined in Rule 12b-2 promulgated under Section 12 of the Securities Exchange Act of 1934, as amended from time to time (the "Exchange Act");</w:t>
      </w:r>
    </w:p>
    <w:p>
      <w:pPr>
        <w:spacing w:after="0" w:line="187" w:lineRule="exact"/>
        <w:rPr>
          <w:rFonts w:ascii="Courier New" w:cs="Courier New" w:eastAsia="Courier New" w:hAnsi="Courier New"/>
          <w:sz w:val="16"/>
          <w:szCs w:val="16"/>
          <w:color w:val="auto"/>
        </w:rPr>
      </w:pPr>
    </w:p>
    <w:p>
      <w:pPr>
        <w:ind w:left="1760" w:right="2699" w:hanging="1"/>
        <w:spacing w:after="0" w:line="252" w:lineRule="auto"/>
        <w:tabs>
          <w:tab w:leader="none" w:pos="2249"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shall have the meaning set forth in Rule 13d-3 under the Exchange Act;</w:t>
      </w:r>
    </w:p>
    <w:p>
      <w:pPr>
        <w:spacing w:after="0" w:line="183" w:lineRule="exact"/>
        <w:rPr>
          <w:rFonts w:ascii="Courier New" w:cs="Courier New" w:eastAsia="Courier New" w:hAnsi="Courier New"/>
          <w:sz w:val="16"/>
          <w:szCs w:val="16"/>
          <w:color w:val="auto"/>
        </w:rPr>
      </w:pPr>
    </w:p>
    <w:p>
      <w:pPr>
        <w:ind w:left="1760" w:right="2499" w:hanging="1"/>
        <w:spacing w:after="0" w:line="249" w:lineRule="auto"/>
        <w:tabs>
          <w:tab w:leader="none" w:pos="234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w:t>
      </w:r>
    </w:p>
    <w:p>
      <w:pPr>
        <w:spacing w:after="0" w:line="200" w:lineRule="exact"/>
        <w:rPr>
          <w:sz w:val="20"/>
          <w:szCs w:val="20"/>
          <w:color w:val="auto"/>
        </w:rPr>
      </w:pPr>
    </w:p>
    <w:p>
      <w:pPr>
        <w:spacing w:after="0" w:line="36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14 of 20</w:t>
      </w:r>
    </w:p>
    <w:p>
      <w:pPr>
        <w:sectPr>
          <w:pgSz w:w="11900" w:h="16838" w:orient="portrait"/>
          <w:cols w:equalWidth="0" w:num="1">
            <w:col w:w="10219"/>
          </w:cols>
          <w:pgMar w:left="240" w:top="304" w:right="1440" w:bottom="1440" w:gutter="0" w:footer="0" w:header="0"/>
        </w:sectPr>
      </w:pPr>
    </w:p>
    <w:bookmarkStart w:id="79" w:name="page80"/>
    <w:bookmarkEnd w:id="79"/>
    <w:p>
      <w:pPr>
        <w:ind w:left="300"/>
        <w:spacing w:after="0"/>
        <w:rPr>
          <w:sz w:val="20"/>
          <w:szCs w:val="20"/>
          <w:color w:val="auto"/>
        </w:rPr>
      </w:pPr>
      <w:r>
        <w:rPr>
          <w:rFonts w:ascii="Courier New" w:cs="Courier New" w:eastAsia="Courier New" w:hAnsi="Courier New"/>
          <w:sz w:val="16"/>
          <w:szCs w:val="16"/>
          <w:color w:val="auto"/>
        </w:rPr>
        <w:t>15</w:t>
      </w:r>
    </w:p>
    <w:p>
      <w:pPr>
        <w:spacing w:after="0" w:line="383" w:lineRule="exact"/>
        <w:rPr>
          <w:sz w:val="20"/>
          <w:szCs w:val="20"/>
          <w:color w:val="auto"/>
        </w:rPr>
      </w:pPr>
    </w:p>
    <w:p>
      <w:pPr>
        <w:ind w:left="1760" w:right="2979"/>
        <w:spacing w:after="0" w:line="249" w:lineRule="auto"/>
        <w:rPr>
          <w:sz w:val="20"/>
          <w:szCs w:val="20"/>
          <w:color w:val="auto"/>
        </w:rPr>
      </w:pPr>
      <w:r>
        <w:rPr>
          <w:rFonts w:ascii="Courier New" w:cs="Courier New" w:eastAsia="Courier New" w:hAnsi="Courier New"/>
          <w:sz w:val="16"/>
          <w:szCs w:val="16"/>
          <w:color w:val="auto"/>
        </w:rPr>
        <w:t>securities or (4) a corporation owned, directly or indirectly, by the stockholders of the Company in substantially the same proportions as their ownership of shares of Common Stock of the Company.</w:t>
      </w:r>
    </w:p>
    <w:p>
      <w:pPr>
        <w:spacing w:after="0" w:line="188" w:lineRule="exact"/>
        <w:rPr>
          <w:sz w:val="20"/>
          <w:szCs w:val="20"/>
          <w:color w:val="auto"/>
        </w:rPr>
      </w:pPr>
    </w:p>
    <w:p>
      <w:pPr>
        <w:ind w:left="880" w:hanging="880"/>
        <w:spacing w:after="0"/>
        <w:tabs>
          <w:tab w:leader="none" w:pos="8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95" w:lineRule="exact"/>
        <w:rPr>
          <w:sz w:val="20"/>
          <w:szCs w:val="20"/>
          <w:color w:val="auto"/>
        </w:rPr>
      </w:pPr>
    </w:p>
    <w:p>
      <w:pPr>
        <w:ind w:left="880" w:right="2499" w:hanging="880"/>
        <w:spacing w:after="0" w:line="248" w:lineRule="auto"/>
        <w:tabs>
          <w:tab w:leader="none" w:pos="8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ACTIVITY. Executive covenants and agrees that at all times during Executive's period of employment with the Company, and for two</w:t>
      </w:r>
    </w:p>
    <w:p>
      <w:pPr>
        <w:spacing w:after="0" w:line="1" w:lineRule="exact"/>
        <w:rPr>
          <w:rFonts w:ascii="Courier New" w:cs="Courier New" w:eastAsia="Courier New" w:hAnsi="Courier New"/>
          <w:sz w:val="16"/>
          <w:szCs w:val="16"/>
          <w:color w:val="auto"/>
        </w:rPr>
      </w:pPr>
    </w:p>
    <w:p>
      <w:pPr>
        <w:ind w:left="880" w:right="2399"/>
        <w:spacing w:after="0" w:line="249" w:lineRule="auto"/>
        <w:tabs>
          <w:tab w:leader="none" w:pos="1271"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w:t>
      </w:r>
    </w:p>
    <w:p>
      <w:pPr>
        <w:spacing w:after="0" w:line="374"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two (2) 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186"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w:t>
      </w:r>
    </w:p>
    <w:p>
      <w:pPr>
        <w:spacing w:after="0" w:line="200" w:lineRule="exact"/>
        <w:rPr>
          <w:sz w:val="20"/>
          <w:szCs w:val="20"/>
          <w:color w:val="auto"/>
        </w:rPr>
      </w:pPr>
    </w:p>
    <w:p>
      <w:pPr>
        <w:spacing w:after="0" w:line="36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15 of 20</w:t>
      </w:r>
    </w:p>
    <w:p>
      <w:pPr>
        <w:sectPr>
          <w:pgSz w:w="11900" w:h="16838" w:orient="portrait"/>
          <w:cols w:equalWidth="0" w:num="1">
            <w:col w:w="10219"/>
          </w:cols>
          <w:pgMar w:left="240" w:top="304" w:right="1440" w:bottom="1440" w:gutter="0" w:footer="0" w:header="0"/>
        </w:sectPr>
      </w:pPr>
    </w:p>
    <w:bookmarkStart w:id="80" w:name="page81"/>
    <w:bookmarkEnd w:id="80"/>
    <w:p>
      <w:pPr>
        <w:ind w:left="30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71"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 (i) while employed by the Company, Executive may in good faith make disclosures he believes desirable, provided they are authorized by the Company or otherwise in accordance with Company policy, and (ii) Executive may comply with legal process.</w:t>
      </w:r>
    </w:p>
    <w:p>
      <w:pPr>
        <w:spacing w:after="0" w:line="375" w:lineRule="exact"/>
        <w:rPr>
          <w:sz w:val="20"/>
          <w:szCs w:val="20"/>
          <w:color w:val="auto"/>
        </w:rPr>
      </w:pPr>
    </w:p>
    <w:p>
      <w:pPr>
        <w:ind w:left="880" w:hanging="880"/>
        <w:spacing w:after="0"/>
        <w:tabs>
          <w:tab w:leader="none" w:pos="8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95" w:lineRule="exact"/>
        <w:rPr>
          <w:sz w:val="20"/>
          <w:szCs w:val="20"/>
          <w:color w:val="auto"/>
        </w:rPr>
      </w:pPr>
    </w:p>
    <w:p>
      <w:pPr>
        <w:ind w:left="880" w:right="2399" w:hanging="880"/>
        <w:spacing w:after="0" w:line="249" w:lineRule="auto"/>
        <w:tabs>
          <w:tab w:leader="none" w:pos="8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86"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86"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87" w:lineRule="exact"/>
        <w:rPr>
          <w:sz w:val="20"/>
          <w:szCs w:val="20"/>
          <w:color w:val="auto"/>
        </w:rPr>
      </w:pPr>
    </w:p>
    <w:p>
      <w:pPr>
        <w:ind w:left="880" w:hanging="880"/>
        <w:spacing w:after="0"/>
        <w:tabs>
          <w:tab w:leader="none" w:pos="88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against any and all losses, costs, and expenses (including attorney's fees) incurred</w:t>
      </w:r>
    </w:p>
    <w:p>
      <w:pPr>
        <w:spacing w:after="0" w:line="200" w:lineRule="exact"/>
        <w:rPr>
          <w:sz w:val="20"/>
          <w:szCs w:val="20"/>
          <w:color w:val="auto"/>
        </w:rPr>
      </w:pPr>
    </w:p>
    <w:p>
      <w:pPr>
        <w:spacing w:after="0" w:line="36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16 of 20</w:t>
      </w:r>
    </w:p>
    <w:p>
      <w:pPr>
        <w:sectPr>
          <w:pgSz w:w="11900" w:h="16838" w:orient="portrait"/>
          <w:cols w:equalWidth="0" w:num="1">
            <w:col w:w="10219"/>
          </w:cols>
          <w:pgMar w:left="240" w:top="304" w:right="1440" w:bottom="1440" w:gutter="0" w:footer="0" w:header="0"/>
        </w:sectPr>
      </w:pPr>
    </w:p>
    <w:bookmarkStart w:id="81" w:name="page82"/>
    <w:bookmarkEnd w:id="81"/>
    <w:p>
      <w:pPr>
        <w:ind w:left="30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by Executive arising from or related to Executive serving as an officer or director of the Company or any of its affiliates, at the Company's request, or any action or inaction of the Executive on behalf of the Company or its affiliates while serving in such capacities.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Company's obligation for the indemnity contained herein shall survive the termination of this Agreement, and shall remain in place for so long as Executive remains subject to any claim arising from his services as an officer or director of the Company or any affiliate of the Company, at the Company's request. Executive shall promptly notify the Company of any claim against the Executive. The failure, however, of the Executive to so notify the Company of the assertion of such claim shall not relieve the Company of any obligation hereunder.</w:t>
      </w:r>
    </w:p>
    <w:p>
      <w:pPr>
        <w:spacing w:after="0" w:line="374" w:lineRule="exact"/>
        <w:rPr>
          <w:sz w:val="20"/>
          <w:szCs w:val="20"/>
          <w:color w:val="auto"/>
        </w:rPr>
      </w:pPr>
    </w:p>
    <w:p>
      <w:pPr>
        <w:ind w:left="880" w:hanging="880"/>
        <w:spacing w:after="0"/>
        <w:tabs>
          <w:tab w:leader="none" w:pos="8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AND PAYMENT OF ATTORNEY'S FEES.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advance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Under no circumstances shall Executive be obligated to pay or reimburse the Company for any attorney's fees, costs, or expenses incurred by the Company in such dispute or litigation. The provisions of this Section 11, without implication as to any other section hereof, shall survive the expiration or termination of this Agreement and of Executive's employment hereunder.</w:t>
      </w:r>
    </w:p>
    <w:p>
      <w:pPr>
        <w:spacing w:after="0" w:line="374" w:lineRule="exact"/>
        <w:rPr>
          <w:sz w:val="20"/>
          <w:szCs w:val="20"/>
          <w:color w:val="auto"/>
        </w:rPr>
      </w:pPr>
    </w:p>
    <w:p>
      <w:pPr>
        <w:ind w:left="880" w:hanging="880"/>
        <w:spacing w:after="0"/>
        <w:tabs>
          <w:tab w:leader="none" w:pos="8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371" w:lineRule="exact"/>
        <w:rPr>
          <w:sz w:val="20"/>
          <w:szCs w:val="20"/>
          <w:color w:val="auto"/>
        </w:rPr>
      </w:pPr>
    </w:p>
    <w:p>
      <w:pPr>
        <w:ind w:left="880" w:hanging="880"/>
        <w:spacing w:after="0"/>
        <w:tabs>
          <w:tab w:leader="none" w:pos="88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17 of 20</w:t>
      </w:r>
    </w:p>
    <w:p>
      <w:pPr>
        <w:sectPr>
          <w:pgSz w:w="11900" w:h="16838" w:orient="portrait"/>
          <w:cols w:equalWidth="0" w:num="1">
            <w:col w:w="10219"/>
          </w:cols>
          <w:pgMar w:left="240" w:top="305" w:right="1440" w:bottom="1440" w:gutter="0" w:footer="0" w:header="0"/>
        </w:sectPr>
      </w:pPr>
    </w:p>
    <w:bookmarkStart w:id="82" w:name="page83"/>
    <w:bookmarkEnd w:id="82"/>
    <w:p>
      <w:pPr>
        <w:ind w:left="300"/>
        <w:spacing w:after="0"/>
        <w:rPr>
          <w:sz w:val="20"/>
          <w:szCs w:val="20"/>
          <w:color w:val="auto"/>
        </w:rPr>
      </w:pPr>
      <w:r>
        <w:rPr>
          <w:rFonts w:ascii="Courier New" w:cs="Courier New" w:eastAsia="Courier New" w:hAnsi="Courier New"/>
          <w:sz w:val="16"/>
          <w:szCs w:val="16"/>
          <w:color w:val="auto"/>
        </w:rPr>
        <w:t>18</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8" w:lineRule="exact"/>
        <w:rPr>
          <w:sz w:val="20"/>
          <w:szCs w:val="20"/>
          <w:color w:val="auto"/>
        </w:rPr>
      </w:pPr>
    </w:p>
    <w:p>
      <w:pPr>
        <w:ind w:left="880" w:hanging="880"/>
        <w:spacing w:after="0"/>
        <w:tabs>
          <w:tab w:leader="none" w:pos="8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374" w:lineRule="exact"/>
        <w:rPr>
          <w:sz w:val="20"/>
          <w:szCs w:val="20"/>
          <w:color w:val="auto"/>
        </w:rPr>
      </w:pPr>
    </w:p>
    <w:p>
      <w:pPr>
        <w:ind w:left="880" w:hanging="880"/>
        <w:spacing w:after="0"/>
        <w:tabs>
          <w:tab w:leader="none" w:pos="8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and any other matters covered hereby, including without limitation, that certain Employment Agreement between the Company and Executive dated January 1, 1999, as amended. It may not be amended except by a written agreement signed by both parties.</w:t>
      </w:r>
    </w:p>
    <w:p>
      <w:pPr>
        <w:spacing w:after="0" w:line="375" w:lineRule="exact"/>
        <w:rPr>
          <w:sz w:val="20"/>
          <w:szCs w:val="20"/>
          <w:color w:val="auto"/>
        </w:rPr>
      </w:pPr>
    </w:p>
    <w:p>
      <w:pPr>
        <w:ind w:left="880" w:hanging="880"/>
        <w:spacing w:after="0"/>
        <w:tabs>
          <w:tab w:leader="none" w:pos="8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373" w:lineRule="exact"/>
        <w:rPr>
          <w:sz w:val="20"/>
          <w:szCs w:val="20"/>
          <w:color w:val="auto"/>
        </w:rPr>
      </w:pPr>
    </w:p>
    <w:p>
      <w:pPr>
        <w:ind w:left="880" w:hanging="880"/>
        <w:spacing w:after="0"/>
        <w:tabs>
          <w:tab w:leader="none" w:pos="88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18 of 20</w:t>
      </w:r>
    </w:p>
    <w:p>
      <w:pPr>
        <w:sectPr>
          <w:pgSz w:w="11900" w:h="16838" w:orient="portrait"/>
          <w:cols w:equalWidth="0" w:num="1">
            <w:col w:w="10219"/>
          </w:cols>
          <w:pgMar w:left="240" w:top="304"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80" w:hanging="880"/>
        <w:spacing w:after="0"/>
        <w:tabs>
          <w:tab w:leader="none" w:pos="8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Secretary</w:t>
      </w:r>
    </w:p>
    <w:p>
      <w:pPr>
        <w:spacing w:after="0" w:line="195" w:lineRule="exact"/>
        <w:rPr>
          <w:sz w:val="20"/>
          <w:szCs w:val="20"/>
          <w:color w:val="auto"/>
        </w:rPr>
      </w:pPr>
    </w:p>
    <w:p>
      <w:pPr>
        <w:sectPr>
          <w:pgSz w:w="11900" w:h="16838" w:orient="portrait"/>
          <w:cols w:equalWidth="0" w:num="2">
            <w:col w:w="3900" w:space="400"/>
            <w:col w:w="5919"/>
          </w:cols>
          <w:pgMar w:left="240" w:top="305"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At the address for Executive 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below.</w:t>
      </w:r>
    </w:p>
    <w:p>
      <w:pPr>
        <w:spacing w:after="0" w:line="200" w:lineRule="exact"/>
        <w:rPr>
          <w:sz w:val="20"/>
          <w:szCs w:val="20"/>
          <w:color w:val="auto"/>
        </w:rPr>
      </w:pPr>
    </w:p>
    <w:p>
      <w:pPr>
        <w:sectPr>
          <w:pgSz w:w="11900" w:h="16838" w:orient="portrait"/>
          <w:cols w:equalWidth="0" w:num="2">
            <w:col w:w="3720" w:space="580"/>
            <w:col w:w="5919"/>
          </w:cols>
          <w:pgMar w:left="240" w:top="305" w:right="1440" w:bottom="1440" w:gutter="0" w:footer="0" w:header="0"/>
          <w:type w:val="continuous"/>
        </w:sectPr>
      </w:pPr>
    </w:p>
    <w:p>
      <w:pPr>
        <w:spacing w:after="0" w:line="183" w:lineRule="exact"/>
        <w:rPr>
          <w:sz w:val="20"/>
          <w:szCs w:val="20"/>
          <w:color w:val="auto"/>
        </w:rPr>
      </w:pPr>
    </w:p>
    <w:p>
      <w:pPr>
        <w:ind w:left="880" w:hanging="880"/>
        <w:spacing w:after="0"/>
        <w:tabs>
          <w:tab w:leader="none" w:pos="8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left="880" w:right="2399" w:hanging="880"/>
        <w:spacing w:after="0" w:line="249" w:lineRule="auto"/>
        <w:tabs>
          <w:tab w:leader="none" w:pos="8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87" w:lineRule="exact"/>
        <w:rPr>
          <w:rFonts w:ascii="Courier New" w:cs="Courier New" w:eastAsia="Courier New" w:hAnsi="Courier New"/>
          <w:sz w:val="16"/>
          <w:szCs w:val="16"/>
          <w:color w:val="auto"/>
        </w:rPr>
      </w:pPr>
    </w:p>
    <w:p>
      <w:pPr>
        <w:ind w:left="880" w:right="2399" w:hanging="880"/>
        <w:spacing w:after="0" w:line="250" w:lineRule="auto"/>
        <w:tabs>
          <w:tab w:leader="none" w:pos="8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185" w:lineRule="exact"/>
        <w:rPr>
          <w:rFonts w:ascii="Courier New" w:cs="Courier New" w:eastAsia="Courier New" w:hAnsi="Courier New"/>
          <w:sz w:val="16"/>
          <w:szCs w:val="16"/>
          <w:color w:val="auto"/>
        </w:rPr>
      </w:pPr>
    </w:p>
    <w:p>
      <w:pPr>
        <w:ind w:left="880" w:right="2399" w:hanging="880"/>
        <w:spacing w:after="0" w:line="252" w:lineRule="auto"/>
        <w:tabs>
          <w:tab w:leader="none" w:pos="8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183" w:lineRule="exact"/>
        <w:rPr>
          <w:rFonts w:ascii="Courier New" w:cs="Courier New" w:eastAsia="Courier New" w:hAnsi="Courier New"/>
          <w:sz w:val="16"/>
          <w:szCs w:val="16"/>
          <w:color w:val="auto"/>
        </w:rPr>
      </w:pPr>
    </w:p>
    <w:p>
      <w:pPr>
        <w:ind w:left="880" w:right="3079" w:hanging="880"/>
        <w:spacing w:after="0" w:line="249" w:lineRule="auto"/>
        <w:tabs>
          <w:tab w:leader="none" w:pos="8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200" w:lineRule="exact"/>
        <w:rPr>
          <w:sz w:val="20"/>
          <w:szCs w:val="20"/>
          <w:color w:val="auto"/>
        </w:rPr>
      </w:pPr>
    </w:p>
    <w:p>
      <w:pPr>
        <w:spacing w:after="0" w:line="36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19 of 20</w:t>
      </w:r>
    </w:p>
    <w:p>
      <w:pPr>
        <w:sectPr>
          <w:pgSz w:w="11900" w:h="16838" w:orient="portrait"/>
          <w:cols w:equalWidth="0" w:num="1">
            <w:col w:w="10219"/>
          </w:cols>
          <w:pgMar w:left="240" w:top="305" w:right="1440" w:bottom="1440" w:gutter="0" w:footer="0" w:header="0"/>
          <w:type w:val="continuous"/>
        </w:sectPr>
      </w:pPr>
    </w:p>
    <w:bookmarkStart w:id="84" w:name="page85"/>
    <w:bookmarkEnd w:id="84"/>
    <w:p>
      <w:pPr>
        <w:ind w:left="300"/>
        <w:spacing w:after="0"/>
        <w:rPr>
          <w:sz w:val="20"/>
          <w:szCs w:val="20"/>
          <w:color w:val="auto"/>
        </w:rPr>
      </w:pPr>
      <w:r>
        <w:rPr>
          <w:rFonts w:ascii="Courier New" w:cs="Courier New" w:eastAsia="Courier New" w:hAnsi="Courier New"/>
          <w:sz w:val="16"/>
          <w:szCs w:val="16"/>
          <w:color w:val="auto"/>
        </w:rPr>
        <w:t>20</w:t>
      </w:r>
    </w:p>
    <w:p>
      <w:pPr>
        <w:spacing w:after="0" w:line="383"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38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 Maurice Myers</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A. Maurice Myers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Chairman, Chief Executive Officer and President</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Date: April 16, 2000</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R. Hopkins</w:t>
      </w:r>
    </w:p>
    <w:p>
      <w:pPr>
        <w:spacing w:after="0" w:line="7" w:lineRule="exact"/>
        <w:rPr>
          <w:sz w:val="20"/>
          <w:szCs w:val="20"/>
          <w:color w:val="auto"/>
        </w:rPr>
      </w:pPr>
    </w:p>
    <w:p>
      <w:pPr>
        <w:ind w:left="200" w:hanging="200"/>
        <w:spacing w:after="0"/>
        <w:tabs>
          <w:tab w:leader="none" w:pos="20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Hopkins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30, 2000</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Number: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20 of 20</w:t>
      </w:r>
    </w:p>
    <w:p>
      <w:pPr>
        <w:sectPr>
          <w:pgSz w:w="11900" w:h="16838" w:orient="portrait"/>
          <w:cols w:equalWidth="0" w:num="1">
            <w:col w:w="10219"/>
          </w:cols>
          <w:pgMar w:left="240" w:top="305"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6"/>
          <w:szCs w:val="16"/>
          <w:color w:val="auto"/>
        </w:rPr>
        <w:t>1</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10.3</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EMPLOYMENT AGREEMENT</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WASTE MANAGEMENT, INC. (the "Company"), and THOMAS L. SMITH (the "Executive") hereby enter into this EMPLOYMENT AGREEMENT ("Agreement"), executed the day and year written below, but effective as of November 18, 1999, as follows:</w:t>
      </w:r>
    </w:p>
    <w:p>
      <w:pPr>
        <w:spacing w:after="0" w:line="185" w:lineRule="exact"/>
        <w:rPr>
          <w:sz w:val="20"/>
          <w:szCs w:val="20"/>
          <w:color w:val="auto"/>
        </w:rPr>
      </w:pPr>
    </w:p>
    <w:p>
      <w:pPr>
        <w:ind w:left="580" w:hanging="580"/>
        <w:spacing w:after="0"/>
        <w:tabs>
          <w:tab w:leader="none" w:pos="5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9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185" w:lineRule="exact"/>
        <w:rPr>
          <w:sz w:val="20"/>
          <w:szCs w:val="20"/>
          <w:color w:val="auto"/>
        </w:rPr>
      </w:pPr>
    </w:p>
    <w:p>
      <w:pPr>
        <w:ind w:left="580" w:hanging="580"/>
        <w:spacing w:after="0"/>
        <w:tabs>
          <w:tab w:leader="none" w:pos="5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period of Executive's employment under this Agreement shall commence on 11-22-99, and be for a continuously renewing (on a daily basis) three (3)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87" w:lineRule="exact"/>
        <w:rPr>
          <w:sz w:val="20"/>
          <w:szCs w:val="20"/>
          <w:color w:val="auto"/>
        </w:rPr>
      </w:pPr>
    </w:p>
    <w:p>
      <w:pPr>
        <w:ind w:left="580" w:hanging="580"/>
        <w:spacing w:after="0"/>
        <w:tabs>
          <w:tab w:leader="none" w:pos="58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95" w:lineRule="exact"/>
        <w:rPr>
          <w:sz w:val="20"/>
          <w:szCs w:val="20"/>
          <w:color w:val="auto"/>
        </w:rPr>
      </w:pPr>
    </w:p>
    <w:p>
      <w:pPr>
        <w:ind w:left="580" w:right="2399" w:hanging="580"/>
        <w:spacing w:after="0" w:line="249" w:lineRule="auto"/>
        <w:tabs>
          <w:tab w:leader="none" w:pos="5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Sr. Vice President-Information Technology. Executive will report either to the Chief Executive Officer, President, or Executive Vice President designated by the Chief Executive Officer. In such capacity, Executive shall perform such duties and have the power, authority and functions commensurate with such positions in similarly sized public companies and such other authority and functions consistent with such positions as may be assigned to Executive from time to time by the Chief Executive Officer, President, Executive Vice President, or the Board of Directors.</w:t>
      </w:r>
    </w:p>
    <w:p>
      <w:pPr>
        <w:spacing w:after="0" w:line="187" w:lineRule="exact"/>
        <w:rPr>
          <w:rFonts w:ascii="Courier New" w:cs="Courier New" w:eastAsia="Courier New" w:hAnsi="Courier New"/>
          <w:sz w:val="16"/>
          <w:szCs w:val="16"/>
          <w:color w:val="auto"/>
        </w:rPr>
      </w:pPr>
    </w:p>
    <w:p>
      <w:pPr>
        <w:ind w:left="580" w:right="2499" w:hanging="580"/>
        <w:spacing w:after="0" w:line="249" w:lineRule="auto"/>
        <w:tabs>
          <w:tab w:leader="none" w:pos="5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serve on boards of other for profit entities, provided such activities do not materially interfere with the performance of his duties hereunder.</w:t>
      </w:r>
    </w:p>
    <w:p>
      <w:pPr>
        <w:spacing w:after="0" w:line="187" w:lineRule="exact"/>
        <w:rPr>
          <w:sz w:val="20"/>
          <w:szCs w:val="20"/>
          <w:color w:val="auto"/>
        </w:rPr>
      </w:pPr>
    </w:p>
    <w:p>
      <w:pPr>
        <w:ind w:left="580" w:hanging="580"/>
        <w:spacing w:after="0"/>
        <w:tabs>
          <w:tab w:leader="none" w:pos="58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95" w:lineRule="exact"/>
        <w:rPr>
          <w:sz w:val="20"/>
          <w:szCs w:val="20"/>
          <w:color w:val="auto"/>
        </w:rPr>
      </w:pPr>
    </w:p>
    <w:p>
      <w:pPr>
        <w:ind w:left="580" w:right="2399" w:hanging="580"/>
        <w:spacing w:after="0" w:line="249" w:lineRule="auto"/>
        <w:tabs>
          <w:tab w:leader="none" w:pos="5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Company shall pay Executive a base salary at the annual rate of TWO HUNDRED EIGHTY THOUSAND ($280,000.00) DOLLARS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 of 19</w:t>
      </w:r>
    </w:p>
    <w:p>
      <w:pPr>
        <w:sectPr>
          <w:pgSz w:w="11900" w:h="16838" w:orient="portrait"/>
          <w:cols w:equalWidth="0" w:num="1">
            <w:col w:w="10219"/>
          </w:cols>
          <w:pgMar w:left="240" w:top="142"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left="580" w:right="2399" w:hanging="580"/>
        <w:spacing w:after="0" w:line="249" w:lineRule="auto"/>
        <w:tabs>
          <w:tab w:leader="none" w:pos="5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The Executive's target annual bonus will be forty-five percent (45%) of his Base Salary as in effect for such year (the "Target Bonus"), and his actual annual bonus may range from 0% to 90% (two times Target Bonus), and will be determined based upon achievement of performance goals (initially seventy percent [70%] financial [return on capital investments and EBITDA] and thirty percent [30%] personal, but may be tied to other metrics as may be established from time to time by the Compensation Committee of the Board) as approved by the Compensation Committee of the Board, from time to time.</w:t>
      </w:r>
    </w:p>
    <w:p>
      <w:pPr>
        <w:spacing w:after="0" w:line="374"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Subject to the approval of the Compensation Committee of the Board of Directors, Executive shall be granted an initial stock option grant for ONE HUNDRED THOUSAND (100,000) shares of the Company's common stock, effective as of the Commencement Date. The exercise price shall be the fair market value on such date, and the option shall vest in equal installments of twenty-five percent (25%) in each of the first four (4) anniversaries of the Commencement Date. Executive shall be eligible to be considered for stock option grants under the Company's annual stock option award program as administered by, and at the discretion of, the Compensation Committee of the Board of Directors, commencing in 2001.</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 All waiting periods for welfare plans shall be waived for Executive and Executive's eligible family members.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 after 90 days of employment. Executive shall be eligible to participate in the Company's Employee Stock Purchase Plan beginning January 1, 2000.</w:t>
      </w:r>
    </w:p>
    <w:p>
      <w:pPr>
        <w:spacing w:after="0" w:line="374" w:lineRule="exact"/>
        <w:rPr>
          <w:rFonts w:ascii="Courier New" w:cs="Courier New" w:eastAsia="Courier New" w:hAnsi="Courier New"/>
          <w:sz w:val="16"/>
          <w:szCs w:val="16"/>
          <w:color w:val="auto"/>
        </w:rPr>
      </w:pPr>
    </w:p>
    <w:p>
      <w:pPr>
        <w:ind w:left="580" w:right="2499" w:hanging="580"/>
        <w:spacing w:after="0" w:line="249" w:lineRule="auto"/>
        <w:tabs>
          <w:tab w:leader="none" w:pos="5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SIGN-ON BONUS. Within thirty (30) days after the Commencement Date, the Company will pay Executive a sign-on bonus in the amount of ONE HUNDRED TWENTY THOUSAND DOLLARS ($120,000). As of the date of the execution of this Agreement, Executive acknowledges having received this sign-on bonus.</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DEFERRAL PLAN. Executive shall be entitled to participate in the Company's "Executive Deferral Plan" beginning January 1, 2000, and any incentive or supplemental compensation plan, or arrangement, all to the extent maintained or instituted by the</w:t>
      </w:r>
    </w:p>
    <w:p>
      <w:pPr>
        <w:spacing w:after="0" w:line="37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2 of 19</w:t>
      </w:r>
    </w:p>
    <w:p>
      <w:pPr>
        <w:sectPr>
          <w:pgSz w:w="11900" w:h="16838" w:orient="portrait"/>
          <w:cols w:equalWidth="0" w:num="1">
            <w:col w:w="10219"/>
          </w:cols>
          <w:pgMar w:left="240" w:top="304"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left="580" w:right="3179"/>
        <w:spacing w:after="0" w:line="252" w:lineRule="auto"/>
        <w:rPr>
          <w:sz w:val="20"/>
          <w:szCs w:val="20"/>
          <w:color w:val="auto"/>
        </w:rPr>
      </w:pPr>
      <w:r>
        <w:rPr>
          <w:rFonts w:ascii="Courier New" w:cs="Courier New" w:eastAsia="Courier New" w:hAnsi="Courier New"/>
          <w:sz w:val="16"/>
          <w:szCs w:val="16"/>
          <w:color w:val="auto"/>
        </w:rPr>
        <w:t>Company, and covering its principal executive officers, at a level commensurate with his position.</w:t>
      </w:r>
    </w:p>
    <w:p>
      <w:pPr>
        <w:spacing w:after="0" w:line="183" w:lineRule="exact"/>
        <w:rPr>
          <w:sz w:val="20"/>
          <w:szCs w:val="20"/>
          <w:color w:val="auto"/>
        </w:rPr>
      </w:pPr>
    </w:p>
    <w:p>
      <w:pPr>
        <w:ind w:left="580" w:right="2399" w:hanging="580"/>
        <w:spacing w:after="0" w:line="248" w:lineRule="auto"/>
        <w:tabs>
          <w:tab w:leader="none" w:pos="5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BENEFIT. Upon Executive's retirement from the Company following Executive attaining sixty-five (65) years of age, and provided that Executive's employment is not terminated for Cause, the Company will provide Executive an annual retirement benefit in the amount of FIFTY-THOUSAND DOLLARS ($50,000.00) cash per year for the remainder of his life. This retirement benefit will vest in twenty percent (20%) increments (or $10,000.00) on each of the Executive's five (5) birthdays beginning on the date Executive attains sixty-one (61) years of age, provided Executive is employed by the Company on each such birth date. Executive may elect to retire from the Company prior to his sixty-fifth birthday, and receive the annual retirement benefit to the extent it is then vested. No amounts will be paid under this paragraph prior to Executive's retirement (or death, if sooner). The annual retirement benefit will be paid on the date of Executive's retirement and on each anniversary of such date of retirement for as long as such amount is to be paid under this paragraph. Following Executive's death, such annual retirement benefit, to the extent vested, will thereafter be paid to Executive's wife, Nancy Smith, if she survives Executive, for the remainder of her life, with such amount being paid on each anniversary of Executive's birth date; provided that in the event Executive is less than forty percent (40%) vested at his death, he will be deemed to be forty percent (40%) vested at his death, so that upon Executive's death, his wife, if she survives Executive, will receive at least $20,000.00 per year on each anniversary of Executive's birth date for the remainder of her life, under this paragraph. (For example, if Executive elects to retire immediately following his 62nd birthday, Executive will receive an annual retirement benefit of $20,000 per year, and following Executive's death, if Executive's wife, Nancy Smith, survives Executive, such $20,000 per year will be paid to her for the remainder of her life on Executive's birth date). No amounts will be payable under this paragraph following the death of both Executive and his wife, Nancy Smith.</w:t>
      </w:r>
    </w:p>
    <w:p>
      <w:pPr>
        <w:spacing w:after="0" w:line="395"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RELOCATION. The Company shall promptly reimburse Executive (on a fully grossed up basis for any amounts taxable to Executive), to the extent not already reimbursed by the Company, for reasonable and customary costs incurred in connection with the relocation of his principal residence to the Houston, Texas area at a level commensurate with Executive's position and the type of relocation benefits provided by public companies of similar size to their executives, which shall in any event include the purchase by the Company (or a relocation company) of such residence at its fair market value if not sold within 90 days from the Commencement Date, any real estate commissions incurred in connection with the sale of such residence and any points on a loan for a new home. In addition, the Company shall provide Executive temporary housing in the Houston area for up to six (6) months from the Commencement Date.</w:t>
      </w:r>
    </w:p>
    <w:p>
      <w:pPr>
        <w:spacing w:after="0" w:line="375" w:lineRule="exact"/>
        <w:rPr>
          <w:sz w:val="20"/>
          <w:szCs w:val="20"/>
          <w:color w:val="auto"/>
        </w:rPr>
      </w:pPr>
    </w:p>
    <w:p>
      <w:pPr>
        <w:ind w:left="580" w:hanging="580"/>
        <w:spacing w:after="0"/>
        <w:tabs>
          <w:tab w:leader="none" w:pos="5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9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37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3 of 19</w:t>
      </w:r>
    </w:p>
    <w:p>
      <w:pPr>
        <w:sectPr>
          <w:pgSz w:w="11900" w:h="16838" w:orient="portrait"/>
          <w:cols w:equalWidth="0" w:num="1">
            <w:col w:w="10219"/>
          </w:cols>
          <w:pgMar w:left="240" w:top="304" w:right="1440"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left="580" w:right="2599" w:hanging="580"/>
        <w:spacing w:after="0" w:line="252" w:lineRule="auto"/>
        <w:tabs>
          <w:tab w:leader="none" w:pos="58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371"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 (30) 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86" w:lineRule="exact"/>
        <w:rPr>
          <w:rFonts w:ascii="Courier New" w:cs="Courier New" w:eastAsia="Courier New" w:hAnsi="Courier New"/>
          <w:sz w:val="16"/>
          <w:szCs w:val="16"/>
          <w:color w:val="auto"/>
        </w:rPr>
      </w:pPr>
    </w:p>
    <w:p>
      <w:pPr>
        <w:ind w:left="580" w:right="2799" w:hanging="580"/>
        <w:spacing w:after="0" w:line="248" w:lineRule="auto"/>
        <w:tabs>
          <w:tab w:leader="none" w:pos="58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within ninety</w:t>
      </w:r>
    </w:p>
    <w:p>
      <w:pPr>
        <w:spacing w:after="0" w:line="1" w:lineRule="exact"/>
        <w:rPr>
          <w:rFonts w:ascii="Courier New" w:cs="Courier New" w:eastAsia="Courier New" w:hAnsi="Courier New"/>
          <w:sz w:val="16"/>
          <w:szCs w:val="16"/>
          <w:color w:val="auto"/>
        </w:rPr>
      </w:pPr>
    </w:p>
    <w:p>
      <w:pPr>
        <w:ind w:left="580" w:right="2599" w:firstLine="7"/>
        <w:spacing w:after="0" w:line="252" w:lineRule="auto"/>
        <w:tabs>
          <w:tab w:leader="none" w:pos="1069"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Chairman of the Audit or Governance Committee of the Board has knowledge thereof.</w:t>
      </w:r>
    </w:p>
    <w:p>
      <w:pPr>
        <w:spacing w:after="0" w:line="183" w:lineRule="exact"/>
        <w:rPr>
          <w:sz w:val="20"/>
          <w:szCs w:val="20"/>
          <w:color w:val="auto"/>
        </w:rPr>
      </w:pPr>
    </w:p>
    <w:p>
      <w:pPr>
        <w:ind w:left="1180" w:hanging="593"/>
        <w:spacing w:after="0"/>
        <w:tabs>
          <w:tab w:leader="none" w:pos="11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be limited to</w:t>
      </w:r>
    </w:p>
    <w:p>
      <w:pPr>
        <w:spacing w:after="0" w:line="6" w:lineRule="exact"/>
        <w:rPr>
          <w:rFonts w:ascii="Courier New" w:cs="Courier New" w:eastAsia="Courier New" w:hAnsi="Courier New"/>
          <w:sz w:val="16"/>
          <w:szCs w:val="16"/>
          <w:color w:val="auto"/>
        </w:rPr>
      </w:pPr>
    </w:p>
    <w:p>
      <w:pPr>
        <w:ind w:left="1180" w:right="2399" w:hanging="7"/>
        <w:spacing w:after="0" w:line="249" w:lineRule="auto"/>
        <w:tabs>
          <w:tab w:leader="none" w:pos="1571"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willful misconduct by Executive with regard to the Company which has a material adverse effect on the Company; (2) the willful refusal of Executive to attempt to follow the proper written direction of the Chief Executive Officer, the President, an Executive Vice President, or the Board of Directors,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Chief Executive Officer, the President, an Executive Vice President, or the Board of Directors,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373"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 include a copy of a resolution duly adopted by at least two-thirds (2/3rds) of the entire membership of the Board at a meeting of the Board which was called for the purpose of considering such termination and which Executive and his</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4 of 19</w:t>
      </w:r>
    </w:p>
    <w:p>
      <w:pPr>
        <w:sectPr>
          <w:pgSz w:w="11900" w:h="16838" w:orient="portrait"/>
          <w:cols w:equalWidth="0" w:num="1">
            <w:col w:w="10219"/>
          </w:cols>
          <w:pgMar w:left="240" w:top="304"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87" w:lineRule="exact"/>
        <w:rPr>
          <w:sz w:val="20"/>
          <w:szCs w:val="20"/>
          <w:color w:val="auto"/>
        </w:rPr>
      </w:pPr>
    </w:p>
    <w:p>
      <w:pPr>
        <w:ind w:left="580" w:right="2599" w:hanging="580"/>
        <w:spacing w:after="0" w:line="250" w:lineRule="auto"/>
        <w:tabs>
          <w:tab w:leader="none" w:pos="58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with or without Good Reason at any time upon written notice to the Company.</w:t>
      </w:r>
    </w:p>
    <w:p>
      <w:pPr>
        <w:spacing w:after="0" w:line="185" w:lineRule="exact"/>
        <w:rPr>
          <w:rFonts w:ascii="Courier New" w:cs="Courier New" w:eastAsia="Courier New" w:hAnsi="Courier New"/>
          <w:sz w:val="16"/>
          <w:szCs w:val="16"/>
          <w:color w:val="auto"/>
        </w:rPr>
      </w:pPr>
    </w:p>
    <w:p>
      <w:pPr>
        <w:ind w:left="1180" w:right="2399" w:hanging="593"/>
        <w:spacing w:after="0" w:line="248" w:lineRule="auto"/>
        <w:tabs>
          <w:tab w:leader="none" w:pos="118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provided that the change in reporting structure where Executive reports to either an Executive Vice President of the Company or higher in the Company shall not constitute Good Reason under any circumstances; further provided that if the Company becomes a fifty percent or more subsidiary of any other entity, Executive shall be deemed to have a material diminution of his position unless he is also a Sr. Vice President of the ultimate parent entity; (2) removal of, or the non-re-election of, the Executive from officer positions with the Company specified herein or removal of the Executive from any of his then officer positions; (3) requiring Executive's principal place of business to be located other than in Houston, Texas;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200" w:lineRule="exact"/>
        <w:rPr>
          <w:sz w:val="20"/>
          <w:szCs w:val="20"/>
          <w:color w:val="auto"/>
        </w:rPr>
      </w:pPr>
    </w:p>
    <w:p>
      <w:pPr>
        <w:spacing w:after="0" w:line="39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5 of 19</w:t>
      </w:r>
    </w:p>
    <w:p>
      <w:pPr>
        <w:sectPr>
          <w:pgSz w:w="11900" w:h="16838" w:orient="portrait"/>
          <w:cols w:equalWidth="0" w:num="1">
            <w:col w:w="10219"/>
          </w:cols>
          <w:pgMar w:left="240" w:top="304" w:right="1440" w:bottom="144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ind w:left="1180" w:right="2499" w:hanging="593"/>
        <w:spacing w:after="0" w:line="249" w:lineRule="auto"/>
        <w:tabs>
          <w:tab w:leader="none" w:pos="1180"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5(d)(i)(1) or (2) the date may be five (5) days after the giving of such notice.</w:t>
      </w:r>
    </w:p>
    <w:p>
      <w:pPr>
        <w:spacing w:after="0" w:line="186" w:lineRule="exact"/>
        <w:rPr>
          <w:rFonts w:ascii="Courier New" w:cs="Courier New" w:eastAsia="Courier New" w:hAnsi="Courier New"/>
          <w:sz w:val="16"/>
          <w:szCs w:val="16"/>
          <w:color w:val="auto"/>
        </w:rPr>
      </w:pPr>
    </w:p>
    <w:p>
      <w:pPr>
        <w:ind w:left="580" w:right="2699" w:hanging="580"/>
        <w:spacing w:after="0" w:line="250" w:lineRule="auto"/>
        <w:tabs>
          <w:tab w:leader="none" w:pos="5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upon written notice to Executive.</w:t>
      </w:r>
    </w:p>
    <w:p>
      <w:pPr>
        <w:spacing w:after="0" w:line="185" w:lineRule="exact"/>
        <w:rPr>
          <w:rFonts w:ascii="Courier New" w:cs="Courier New" w:eastAsia="Courier New" w:hAnsi="Courier New"/>
          <w:sz w:val="16"/>
          <w:szCs w:val="16"/>
          <w:color w:val="auto"/>
        </w:rPr>
      </w:pPr>
    </w:p>
    <w:p>
      <w:pPr>
        <w:jc w:val="both"/>
        <w:ind w:left="580" w:right="2399" w:hanging="580"/>
        <w:spacing w:after="0" w:line="250" w:lineRule="auto"/>
        <w:tabs>
          <w:tab w:leader="none" w:pos="5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Upon any termination of employment, Executive shall immediately resign from all Board memberships and other positions with the Company or any of its subsidiaries held by him at such time.</w:t>
      </w:r>
    </w:p>
    <w:p>
      <w:pPr>
        <w:spacing w:after="0" w:line="185" w:lineRule="exact"/>
        <w:rPr>
          <w:sz w:val="20"/>
          <w:szCs w:val="20"/>
          <w:color w:val="auto"/>
        </w:rPr>
      </w:pPr>
    </w:p>
    <w:p>
      <w:pPr>
        <w:ind w:left="580" w:hanging="580"/>
        <w:spacing w:after="0"/>
        <w:tabs>
          <w:tab w:leader="none" w:pos="5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95"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185" w:lineRule="exact"/>
        <w:rPr>
          <w:sz w:val="20"/>
          <w:szCs w:val="20"/>
          <w:color w:val="auto"/>
        </w:rPr>
      </w:pPr>
    </w:p>
    <w:p>
      <w:pPr>
        <w:ind w:left="580" w:right="2599" w:hanging="580"/>
        <w:spacing w:after="0" w:line="250" w:lineRule="auto"/>
        <w:tabs>
          <w:tab w:leader="none" w:pos="5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Executive's employment is terminated by reason of Executive's death, the Company shall pay the following amounts to Executive's beneficiary or estate:</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for two additional years. Said payments will be paid to</w:t>
      </w:r>
    </w:p>
    <w:p>
      <w:pPr>
        <w:spacing w:after="0" w:line="37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6 of 19</w:t>
      </w:r>
    </w:p>
    <w:p>
      <w:pPr>
        <w:sectPr>
          <w:pgSz w:w="11900" w:h="16838" w:orient="portrait"/>
          <w:cols w:equalWidth="0" w:num="1">
            <w:col w:w="10219"/>
          </w:cols>
          <w:pgMar w:left="240" w:top="304"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6"/>
          <w:szCs w:val="16"/>
          <w:color w:val="auto"/>
        </w:rPr>
        <w:t>7</w:t>
      </w:r>
    </w:p>
    <w:p>
      <w:pPr>
        <w:spacing w:after="0" w:line="383" w:lineRule="exact"/>
        <w:rPr>
          <w:sz w:val="20"/>
          <w:szCs w:val="20"/>
          <w:color w:val="auto"/>
        </w:rPr>
      </w:pPr>
    </w:p>
    <w:p>
      <w:pPr>
        <w:ind w:left="1180" w:right="2599"/>
        <w:spacing w:after="0" w:line="250" w:lineRule="auto"/>
        <w:rPr>
          <w:sz w:val="20"/>
          <w:szCs w:val="20"/>
          <w:color w:val="auto"/>
        </w:rPr>
      </w:pPr>
      <w:r>
        <w:rPr>
          <w:rFonts w:ascii="Courier New" w:cs="Courier New" w:eastAsia="Courier New" w:hAnsi="Courier New"/>
          <w:sz w:val="16"/>
          <w:szCs w:val="16"/>
          <w:color w:val="auto"/>
        </w:rPr>
        <w:t>Executive's estate or beneficiary at the same time and in the same manner as such compensation would have been paid if Executive had remained in active employment.</w:t>
      </w:r>
    </w:p>
    <w:p>
      <w:pPr>
        <w:spacing w:after="0" w:line="185" w:lineRule="exact"/>
        <w:rPr>
          <w:sz w:val="20"/>
          <w:szCs w:val="20"/>
          <w:color w:val="auto"/>
        </w:rPr>
      </w:pPr>
    </w:p>
    <w:p>
      <w:pPr>
        <w:ind w:left="1180" w:right="2399" w:hanging="593"/>
        <w:spacing w:after="0" w:line="249" w:lineRule="auto"/>
        <w:tabs>
          <w:tab w:leader="none" w:pos="118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and Executive's estate or beneficiary shall have up to one (1) year from the date of death to exercise all such options,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180" w:right="2499" w:hanging="593"/>
        <w:spacing w:after="0" w:line="250" w:lineRule="auto"/>
        <w:tabs>
          <w:tab w:leader="none" w:pos="118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 including the retirement benefit to the extent payable to Executive's wife, Nancy Smith, if she survives Executive, for her life, pursuant to Section 4(h).</w:t>
      </w:r>
    </w:p>
    <w:p>
      <w:pPr>
        <w:spacing w:after="0" w:line="185" w:lineRule="exact"/>
        <w:rPr>
          <w:rFonts w:ascii="Courier New" w:cs="Courier New" w:eastAsia="Courier New" w:hAnsi="Courier New"/>
          <w:sz w:val="16"/>
          <w:szCs w:val="16"/>
          <w:color w:val="auto"/>
        </w:rPr>
      </w:pPr>
    </w:p>
    <w:p>
      <w:pPr>
        <w:ind w:left="580" w:right="2599" w:hanging="580"/>
        <w:spacing w:after="0" w:line="249" w:lineRule="auto"/>
        <w:tabs>
          <w:tab w:leader="none" w:pos="58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37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180" w:right="2499" w:hanging="593"/>
        <w:spacing w:after="0" w:line="252" w:lineRule="auto"/>
        <w:tabs>
          <w:tab w:leader="none" w:pos="118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 including the retirement benefit to the extent payable pursuant to Section 4(h).</w:t>
      </w:r>
    </w:p>
    <w:p>
      <w:pPr>
        <w:spacing w:after="0" w:line="37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7 of 19</w:t>
      </w:r>
    </w:p>
    <w:p>
      <w:pPr>
        <w:sectPr>
          <w:pgSz w:w="11900" w:h="16838" w:orient="portrait"/>
          <w:cols w:equalWidth="0" w:num="1">
            <w:col w:w="10219"/>
          </w:cols>
          <w:pgMar w:left="240" w:top="305" w:right="1440" w:bottom="1440"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ind w:left="580" w:right="2599" w:hanging="580"/>
        <w:spacing w:after="0" w:line="250" w:lineRule="auto"/>
        <w:tabs>
          <w:tab w:leader="none" w:pos="58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the Company shall pay the following amounts to Executive:</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180" w:right="2799" w:hanging="593"/>
        <w:spacing w:after="0" w:line="249" w:lineRule="auto"/>
        <w:tabs>
          <w:tab w:leader="none" w:pos="118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580" w:right="2499"/>
        <w:spacing w:after="0" w:line="250" w:lineRule="auto"/>
        <w:rPr>
          <w:sz w:val="20"/>
          <w:szCs w:val="20"/>
          <w:color w:val="auto"/>
        </w:rPr>
      </w:pPr>
      <w:r>
        <w:rPr>
          <w:rFonts w:ascii="Courier New" w:cs="Courier New" w:eastAsia="Courier New" w:hAnsi="Courier New"/>
          <w:sz w:val="16"/>
          <w:szCs w:val="16"/>
          <w:color w:val="auto"/>
        </w:rPr>
        <w:t>Any options, restricted stock or other awards that have not vested prior to the date of such termination of employment shall be cancelled and any options held by Executive shall be cancelled, whether or not then vested.</w:t>
      </w:r>
    </w:p>
    <w:p>
      <w:pPr>
        <w:spacing w:after="0" w:line="373" w:lineRule="exact"/>
        <w:rPr>
          <w:sz w:val="20"/>
          <w:szCs w:val="20"/>
          <w:color w:val="auto"/>
        </w:rPr>
      </w:pPr>
    </w:p>
    <w:p>
      <w:pPr>
        <w:ind w:left="580" w:right="2499" w:hanging="580"/>
        <w:spacing w:after="0" w:line="250" w:lineRule="auto"/>
        <w:tabs>
          <w:tab w:leader="none" w:pos="5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In the event that Executive voluntarily terminates employment other than for Good Reason, the Company shall pay the following amounts to Executive:</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180" w:right="2799" w:hanging="593"/>
        <w:spacing w:after="0" w:line="249" w:lineRule="auto"/>
        <w:tabs>
          <w:tab w:leader="none" w:pos="118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180" w:right="2599" w:hanging="593"/>
        <w:spacing w:after="0" w:line="249" w:lineRule="auto"/>
        <w:tabs>
          <w:tab w:leader="none" w:pos="118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such termination due to Executive's retirement following Executive's sixty-first (61st) birthday, Executive shall be entitled to the annual retirement benefit to the extent payable pursuant to Section 4(h).</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In the event of such termination prior to Executive's sixty-first (61st) birthday, any options, restricted stock or other awards that have not vested prior to the date of such termination of employment shall be cancelled and Executive shall have ninety (90) days following termination of employment to exercise any previously vested options; provided that in no event will any option be exercisable beyond its term. In the event of such termination due to Executive's retirement following Executive's sixty-first (61st)</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8 of 19</w:t>
      </w:r>
    </w:p>
    <w:p>
      <w:pPr>
        <w:sectPr>
          <w:pgSz w:w="11900" w:h="16838" w:orient="portrait"/>
          <w:cols w:equalWidth="0" w:num="1">
            <w:col w:w="10219"/>
          </w:cols>
          <w:pgMar w:left="240" w:top="305" w:right="1440" w:bottom="1440"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6"/>
          <w:szCs w:val="16"/>
          <w:color w:val="auto"/>
        </w:rPr>
        <w:t>9</w:t>
      </w:r>
    </w:p>
    <w:p>
      <w:pPr>
        <w:spacing w:after="0" w:line="383" w:lineRule="exact"/>
        <w:rPr>
          <w:sz w:val="20"/>
          <w:szCs w:val="20"/>
          <w:color w:val="auto"/>
        </w:rPr>
      </w:pPr>
    </w:p>
    <w:p>
      <w:pPr>
        <w:ind w:left="580" w:right="2599"/>
        <w:spacing w:after="0" w:line="249" w:lineRule="auto"/>
        <w:rPr>
          <w:sz w:val="20"/>
          <w:szCs w:val="20"/>
          <w:color w:val="auto"/>
        </w:rPr>
      </w:pPr>
      <w:r>
        <w:rPr>
          <w:rFonts w:ascii="Courier New" w:cs="Courier New" w:eastAsia="Courier New" w:hAnsi="Courier New"/>
          <w:sz w:val="16"/>
          <w:szCs w:val="16"/>
          <w:color w:val="auto"/>
        </w:rPr>
        <w:t>birthday, any options, restricted stock or other awards that have not vested prior to the date of such termination of employment shall be cancelled and Executive shall have three (3) years following such termination of employment due to retirement to exercise any previously vested options; provided that in no event will any option be exercisable beyond its term.</w:t>
      </w:r>
    </w:p>
    <w:p>
      <w:pPr>
        <w:spacing w:after="0" w:line="187" w:lineRule="exact"/>
        <w:rPr>
          <w:sz w:val="20"/>
          <w:szCs w:val="20"/>
          <w:color w:val="auto"/>
        </w:rPr>
      </w:pPr>
    </w:p>
    <w:p>
      <w:pPr>
        <w:ind w:left="580" w:right="2399" w:hanging="580"/>
        <w:spacing w:after="0" w:line="249" w:lineRule="auto"/>
        <w:tabs>
          <w:tab w:leader="none" w:pos="5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(as then in effect) shall continue to be paid to Executive during the three (3) year period beginning on the date of Executive's termination and shall be paid at the same time, in the same amount (as in effect on the date of termination) and in the same manner as Base Salary would have been paid if Executive had remained in active employment until the end of such period.</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three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9 of 19</w:t>
      </w:r>
    </w:p>
    <w:p>
      <w:pPr>
        <w:sectPr>
          <w:pgSz w:w="11900" w:h="16838" w:orient="portrait"/>
          <w:cols w:equalWidth="0" w:num="1">
            <w:col w:w="10219"/>
          </w:cols>
          <w:pgMar w:left="240" w:top="305"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6"/>
          <w:szCs w:val="16"/>
          <w:color w:val="auto"/>
        </w:rPr>
        <w:t>10</w:t>
      </w:r>
    </w:p>
    <w:p>
      <w:pPr>
        <w:spacing w:after="0" w:line="383" w:lineRule="exact"/>
        <w:rPr>
          <w:sz w:val="20"/>
          <w:szCs w:val="20"/>
          <w:color w:val="auto"/>
        </w:rPr>
      </w:pPr>
    </w:p>
    <w:p>
      <w:pPr>
        <w:ind w:left="1180" w:right="2399" w:hanging="593"/>
        <w:spacing w:after="0" w:line="249" w:lineRule="auto"/>
        <w:tabs>
          <w:tab w:leader="none" w:pos="118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continue to vest in all stock option awards or restricted stock awards over the three (3) year period commencing on the date of such termination. Executive shall have ninety (90) days following the expiration of such three (3) year period to exercise all options to the extent then vested,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180" w:right="2499" w:hanging="593"/>
        <w:spacing w:after="0" w:line="252" w:lineRule="auto"/>
        <w:tabs>
          <w:tab w:leader="none" w:pos="118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 including the retirement benefit to the extent payable pursuant to Section 4(h).</w:t>
      </w:r>
    </w:p>
    <w:p>
      <w:pPr>
        <w:spacing w:after="0" w:line="183"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87" w:lineRule="exact"/>
        <w:rPr>
          <w:sz w:val="20"/>
          <w:szCs w:val="20"/>
          <w:color w:val="auto"/>
        </w:rPr>
      </w:pPr>
    </w:p>
    <w:p>
      <w:pPr>
        <w:ind w:left="580" w:right="3279" w:hanging="580"/>
        <w:spacing w:after="0" w:line="252" w:lineRule="auto"/>
        <w:tabs>
          <w:tab w:leader="none" w:pos="58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183" w:lineRule="exact"/>
        <w:rPr>
          <w:sz w:val="20"/>
          <w:szCs w:val="20"/>
          <w:color w:val="auto"/>
        </w:rPr>
      </w:pPr>
    </w:p>
    <w:p>
      <w:pPr>
        <w:ind w:left="580" w:right="2499" w:hanging="580"/>
        <w:spacing w:after="0" w:line="249" w:lineRule="auto"/>
        <w:tabs>
          <w:tab w:leader="none" w:pos="58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87" w:lineRule="exact"/>
        <w:rPr>
          <w:rFonts w:ascii="Courier New" w:cs="Courier New" w:eastAsia="Courier New" w:hAnsi="Courier New"/>
          <w:sz w:val="16"/>
          <w:szCs w:val="16"/>
          <w:color w:val="auto"/>
        </w:rPr>
      </w:pPr>
    </w:p>
    <w:p>
      <w:pPr>
        <w:ind w:left="1180" w:right="2399" w:hanging="593"/>
        <w:spacing w:after="0" w:line="250" w:lineRule="auto"/>
        <w:tabs>
          <w:tab w:leader="none" w:pos="118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payments and benefits provided for in Section 6(e), except that the severance amount pursuant to Section 6(e)(iii) will be paid in a lump-sum.</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will be 100% vested in all benefits, awards, and grants (including stock option grants and stock awards, all of such stock options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w:t>
      </w:r>
    </w:p>
    <w:p>
      <w:pPr>
        <w:spacing w:after="0" w:line="200" w:lineRule="exact"/>
        <w:rPr>
          <w:sz w:val="20"/>
          <w:szCs w:val="20"/>
          <w:color w:val="auto"/>
        </w:rPr>
      </w:pPr>
    </w:p>
    <w:p>
      <w:pPr>
        <w:spacing w:after="0" w:line="36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10 of 19</w:t>
      </w:r>
    </w:p>
    <w:p>
      <w:pPr>
        <w:sectPr>
          <w:pgSz w:w="11900" w:h="16838" w:orient="portrait"/>
          <w:cols w:equalWidth="0" w:num="1">
            <w:col w:w="10219"/>
          </w:cols>
          <w:pgMar w:left="240" w:top="304" w:right="1440" w:bottom="1440"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6"/>
          <w:szCs w:val="16"/>
          <w:color w:val="auto"/>
        </w:rPr>
        <w:t>11</w:t>
      </w:r>
    </w:p>
    <w:p>
      <w:pPr>
        <w:spacing w:after="0" w:line="383"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87" w:lineRule="exact"/>
        <w:rPr>
          <w:sz w:val="20"/>
          <w:szCs w:val="20"/>
          <w:color w:val="auto"/>
        </w:rPr>
      </w:pPr>
    </w:p>
    <w:p>
      <w:pPr>
        <w:ind w:left="580" w:hanging="580"/>
        <w:spacing w:after="0"/>
        <w:tabs>
          <w:tab w:leader="none" w:pos="58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ADDITIONAL PAYMENTS BY THE COMPANY.</w:t>
      </w:r>
    </w:p>
    <w:p>
      <w:pPr>
        <w:spacing w:after="0" w:line="194"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374"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200" w:lineRule="exact"/>
        <w:rPr>
          <w:sz w:val="20"/>
          <w:szCs w:val="20"/>
          <w:color w:val="auto"/>
        </w:rPr>
      </w:pP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11 of 19</w:t>
      </w:r>
    </w:p>
    <w:p>
      <w:pPr>
        <w:sectPr>
          <w:pgSz w:w="11900" w:h="16838" w:orient="portrait"/>
          <w:cols w:equalWidth="0" w:num="1">
            <w:col w:w="10219"/>
          </w:cols>
          <w:pgMar w:left="240" w:top="304"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12</w:t>
      </w:r>
    </w:p>
    <w:p>
      <w:pPr>
        <w:spacing w:after="0" w:line="383" w:lineRule="exact"/>
        <w:rPr>
          <w:sz w:val="20"/>
          <w:szCs w:val="20"/>
          <w:color w:val="auto"/>
        </w:rPr>
      </w:pPr>
    </w:p>
    <w:p>
      <w:pPr>
        <w:ind w:left="880" w:right="2399" w:hanging="593"/>
        <w:spacing w:after="0" w:line="248" w:lineRule="auto"/>
        <w:tabs>
          <w:tab w:leader="none" w:pos="88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8"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87" w:lineRule="exact"/>
        <w:rPr>
          <w:rFonts w:ascii="Courier New" w:cs="Courier New" w:eastAsia="Courier New" w:hAnsi="Courier New"/>
          <w:sz w:val="16"/>
          <w:szCs w:val="16"/>
          <w:color w:val="auto"/>
        </w:rPr>
      </w:pPr>
    </w:p>
    <w:p>
      <w:pPr>
        <w:ind w:left="880" w:hanging="593"/>
        <w:spacing w:after="0"/>
        <w:tabs>
          <w:tab w:leader="none" w:pos="88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Gross-up Payment or portion thereof provided for in subsection</w:t>
      </w:r>
    </w:p>
    <w:p>
      <w:pPr>
        <w:spacing w:after="0" w:line="6" w:lineRule="exact"/>
        <w:rPr>
          <w:rFonts w:ascii="Courier New" w:cs="Courier New" w:eastAsia="Courier New" w:hAnsi="Courier New"/>
          <w:sz w:val="16"/>
          <w:szCs w:val="16"/>
          <w:color w:val="auto"/>
        </w:rPr>
      </w:pPr>
    </w:p>
    <w:p>
      <w:pPr>
        <w:ind w:left="880" w:right="2399" w:hanging="7"/>
        <w:spacing w:after="0" w:line="249" w:lineRule="auto"/>
        <w:tabs>
          <w:tab w:leader="none" w:pos="1466"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w:t>
      </w:r>
    </w:p>
    <w:p>
      <w:pPr>
        <w:spacing w:after="0" w:line="37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Page 12 of 19</w:t>
      </w:r>
    </w:p>
    <w:p>
      <w:pPr>
        <w:sectPr>
          <w:pgSz w:w="11900" w:h="16838" w:orient="portrait"/>
          <w:cols w:equalWidth="0" w:num="1">
            <w:col w:w="9919"/>
          </w:cols>
          <w:pgMar w:left="540" w:top="304"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6"/>
          <w:szCs w:val="16"/>
          <w:color w:val="auto"/>
        </w:rPr>
        <w:t>13</w:t>
      </w:r>
    </w:p>
    <w:p>
      <w:pPr>
        <w:spacing w:after="0" w:line="383" w:lineRule="exact"/>
        <w:rPr>
          <w:sz w:val="20"/>
          <w:szCs w:val="20"/>
          <w:color w:val="auto"/>
        </w:rPr>
      </w:pPr>
    </w:p>
    <w:p>
      <w:pPr>
        <w:ind w:left="1180" w:right="2499"/>
        <w:spacing w:after="0" w:line="249" w:lineRule="auto"/>
        <w:rPr>
          <w:sz w:val="20"/>
          <w:szCs w:val="20"/>
          <w:color w:val="auto"/>
        </w:rPr>
      </w:pPr>
      <w:r>
        <w:rPr>
          <w:rFonts w:ascii="Courier New" w:cs="Courier New" w:eastAsia="Courier New" w:hAnsi="Courier New"/>
          <w:sz w:val="16"/>
          <w:szCs w:val="16"/>
          <w:color w:val="auto"/>
        </w:rPr>
        <w:t>determined to have been due, such excess shall constitute a loan by the Company to the Executive, payable on the fifth day after demand by the Company (together with interest at the rate provided in Section 1274(b)(2)(B) of the Code).</w:t>
      </w:r>
    </w:p>
    <w:p>
      <w:pPr>
        <w:spacing w:after="0" w:line="188" w:lineRule="exact"/>
        <w:rPr>
          <w:sz w:val="20"/>
          <w:szCs w:val="20"/>
          <w:color w:val="auto"/>
        </w:rPr>
      </w:pPr>
    </w:p>
    <w:p>
      <w:pPr>
        <w:ind w:left="1180" w:right="2399" w:hanging="593"/>
        <w:spacing w:after="0" w:line="249" w:lineRule="auto"/>
        <w:tabs>
          <w:tab w:leader="none" w:pos="1180"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374"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responsible for all charges of the Accountant.</w:t>
      </w:r>
    </w:p>
    <w:p>
      <w:pPr>
        <w:spacing w:after="0" w:line="194" w:lineRule="exact"/>
        <w:rPr>
          <w:rFonts w:ascii="Courier New" w:cs="Courier New" w:eastAsia="Courier New" w:hAnsi="Courier New"/>
          <w:sz w:val="16"/>
          <w:szCs w:val="16"/>
          <w:color w:val="auto"/>
        </w:rPr>
      </w:pPr>
    </w:p>
    <w:p>
      <w:pPr>
        <w:ind w:left="1180" w:right="2599" w:hanging="593"/>
        <w:spacing w:after="0" w:line="249" w:lineRule="auto"/>
        <w:tabs>
          <w:tab w:leader="none" w:pos="1180"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87" w:lineRule="exact"/>
        <w:rPr>
          <w:rFonts w:ascii="Courier New" w:cs="Courier New" w:eastAsia="Courier New" w:hAnsi="Courier New"/>
          <w:sz w:val="16"/>
          <w:szCs w:val="16"/>
          <w:color w:val="auto"/>
        </w:rPr>
      </w:pPr>
    </w:p>
    <w:p>
      <w:pPr>
        <w:ind w:left="580" w:right="2799" w:hanging="580"/>
        <w:spacing w:after="0" w:line="252" w:lineRule="auto"/>
        <w:tabs>
          <w:tab w:leader="none" w:pos="58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183"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consummated merger or consolidation of the Company or any direct or indirect subsidiary of the Company with any other corporation, other than (A) a merger or consolidation which would result in the voting securities of the</w:t>
      </w:r>
    </w:p>
    <w:p>
      <w:pPr>
        <w:spacing w:after="0" w:line="37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13 of 19</w:t>
      </w:r>
    </w:p>
    <w:p>
      <w:pPr>
        <w:sectPr>
          <w:pgSz w:w="11900" w:h="16838" w:orient="portrait"/>
          <w:cols w:equalWidth="0" w:num="1">
            <w:col w:w="10219"/>
          </w:cols>
          <w:pgMar w:left="240" w:top="305" w:right="1440" w:bottom="1440" w:gutter="0" w:footer="0" w:header="0"/>
        </w:sectPr>
      </w:pPr>
    </w:p>
    <w:bookmarkStart w:id="98" w:name="page99"/>
    <w:bookmarkEnd w:id="98"/>
    <w:p>
      <w:pPr>
        <w:ind w:left="300"/>
        <w:spacing w:after="0"/>
        <w:rPr>
          <w:sz w:val="20"/>
          <w:szCs w:val="20"/>
          <w:color w:val="auto"/>
        </w:rPr>
      </w:pPr>
      <w:r>
        <w:rPr>
          <w:rFonts w:ascii="Courier New" w:cs="Courier New" w:eastAsia="Courier New" w:hAnsi="Courier New"/>
          <w:sz w:val="16"/>
          <w:szCs w:val="16"/>
          <w:color w:val="auto"/>
        </w:rPr>
        <w:t>14</w:t>
      </w:r>
    </w:p>
    <w:p>
      <w:pPr>
        <w:spacing w:after="0" w:line="383"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375" w:lineRule="exact"/>
        <w:rPr>
          <w:sz w:val="20"/>
          <w:szCs w:val="20"/>
          <w:color w:val="auto"/>
        </w:rPr>
      </w:pPr>
    </w:p>
    <w:p>
      <w:pPr>
        <w:ind w:left="1180" w:right="2399" w:hanging="593"/>
        <w:spacing w:after="0" w:line="249" w:lineRule="auto"/>
        <w:tabs>
          <w:tab w:leader="none" w:pos="118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7" w:lineRule="exact"/>
        <w:rPr>
          <w:sz w:val="20"/>
          <w:szCs w:val="20"/>
          <w:color w:val="auto"/>
        </w:rPr>
      </w:pPr>
    </w:p>
    <w:p>
      <w:pPr>
        <w:ind w:left="580" w:right="2879"/>
        <w:spacing w:after="0" w:line="252" w:lineRule="auto"/>
        <w:rPr>
          <w:sz w:val="20"/>
          <w:szCs w:val="20"/>
          <w:color w:val="auto"/>
        </w:rPr>
      </w:pPr>
      <w:r>
        <w:rPr>
          <w:rFonts w:ascii="Courier New" w:cs="Courier New" w:eastAsia="Courier New" w:hAnsi="Courier New"/>
          <w:sz w:val="16"/>
          <w:szCs w:val="16"/>
          <w:color w:val="auto"/>
        </w:rPr>
        <w:t>For purposes of this Section 7(c), the following terms shall have the following meanings:</w:t>
      </w:r>
    </w:p>
    <w:p>
      <w:pPr>
        <w:spacing w:after="0" w:line="183" w:lineRule="exact"/>
        <w:rPr>
          <w:sz w:val="20"/>
          <w:szCs w:val="20"/>
          <w:color w:val="auto"/>
        </w:rPr>
      </w:pPr>
    </w:p>
    <w:p>
      <w:pPr>
        <w:ind w:left="1180" w:right="2599" w:hanging="593"/>
        <w:spacing w:after="0" w:line="250" w:lineRule="auto"/>
        <w:tabs>
          <w:tab w:leader="none" w:pos="118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 affiliate of the Company, as defined in Rule 12b-2 promulgated under Section 12 of the Securities Exchange Act of 1934, as amended from time to time (the "Exchange Act");</w:t>
      </w:r>
    </w:p>
    <w:p>
      <w:pPr>
        <w:spacing w:after="0" w:line="185" w:lineRule="exact"/>
        <w:rPr>
          <w:rFonts w:ascii="Courier New" w:cs="Courier New" w:eastAsia="Courier New" w:hAnsi="Courier New"/>
          <w:sz w:val="16"/>
          <w:szCs w:val="16"/>
          <w:color w:val="auto"/>
        </w:rPr>
      </w:pPr>
    </w:p>
    <w:p>
      <w:pPr>
        <w:ind w:left="1180" w:right="2699" w:hanging="593"/>
        <w:spacing w:after="0" w:line="252" w:lineRule="auto"/>
        <w:tabs>
          <w:tab w:leader="none" w:pos="118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shall have the meaning set forth in Rule 13d-3 under the Exchange Act;</w:t>
      </w:r>
    </w:p>
    <w:p>
      <w:pPr>
        <w:spacing w:after="0" w:line="183" w:lineRule="exact"/>
        <w:rPr>
          <w:rFonts w:ascii="Courier New" w:cs="Courier New" w:eastAsia="Courier New" w:hAnsi="Courier New"/>
          <w:sz w:val="16"/>
          <w:szCs w:val="16"/>
          <w:color w:val="auto"/>
        </w:rPr>
      </w:pPr>
    </w:p>
    <w:p>
      <w:pPr>
        <w:ind w:left="1180" w:right="2499" w:hanging="593"/>
        <w:spacing w:after="0" w:line="248" w:lineRule="auto"/>
        <w:tabs>
          <w:tab w:leader="none" w:pos="118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Section 3(a)(9) of the Exchange Act, as modified and used in Sections 13(d) and 14(d) thereof, except that such term shall not include (1) the Company,</w:t>
      </w:r>
    </w:p>
    <w:p>
      <w:pPr>
        <w:spacing w:after="0" w:line="1" w:lineRule="exact"/>
        <w:rPr>
          <w:rFonts w:ascii="Courier New" w:cs="Courier New" w:eastAsia="Courier New" w:hAnsi="Courier New"/>
          <w:sz w:val="16"/>
          <w:szCs w:val="16"/>
          <w:color w:val="auto"/>
        </w:rPr>
      </w:pPr>
    </w:p>
    <w:p>
      <w:pPr>
        <w:ind w:left="1180" w:right="2399" w:hanging="7"/>
        <w:spacing w:after="0" w:line="249" w:lineRule="auto"/>
        <w:tabs>
          <w:tab w:leader="none" w:pos="1571" w:val="left"/>
        </w:tabs>
        <w:numPr>
          <w:ilvl w:val="2"/>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87"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95" w:lineRule="exact"/>
        <w:rPr>
          <w:sz w:val="20"/>
          <w:szCs w:val="20"/>
          <w:color w:val="auto"/>
        </w:rPr>
      </w:pPr>
    </w:p>
    <w:p>
      <w:pPr>
        <w:ind w:left="580" w:right="2399" w:hanging="580"/>
        <w:spacing w:after="0" w:line="249" w:lineRule="auto"/>
        <w:tabs>
          <w:tab w:leader="none" w:pos="58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ACTIVITY. Executive covenants and agrees that at all times during Executive's period of employment with the Company, and for two (2) 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14 of 19</w:t>
      </w:r>
    </w:p>
    <w:p>
      <w:pPr>
        <w:sectPr>
          <w:pgSz w:w="11900" w:h="16838" w:orient="portrait"/>
          <w:cols w:equalWidth="0" w:num="1">
            <w:col w:w="10219"/>
          </w:cols>
          <w:pgMar w:left="240" w:top="304" w:right="1440" w:bottom="144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6"/>
          <w:szCs w:val="16"/>
          <w:color w:val="auto"/>
        </w:rPr>
        <w:t>15</w:t>
      </w:r>
    </w:p>
    <w:p>
      <w:pPr>
        <w:spacing w:after="0" w:line="383" w:lineRule="exact"/>
        <w:rPr>
          <w:sz w:val="20"/>
          <w:szCs w:val="20"/>
          <w:color w:val="auto"/>
        </w:rPr>
      </w:pPr>
    </w:p>
    <w:p>
      <w:pPr>
        <w:ind w:left="580" w:right="2699"/>
        <w:spacing w:after="0" w:line="249" w:lineRule="auto"/>
        <w:rPr>
          <w:sz w:val="20"/>
          <w:szCs w:val="20"/>
          <w:color w:val="auto"/>
        </w:rPr>
      </w:pPr>
      <w:r>
        <w:rPr>
          <w:rFonts w:ascii="Courier New" w:cs="Courier New" w:eastAsia="Courier New" w:hAnsi="Courier New"/>
          <w:sz w:val="16"/>
          <w:szCs w:val="16"/>
          <w:color w:val="auto"/>
        </w:rPr>
        <w:t>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w:t>
      </w:r>
    </w:p>
    <w:p>
      <w:pPr>
        <w:spacing w:after="0" w:line="187" w:lineRule="exact"/>
        <w:rPr>
          <w:sz w:val="20"/>
          <w:szCs w:val="20"/>
          <w:color w:val="auto"/>
        </w:rPr>
      </w:pPr>
    </w:p>
    <w:p>
      <w:pPr>
        <w:ind w:left="580" w:right="2399" w:hanging="580"/>
        <w:spacing w:after="0" w:line="248" w:lineRule="auto"/>
        <w:tabs>
          <w:tab w:leader="none" w:pos="58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two</w:t>
      </w:r>
    </w:p>
    <w:p>
      <w:pPr>
        <w:spacing w:after="0" w:line="1" w:lineRule="exact"/>
        <w:rPr>
          <w:rFonts w:ascii="Courier New" w:cs="Courier New" w:eastAsia="Courier New" w:hAnsi="Courier New"/>
          <w:sz w:val="16"/>
          <w:szCs w:val="16"/>
          <w:color w:val="auto"/>
        </w:rPr>
      </w:pPr>
    </w:p>
    <w:p>
      <w:pPr>
        <w:ind w:left="580" w:right="2399" w:firstLine="7"/>
        <w:spacing w:after="0" w:line="249" w:lineRule="auto"/>
        <w:tabs>
          <w:tab w:leader="none" w:pos="971"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186" w:lineRule="exact"/>
        <w:rPr>
          <w:rFonts w:ascii="Courier New" w:cs="Courier New" w:eastAsia="Courier New" w:hAnsi="Courier New"/>
          <w:sz w:val="16"/>
          <w:szCs w:val="16"/>
          <w:color w:val="auto"/>
        </w:rPr>
      </w:pPr>
    </w:p>
    <w:p>
      <w:pPr>
        <w:ind w:left="580" w:right="2399" w:hanging="580"/>
        <w:spacing w:after="0" w:line="248" w:lineRule="auto"/>
        <w:tabs>
          <w:tab w:leader="none" w:pos="58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management information systems,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w:t>
      </w:r>
    </w:p>
    <w:p>
      <w:pPr>
        <w:spacing w:after="0" w:line="11"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while employed by the Company, Executive may in good faith make disclosures he believes desirable, provided that are authorized by the Company or otherwise in accordance with Company policy, and (ii) Executive may comply with legal process.</w:t>
      </w:r>
    </w:p>
    <w:p>
      <w:pPr>
        <w:spacing w:after="0" w:line="188" w:lineRule="exact"/>
        <w:rPr>
          <w:sz w:val="20"/>
          <w:szCs w:val="20"/>
          <w:color w:val="auto"/>
        </w:rPr>
      </w:pPr>
    </w:p>
    <w:p>
      <w:pPr>
        <w:ind w:left="580" w:hanging="580"/>
        <w:spacing w:after="0"/>
        <w:tabs>
          <w:tab w:leader="none" w:pos="58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95" w:lineRule="exact"/>
        <w:rPr>
          <w:sz w:val="20"/>
          <w:szCs w:val="20"/>
          <w:color w:val="auto"/>
        </w:rPr>
      </w:pPr>
    </w:p>
    <w:p>
      <w:pPr>
        <w:ind w:left="580" w:right="2399" w:hanging="580"/>
        <w:spacing w:after="0" w:line="249" w:lineRule="auto"/>
        <w:tabs>
          <w:tab w:leader="none" w:pos="58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 the covenants set forth in Section 8 hereof will cause irreparable damage to the Company with respect to which the Company's remedy at law for damages may be inadequate. Therefore, in the event of</w:t>
      </w:r>
    </w:p>
    <w:p>
      <w:pPr>
        <w:spacing w:after="0" w:line="37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15 of 19</w:t>
      </w:r>
    </w:p>
    <w:p>
      <w:pPr>
        <w:sectPr>
          <w:pgSz w:w="11900" w:h="16838" w:orient="portrait"/>
          <w:cols w:equalWidth="0" w:num="1">
            <w:col w:w="10219"/>
          </w:cols>
          <w:pgMar w:left="240" w:top="305" w:right="1440" w:bottom="1440" w:gutter="0" w:footer="0" w:header="0"/>
        </w:sectPr>
      </w:pPr>
    </w:p>
    <w:bookmarkStart w:id="100" w:name="page101"/>
    <w:bookmarkEnd w:id="100"/>
    <w:p>
      <w:pPr>
        <w:ind w:left="300"/>
        <w:spacing w:after="0"/>
        <w:rPr>
          <w:sz w:val="20"/>
          <w:szCs w:val="20"/>
          <w:color w:val="auto"/>
        </w:rPr>
      </w:pPr>
      <w:r>
        <w:rPr>
          <w:rFonts w:ascii="Courier New" w:cs="Courier New" w:eastAsia="Courier New" w:hAnsi="Courier New"/>
          <w:sz w:val="16"/>
          <w:szCs w:val="16"/>
          <w:color w:val="auto"/>
        </w:rPr>
        <w:t>16</w:t>
      </w:r>
    </w:p>
    <w:p>
      <w:pPr>
        <w:spacing w:after="0" w:line="383"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87" w:lineRule="exact"/>
        <w:rPr>
          <w:sz w:val="20"/>
          <w:szCs w:val="20"/>
          <w:color w:val="auto"/>
        </w:rPr>
      </w:pPr>
    </w:p>
    <w:p>
      <w:pPr>
        <w:ind w:left="580" w:right="2399" w:hanging="580"/>
        <w:spacing w:after="0" w:line="249" w:lineRule="auto"/>
        <w:tabs>
          <w:tab w:leader="none" w:pos="58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374"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87" w:lineRule="exact"/>
        <w:rPr>
          <w:sz w:val="20"/>
          <w:szCs w:val="20"/>
          <w:color w:val="auto"/>
        </w:rPr>
      </w:pPr>
    </w:p>
    <w:p>
      <w:pPr>
        <w:ind w:left="580" w:hanging="580"/>
        <w:spacing w:after="0"/>
        <w:tabs>
          <w:tab w:leader="none" w:pos="58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Term in the same amount and to the same extent as the Company covers its other officers and directors.</w:t>
      </w:r>
    </w:p>
    <w:p>
      <w:pPr>
        <w:spacing w:after="0" w:line="187" w:lineRule="exact"/>
        <w:rPr>
          <w:sz w:val="20"/>
          <w:szCs w:val="20"/>
          <w:color w:val="auto"/>
        </w:rPr>
      </w:pPr>
    </w:p>
    <w:p>
      <w:pPr>
        <w:ind w:left="580" w:hanging="580"/>
        <w:spacing w:after="0"/>
        <w:tabs>
          <w:tab w:leader="none" w:pos="58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AND PAYMENT OF ATTORNEY'S FEES.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16 of 19</w:t>
      </w:r>
    </w:p>
    <w:p>
      <w:pPr>
        <w:sectPr>
          <w:pgSz w:w="11900" w:h="16838" w:orient="portrait"/>
          <w:cols w:equalWidth="0" w:num="1">
            <w:col w:w="10219"/>
          </w:cols>
          <w:pgMar w:left="240" w:top="305" w:right="1440" w:bottom="1440" w:gutter="0" w:footer="0" w:header="0"/>
        </w:sectPr>
      </w:pPr>
    </w:p>
    <w:bookmarkStart w:id="101" w:name="page102"/>
    <w:bookmarkEnd w:id="101"/>
    <w:p>
      <w:pPr>
        <w:ind w:left="300"/>
        <w:spacing w:after="0"/>
        <w:rPr>
          <w:sz w:val="20"/>
          <w:szCs w:val="20"/>
          <w:color w:val="auto"/>
        </w:rPr>
      </w:pPr>
      <w:r>
        <w:rPr>
          <w:rFonts w:ascii="Courier New" w:cs="Courier New" w:eastAsia="Courier New" w:hAnsi="Courier New"/>
          <w:sz w:val="16"/>
          <w:szCs w:val="16"/>
          <w:color w:val="auto"/>
        </w:rPr>
        <w:t>17</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87" w:lineRule="exact"/>
        <w:rPr>
          <w:sz w:val="20"/>
          <w:szCs w:val="20"/>
          <w:color w:val="auto"/>
        </w:rPr>
      </w:pPr>
    </w:p>
    <w:p>
      <w:pPr>
        <w:ind w:left="580" w:hanging="580"/>
        <w:spacing w:after="0"/>
        <w:tabs>
          <w:tab w:leader="none" w:pos="58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371" w:lineRule="exact"/>
        <w:rPr>
          <w:sz w:val="20"/>
          <w:szCs w:val="20"/>
          <w:color w:val="auto"/>
        </w:rPr>
      </w:pPr>
    </w:p>
    <w:p>
      <w:pPr>
        <w:ind w:left="580" w:hanging="580"/>
        <w:spacing w:after="0"/>
        <w:tabs>
          <w:tab w:leader="none" w:pos="58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75" w:lineRule="exact"/>
        <w:rPr>
          <w:sz w:val="20"/>
          <w:szCs w:val="20"/>
          <w:color w:val="auto"/>
        </w:rPr>
      </w:pPr>
    </w:p>
    <w:p>
      <w:pPr>
        <w:ind w:left="580" w:hanging="580"/>
        <w:spacing w:after="0"/>
        <w:tabs>
          <w:tab w:leader="none" w:pos="58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86" w:lineRule="exact"/>
        <w:rPr>
          <w:sz w:val="20"/>
          <w:szCs w:val="20"/>
          <w:color w:val="auto"/>
        </w:rPr>
      </w:pPr>
    </w:p>
    <w:p>
      <w:pPr>
        <w:ind w:left="580" w:hanging="580"/>
        <w:spacing w:after="0"/>
        <w:tabs>
          <w:tab w:leader="none" w:pos="58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including without limitation, that certain offer letter dated November 18, 1999 by and between Executive and the Company. It may not be amended except by a written agreement signed by both parties.</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17 of 19</w:t>
      </w:r>
    </w:p>
    <w:p>
      <w:pPr>
        <w:sectPr>
          <w:pgSz w:w="11900" w:h="16838" w:orient="portrait"/>
          <w:cols w:equalWidth="0" w:num="1">
            <w:col w:w="10219"/>
          </w:cols>
          <w:pgMar w:left="240" w:top="305" w:right="1440" w:bottom="1440"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6"/>
          <w:szCs w:val="16"/>
          <w:color w:val="auto"/>
        </w:rPr>
        <w:t>18</w:t>
      </w:r>
    </w:p>
    <w:p>
      <w:pPr>
        <w:spacing w:after="0" w:line="383" w:lineRule="exact"/>
        <w:rPr>
          <w:sz w:val="20"/>
          <w:szCs w:val="20"/>
          <w:color w:val="auto"/>
        </w:rPr>
      </w:pPr>
    </w:p>
    <w:p>
      <w:pPr>
        <w:ind w:left="580" w:hanging="580"/>
        <w:spacing w:after="0"/>
        <w:tabs>
          <w:tab w:leader="none" w:pos="58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185" w:lineRule="exact"/>
        <w:rPr>
          <w:sz w:val="20"/>
          <w:szCs w:val="20"/>
          <w:color w:val="auto"/>
        </w:rPr>
      </w:pPr>
    </w:p>
    <w:p>
      <w:pPr>
        <w:ind w:left="580" w:hanging="580"/>
        <w:spacing w:after="0"/>
        <w:tabs>
          <w:tab w:leader="none" w:pos="58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7" w:lineRule="exact"/>
        <w:rPr>
          <w:sz w:val="20"/>
          <w:szCs w:val="20"/>
          <w:color w:val="auto"/>
        </w:rPr>
      </w:pPr>
    </w:p>
    <w:p>
      <w:pPr>
        <w:ind w:left="580" w:hanging="580"/>
        <w:spacing w:after="0"/>
        <w:tabs>
          <w:tab w:leader="none" w:pos="58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19"/>
          </w:cols>
          <w:pgMar w:left="240" w:top="304" w:right="1440" w:bottom="1440" w:gutter="0" w:footer="0" w:header="0"/>
        </w:sectPr>
      </w:pPr>
    </w:p>
    <w:p>
      <w:pPr>
        <w:spacing w:after="0" w:line="18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Secretary</w:t>
      </w:r>
    </w:p>
    <w:p>
      <w:pPr>
        <w:spacing w:after="0" w:line="195" w:lineRule="exact"/>
        <w:rPr>
          <w:sz w:val="20"/>
          <w:szCs w:val="20"/>
          <w:color w:val="auto"/>
        </w:rPr>
      </w:pPr>
    </w:p>
    <w:p>
      <w:pPr>
        <w:sectPr>
          <w:pgSz w:w="11900" w:h="16838" w:orient="portrait"/>
          <w:cols w:equalWidth="0" w:num="2">
            <w:col w:w="2840" w:space="380"/>
            <w:col w:w="6999"/>
          </w:cols>
          <w:pgMar w:left="240" w:top="304" w:right="1440" w:bottom="1440" w:gutter="0" w:footer="0" w:header="0"/>
          <w:type w:val="continuous"/>
        </w:sectPr>
      </w:pPr>
    </w:p>
    <w:p>
      <w:pPr>
        <w:ind w:left="1360"/>
        <w:spacing w:after="0"/>
        <w:rPr>
          <w:sz w:val="20"/>
          <w:szCs w:val="20"/>
          <w:color w:val="auto"/>
        </w:rPr>
      </w:pPr>
      <w:r>
        <w:rPr>
          <w:rFonts w:ascii="Courier New" w:cs="Courier New" w:eastAsia="Courier New" w:hAnsi="Courier New"/>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At the address for Executive set forth below.</w:t>
      </w:r>
    </w:p>
    <w:p>
      <w:pPr>
        <w:spacing w:after="0" w:line="195" w:lineRule="exact"/>
        <w:rPr>
          <w:sz w:val="20"/>
          <w:szCs w:val="20"/>
          <w:color w:val="auto"/>
        </w:rPr>
      </w:pPr>
    </w:p>
    <w:p>
      <w:pPr>
        <w:sectPr>
          <w:pgSz w:w="11900" w:h="16838" w:orient="portrait"/>
          <w:cols w:equalWidth="0" w:num="2">
            <w:col w:w="2640" w:space="580"/>
            <w:col w:w="6999"/>
          </w:cols>
          <w:pgMar w:left="240" w:top="304" w:right="1440" w:bottom="1440" w:gutter="0" w:footer="0" w:header="0"/>
          <w:type w:val="continuous"/>
        </w:sectPr>
      </w:pPr>
    </w:p>
    <w:p>
      <w:pPr>
        <w:ind w:left="580" w:hanging="580"/>
        <w:spacing w:after="0"/>
        <w:tabs>
          <w:tab w:leader="none" w:pos="58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left="580" w:right="2399" w:hanging="580"/>
        <w:spacing w:after="0" w:line="249" w:lineRule="auto"/>
        <w:tabs>
          <w:tab w:leader="none" w:pos="5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87" w:lineRule="exact"/>
        <w:rPr>
          <w:rFonts w:ascii="Courier New" w:cs="Courier New" w:eastAsia="Courier New" w:hAnsi="Courier New"/>
          <w:sz w:val="16"/>
          <w:szCs w:val="16"/>
          <w:color w:val="auto"/>
        </w:rPr>
      </w:pPr>
    </w:p>
    <w:p>
      <w:pPr>
        <w:ind w:left="580" w:right="2499" w:hanging="580"/>
        <w:spacing w:after="0" w:line="252" w:lineRule="auto"/>
        <w:tabs>
          <w:tab w:leader="none" w:pos="5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37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18 of 19</w:t>
      </w:r>
    </w:p>
    <w:p>
      <w:pPr>
        <w:sectPr>
          <w:pgSz w:w="11900" w:h="16838" w:orient="portrait"/>
          <w:cols w:equalWidth="0" w:num="1">
            <w:col w:w="10219"/>
          </w:cols>
          <w:pgMar w:left="240" w:top="304" w:right="1440" w:bottom="1440" w:gutter="0" w:footer="0" w:header="0"/>
          <w:type w:val="continuous"/>
        </w:sectPr>
      </w:pPr>
    </w:p>
    <w:bookmarkStart w:id="103" w:name="page104"/>
    <w:bookmarkEnd w:id="103"/>
    <w:p>
      <w:pPr>
        <w:ind w:left="300"/>
        <w:spacing w:after="0"/>
        <w:rPr>
          <w:sz w:val="20"/>
          <w:szCs w:val="20"/>
          <w:color w:val="auto"/>
        </w:rPr>
      </w:pPr>
      <w:r>
        <w:rPr>
          <w:rFonts w:ascii="Courier New" w:cs="Courier New" w:eastAsia="Courier New" w:hAnsi="Courier New"/>
          <w:sz w:val="16"/>
          <w:szCs w:val="16"/>
          <w:color w:val="auto"/>
        </w:rPr>
        <w:t>19</w:t>
      </w:r>
    </w:p>
    <w:p>
      <w:pPr>
        <w:spacing w:after="0" w:line="383" w:lineRule="exact"/>
        <w:rPr>
          <w:sz w:val="20"/>
          <w:szCs w:val="20"/>
          <w:color w:val="auto"/>
        </w:rPr>
      </w:pPr>
    </w:p>
    <w:p>
      <w:pPr>
        <w:ind w:left="580" w:right="2699" w:hanging="580"/>
        <w:spacing w:after="0" w:line="252" w:lineRule="auto"/>
        <w:tabs>
          <w:tab w:leader="none" w:pos="58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183" w:lineRule="exact"/>
        <w:rPr>
          <w:rFonts w:ascii="Courier New" w:cs="Courier New" w:eastAsia="Courier New" w:hAnsi="Courier New"/>
          <w:sz w:val="16"/>
          <w:szCs w:val="16"/>
          <w:color w:val="auto"/>
        </w:rPr>
      </w:pPr>
    </w:p>
    <w:p>
      <w:pPr>
        <w:ind w:left="580" w:right="2399" w:hanging="580"/>
        <w:spacing w:after="0" w:line="250" w:lineRule="auto"/>
        <w:tabs>
          <w:tab w:leader="none" w:pos="58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A. Maurice Myers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A. Maurice Myers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Chairman, Chief Executive Officer and President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14, 2000</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L. Smith</w:t>
      </w:r>
    </w:p>
    <w:p>
      <w:pPr>
        <w:spacing w:after="0" w:line="7" w:lineRule="exact"/>
        <w:rPr>
          <w:sz w:val="20"/>
          <w:szCs w:val="20"/>
          <w:color w:val="auto"/>
        </w:rPr>
      </w:pPr>
    </w:p>
    <w:p>
      <w:pPr>
        <w:ind w:left="200" w:hanging="200"/>
        <w:spacing w:after="0"/>
        <w:tabs>
          <w:tab w:leader="none" w:pos="2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THOMAS L. SMITH</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11, 2000</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19 of 19</w:t>
      </w:r>
    </w:p>
    <w:p>
      <w:pPr>
        <w:sectPr>
          <w:pgSz w:w="11900" w:h="16838" w:orient="portrait"/>
          <w:cols w:equalWidth="0" w:num="1">
            <w:col w:w="10219"/>
          </w:cols>
          <w:pgMar w:left="240" w:top="304" w:right="1440" w:bottom="1440" w:gutter="0" w:footer="0" w:header="0"/>
        </w:sectPr>
      </w:pPr>
    </w:p>
    <w:bookmarkStart w:id="104" w:name="page105"/>
    <w:bookmarkEnd w:id="104"/>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10.4</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EMPLOYMENT AGREEMENT</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WASTE MANAGEMENT, INC. (the "Company"), and ROBERT E. DEES, JR. (the "Executive") hereby enter into this EMPLOYMENT AGREEMENT ("Agreement") dated as of May 10, 2000 (the "Effective Date"), as follows:</w:t>
      </w:r>
    </w:p>
    <w:p>
      <w:pPr>
        <w:spacing w:after="0" w:line="185" w:lineRule="exact"/>
        <w:rPr>
          <w:sz w:val="20"/>
          <w:szCs w:val="20"/>
          <w:color w:val="auto"/>
        </w:rPr>
      </w:pPr>
    </w:p>
    <w:p>
      <w:pPr>
        <w:ind w:left="880" w:hanging="880"/>
        <w:spacing w:after="0"/>
        <w:tabs>
          <w:tab w:leader="none" w:pos="88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9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185" w:lineRule="exact"/>
        <w:rPr>
          <w:sz w:val="20"/>
          <w:szCs w:val="20"/>
          <w:color w:val="auto"/>
        </w:rPr>
      </w:pPr>
    </w:p>
    <w:p>
      <w:pPr>
        <w:ind w:left="880" w:hanging="880"/>
        <w:spacing w:after="0"/>
        <w:tabs>
          <w:tab w:leader="none" w:pos="88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period of Executive's employment under this Agreement shall commence on May 22, 2000, and be for a continuously renewing (on a daily basis) three (3)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87" w:lineRule="exact"/>
        <w:rPr>
          <w:sz w:val="20"/>
          <w:szCs w:val="20"/>
          <w:color w:val="auto"/>
        </w:rPr>
      </w:pPr>
    </w:p>
    <w:p>
      <w:pPr>
        <w:ind w:left="880" w:hanging="880"/>
        <w:spacing w:after="0"/>
        <w:tabs>
          <w:tab w:leader="none" w:pos="88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95" w:lineRule="exact"/>
        <w:rPr>
          <w:sz w:val="20"/>
          <w:szCs w:val="20"/>
          <w:color w:val="auto"/>
        </w:rPr>
      </w:pPr>
    </w:p>
    <w:p>
      <w:pPr>
        <w:ind w:left="880" w:right="2399" w:hanging="880"/>
        <w:spacing w:after="0" w:line="249" w:lineRule="auto"/>
        <w:tabs>
          <w:tab w:leader="none" w:pos="88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Senior Vice President-People. In such capacity, Executive shall perform such duties and have the power, authority and functions commensurate with such positions in similarly sized public companies and such other authority and functions consistent with such positions as may be assigned to Executive from time to time by the Chief Executive Officer, President, or the Board of Directors.</w:t>
      </w:r>
    </w:p>
    <w:p>
      <w:pPr>
        <w:spacing w:after="0" w:line="375"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serve on boards of other for profit entities, provided such activities do not materially interfere with the performance of his duties hereunder.</w:t>
      </w:r>
    </w:p>
    <w:p>
      <w:pPr>
        <w:spacing w:after="0" w:line="187" w:lineRule="exact"/>
        <w:rPr>
          <w:sz w:val="20"/>
          <w:szCs w:val="20"/>
          <w:color w:val="auto"/>
        </w:rPr>
      </w:pPr>
    </w:p>
    <w:p>
      <w:pPr>
        <w:ind w:left="880" w:hanging="880"/>
        <w:spacing w:after="0"/>
        <w:tabs>
          <w:tab w:leader="none" w:pos="88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95" w:lineRule="exact"/>
        <w:rPr>
          <w:sz w:val="20"/>
          <w:szCs w:val="20"/>
          <w:color w:val="auto"/>
        </w:rPr>
      </w:pPr>
    </w:p>
    <w:p>
      <w:pPr>
        <w:ind w:left="880" w:right="2499" w:hanging="880"/>
        <w:spacing w:after="0" w:line="249" w:lineRule="auto"/>
        <w:tabs>
          <w:tab w:leader="none" w:pos="88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Company shall pay Executive a base salary at the annual rate of THREE HUNDRED FIFTY THOUSAND DOLLARS ($350,000.00)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 of 19</w:t>
      </w:r>
    </w:p>
    <w:p>
      <w:pPr>
        <w:sectPr>
          <w:pgSz w:w="11900" w:h="16838" w:orient="portrait"/>
          <w:cols w:equalWidth="0" w:num="1">
            <w:col w:w="10219"/>
          </w:cols>
          <w:pgMar w:left="240" w:top="142" w:right="1440" w:bottom="1440" w:gutter="0" w:footer="0" w:header="0"/>
        </w:sectPr>
      </w:pPr>
    </w:p>
    <w:bookmarkStart w:id="105" w:name="page106"/>
    <w:bookmarkEnd w:id="105"/>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left="880" w:right="2399" w:hanging="880"/>
        <w:spacing w:after="0" w:line="249" w:lineRule="auto"/>
        <w:tabs>
          <w:tab w:leader="none" w:pos="8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The Executive's target annual bonus will be seventy-five percent (75%) of his Base Salary as in effect for such year (the "Target Bonus"), and his actual annual bonus may range from 0% to 200% (2 times Target Bonus), and will be determined based upon achievement of performance goals (initially seventy percent [70%] financial [return on capital investments and EBITDA] and thirty percent [30%] personal, but may be tied to other metrics as may be established from time to time by the Compensation Committee of the Board) as approved by the Compensation Committee of the Board, from time to time. The bonus for the year 2000 is guaranteed to be a minimum of $262,500.000, and will be paid at the same time annual bonus are paid to other executives of the Company in 2001.</w:t>
      </w:r>
    </w:p>
    <w:p>
      <w:pPr>
        <w:spacing w:after="0" w:line="186"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Subject to the approval of the Compensation Committee of the Board of Directors, Executive shall be granted an initial stock option grant for TWO HUNDRED THOUSAND (200,000) shares of the Company's common stock, effective as of the Effective Date. The exercise price shall be the fair market value on such date, and the option shall vest in equal installments of twenty-five percent (25%) on each of the first four (4) anniversaries of the Commencement Date. Executive shall be eligible to be considered for stock option grants under the Company's annual stock option award program as administered by, and at the discretion of, the Compensation Committee of the Board of Directors, beginning in 2001.</w:t>
      </w:r>
    </w:p>
    <w:p>
      <w:pPr>
        <w:spacing w:after="0" w:line="186"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 after 90 days of employment.</w:t>
      </w:r>
    </w:p>
    <w:p>
      <w:pPr>
        <w:spacing w:after="0" w:line="186"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187" w:lineRule="exact"/>
        <w:rPr>
          <w:rFonts w:ascii="Courier New" w:cs="Courier New" w:eastAsia="Courier New" w:hAnsi="Courier New"/>
          <w:sz w:val="16"/>
          <w:szCs w:val="16"/>
          <w:color w:val="auto"/>
        </w:rPr>
      </w:pPr>
    </w:p>
    <w:p>
      <w:pPr>
        <w:ind w:left="880" w:right="2699" w:hanging="880"/>
        <w:spacing w:after="0" w:line="250" w:lineRule="auto"/>
        <w:tabs>
          <w:tab w:leader="none" w:pos="8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SIGN-ON BONUS. Within thirty (30) days after the Commencement Date, the Company will pay Executive a sign-on bonus in the amount of ONE HUNDRED FIFTY THOUSAND DOLLARS ($150,000).</w:t>
      </w:r>
    </w:p>
    <w:p>
      <w:pPr>
        <w:spacing w:after="0" w:line="185"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DEFERRAL PLAN. Executive shall be entitled to participate in the Company's "Executive Deferral Plan", and any replacement plan or arrangement, all to the extent maintained or instituted by the Company, and covering its principal executive officers, at a level commensurate with his position.</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2 of 19</w:t>
      </w:r>
    </w:p>
    <w:p>
      <w:pPr>
        <w:sectPr>
          <w:pgSz w:w="11900" w:h="16838" w:orient="portrait"/>
          <w:cols w:equalWidth="0" w:num="1">
            <w:col w:w="10219"/>
          </w:cols>
          <w:pgMar w:left="240" w:top="305"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left="880" w:right="2399" w:hanging="880"/>
        <w:spacing w:after="0" w:line="249" w:lineRule="auto"/>
        <w:tabs>
          <w:tab w:leader="none" w:pos="88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RELOCATION. The Company shall promptly reimburse Executive (on a fully grossed up basis for any amounts taxable to Executive), for reasonable and customary costs incurred in connection with the relocation of his principal residence to the Houston, Texas area at a level commensurate with Executive's position and the type of relocation benefits provided by public companies of similar size to their executives, which shall in any event include the purchase by the Company (or a relocation company) of such residence at its fair market value if not sold within 90 days from the Commencement Date, any real estate commissions incurred in connection with the sale of such residence and any points on a loan for a new home. In addition, the Company shall provide Executive temporary housing in the Houston area for up to six (6) months from the Commencement Date.</w:t>
      </w:r>
    </w:p>
    <w:p>
      <w:pPr>
        <w:spacing w:after="0" w:line="186" w:lineRule="exact"/>
        <w:rPr>
          <w:rFonts w:ascii="Courier New" w:cs="Courier New" w:eastAsia="Courier New" w:hAnsi="Courier New"/>
          <w:sz w:val="16"/>
          <w:szCs w:val="16"/>
          <w:color w:val="auto"/>
        </w:rPr>
      </w:pPr>
    </w:p>
    <w:p>
      <w:pPr>
        <w:ind w:left="880" w:right="3079" w:hanging="880"/>
        <w:spacing w:after="0" w:line="252" w:lineRule="auto"/>
        <w:tabs>
          <w:tab w:leader="none" w:pos="88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PERQUISITES. Executive shall be entitled to the following benefits:</w:t>
      </w:r>
    </w:p>
    <w:p>
      <w:pPr>
        <w:spacing w:after="0" w:line="183" w:lineRule="exact"/>
        <w:rPr>
          <w:rFonts w:ascii="Courier New" w:cs="Courier New" w:eastAsia="Courier New" w:hAnsi="Courier New"/>
          <w:sz w:val="16"/>
          <w:szCs w:val="16"/>
          <w:color w:val="auto"/>
        </w:rPr>
      </w:pPr>
    </w:p>
    <w:p>
      <w:pPr>
        <w:ind w:left="1180" w:right="2979" w:hanging="7"/>
        <w:spacing w:after="0" w:line="252" w:lineRule="auto"/>
        <w:tabs>
          <w:tab w:leader="none" w:pos="2060"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 Allowance in the amount of one thousand ($1,000) dollars per month; and</w:t>
      </w:r>
    </w:p>
    <w:p>
      <w:pPr>
        <w:spacing w:after="0" w:line="183" w:lineRule="exact"/>
        <w:rPr>
          <w:rFonts w:ascii="Courier New" w:cs="Courier New" w:eastAsia="Courier New" w:hAnsi="Courier New"/>
          <w:sz w:val="16"/>
          <w:szCs w:val="16"/>
          <w:color w:val="auto"/>
        </w:rPr>
      </w:pPr>
    </w:p>
    <w:p>
      <w:pPr>
        <w:ind w:left="1180" w:right="2879" w:hanging="7"/>
        <w:spacing w:after="0" w:line="252" w:lineRule="auto"/>
        <w:tabs>
          <w:tab w:leader="none" w:pos="2060"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Planning Services at actual cost, and not to exceed ten thousand ($10,000) dollars annually.</w:t>
      </w:r>
    </w:p>
    <w:p>
      <w:pPr>
        <w:spacing w:after="0" w:line="183" w:lineRule="exact"/>
        <w:rPr>
          <w:rFonts w:ascii="Courier New" w:cs="Courier New" w:eastAsia="Courier New" w:hAnsi="Courier New"/>
          <w:sz w:val="16"/>
          <w:szCs w:val="16"/>
          <w:color w:val="auto"/>
        </w:rPr>
      </w:pPr>
    </w:p>
    <w:p>
      <w:pPr>
        <w:ind w:left="1180" w:right="2599" w:hanging="7"/>
        <w:spacing w:after="0" w:line="252" w:lineRule="auto"/>
        <w:tabs>
          <w:tab w:leader="none" w:pos="2060"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Physical Examination on a program designated by the Company.</w:t>
      </w:r>
    </w:p>
    <w:p>
      <w:pPr>
        <w:spacing w:after="0" w:line="183" w:lineRule="exact"/>
        <w:rPr>
          <w:sz w:val="20"/>
          <w:szCs w:val="20"/>
          <w:color w:val="auto"/>
        </w:rPr>
      </w:pPr>
    </w:p>
    <w:p>
      <w:pPr>
        <w:ind w:left="880" w:hanging="880"/>
        <w:spacing w:after="0"/>
        <w:tabs>
          <w:tab w:leader="none" w:pos="8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9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Executive's employment hereunder may be terminated under the following circumstances:</w:t>
      </w:r>
    </w:p>
    <w:p>
      <w:pPr>
        <w:spacing w:after="0" w:line="183" w:lineRule="exact"/>
        <w:rPr>
          <w:sz w:val="20"/>
          <w:szCs w:val="20"/>
          <w:color w:val="auto"/>
        </w:rPr>
      </w:pPr>
    </w:p>
    <w:p>
      <w:pPr>
        <w:ind w:left="880" w:right="3379" w:hanging="880"/>
        <w:spacing w:after="0" w:line="252" w:lineRule="auto"/>
        <w:tabs>
          <w:tab w:leader="none" w:pos="8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183" w:lineRule="exact"/>
        <w:rPr>
          <w:rFonts w:ascii="Courier New" w:cs="Courier New" w:eastAsia="Courier New" w:hAnsi="Courier New"/>
          <w:sz w:val="16"/>
          <w:szCs w:val="16"/>
          <w:color w:val="auto"/>
        </w:rPr>
      </w:pPr>
    </w:p>
    <w:p>
      <w:pPr>
        <w:ind w:left="880" w:right="2399" w:hanging="880"/>
        <w:spacing w:after="0" w:line="248" w:lineRule="auto"/>
        <w:tabs>
          <w:tab w:leader="none" w:pos="8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w:t>
      </w:r>
    </w:p>
    <w:p>
      <w:pPr>
        <w:spacing w:after="0" w:line="5" w:lineRule="exact"/>
        <w:rPr>
          <w:rFonts w:ascii="Courier New" w:cs="Courier New" w:eastAsia="Courier New" w:hAnsi="Courier New"/>
          <w:sz w:val="16"/>
          <w:szCs w:val="16"/>
          <w:color w:val="auto"/>
        </w:rPr>
      </w:pPr>
    </w:p>
    <w:p>
      <w:pPr>
        <w:ind w:left="880" w:right="2599"/>
        <w:spacing w:after="0" w:line="249" w:lineRule="auto"/>
        <w:tabs>
          <w:tab w:leader="none" w:pos="1369"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87" w:lineRule="exact"/>
        <w:rPr>
          <w:rFonts w:ascii="Courier New" w:cs="Courier New" w:eastAsia="Courier New" w:hAnsi="Courier New"/>
          <w:sz w:val="16"/>
          <w:szCs w:val="16"/>
          <w:color w:val="auto"/>
        </w:rPr>
      </w:pPr>
    </w:p>
    <w:p>
      <w:pPr>
        <w:ind w:left="880" w:right="2499" w:hanging="880"/>
        <w:spacing w:after="0" w:line="248" w:lineRule="auto"/>
        <w:tabs>
          <w:tab w:leader="none" w:pos="8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within ninety</w:t>
      </w:r>
    </w:p>
    <w:p>
      <w:pPr>
        <w:spacing w:after="0" w:line="1" w:lineRule="exact"/>
        <w:rPr>
          <w:rFonts w:ascii="Courier New" w:cs="Courier New" w:eastAsia="Courier New" w:hAnsi="Courier New"/>
          <w:sz w:val="16"/>
          <w:szCs w:val="16"/>
          <w:color w:val="auto"/>
        </w:rPr>
      </w:pPr>
    </w:p>
    <w:p>
      <w:pPr>
        <w:ind w:left="880" w:right="2699"/>
        <w:spacing w:after="0" w:line="252" w:lineRule="auto"/>
        <w:tabs>
          <w:tab w:leader="none" w:pos="1369"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Chairman of the Audit or Governance Committee of the Board has knowledge thereof.</w:t>
      </w:r>
    </w:p>
    <w:p>
      <w:pPr>
        <w:spacing w:after="0" w:line="183" w:lineRule="exact"/>
        <w:rPr>
          <w:sz w:val="20"/>
          <w:szCs w:val="20"/>
          <w:color w:val="auto"/>
        </w:rPr>
      </w:pPr>
    </w:p>
    <w:p>
      <w:pPr>
        <w:ind w:left="1760" w:right="2499" w:hanging="880"/>
        <w:spacing w:after="0" w:line="250" w:lineRule="auto"/>
        <w:tabs>
          <w:tab w:leader="none" w:pos="17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shall be limited to (1) willful misconduct by Executive with regard to the Company which has a material</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3 of 19</w:t>
      </w:r>
    </w:p>
    <w:p>
      <w:pPr>
        <w:sectPr>
          <w:pgSz w:w="11900" w:h="16838" w:orient="portrait"/>
          <w:cols w:equalWidth="0" w:num="1">
            <w:col w:w="10219"/>
          </w:cols>
          <w:pgMar w:left="240" w:top="304" w:right="1440" w:bottom="1440" w:gutter="0" w:footer="0" w:header="0"/>
        </w:sectPr>
      </w:pPr>
    </w:p>
    <w:bookmarkStart w:id="107" w:name="page108"/>
    <w:bookmarkEnd w:id="107"/>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adverse effect on the Company; (2) the willful refusal of Executive to attempt to follow the proper written direction of the Chief Executive Officer, the President, or the Board of Directors,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Chief Executive Officer, the President, or the Board of Directors,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374" w:lineRule="exact"/>
        <w:rPr>
          <w:sz w:val="20"/>
          <w:szCs w:val="20"/>
          <w:color w:val="auto"/>
        </w:rPr>
      </w:pPr>
    </w:p>
    <w:p>
      <w:pPr>
        <w:ind w:left="1760" w:right="2399" w:hanging="880"/>
        <w:spacing w:after="0" w:line="249" w:lineRule="auto"/>
        <w:tabs>
          <w:tab w:leader="none" w:pos="176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 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86" w:lineRule="exact"/>
        <w:rPr>
          <w:rFonts w:ascii="Courier New" w:cs="Courier New" w:eastAsia="Courier New" w:hAnsi="Courier New"/>
          <w:sz w:val="16"/>
          <w:szCs w:val="16"/>
          <w:color w:val="auto"/>
        </w:rPr>
      </w:pPr>
    </w:p>
    <w:p>
      <w:pPr>
        <w:ind w:left="880" w:right="2399" w:hanging="880"/>
        <w:spacing w:after="0" w:line="250" w:lineRule="auto"/>
        <w:tabs>
          <w:tab w:leader="none" w:pos="88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employment hereunder with or without Good Reason at any time upon written notice to the Company.</w:t>
      </w:r>
    </w:p>
    <w:p>
      <w:pPr>
        <w:spacing w:after="0" w:line="185"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4 of 19</w:t>
      </w:r>
    </w:p>
    <w:p>
      <w:pPr>
        <w:sectPr>
          <w:pgSz w:w="11900" w:h="16838" w:orient="portrait"/>
          <w:cols w:equalWidth="0" w:num="1">
            <w:col w:w="10219"/>
          </w:cols>
          <w:pgMar w:left="240" w:top="305"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left="1760" w:right="2399"/>
        <w:spacing w:after="0" w:line="248" w:lineRule="auto"/>
        <w:rPr>
          <w:sz w:val="20"/>
          <w:szCs w:val="20"/>
          <w:color w:val="auto"/>
        </w:rPr>
      </w:pPr>
      <w:r>
        <w:rPr>
          <w:rFonts w:ascii="Courier New" w:cs="Courier New" w:eastAsia="Courier New" w:hAnsi="Courier New"/>
          <w:sz w:val="16"/>
          <w:szCs w:val="16"/>
          <w:color w:val="auto"/>
        </w:rPr>
        <w:t>connection with the termination of Executive's employment for Cause or Total Disability or as a result of Executive's death, or temporarily as a result of Executive's illness or other absence), provided that a change in reporting structure shall not constitute Good Reason under any circumstances as long as Executive reports to the Chief Executive Officer, the President, the Chief Operating Officer, or an Executive Vice President; further provided that if the Company becomes a fifty percent or more subsidiary of any other entity, Executive shall be deemed to have a material diminution of his position unless he is also Senior Vice President of the ultimate parent entity; (2) removal of, or the non-re-election of, the Executive from officer positions with the Company specified herein or removal of the Executive from any of his then officer positions; (3) requiring Executive's principal place of business to be located other than in Houston, Texas;</w:t>
      </w:r>
    </w:p>
    <w:p>
      <w:pPr>
        <w:spacing w:after="0" w:line="11" w:lineRule="exact"/>
        <w:rPr>
          <w:sz w:val="20"/>
          <w:szCs w:val="20"/>
          <w:color w:val="auto"/>
        </w:rPr>
      </w:pPr>
    </w:p>
    <w:p>
      <w:pPr>
        <w:ind w:left="1760" w:right="2399" w:hanging="1"/>
        <w:spacing w:after="0" w:line="249" w:lineRule="auto"/>
        <w:tabs>
          <w:tab w:leader="none" w:pos="2151" w:val="left"/>
        </w:tabs>
        <w:numPr>
          <w:ilvl w:val="2"/>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186" w:lineRule="exact"/>
        <w:rPr>
          <w:rFonts w:ascii="Courier New" w:cs="Courier New" w:eastAsia="Courier New" w:hAnsi="Courier New"/>
          <w:sz w:val="16"/>
          <w:szCs w:val="16"/>
          <w:color w:val="auto"/>
        </w:rPr>
      </w:pPr>
    </w:p>
    <w:p>
      <w:pPr>
        <w:ind w:left="1760" w:right="2499" w:hanging="880"/>
        <w:spacing w:after="0" w:line="248" w:lineRule="auto"/>
        <w:tabs>
          <w:tab w:leader="none" w:pos="1760"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9" w:lineRule="exact"/>
        <w:rPr>
          <w:rFonts w:ascii="Courier New" w:cs="Courier New" w:eastAsia="Courier New" w:hAnsi="Courier New"/>
          <w:sz w:val="16"/>
          <w:szCs w:val="16"/>
          <w:color w:val="auto"/>
        </w:rPr>
      </w:pPr>
    </w:p>
    <w:p>
      <w:pPr>
        <w:ind w:left="1760" w:right="28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5(d)(i)(1) or (2) the date may be five (5) days after the giving of such notice.</w:t>
      </w:r>
    </w:p>
    <w:p>
      <w:pPr>
        <w:spacing w:after="0" w:line="183" w:lineRule="exact"/>
        <w:rPr>
          <w:rFonts w:ascii="Courier New" w:cs="Courier New" w:eastAsia="Courier New" w:hAnsi="Courier New"/>
          <w:sz w:val="16"/>
          <w:szCs w:val="16"/>
          <w:color w:val="auto"/>
        </w:rPr>
      </w:pPr>
    </w:p>
    <w:p>
      <w:pPr>
        <w:ind w:left="880" w:right="2399" w:hanging="880"/>
        <w:spacing w:after="0" w:line="248" w:lineRule="auto"/>
        <w:tabs>
          <w:tab w:leader="none" w:pos="88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upon written notice to Executive.</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5 of 19</w:t>
      </w:r>
    </w:p>
    <w:p>
      <w:pPr>
        <w:sectPr>
          <w:pgSz w:w="11900" w:h="16838" w:orient="portrait"/>
          <w:cols w:equalWidth="0" w:num="1">
            <w:col w:w="10219"/>
          </w:cols>
          <w:pgMar w:left="240" w:top="305" w:right="1440" w:bottom="1440" w:gutter="0" w:footer="0" w:header="0"/>
        </w:sectPr>
      </w:pPr>
    </w:p>
    <w:bookmarkStart w:id="109" w:name="page110"/>
    <w:bookmarkEnd w:id="109"/>
    <w:p>
      <w:pPr>
        <w:ind w:left="300"/>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ind w:left="880" w:right="2399" w:hanging="880"/>
        <w:spacing w:after="0" w:line="250" w:lineRule="auto"/>
        <w:tabs>
          <w:tab w:leader="none" w:pos="88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Upon any termination of employment, Executive shall immediately resign from all Board memberships and other positions with the Company or any of its subsidiaries held by him at such time.</w:t>
      </w:r>
    </w:p>
    <w:p>
      <w:pPr>
        <w:spacing w:after="0" w:line="185" w:lineRule="exact"/>
        <w:rPr>
          <w:sz w:val="20"/>
          <w:szCs w:val="20"/>
          <w:color w:val="auto"/>
        </w:rPr>
      </w:pPr>
    </w:p>
    <w:p>
      <w:pPr>
        <w:ind w:left="880" w:hanging="880"/>
        <w:spacing w:after="0"/>
        <w:tabs>
          <w:tab w:leader="none" w:pos="88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95"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185" w:lineRule="exact"/>
        <w:rPr>
          <w:sz w:val="20"/>
          <w:szCs w:val="20"/>
          <w:color w:val="auto"/>
        </w:rPr>
      </w:pPr>
    </w:p>
    <w:p>
      <w:pPr>
        <w:ind w:left="880" w:right="2599" w:hanging="880"/>
        <w:spacing w:after="0" w:line="250" w:lineRule="auto"/>
        <w:tabs>
          <w:tab w:leader="none" w:pos="88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Executive's employment is terminated by reason of Executive's death, the Company shall pay the following amounts to Executive's beneficiary or estate:</w:t>
      </w:r>
    </w:p>
    <w:p>
      <w:pPr>
        <w:spacing w:after="0" w:line="185"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375" w:lineRule="exact"/>
        <w:rPr>
          <w:rFonts w:ascii="Courier New" w:cs="Courier New" w:eastAsia="Courier New" w:hAnsi="Courier New"/>
          <w:sz w:val="16"/>
          <w:szCs w:val="16"/>
          <w:color w:val="auto"/>
        </w:rPr>
      </w:pPr>
    </w:p>
    <w:p>
      <w:pPr>
        <w:ind w:left="1760" w:right="2399" w:hanging="978"/>
        <w:spacing w:after="0" w:line="250" w:lineRule="auto"/>
        <w:tabs>
          <w:tab w:leader="none" w:pos="176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372" w:lineRule="exact"/>
        <w:rPr>
          <w:rFonts w:ascii="Courier New" w:cs="Courier New" w:eastAsia="Courier New" w:hAnsi="Courier New"/>
          <w:sz w:val="16"/>
          <w:szCs w:val="16"/>
          <w:color w:val="auto"/>
        </w:rPr>
      </w:pPr>
    </w:p>
    <w:p>
      <w:pPr>
        <w:ind w:left="1760" w:right="2499" w:hanging="978"/>
        <w:spacing w:after="0" w:line="249" w:lineRule="auto"/>
        <w:tabs>
          <w:tab w:leader="none" w:pos="176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87" w:lineRule="exact"/>
        <w:rPr>
          <w:rFonts w:ascii="Courier New" w:cs="Courier New" w:eastAsia="Courier New" w:hAnsi="Courier New"/>
          <w:sz w:val="16"/>
          <w:szCs w:val="16"/>
          <w:color w:val="auto"/>
        </w:rPr>
      </w:pPr>
    </w:p>
    <w:p>
      <w:pPr>
        <w:ind w:left="1760" w:right="2499" w:hanging="978"/>
        <w:spacing w:after="0" w:line="249" w:lineRule="auto"/>
        <w:tabs>
          <w:tab w:leader="none" w:pos="176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awarded to Executive shall be fully vested and Executive's estate or beneficiary shall have up to one (1) year from the date of death to exercise all such options,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760" w:hanging="978"/>
        <w:spacing w:after="0"/>
        <w:tabs>
          <w:tab w:leader="none" w:pos="176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4" w:lineRule="exact"/>
        <w:rPr>
          <w:rFonts w:ascii="Courier New" w:cs="Courier New" w:eastAsia="Courier New" w:hAnsi="Courier New"/>
          <w:sz w:val="16"/>
          <w:szCs w:val="16"/>
          <w:color w:val="auto"/>
        </w:rPr>
      </w:pPr>
    </w:p>
    <w:p>
      <w:pPr>
        <w:ind w:left="880" w:right="2599" w:hanging="880"/>
        <w:spacing w:after="0" w:line="249" w:lineRule="auto"/>
        <w:tabs>
          <w:tab w:leader="none" w:pos="88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375" w:lineRule="exact"/>
        <w:rPr>
          <w:rFonts w:ascii="Courier New" w:cs="Courier New" w:eastAsia="Courier New" w:hAnsi="Courier New"/>
          <w:sz w:val="16"/>
          <w:szCs w:val="16"/>
          <w:color w:val="auto"/>
        </w:rPr>
      </w:pPr>
    </w:p>
    <w:p>
      <w:pPr>
        <w:ind w:left="1760" w:right="2699" w:hanging="978"/>
        <w:spacing w:after="0" w:line="252" w:lineRule="auto"/>
        <w:tabs>
          <w:tab w:leader="none" w:pos="176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6 of 19</w:t>
      </w:r>
    </w:p>
    <w:p>
      <w:pPr>
        <w:sectPr>
          <w:pgSz w:w="11900" w:h="16838" w:orient="portrait"/>
          <w:cols w:equalWidth="0" w:num="1">
            <w:col w:w="10219"/>
          </w:cols>
          <w:pgMar w:left="240" w:top="305"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187" w:lineRule="exact"/>
        <w:rPr>
          <w:sz w:val="20"/>
          <w:szCs w:val="20"/>
          <w:color w:val="auto"/>
        </w:rPr>
      </w:pPr>
    </w:p>
    <w:p>
      <w:pPr>
        <w:ind w:left="1760" w:right="2399" w:hanging="978"/>
        <w:spacing w:after="0" w:line="249" w:lineRule="auto"/>
        <w:tabs>
          <w:tab w:leader="none" w:pos="176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87" w:lineRule="exact"/>
        <w:rPr>
          <w:rFonts w:ascii="Courier New" w:cs="Courier New" w:eastAsia="Courier New" w:hAnsi="Courier New"/>
          <w:sz w:val="16"/>
          <w:szCs w:val="16"/>
          <w:color w:val="auto"/>
        </w:rPr>
      </w:pPr>
    </w:p>
    <w:p>
      <w:pPr>
        <w:ind w:left="1760" w:right="2499" w:hanging="978"/>
        <w:spacing w:after="0" w:line="249" w:lineRule="auto"/>
        <w:tabs>
          <w:tab w:leader="none" w:pos="176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 provided that in no event will any option be exercisable beyond its term.</w:t>
      </w:r>
    </w:p>
    <w:p>
      <w:pPr>
        <w:spacing w:after="0" w:line="187" w:lineRule="exact"/>
        <w:rPr>
          <w:rFonts w:ascii="Courier New" w:cs="Courier New" w:eastAsia="Courier New" w:hAnsi="Courier New"/>
          <w:sz w:val="16"/>
          <w:szCs w:val="16"/>
          <w:color w:val="auto"/>
        </w:rPr>
      </w:pPr>
    </w:p>
    <w:p>
      <w:pPr>
        <w:ind w:left="1760" w:hanging="978"/>
        <w:spacing w:after="0"/>
        <w:tabs>
          <w:tab w:leader="none" w:pos="176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4" w:lineRule="exact"/>
        <w:rPr>
          <w:rFonts w:ascii="Courier New" w:cs="Courier New" w:eastAsia="Courier New" w:hAnsi="Courier New"/>
          <w:sz w:val="16"/>
          <w:szCs w:val="16"/>
          <w:color w:val="auto"/>
        </w:rPr>
      </w:pPr>
    </w:p>
    <w:p>
      <w:pPr>
        <w:ind w:left="880" w:right="2799" w:hanging="880"/>
        <w:spacing w:after="0" w:line="250" w:lineRule="auto"/>
        <w:tabs>
          <w:tab w:leader="none" w:pos="88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the Company shall pay the following amounts to Executive:</w:t>
      </w:r>
    </w:p>
    <w:p>
      <w:pPr>
        <w:spacing w:after="0" w:line="185" w:lineRule="exact"/>
        <w:rPr>
          <w:rFonts w:ascii="Courier New" w:cs="Courier New" w:eastAsia="Courier New" w:hAnsi="Courier New"/>
          <w:sz w:val="16"/>
          <w:szCs w:val="16"/>
          <w:color w:val="auto"/>
        </w:rPr>
      </w:pPr>
    </w:p>
    <w:p>
      <w:pPr>
        <w:ind w:left="1760" w:right="2599" w:hanging="978"/>
        <w:spacing w:after="0" w:line="249" w:lineRule="auto"/>
        <w:tabs>
          <w:tab w:leader="none" w:pos="176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hanging="978"/>
        <w:spacing w:after="0"/>
        <w:tabs>
          <w:tab w:leader="none" w:pos="176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7 of 19</w:t>
      </w:r>
    </w:p>
    <w:p>
      <w:pPr>
        <w:sectPr>
          <w:pgSz w:w="11900" w:h="16838" w:orient="portrait"/>
          <w:cols w:equalWidth="0" w:num="1">
            <w:col w:w="10219"/>
          </w:cols>
          <w:pgMar w:left="240" w:top="304"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ind w:left="1760" w:right="2599"/>
        <w:spacing w:after="0" w:line="249" w:lineRule="auto"/>
        <w:rPr>
          <w:sz w:val="20"/>
          <w:szCs w:val="20"/>
          <w:color w:val="auto"/>
        </w:rPr>
      </w:pPr>
      <w:r>
        <w:rPr>
          <w:rFonts w:ascii="Courier New" w:cs="Courier New" w:eastAsia="Courier New" w:hAnsi="Courier New"/>
          <w:sz w:val="16"/>
          <w:szCs w:val="16"/>
          <w:color w:val="auto"/>
        </w:rPr>
        <w:t>Any options, restricted stock or other awards that have not vested prior to the date of such termination of employment shall be cancelled to the extent not then vested, and any options held by Executive shall be cancelled, whether or not then vested.</w:t>
      </w:r>
    </w:p>
    <w:p>
      <w:pPr>
        <w:spacing w:after="0" w:line="375" w:lineRule="exact"/>
        <w:rPr>
          <w:sz w:val="20"/>
          <w:szCs w:val="20"/>
          <w:color w:val="auto"/>
        </w:rPr>
      </w:pPr>
    </w:p>
    <w:p>
      <w:pPr>
        <w:ind w:left="780" w:right="3079" w:hanging="780"/>
        <w:spacing w:after="0" w:line="250" w:lineRule="auto"/>
        <w:tabs>
          <w:tab w:leader="none" w:pos="78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In the event that Executive voluntarily terminates employment other than for Good Reason, the Company shall pay the following amounts to Executive:</w:t>
      </w:r>
    </w:p>
    <w:p>
      <w:pPr>
        <w:spacing w:after="0" w:line="185" w:lineRule="exact"/>
        <w:rPr>
          <w:rFonts w:ascii="Courier New" w:cs="Courier New" w:eastAsia="Courier New" w:hAnsi="Courier New"/>
          <w:sz w:val="16"/>
          <w:szCs w:val="16"/>
          <w:color w:val="auto"/>
        </w:rPr>
      </w:pPr>
    </w:p>
    <w:p>
      <w:pPr>
        <w:ind w:left="1760" w:right="2599" w:hanging="978"/>
        <w:spacing w:after="0" w:line="249" w:lineRule="auto"/>
        <w:tabs>
          <w:tab w:leader="none" w:pos="1760"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hanging="978"/>
        <w:spacing w:after="0"/>
        <w:tabs>
          <w:tab w:leader="none" w:pos="1760"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Any options, restricted stock or other awards that have not vested prior to the date of such termination of employment shall be cancelled to the extent not then vested, and Executive shall have 90 days following termination of employment to exercise any previously vested options; provided that in no event will any option be exercisable beyond its term.</w:t>
      </w:r>
    </w:p>
    <w:p>
      <w:pPr>
        <w:spacing w:after="0" w:line="187" w:lineRule="exact"/>
        <w:rPr>
          <w:sz w:val="20"/>
          <w:szCs w:val="20"/>
          <w:color w:val="auto"/>
        </w:rPr>
      </w:pPr>
    </w:p>
    <w:p>
      <w:pPr>
        <w:ind w:left="880" w:right="2399" w:hanging="880"/>
        <w:spacing w:after="0" w:line="249" w:lineRule="auto"/>
        <w:tabs>
          <w:tab w:leader="none" w:pos="8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187"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7" w:lineRule="exact"/>
        <w:rPr>
          <w:rFonts w:ascii="Courier New" w:cs="Courier New" w:eastAsia="Courier New" w:hAnsi="Courier New"/>
          <w:sz w:val="16"/>
          <w:szCs w:val="16"/>
          <w:color w:val="auto"/>
        </w:rPr>
      </w:pPr>
    </w:p>
    <w:p>
      <w:pPr>
        <w:jc w:val="both"/>
        <w:ind w:left="1760" w:right="2699" w:hanging="978"/>
        <w:spacing w:after="0" w:line="249" w:lineRule="auto"/>
        <w:tabs>
          <w:tab w:leader="none" w:pos="176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87"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8 of 19</w:t>
      </w:r>
    </w:p>
    <w:p>
      <w:pPr>
        <w:sectPr>
          <w:pgSz w:w="11900" w:h="16838" w:orient="portrait"/>
          <w:cols w:equalWidth="0" w:num="1">
            <w:col w:w="10219"/>
          </w:cols>
          <w:pgMar w:left="240" w:top="305" w:right="1440" w:bottom="1440" w:gutter="0" w:footer="0" w:header="0"/>
        </w:sectPr>
      </w:pPr>
    </w:p>
    <w:bookmarkStart w:id="112" w:name="page113"/>
    <w:bookmarkEnd w:id="112"/>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ind w:left="1760" w:right="2499"/>
        <w:spacing w:after="0" w:line="252" w:lineRule="auto"/>
        <w:rPr>
          <w:sz w:val="20"/>
          <w:szCs w:val="20"/>
          <w:color w:val="auto"/>
        </w:rPr>
      </w:pPr>
      <w:r>
        <w:rPr>
          <w:rFonts w:ascii="Courier New" w:cs="Courier New" w:eastAsia="Courier New" w:hAnsi="Courier New"/>
          <w:sz w:val="16"/>
          <w:szCs w:val="16"/>
          <w:color w:val="auto"/>
        </w:rPr>
        <w:t>have been paid if Executive had remained in active employment until the end of such period.</w:t>
      </w:r>
    </w:p>
    <w:p>
      <w:pPr>
        <w:spacing w:after="0" w:line="183" w:lineRule="exact"/>
        <w:rPr>
          <w:sz w:val="20"/>
          <w:szCs w:val="20"/>
          <w:color w:val="auto"/>
        </w:rPr>
      </w:pPr>
    </w:p>
    <w:p>
      <w:pPr>
        <w:ind w:left="1760" w:right="2399" w:hanging="978"/>
        <w:spacing w:after="0" w:line="249" w:lineRule="auto"/>
        <w:tabs>
          <w:tab w:leader="none" w:pos="176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two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86" w:lineRule="exact"/>
        <w:rPr>
          <w:rFonts w:ascii="Courier New" w:cs="Courier New" w:eastAsia="Courier New" w:hAnsi="Courier New"/>
          <w:sz w:val="16"/>
          <w:szCs w:val="16"/>
          <w:color w:val="auto"/>
        </w:rPr>
      </w:pPr>
    </w:p>
    <w:p>
      <w:pPr>
        <w:ind w:left="1760" w:right="2499" w:hanging="978"/>
        <w:spacing w:after="0" w:line="249" w:lineRule="auto"/>
        <w:tabs>
          <w:tab w:leader="none" w:pos="176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of the Company, pro-rated for the fiscal year in which the Executive is terminated.</w:t>
      </w:r>
    </w:p>
    <w:p>
      <w:pPr>
        <w:spacing w:after="0" w:line="186"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will any option be exercisable beyond its term.</w:t>
      </w:r>
    </w:p>
    <w:p>
      <w:pPr>
        <w:spacing w:after="0" w:line="375" w:lineRule="exact"/>
        <w:rPr>
          <w:rFonts w:ascii="Courier New" w:cs="Courier New" w:eastAsia="Courier New" w:hAnsi="Courier New"/>
          <w:sz w:val="16"/>
          <w:szCs w:val="16"/>
          <w:color w:val="auto"/>
        </w:rPr>
      </w:pPr>
    </w:p>
    <w:p>
      <w:pPr>
        <w:ind w:left="1760" w:hanging="978"/>
        <w:spacing w:after="0"/>
        <w:tabs>
          <w:tab w:leader="none" w:pos="176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specifically provided herein.</w:t>
      </w:r>
    </w:p>
    <w:p>
      <w:pPr>
        <w:spacing w:after="0" w:line="194"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87" w:lineRule="exact"/>
        <w:rPr>
          <w:rFonts w:ascii="Courier New" w:cs="Courier New" w:eastAsia="Courier New" w:hAnsi="Courier New"/>
          <w:sz w:val="16"/>
          <w:szCs w:val="16"/>
          <w:color w:val="auto"/>
        </w:rPr>
      </w:pPr>
    </w:p>
    <w:p>
      <w:pPr>
        <w:ind w:left="880" w:right="2699" w:hanging="880"/>
        <w:spacing w:after="0" w:line="250" w:lineRule="auto"/>
        <w:tabs>
          <w:tab w:leader="none" w:pos="88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MITIGATION; NO SET-OFF. In the event of any termination of employment hereunder, Executive shall be under no obligation to seek other employment and there shall be no</w:t>
      </w:r>
    </w:p>
    <w:p>
      <w:pPr>
        <w:spacing w:after="0" w:line="37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9 of 19</w:t>
      </w:r>
    </w:p>
    <w:p>
      <w:pPr>
        <w:sectPr>
          <w:pgSz w:w="11900" w:h="16838" w:orient="portrait"/>
          <w:cols w:equalWidth="0" w:num="1">
            <w:col w:w="10219"/>
          </w:cols>
          <w:pgMar w:left="240" w:top="305" w:right="1440" w:bottom="1440" w:gutter="0" w:footer="0" w:header="0"/>
        </w:sectPr>
      </w:pPr>
    </w:p>
    <w:bookmarkStart w:id="113" w:name="page114"/>
    <w:bookmarkEnd w:id="113"/>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375" w:lineRule="exact"/>
        <w:rPr>
          <w:sz w:val="20"/>
          <w:szCs w:val="20"/>
          <w:color w:val="auto"/>
        </w:rPr>
      </w:pPr>
    </w:p>
    <w:p>
      <w:pPr>
        <w:ind w:left="880" w:right="2979" w:hanging="880"/>
        <w:spacing w:after="0" w:line="252" w:lineRule="auto"/>
        <w:tabs>
          <w:tab w:leader="none" w:pos="88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183" w:lineRule="exact"/>
        <w:rPr>
          <w:sz w:val="20"/>
          <w:szCs w:val="20"/>
          <w:color w:val="auto"/>
        </w:rPr>
      </w:pPr>
    </w:p>
    <w:p>
      <w:pPr>
        <w:ind w:left="880" w:right="2399" w:hanging="880"/>
        <w:spacing w:after="0" w:line="249" w:lineRule="auto"/>
        <w:tabs>
          <w:tab w:leader="none" w:pos="88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87" w:lineRule="exact"/>
        <w:rPr>
          <w:rFonts w:ascii="Courier New" w:cs="Courier New" w:eastAsia="Courier New" w:hAnsi="Courier New"/>
          <w:sz w:val="16"/>
          <w:szCs w:val="16"/>
          <w:color w:val="auto"/>
        </w:rPr>
      </w:pPr>
    </w:p>
    <w:p>
      <w:pPr>
        <w:ind w:left="1760" w:right="2399" w:hanging="880"/>
        <w:spacing w:after="0" w:line="252" w:lineRule="auto"/>
        <w:tabs>
          <w:tab w:leader="none" w:pos="176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payments and benefits provided for in Section 6(e), except that the amount shall be paid in a lump-sum.</w:t>
      </w:r>
    </w:p>
    <w:p>
      <w:pPr>
        <w:spacing w:after="0" w:line="183"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will be 100% vested in all benefits, awards, and grants (including stock option grants and stock awards; all of such stock options exercisable for two (2)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85"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ADDITIONAL PAYMENTS BY THE COMPANY.</w:t>
      </w:r>
    </w:p>
    <w:p>
      <w:pPr>
        <w:spacing w:after="0" w:line="194" w:lineRule="exact"/>
        <w:rPr>
          <w:rFonts w:ascii="Courier New" w:cs="Courier New" w:eastAsia="Courier New" w:hAnsi="Courier New"/>
          <w:sz w:val="16"/>
          <w:szCs w:val="16"/>
          <w:color w:val="auto"/>
        </w:rPr>
      </w:pPr>
    </w:p>
    <w:p>
      <w:pPr>
        <w:ind w:left="1760" w:right="2599" w:hanging="880"/>
        <w:spacing w:after="0" w:line="249" w:lineRule="auto"/>
        <w:tabs>
          <w:tab w:leader="none" w:pos="176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10 of 19</w:t>
      </w:r>
    </w:p>
    <w:p>
      <w:pPr>
        <w:sectPr>
          <w:pgSz w:w="11900" w:h="16838" w:orient="portrait"/>
          <w:cols w:equalWidth="0" w:num="1">
            <w:col w:w="10219"/>
          </w:cols>
          <w:pgMar w:left="240" w:top="305"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left="1460" w:right="2399"/>
        <w:spacing w:after="0" w:line="249" w:lineRule="auto"/>
        <w:rPr>
          <w:sz w:val="20"/>
          <w:szCs w:val="20"/>
          <w:color w:val="auto"/>
        </w:rPr>
      </w:pPr>
      <w:r>
        <w:rPr>
          <w:rFonts w:ascii="Courier New" w:cs="Courier New" w:eastAsia="Courier New" w:hAnsi="Courier New"/>
          <w:sz w:val="16"/>
          <w:szCs w:val="16"/>
          <w:color w:val="auto"/>
        </w:rPr>
        <w:t>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375" w:lineRule="exact"/>
        <w:rPr>
          <w:sz w:val="20"/>
          <w:szCs w:val="20"/>
          <w:color w:val="auto"/>
        </w:rPr>
      </w:pPr>
    </w:p>
    <w:p>
      <w:pPr>
        <w:ind w:left="1460" w:right="2399" w:hanging="978"/>
        <w:spacing w:after="0" w:line="249" w:lineRule="auto"/>
        <w:tabs>
          <w:tab w:leader="none" w:pos="146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86" w:lineRule="exact"/>
        <w:rPr>
          <w:rFonts w:ascii="Courier New" w:cs="Courier New" w:eastAsia="Courier New" w:hAnsi="Courier New"/>
          <w:sz w:val="16"/>
          <w:szCs w:val="16"/>
          <w:color w:val="auto"/>
        </w:rPr>
      </w:pPr>
    </w:p>
    <w:p>
      <w:pPr>
        <w:ind w:left="1460" w:right="2399" w:hanging="880"/>
        <w:spacing w:after="0" w:line="249" w:lineRule="auto"/>
        <w:tabs>
          <w:tab w:leader="none" w:pos="1460"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w:t>
      </w:r>
    </w:p>
    <w:p>
      <w:pPr>
        <w:spacing w:after="0" w:line="37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Page 11 of 19</w:t>
      </w:r>
    </w:p>
    <w:p>
      <w:pPr>
        <w:sectPr>
          <w:pgSz w:w="11900" w:h="16838" w:orient="portrait"/>
          <w:cols w:equalWidth="0" w:num="1">
            <w:col w:w="9919"/>
          </w:cols>
          <w:pgMar w:left="540" w:top="304"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left="1460" w:right="2399"/>
        <w:spacing w:after="0" w:line="249" w:lineRule="auto"/>
        <w:rPr>
          <w:sz w:val="20"/>
          <w:szCs w:val="20"/>
          <w:color w:val="auto"/>
        </w:rPr>
      </w:pPr>
      <w:r>
        <w:rPr>
          <w:rFonts w:ascii="Courier New" w:cs="Courier New" w:eastAsia="Courier New" w:hAnsi="Courier New"/>
          <w:sz w:val="16"/>
          <w:szCs w:val="16"/>
          <w:color w:val="auto"/>
        </w:rPr>
        <w:t>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375" w:lineRule="exact"/>
        <w:rPr>
          <w:sz w:val="20"/>
          <w:szCs w:val="20"/>
          <w:color w:val="auto"/>
        </w:rPr>
      </w:pPr>
    </w:p>
    <w:p>
      <w:pPr>
        <w:ind w:left="1460" w:right="2399"/>
        <w:spacing w:after="0" w:line="249" w:lineRule="auto"/>
        <w:rPr>
          <w:sz w:val="20"/>
          <w:szCs w:val="20"/>
          <w:color w:val="auto"/>
        </w:rPr>
      </w:pPr>
      <w:r>
        <w:rPr>
          <w:rFonts w:ascii="Courier New" w:cs="Courier New" w:eastAsia="Courier New" w:hAnsi="Courier New"/>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87" w:lineRule="exact"/>
        <w:rPr>
          <w:sz w:val="20"/>
          <w:szCs w:val="20"/>
          <w:color w:val="auto"/>
        </w:rPr>
      </w:pPr>
    </w:p>
    <w:p>
      <w:pPr>
        <w:ind w:left="1460" w:right="2399" w:hanging="880"/>
        <w:spacing w:after="0" w:line="249" w:lineRule="auto"/>
        <w:tabs>
          <w:tab w:leader="none" w:pos="1460"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185" w:lineRule="exact"/>
        <w:rPr>
          <w:rFonts w:ascii="Courier New" w:cs="Courier New" w:eastAsia="Courier New" w:hAnsi="Courier New"/>
          <w:sz w:val="16"/>
          <w:szCs w:val="16"/>
          <w:color w:val="auto"/>
        </w:rPr>
      </w:pPr>
    </w:p>
    <w:p>
      <w:pPr>
        <w:ind w:left="1460" w:right="2399" w:hanging="978"/>
        <w:spacing w:after="0" w:line="249" w:lineRule="auto"/>
        <w:tabs>
          <w:tab w:leader="none" w:pos="14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w:t>
      </w:r>
    </w:p>
    <w:p>
      <w:pPr>
        <w:spacing w:after="0" w:line="18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Page 12 of 19</w:t>
      </w:r>
    </w:p>
    <w:p>
      <w:pPr>
        <w:sectPr>
          <w:pgSz w:w="11900" w:h="16838" w:orient="portrait"/>
          <w:cols w:equalWidth="0" w:num="1">
            <w:col w:w="9919"/>
          </w:cols>
          <w:pgMar w:left="540" w:top="304" w:right="1440" w:bottom="1440" w:gutter="0" w:footer="0" w:header="0"/>
        </w:sectPr>
      </w:pPr>
    </w:p>
    <w:bookmarkStart w:id="116" w:name="page117"/>
    <w:bookmarkEnd w:id="116"/>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left="1760" w:right="3079"/>
        <w:spacing w:after="0" w:line="250" w:lineRule="auto"/>
        <w:rPr>
          <w:sz w:val="20"/>
          <w:szCs w:val="20"/>
          <w:color w:val="auto"/>
        </w:rPr>
      </w:pPr>
      <w:r>
        <w:rPr>
          <w:rFonts w:ascii="Courier New" w:cs="Courier New" w:eastAsia="Courier New" w:hAnsi="Courier New"/>
          <w:sz w:val="16"/>
          <w:szCs w:val="16"/>
          <w:color w:val="auto"/>
        </w:rPr>
        <w:t>the Executive, and the Executive and the Executive's representative shall cooperate with the Company and its representative.</w:t>
      </w:r>
    </w:p>
    <w:p>
      <w:pPr>
        <w:spacing w:after="0" w:line="185" w:lineRule="exact"/>
        <w:rPr>
          <w:sz w:val="20"/>
          <w:szCs w:val="20"/>
          <w:color w:val="auto"/>
        </w:rPr>
      </w:pPr>
    </w:p>
    <w:p>
      <w:pPr>
        <w:ind w:left="1760" w:right="3079" w:hanging="880"/>
        <w:spacing w:after="0" w:line="252" w:lineRule="auto"/>
        <w:tabs>
          <w:tab w:leader="none" w:pos="1760" w:val="left"/>
        </w:tabs>
        <w:numPr>
          <w:ilvl w:val="2"/>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responsible for all charges of the Accountant.</w:t>
      </w:r>
    </w:p>
    <w:p>
      <w:pPr>
        <w:spacing w:after="0" w:line="183"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2"/>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87" w:lineRule="exact"/>
        <w:rPr>
          <w:rFonts w:ascii="Courier New" w:cs="Courier New" w:eastAsia="Courier New" w:hAnsi="Courier New"/>
          <w:sz w:val="16"/>
          <w:szCs w:val="16"/>
          <w:color w:val="auto"/>
        </w:rPr>
      </w:pPr>
    </w:p>
    <w:p>
      <w:pPr>
        <w:ind w:left="880" w:right="2399" w:hanging="880"/>
        <w:spacing w:after="0" w:line="252" w:lineRule="auto"/>
        <w:tabs>
          <w:tab w:leader="none" w:pos="88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183"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87"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374" w:lineRule="exact"/>
        <w:rPr>
          <w:rFonts w:ascii="Courier New" w:cs="Courier New" w:eastAsia="Courier New" w:hAnsi="Courier New"/>
          <w:sz w:val="16"/>
          <w:szCs w:val="16"/>
          <w:color w:val="auto"/>
        </w:rPr>
      </w:pPr>
    </w:p>
    <w:p>
      <w:pPr>
        <w:ind w:left="1760" w:right="2399" w:hanging="978"/>
        <w:spacing w:after="0" w:line="248" w:lineRule="auto"/>
        <w:tabs>
          <w:tab w:leader="none" w:pos="1760" w:val="left"/>
        </w:tabs>
        <w:numPr>
          <w:ilvl w:val="2"/>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w:t>
      </w:r>
    </w:p>
    <w:p>
      <w:pPr>
        <w:spacing w:after="0" w:line="6" w:lineRule="exact"/>
        <w:rPr>
          <w:rFonts w:ascii="Courier New" w:cs="Courier New" w:eastAsia="Courier New" w:hAnsi="Courier New"/>
          <w:sz w:val="16"/>
          <w:szCs w:val="16"/>
          <w:color w:val="auto"/>
        </w:rPr>
      </w:pPr>
    </w:p>
    <w:p>
      <w:pPr>
        <w:ind w:left="1760" w:right="2499" w:hanging="1"/>
        <w:spacing w:after="0" w:line="249" w:lineRule="auto"/>
        <w:tabs>
          <w:tab w:leader="none" w:pos="2151" w:val="left"/>
        </w:tabs>
        <w:numPr>
          <w:ilvl w:val="3"/>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13 of 19</w:t>
      </w:r>
    </w:p>
    <w:p>
      <w:pPr>
        <w:sectPr>
          <w:pgSz w:w="11900" w:h="16838" w:orient="portrait"/>
          <w:cols w:equalWidth="0" w:num="1">
            <w:col w:w="10219"/>
          </w:cols>
          <w:pgMar w:left="240" w:top="304" w:right="1440" w:bottom="1440" w:gutter="0" w:footer="0" w:header="0"/>
        </w:sectPr>
      </w:pPr>
    </w:p>
    <w:bookmarkStart w:id="117" w:name="page118"/>
    <w:bookmarkEnd w:id="117"/>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ind w:left="1760" w:right="2399" w:hanging="978"/>
        <w:spacing w:after="0" w:line="249" w:lineRule="auto"/>
        <w:tabs>
          <w:tab w:leader="none" w:pos="176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7"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For purposes of this Section 7(c), the following terms shall have the following meanings:</w:t>
      </w:r>
    </w:p>
    <w:p>
      <w:pPr>
        <w:spacing w:after="0" w:line="183" w:lineRule="exact"/>
        <w:rPr>
          <w:sz w:val="20"/>
          <w:szCs w:val="20"/>
          <w:color w:val="auto"/>
        </w:rPr>
      </w:pPr>
    </w:p>
    <w:p>
      <w:pPr>
        <w:ind w:left="1760" w:right="2399" w:hanging="978"/>
        <w:spacing w:after="0" w:line="249" w:lineRule="auto"/>
        <w:tabs>
          <w:tab w:leader="none" w:pos="1760"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 affiliate of the Company, as defined in Rule 12b-2 promulgated under Section 12 of the Securities Exchange Act of 1934, as amended from time to time (the "Exchange Act");</w:t>
      </w:r>
    </w:p>
    <w:p>
      <w:pPr>
        <w:spacing w:after="0" w:line="187" w:lineRule="exact"/>
        <w:rPr>
          <w:rFonts w:ascii="Courier New" w:cs="Courier New" w:eastAsia="Courier New" w:hAnsi="Courier New"/>
          <w:sz w:val="16"/>
          <w:szCs w:val="16"/>
          <w:color w:val="auto"/>
        </w:rPr>
      </w:pPr>
    </w:p>
    <w:p>
      <w:pPr>
        <w:ind w:left="1760" w:right="2699" w:hanging="978"/>
        <w:spacing w:after="0" w:line="252" w:lineRule="auto"/>
        <w:tabs>
          <w:tab w:leader="none" w:pos="1760"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shall have the meaning set forth in Rule 13d-3 under the Exchange Act;</w:t>
      </w:r>
    </w:p>
    <w:p>
      <w:pPr>
        <w:spacing w:after="0" w:line="183" w:lineRule="exact"/>
        <w:rPr>
          <w:rFonts w:ascii="Courier New" w:cs="Courier New" w:eastAsia="Courier New" w:hAnsi="Courier New"/>
          <w:sz w:val="16"/>
          <w:szCs w:val="16"/>
          <w:color w:val="auto"/>
        </w:rPr>
      </w:pPr>
    </w:p>
    <w:p>
      <w:pPr>
        <w:ind w:left="1760" w:right="2399" w:hanging="978"/>
        <w:spacing w:after="0" w:line="249" w:lineRule="auto"/>
        <w:tabs>
          <w:tab w:leader="none" w:pos="1760"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95" w:lineRule="exact"/>
        <w:rPr>
          <w:sz w:val="20"/>
          <w:szCs w:val="20"/>
          <w:color w:val="auto"/>
        </w:rPr>
      </w:pPr>
    </w:p>
    <w:p>
      <w:pPr>
        <w:ind w:left="880" w:right="2499" w:hanging="880"/>
        <w:spacing w:after="0" w:line="248" w:lineRule="auto"/>
        <w:tabs>
          <w:tab w:leader="none" w:pos="88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ACTIVITY. Executive covenants and agrees that at all times during Executive's period of employment with the Company, and for two</w:t>
      </w:r>
    </w:p>
    <w:p>
      <w:pPr>
        <w:spacing w:after="0" w:line="1" w:lineRule="exact"/>
        <w:rPr>
          <w:rFonts w:ascii="Courier New" w:cs="Courier New" w:eastAsia="Courier New" w:hAnsi="Courier New"/>
          <w:sz w:val="16"/>
          <w:szCs w:val="16"/>
          <w:color w:val="auto"/>
        </w:rPr>
      </w:pPr>
    </w:p>
    <w:p>
      <w:pPr>
        <w:ind w:left="880" w:right="2399"/>
        <w:spacing w:after="0" w:line="249" w:lineRule="auto"/>
        <w:tabs>
          <w:tab w:leader="none" w:pos="1271" w:val="left"/>
        </w:tabs>
        <w:numPr>
          <w:ilvl w:val="1"/>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w:t>
      </w:r>
    </w:p>
    <w:p>
      <w:pPr>
        <w:spacing w:after="0" w:line="374" w:lineRule="exact"/>
        <w:rPr>
          <w:rFonts w:ascii="Courier New" w:cs="Courier New" w:eastAsia="Courier New" w:hAnsi="Courier New"/>
          <w:sz w:val="16"/>
          <w:szCs w:val="16"/>
          <w:color w:val="auto"/>
        </w:rPr>
      </w:pPr>
    </w:p>
    <w:p>
      <w:pPr>
        <w:jc w:val="both"/>
        <w:ind w:left="880" w:right="2799" w:hanging="880"/>
        <w:spacing w:after="0" w:line="249" w:lineRule="auto"/>
        <w:tabs>
          <w:tab w:leader="none" w:pos="88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Executive covenants and agrees that at all times during Executive's period of employment with the Company, and for a period of two (2) years after the Termination thereof, whether such termination is voluntary or involuntary by wrongful</w:t>
      </w:r>
    </w:p>
    <w:p>
      <w:pPr>
        <w:spacing w:after="0" w:line="18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14 of 19</w:t>
      </w:r>
    </w:p>
    <w:p>
      <w:pPr>
        <w:sectPr>
          <w:pgSz w:w="11900" w:h="16838" w:orient="portrait"/>
          <w:cols w:equalWidth="0" w:num="1">
            <w:col w:w="10219"/>
          </w:cols>
          <w:pgMar w:left="240" w:top="304" w:right="1440" w:bottom="1440" w:gutter="0" w:footer="0" w:header="0"/>
        </w:sectPr>
      </w:pPr>
    </w:p>
    <w:bookmarkStart w:id="118" w:name="page119"/>
    <w:bookmarkEnd w:id="118"/>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186" w:lineRule="exact"/>
        <w:rPr>
          <w:sz w:val="20"/>
          <w:szCs w:val="20"/>
          <w:color w:val="auto"/>
        </w:rPr>
      </w:pPr>
    </w:p>
    <w:p>
      <w:pPr>
        <w:ind w:left="880" w:right="2499" w:hanging="880"/>
        <w:spacing w:after="0" w:line="248" w:lineRule="auto"/>
        <w:tabs>
          <w:tab w:leader="none" w:pos="8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3" w:lineRule="exact"/>
        <w:rPr>
          <w:rFonts w:ascii="Courier New" w:cs="Courier New" w:eastAsia="Courier New" w:hAnsi="Courier New"/>
          <w:sz w:val="16"/>
          <w:szCs w:val="16"/>
          <w:color w:val="auto"/>
        </w:rPr>
      </w:pPr>
    </w:p>
    <w:p>
      <w:pPr>
        <w:ind w:left="880" w:right="2399"/>
        <w:spacing w:after="0" w:line="249" w:lineRule="auto"/>
        <w:tabs>
          <w:tab w:leader="none" w:pos="1369"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 (i) while employed by the Company, Executive may in good faith make disclosures he believes desirable, provided that are authorized by the Company or otherwise in accordance with Company policy, and (ii) Executive may comply with legal process.</w:t>
      </w:r>
    </w:p>
    <w:p>
      <w:pPr>
        <w:spacing w:after="0" w:line="186" w:lineRule="exact"/>
        <w:rPr>
          <w:sz w:val="20"/>
          <w:szCs w:val="20"/>
          <w:color w:val="auto"/>
        </w:rPr>
      </w:pPr>
    </w:p>
    <w:p>
      <w:pPr>
        <w:ind w:left="880" w:hanging="880"/>
        <w:spacing w:after="0"/>
        <w:tabs>
          <w:tab w:leader="none" w:pos="88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95" w:lineRule="exact"/>
        <w:rPr>
          <w:sz w:val="20"/>
          <w:szCs w:val="20"/>
          <w:color w:val="auto"/>
        </w:rPr>
      </w:pPr>
    </w:p>
    <w:p>
      <w:pPr>
        <w:ind w:left="880" w:right="2399" w:hanging="880"/>
        <w:spacing w:after="0" w:line="249" w:lineRule="auto"/>
        <w:tabs>
          <w:tab w:leader="none" w:pos="88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15 of 19</w:t>
      </w:r>
    </w:p>
    <w:p>
      <w:pPr>
        <w:sectPr>
          <w:pgSz w:w="11900" w:h="16838" w:orient="portrait"/>
          <w:cols w:equalWidth="0" w:num="1">
            <w:col w:w="10219"/>
          </w:cols>
          <w:pgMar w:left="240" w:top="304" w:right="1440" w:bottom="1440" w:gutter="0" w:footer="0" w:header="0"/>
        </w:sectPr>
      </w:pPr>
    </w:p>
    <w:bookmarkStart w:id="119" w:name="page120"/>
    <w:bookmarkEnd w:id="119"/>
    <w:p>
      <w:pPr>
        <w:ind w:left="300"/>
        <w:spacing w:after="0"/>
        <w:rPr>
          <w:sz w:val="20"/>
          <w:szCs w:val="20"/>
          <w:color w:val="auto"/>
        </w:rPr>
      </w:pPr>
      <w:r>
        <w:rPr>
          <w:rFonts w:ascii="Courier New" w:cs="Courier New" w:eastAsia="Courier New" w:hAnsi="Courier New"/>
          <w:sz w:val="16"/>
          <w:szCs w:val="16"/>
          <w:color w:val="auto"/>
        </w:rPr>
        <w:t>16</w:t>
      </w:r>
    </w:p>
    <w:p>
      <w:pPr>
        <w:spacing w:after="0" w:line="383" w:lineRule="exact"/>
        <w:rPr>
          <w:sz w:val="20"/>
          <w:szCs w:val="20"/>
          <w:color w:val="auto"/>
        </w:rPr>
      </w:pPr>
    </w:p>
    <w:p>
      <w:pPr>
        <w:ind w:left="880" w:right="2399" w:hanging="880"/>
        <w:spacing w:after="0" w:line="249" w:lineRule="auto"/>
        <w:tabs>
          <w:tab w:leader="none" w:pos="88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86"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87" w:lineRule="exact"/>
        <w:rPr>
          <w:sz w:val="20"/>
          <w:szCs w:val="20"/>
          <w:color w:val="auto"/>
        </w:rPr>
      </w:pPr>
    </w:p>
    <w:p>
      <w:pPr>
        <w:ind w:left="880" w:hanging="880"/>
        <w:spacing w:after="0"/>
        <w:tabs>
          <w:tab w:leader="none" w:pos="88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Term in the same amount and to the same extent as the Company covers its other officers and directors.</w:t>
      </w:r>
    </w:p>
    <w:p>
      <w:pPr>
        <w:spacing w:after="0" w:line="187" w:lineRule="exact"/>
        <w:rPr>
          <w:sz w:val="20"/>
          <w:szCs w:val="20"/>
          <w:color w:val="auto"/>
        </w:rPr>
      </w:pPr>
    </w:p>
    <w:p>
      <w:pPr>
        <w:ind w:left="880" w:hanging="880"/>
        <w:spacing w:after="0"/>
        <w:tabs>
          <w:tab w:leader="none" w:pos="88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AND PAYMENT OF ATTORNEY'S FEES.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16 of 19</w:t>
      </w:r>
    </w:p>
    <w:p>
      <w:pPr>
        <w:sectPr>
          <w:pgSz w:w="11900" w:h="16838" w:orient="portrait"/>
          <w:cols w:equalWidth="0" w:num="1">
            <w:col w:w="10219"/>
          </w:cols>
          <w:pgMar w:left="240" w:top="305" w:right="1440" w:bottom="1440" w:gutter="0" w:footer="0" w:header="0"/>
        </w:sectPr>
      </w:pPr>
    </w:p>
    <w:bookmarkStart w:id="120" w:name="page121"/>
    <w:bookmarkEnd w:id="120"/>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implication as to any other section hereof, shall survive the expiration or termination of this Agreement and of Executive's employment hereunder.</w:t>
      </w:r>
    </w:p>
    <w:p>
      <w:pPr>
        <w:spacing w:after="0" w:line="183" w:lineRule="exact"/>
        <w:rPr>
          <w:sz w:val="20"/>
          <w:szCs w:val="20"/>
          <w:color w:val="auto"/>
        </w:rPr>
      </w:pPr>
    </w:p>
    <w:p>
      <w:pPr>
        <w:ind w:left="880" w:hanging="880"/>
        <w:spacing w:after="0"/>
        <w:tabs>
          <w:tab w:leader="none" w:pos="88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371" w:lineRule="exact"/>
        <w:rPr>
          <w:sz w:val="20"/>
          <w:szCs w:val="20"/>
          <w:color w:val="auto"/>
        </w:rPr>
      </w:pPr>
    </w:p>
    <w:p>
      <w:pPr>
        <w:ind w:left="880" w:hanging="880"/>
        <w:spacing w:after="0"/>
        <w:tabs>
          <w:tab w:leader="none" w:pos="88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75" w:lineRule="exact"/>
        <w:rPr>
          <w:sz w:val="20"/>
          <w:szCs w:val="20"/>
          <w:color w:val="auto"/>
        </w:rPr>
      </w:pPr>
    </w:p>
    <w:p>
      <w:pPr>
        <w:ind w:left="880" w:hanging="880"/>
        <w:spacing w:after="0"/>
        <w:tabs>
          <w:tab w:leader="none" w:pos="8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86" w:lineRule="exact"/>
        <w:rPr>
          <w:sz w:val="20"/>
          <w:szCs w:val="20"/>
          <w:color w:val="auto"/>
        </w:rPr>
      </w:pPr>
    </w:p>
    <w:p>
      <w:pPr>
        <w:ind w:left="880" w:hanging="880"/>
        <w:spacing w:after="0"/>
        <w:tabs>
          <w:tab w:leader="none" w:pos="88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37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17 of 19</w:t>
      </w:r>
    </w:p>
    <w:p>
      <w:pPr>
        <w:sectPr>
          <w:pgSz w:w="11900" w:h="16838" w:orient="portrait"/>
          <w:cols w:equalWidth="0" w:num="1">
            <w:col w:w="10219"/>
          </w:cols>
          <w:pgMar w:left="240" w:top="305" w:right="1440" w:bottom="1440" w:gutter="0" w:footer="0" w:header="0"/>
        </w:sectPr>
      </w:pPr>
    </w:p>
    <w:bookmarkStart w:id="121" w:name="page122"/>
    <w:bookmarkEnd w:id="121"/>
    <w:p>
      <w:pPr>
        <w:ind w:left="300"/>
        <w:spacing w:after="0"/>
        <w:rPr>
          <w:sz w:val="20"/>
          <w:szCs w:val="20"/>
          <w:color w:val="auto"/>
        </w:rPr>
      </w:pPr>
      <w:r>
        <w:rPr>
          <w:rFonts w:ascii="Courier New" w:cs="Courier New" w:eastAsia="Courier New" w:hAnsi="Courier New"/>
          <w:sz w:val="16"/>
          <w:szCs w:val="16"/>
          <w:color w:val="auto"/>
        </w:rPr>
        <w:t>18</w:t>
      </w:r>
    </w:p>
    <w:p>
      <w:pPr>
        <w:spacing w:after="0" w:line="383" w:lineRule="exact"/>
        <w:rPr>
          <w:sz w:val="20"/>
          <w:szCs w:val="20"/>
          <w:color w:val="auto"/>
        </w:rPr>
      </w:pPr>
    </w:p>
    <w:p>
      <w:pPr>
        <w:ind w:left="880" w:hanging="880"/>
        <w:spacing w:after="0"/>
        <w:tabs>
          <w:tab w:leader="none" w:pos="88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185" w:lineRule="exact"/>
        <w:rPr>
          <w:sz w:val="20"/>
          <w:szCs w:val="20"/>
          <w:color w:val="auto"/>
        </w:rPr>
      </w:pPr>
    </w:p>
    <w:p>
      <w:pPr>
        <w:ind w:left="880" w:hanging="880"/>
        <w:spacing w:after="0"/>
        <w:tabs>
          <w:tab w:leader="none" w:pos="88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7" w:lineRule="exact"/>
        <w:rPr>
          <w:sz w:val="20"/>
          <w:szCs w:val="20"/>
          <w:color w:val="auto"/>
        </w:rPr>
      </w:pPr>
    </w:p>
    <w:p>
      <w:pPr>
        <w:ind w:left="880" w:hanging="880"/>
        <w:spacing w:after="0"/>
        <w:tabs>
          <w:tab w:leader="none" w:pos="8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87" w:lineRule="exact"/>
        <w:rPr>
          <w:sz w:val="20"/>
          <w:szCs w:val="20"/>
          <w:color w:val="auto"/>
        </w:rPr>
      </w:pPr>
    </w:p>
    <w:p>
      <w:pPr>
        <w:ind w:left="1460"/>
        <w:spacing w:after="0"/>
        <w:tabs>
          <w:tab w:leader="none" w:pos="3300"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6"/>
          <w:szCs w:val="16"/>
          <w:color w:val="auto"/>
        </w:rPr>
        <w:t>Waste Management , Inc.</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1001 Fannin, Suite 4000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Houston, Texas 77002</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Attention: Corporate Secretary</w:t>
      </w:r>
    </w:p>
    <w:p>
      <w:pPr>
        <w:spacing w:after="0" w:line="195" w:lineRule="exact"/>
        <w:rPr>
          <w:sz w:val="20"/>
          <w:szCs w:val="20"/>
          <w:color w:val="auto"/>
        </w:rPr>
      </w:pPr>
    </w:p>
    <w:p>
      <w:pPr>
        <w:ind w:left="1460"/>
        <w:spacing w:after="0"/>
        <w:tabs>
          <w:tab w:leader="none" w:pos="3300" w:val="left"/>
        </w:tabs>
        <w:rPr>
          <w:sz w:val="20"/>
          <w:szCs w:val="20"/>
          <w:color w:val="auto"/>
        </w:rPr>
      </w:pPr>
      <w:r>
        <w:rPr>
          <w:rFonts w:ascii="Courier New" w:cs="Courier New" w:eastAsia="Courier New" w:hAnsi="Courier New"/>
          <w:sz w:val="16"/>
          <w:szCs w:val="16"/>
          <w:color w:val="auto"/>
        </w:rPr>
        <w:t>To Executive:</w:t>
      </w:r>
      <w:r>
        <w:rPr>
          <w:sz w:val="20"/>
          <w:szCs w:val="20"/>
          <w:color w:val="auto"/>
        </w:rPr>
        <w:tab/>
      </w:r>
      <w:r>
        <w:rPr>
          <w:rFonts w:ascii="Courier New" w:cs="Courier New" w:eastAsia="Courier New" w:hAnsi="Courier New"/>
          <w:sz w:val="16"/>
          <w:szCs w:val="16"/>
          <w:color w:val="auto"/>
        </w:rPr>
        <w:t>At the address for Executive set forth below.</w:t>
      </w:r>
    </w:p>
    <w:p>
      <w:pPr>
        <w:spacing w:after="0" w:line="195" w:lineRule="exact"/>
        <w:rPr>
          <w:sz w:val="20"/>
          <w:szCs w:val="20"/>
          <w:color w:val="auto"/>
        </w:rPr>
      </w:pPr>
    </w:p>
    <w:p>
      <w:pPr>
        <w:ind w:left="880" w:hanging="880"/>
        <w:spacing w:after="0"/>
        <w:tabs>
          <w:tab w:leader="none" w:pos="88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left="880" w:right="2399" w:hanging="880"/>
        <w:spacing w:after="0" w:line="249" w:lineRule="auto"/>
        <w:tabs>
          <w:tab w:leader="none" w:pos="88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18 of 19</w:t>
      </w:r>
    </w:p>
    <w:p>
      <w:pPr>
        <w:sectPr>
          <w:pgSz w:w="11900" w:h="16838" w:orient="portrait"/>
          <w:cols w:equalWidth="0" w:num="1">
            <w:col w:w="10219"/>
          </w:cols>
          <w:pgMar w:left="240" w:top="305"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6"/>
          <w:szCs w:val="16"/>
          <w:color w:val="auto"/>
        </w:rPr>
        <w:t>19</w:t>
      </w:r>
    </w:p>
    <w:p>
      <w:pPr>
        <w:spacing w:after="0" w:line="383" w:lineRule="exact"/>
        <w:rPr>
          <w:sz w:val="20"/>
          <w:szCs w:val="20"/>
          <w:color w:val="auto"/>
        </w:rPr>
      </w:pPr>
    </w:p>
    <w:p>
      <w:pPr>
        <w:ind w:left="880" w:right="2799" w:hanging="880"/>
        <w:spacing w:after="0" w:line="250" w:lineRule="auto"/>
        <w:tabs>
          <w:tab w:leader="none" w:pos="88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185" w:lineRule="exact"/>
        <w:rPr>
          <w:rFonts w:ascii="Courier New" w:cs="Courier New" w:eastAsia="Courier New" w:hAnsi="Courier New"/>
          <w:sz w:val="16"/>
          <w:szCs w:val="16"/>
          <w:color w:val="auto"/>
        </w:rPr>
      </w:pPr>
    </w:p>
    <w:p>
      <w:pPr>
        <w:ind w:left="880" w:right="2699" w:hanging="880"/>
        <w:spacing w:after="0" w:line="252" w:lineRule="auto"/>
        <w:tabs>
          <w:tab w:leader="none" w:pos="88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183" w:lineRule="exact"/>
        <w:rPr>
          <w:rFonts w:ascii="Courier New" w:cs="Courier New" w:eastAsia="Courier New" w:hAnsi="Courier New"/>
          <w:sz w:val="16"/>
          <w:szCs w:val="16"/>
          <w:color w:val="auto"/>
        </w:rPr>
      </w:pPr>
    </w:p>
    <w:p>
      <w:pPr>
        <w:ind w:left="880" w:right="3079" w:hanging="880"/>
        <w:spacing w:after="0" w:line="249" w:lineRule="auto"/>
        <w:tabs>
          <w:tab w:leader="none" w:pos="88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18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Lawrence O'Donnell, III</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Lawrence O'Donnell,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Sr. Vice President, General</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Counsel &amp; Secretary</w:t>
      </w:r>
    </w:p>
    <w:p>
      <w:pPr>
        <w:spacing w:after="0" w:line="195"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6"/>
          <w:szCs w:val="16"/>
          <w:color w:val="auto"/>
        </w:rPr>
        <w:t>Date:</w:t>
        <w:tab/>
        <w:t>May 11, 2000</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E. Dees, Jr.</w:t>
      </w:r>
    </w:p>
    <w:p>
      <w:pPr>
        <w:spacing w:after="0" w:line="7" w:lineRule="exact"/>
        <w:rPr>
          <w:sz w:val="20"/>
          <w:szCs w:val="20"/>
          <w:color w:val="auto"/>
        </w:rPr>
      </w:pPr>
    </w:p>
    <w:p>
      <w:pPr>
        <w:ind w:left="200" w:hanging="200"/>
        <w:spacing w:after="0"/>
        <w:tabs>
          <w:tab w:leader="none" w:pos="20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E. DEES, JR.</w:t>
      </w:r>
    </w:p>
    <w:p>
      <w:pPr>
        <w:spacing w:after="0" w:line="19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May 10, 2000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19 of 19</w:t>
      </w:r>
    </w:p>
    <w:p>
      <w:pPr>
        <w:sectPr>
          <w:pgSz w:w="11900" w:h="16838" w:orient="portrait"/>
          <w:cols w:equalWidth="0" w:num="1">
            <w:col w:w="10219"/>
          </w:cols>
          <w:pgMar w:left="240" w:top="304" w:right="1440" w:bottom="1440" w:gutter="0" w:footer="0" w:header="0"/>
        </w:sectPr>
      </w:pPr>
    </w:p>
    <w:bookmarkStart w:id="123" w:name="page124"/>
    <w:bookmarkEnd w:id="123"/>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12</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WASTE MANAGEMENT, INC.</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(IN THOUSANDS, EXCEPT RATIOS)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5"/>
                <w:szCs w:val="15"/>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Three Months Ended March 31,</w:t>
            </w:r>
          </w:p>
        </w:tc>
      </w:tr>
      <w:tr>
        <w:trPr>
          <w:trHeight w:val="188"/>
        </w:trPr>
        <w:tc>
          <w:tcPr>
            <w:tcW w:w="400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3"/>
              </w:rPr>
              <w:t>2000</w:t>
            </w:r>
          </w:p>
        </w:tc>
        <w:tc>
          <w:tcPr>
            <w:tcW w:w="34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minority interest</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125,825</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601,122</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Fixed charges deducted from income:</w:t>
            </w: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6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210,209</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176,157</w:t>
            </w: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Implicit interest in rents</w:t>
            </w:r>
          </w:p>
        </w:tc>
        <w:tc>
          <w:tcPr>
            <w:tcW w:w="6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15,945</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19,899</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226,154</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196,056</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Earnings available for fixed charges</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351,979</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797,178</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210,209</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176,157</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Capitalized interest</w:t>
            </w:r>
          </w:p>
        </w:tc>
        <w:tc>
          <w:tcPr>
            <w:tcW w:w="6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4,265</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11,110</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Implicit interest in rents</w:t>
            </w:r>
          </w:p>
        </w:tc>
        <w:tc>
          <w:tcPr>
            <w:tcW w:w="6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15,945</w:t>
            </w:r>
          </w:p>
        </w:tc>
        <w:tc>
          <w:tcPr>
            <w:tcW w:w="3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19,899</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Total fixed charges</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230,419</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207,166</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Ratio of earnings to fixed charges</w:t>
            </w:r>
          </w:p>
        </w:tc>
        <w:tc>
          <w:tcPr>
            <w:tcW w:w="6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w:t>
            </w:r>
          </w:p>
        </w:tc>
        <w:tc>
          <w:tcPr>
            <w:tcW w:w="3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3.85</w:t>
            </w:r>
          </w:p>
        </w:tc>
      </w:tr>
      <w:tr>
        <w:trPr>
          <w:trHeight w:val="188"/>
        </w:trPr>
        <w:tc>
          <w:tcPr>
            <w:tcW w:w="4000" w:type="dxa"/>
            <w:vAlign w:val="bottom"/>
          </w:tcPr>
          <w:p>
            <w:pPr>
              <w:spacing w:after="0"/>
              <w:rPr>
                <w:sz w:val="16"/>
                <w:szCs w:val="16"/>
                <w:color w:val="auto"/>
              </w:rPr>
            </w:pPr>
          </w:p>
        </w:tc>
        <w:tc>
          <w:tcPr>
            <w:tcW w:w="1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42" w:right="1440" w:bottom="1440" w:gutter="0" w:footer="0" w:header="0"/>
        </w:sectPr>
      </w:pPr>
    </w:p>
    <w:bookmarkStart w:id="124" w:name="page125"/>
    <w:bookmarkEnd w:id="124"/>
    <w:p>
      <w:pPr>
        <w:ind w:left="8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479"/>
        <w:spacing w:after="0" w:line="249" w:lineRule="auto"/>
        <w:rPr>
          <w:sz w:val="20"/>
          <w:szCs w:val="20"/>
          <w:color w:val="auto"/>
        </w:rPr>
      </w:pPr>
      <w:r>
        <w:rPr>
          <w:rFonts w:ascii="Courier New" w:cs="Courier New" w:eastAsia="Courier New" w:hAnsi="Courier New"/>
          <w:sz w:val="16"/>
          <w:szCs w:val="16"/>
          <w:color w:val="auto"/>
        </w:rPr>
        <w:t>THIS SCHEDULE CONTAINS SUMMARY FINANCIAL INFORMATION EXTRACTED FROM THE FINANCIAL STATEMENTS OF WASTE MANAGEMENT, INC. FOR THE THREE MONTHS ENDED MARCH 31, 2000 AND IS QUALIFIED IN ITS ENTIRETY BY REFERENCE TO SUCH FINANCIAL STATEMENTS.</w:t>
      </w:r>
    </w:p>
    <w:p>
      <w:pPr>
        <w:spacing w:after="0" w:line="18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83"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3-MOS</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DEC-31-2000</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JAN-01-2000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MAR-31-2000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147,422</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1,865,767</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(251,654)</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115,160</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5,906,022</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16,516,903</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(6,380,462)</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22,224,181</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6,962,022</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1,201,757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6,290</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4,446,472</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22,224,181</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3,217,309</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3,217,309</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2,903,489</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210,209</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119,853</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64,850</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55,003</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55,003</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.09</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.09</w:t>
      </w:r>
    </w:p>
    <w:sectPr>
      <w:pgSz w:w="11900" w:h="16838" w:orient="portrait"/>
      <w:cols w:equalWidth="0" w:num="1">
        <w:col w:w="10199"/>
      </w:cols>
      <w:pgMar w:left="26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1]"/>
      <w:numFmt w:val="upperLetter"/>
      <w:start w:val="24"/>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
      <w:numFmt w:val="bullet"/>
      <w:start w:val="1"/>
    </w:lvl>
  </w:abstractNum>
  <w:abstractNum w:abstractNumId="4">
    <w:nsid w:val="E7FFA2B"/>
    <w:multiLevelType w:val="hybridMultilevel"/>
    <w:lvl w:ilvl="0">
      <w:lvlJc w:val="left"/>
      <w:lvlText w:val="-"/>
      <w:numFmt w:val="bullet"/>
      <w:start w:val="1"/>
    </w:lvl>
  </w:abstractNum>
  <w:abstractNum w:abstractNumId="5">
    <w:nsid w:val="3C5991AA"/>
    <w:multiLevelType w:val="hybridMultilevel"/>
    <w:lvl w:ilvl="0">
      <w:lvlJc w:val="left"/>
      <w:lvlText w:val="-"/>
      <w:numFmt w:val="bullet"/>
      <w:start w:val="1"/>
    </w:lvl>
  </w:abstractNum>
  <w:abstractNum w:abstractNumId="6">
    <w:nsid w:val="4BD8591A"/>
    <w:multiLevelType w:val="hybridMultilevel"/>
    <w:lvl w:ilvl="0">
      <w:lvlJc w:val="left"/>
      <w:lvlText w:val="(%1)"/>
      <w:numFmt w:val="lowerLetter"/>
      <w:start w:val="1"/>
    </w:lvl>
  </w:abstractNum>
  <w:abstractNum w:abstractNumId="7">
    <w:nsid w:val="78DF6A55"/>
    <w:multiLevelType w:val="hybridMultilevel"/>
    <w:lvl w:ilvl="0">
      <w:lvlJc w:val="left"/>
      <w:lvlText w:val="(%1)"/>
      <w:numFmt w:val="lowerLetter"/>
      <w:start w:val="1"/>
    </w:lvl>
  </w:abstractNum>
  <w:abstractNum w:abstractNumId="8">
    <w:nsid w:val="39B7AAA2"/>
    <w:multiLevelType w:val="hybridMultilevel"/>
    <w:lvl w:ilvl="0">
      <w:lvlJc w:val="left"/>
      <w:lvlText w:val="(%1)"/>
      <w:numFmt w:val="lowerLetter"/>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
      <w:numFmt w:val="bullet"/>
      <w:start w:val="1"/>
    </w:lvl>
  </w:abstractNum>
  <w:abstractNum w:abstractNumId="12">
    <w:nsid w:val="69E373"/>
    <w:multiLevelType w:val="hybridMultilevel"/>
    <w:lvl w:ilvl="0">
      <w:lvlJc w:val="left"/>
      <w:lvlText w:val="-"/>
      <w:numFmt w:val="bullet"/>
      <w:start w:val="1"/>
    </w:lvl>
  </w:abstractNum>
  <w:abstractNum w:abstractNumId="13">
    <w:nsid w:val="2C27173B"/>
    <w:multiLevelType w:val="hybridMultilevel"/>
    <w:lvl w:ilvl="0">
      <w:lvlJc w:val="left"/>
      <w:lvlText w:val="-"/>
      <w:numFmt w:val="bullet"/>
      <w:start w:val="1"/>
    </w:lvl>
    <w:lvl w:ilvl="1">
      <w:lvlJc w:val="left"/>
      <w:lvlText w:val="%2"/>
      <w:numFmt w:val="decimal"/>
      <w:start w:val="27"/>
    </w:lvl>
  </w:abstractNum>
  <w:abstractNum w:abstractNumId="14">
    <w:nsid w:val="4C9B0904"/>
    <w:multiLevelType w:val="hybridMultilevel"/>
    <w:lvl w:ilvl="0">
      <w:lvlJc w:val="left"/>
      <w:lvlText w:val="*"/>
      <w:numFmt w:val="bullet"/>
      <w:start w:val="1"/>
    </w:lvl>
    <w:lvl w:ilvl="1">
      <w:lvlJc w:val="left"/>
      <w:lvlText w:val="(%2)"/>
      <w:numFmt w:val="lowerLetter"/>
      <w:start w:val="2"/>
    </w:lvl>
  </w:abstractNum>
  <w:abstractNum w:abstractNumId="15">
    <w:nsid w:val="6AA7B75C"/>
    <w:multiLevelType w:val="hybridMultilevel"/>
    <w:lvl w:ilvl="0">
      <w:lvlJc w:val="left"/>
      <w:lvlText w:val="-"/>
      <w:numFmt w:val="bullet"/>
      <w:start w:val="1"/>
    </w:lvl>
    <w:lvl w:ilvl="1">
      <w:lvlJc w:val="left"/>
      <w:lvlText w:val="%2"/>
      <w:numFmt w:val="decimal"/>
      <w:start w:val="27"/>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1."/>
      <w:numFmt w:val="decimal"/>
      <w:start w:val="1"/>
    </w:lvl>
  </w:abstractNum>
  <w:abstractNum w:abstractNumId="18">
    <w:nsid w:val="3DD15094"/>
    <w:multiLevelType w:val="hybridMultilevel"/>
    <w:lvl w:ilvl="0">
      <w:lvlJc w:val="left"/>
      <w:lvlText w:val="%1."/>
      <w:numFmt w:val="decimal"/>
      <w:start w:val="2"/>
    </w:lvl>
  </w:abstractNum>
  <w:abstractNum w:abstractNumId="19">
    <w:nsid w:val="3DB012B3"/>
    <w:multiLevelType w:val="hybridMultilevel"/>
    <w:lvl w:ilvl="0">
      <w:lvlJc w:val="left"/>
      <w:lvlText w:val="%1."/>
      <w:numFmt w:val="decimal"/>
      <w:start w:val="3"/>
    </w:lvl>
  </w:abstractNum>
  <w:abstractNum w:abstractNumId="20">
    <w:nsid w:val="2708C9AF"/>
    <w:multiLevelType w:val="hybridMultilevel"/>
    <w:lvl w:ilvl="0">
      <w:lvlJc w:val="left"/>
      <w:lvlText w:val="(%1)"/>
      <w:numFmt w:val="lowerLetter"/>
      <w:start w:val="1"/>
    </w:lvl>
  </w:abstractNum>
  <w:abstractNum w:abstractNumId="21">
    <w:nsid w:val="5B25ACE2"/>
    <w:multiLevelType w:val="hybridMultilevel"/>
    <w:lvl w:ilvl="0">
      <w:lvlJc w:val="left"/>
      <w:lvlText w:val="%1."/>
      <w:numFmt w:val="decimal"/>
      <w:start w:val="4"/>
    </w:lvl>
  </w:abstractNum>
  <w:abstractNum w:abstractNumId="22">
    <w:nsid w:val="175DFCF0"/>
    <w:multiLevelType w:val="hybridMultilevel"/>
    <w:lvl w:ilvl="0">
      <w:lvlJc w:val="left"/>
      <w:lvlText w:val="(%1)"/>
      <w:numFmt w:val="lowerLetter"/>
      <w:start w:val="1"/>
    </w:lvl>
  </w:abstractNum>
  <w:abstractNum w:abstractNumId="23">
    <w:nsid w:val="4F97E3E4"/>
    <w:multiLevelType w:val="hybridMultilevel"/>
    <w:lvl w:ilvl="0">
      <w:lvlJc w:val="left"/>
      <w:lvlText w:val="(%1)"/>
      <w:numFmt w:val="lowerLetter"/>
      <w:start w:val="2"/>
    </w:lvl>
    <w:lvl w:ilvl="1">
      <w:lvlJc w:val="left"/>
      <w:lvlText w:val="(%2)"/>
      <w:numFmt w:val="lowerRoman"/>
      <w:start w:val="1"/>
    </w:lvl>
  </w:abstractNum>
  <w:abstractNum w:abstractNumId="24">
    <w:nsid w:val="53B0A9E"/>
    <w:multiLevelType w:val="hybridMultilevel"/>
    <w:lvl w:ilvl="0">
      <w:lvlJc w:val="left"/>
      <w:lvlText w:val="(%1)"/>
      <w:numFmt w:val="lowerLetter"/>
      <w:start w:val="7"/>
    </w:lvl>
    <w:lvl w:ilvl="1">
      <w:lvlJc w:val="left"/>
      <w:lvlText w:val="%2."/>
      <w:numFmt w:val="decimal"/>
      <w:start w:val="1"/>
    </w:lvl>
  </w:abstractNum>
  <w:abstractNum w:abstractNumId="25">
    <w:nsid w:val="34FD6B4F"/>
    <w:multiLevelType w:val="hybridMultilevel"/>
    <w:lvl w:ilvl="0">
      <w:lvlJc w:val="left"/>
      <w:lvlText w:val="%1."/>
      <w:numFmt w:val="decimal"/>
      <w:start w:val="5"/>
    </w:lvl>
  </w:abstractNum>
  <w:abstractNum w:abstractNumId="26">
    <w:nsid w:val="5915FF32"/>
    <w:multiLevelType w:val="hybridMultilevel"/>
    <w:lvl w:ilvl="0">
      <w:lvlJc w:val="left"/>
      <w:lvlText w:val="(%1)"/>
      <w:numFmt w:val="lowerLetter"/>
      <w:start w:val="1"/>
    </w:lvl>
    <w:lvl w:ilvl="1">
      <w:lvlJc w:val="left"/>
      <w:lvlText w:val="(%2)"/>
      <w:numFmt w:val="decimal"/>
      <w:start w:val="30"/>
    </w:lvl>
  </w:abstractNum>
  <w:abstractNum w:abstractNumId="27">
    <w:nsid w:val="56438D15"/>
    <w:multiLevelType w:val="hybridMultilevel"/>
    <w:lvl w:ilvl="0">
      <w:lvlJc w:val="left"/>
      <w:lvlText w:val="%1"/>
      <w:numFmt w:val="lowerLetter"/>
      <w:start w:val="1"/>
    </w:lvl>
    <w:lvl w:ilvl="1">
      <w:lvlJc w:val="left"/>
      <w:lvlText w:val="(%2)"/>
      <w:numFmt w:val="decimal"/>
      <w:start w:val="90"/>
    </w:lvl>
  </w:abstractNum>
  <w:abstractNum w:abstractNumId="28">
    <w:nsid w:val="519E3149"/>
    <w:multiLevelType w:val="hybridMultilevel"/>
    <w:lvl w:ilvl="0">
      <w:lvlJc w:val="left"/>
      <w:lvlText w:val="(%1)"/>
      <w:numFmt w:val="lowerRoman"/>
      <w:start w:val="1"/>
    </w:lvl>
  </w:abstractNum>
  <w:abstractNum w:abstractNumId="29">
    <w:nsid w:val="2C6E4AFD"/>
    <w:multiLevelType w:val="hybridMultilevel"/>
    <w:lvl w:ilvl="0">
      <w:lvlJc w:val="left"/>
      <w:lvlText w:val="(%1)"/>
      <w:numFmt w:val="lowerLetter"/>
      <w:start w:val="4"/>
    </w:lvl>
    <w:lvl w:ilvl="1">
      <w:lvlJc w:val="left"/>
      <w:lvlText w:val="(%2)"/>
      <w:numFmt w:val="lowerRoman"/>
      <w:start w:val="1"/>
    </w:lvl>
  </w:abstractNum>
  <w:abstractNum w:abstractNumId="30">
    <w:nsid w:val="17A1B582"/>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2"/>
    </w:lvl>
  </w:abstractNum>
  <w:abstractNum w:abstractNumId="31">
    <w:nsid w:val="4DF72E4E"/>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32">
    <w:nsid w:val="5046B5A9"/>
    <w:multiLevelType w:val="hybridMultilevel"/>
    <w:lvl w:ilvl="0">
      <w:lvlJc w:val="left"/>
      <w:lvlText w:val="%1."/>
      <w:numFmt w:val="decimal"/>
      <w:start w:val="6"/>
    </w:lvl>
  </w:abstractNum>
  <w:abstractNum w:abstractNumId="33">
    <w:nsid w:val="5D888A08"/>
    <w:multiLevelType w:val="hybridMultilevel"/>
    <w:lvl w:ilvl="0">
      <w:lvlJc w:val="left"/>
      <w:lvlText w:val="(%1)"/>
      <w:numFmt w:val="lowerLetter"/>
      <w:start w:val="1"/>
    </w:lvl>
    <w:lvl w:ilvl="1">
      <w:lvlJc w:val="left"/>
      <w:lvlText w:val="(%2)"/>
      <w:numFmt w:val="lowerRoman"/>
      <w:start w:val="1"/>
    </w:lvl>
  </w:abstractNum>
  <w:abstractNum w:abstractNumId="34">
    <w:nsid w:val="2A082C70"/>
    <w:multiLevelType w:val="hybridMultilevel"/>
    <w:lvl w:ilvl="0">
      <w:lvlJc w:val="left"/>
      <w:lvlText w:val="%1"/>
      <w:numFmt w:val="lowerLetter"/>
      <w:start w:val="1"/>
    </w:lvl>
    <w:lvl w:ilvl="1">
      <w:lvlJc w:val="left"/>
      <w:lvlText w:val="(%2)"/>
      <w:numFmt w:val="lowerRoman"/>
      <w:start w:val="3"/>
    </w:lvl>
  </w:abstractNum>
  <w:abstractNum w:abstractNumId="35">
    <w:nsid w:val="5EC6AFD4"/>
    <w:multiLevelType w:val="hybridMultilevel"/>
    <w:lvl w:ilvl="0">
      <w:lvlJc w:val="left"/>
      <w:lvlText w:val="(%1)"/>
      <w:numFmt w:val="lowerLetter"/>
      <w:start w:val="2"/>
    </w:lvl>
    <w:lvl w:ilvl="1">
      <w:lvlJc w:val="left"/>
      <w:lvlText w:val="(%2)"/>
      <w:numFmt w:val="lowerRoman"/>
      <w:start w:val="1"/>
    </w:lvl>
  </w:abstractNum>
  <w:abstractNum w:abstractNumId="36">
    <w:nsid w:val="19E21BB2"/>
    <w:multiLevelType w:val="hybridMultilevel"/>
    <w:lvl w:ilvl="0">
      <w:lvlJc w:val="left"/>
      <w:lvlText w:val="(%1)"/>
      <w:numFmt w:val="lowerLetter"/>
      <w:start w:val="3"/>
    </w:lvl>
    <w:lvl w:ilvl="1">
      <w:lvlJc w:val="left"/>
      <w:lvlText w:val="(%2)"/>
      <w:numFmt w:val="lowerRoman"/>
      <w:start w:val="1"/>
    </w:lvl>
  </w:abstractNum>
  <w:abstractNum w:abstractNumId="37">
    <w:nsid w:val="75E0858A"/>
    <w:multiLevelType w:val="hybridMultilevel"/>
    <w:lvl w:ilvl="0">
      <w:lvlJc w:val="left"/>
      <w:lvlText w:val="(%1)"/>
      <w:numFmt w:val="lowerLetter"/>
      <w:start w:val="4"/>
    </w:lvl>
    <w:lvl w:ilvl="1">
      <w:lvlJc w:val="left"/>
      <w:lvlText w:val="(%2)"/>
      <w:numFmt w:val="lowerRoman"/>
      <w:start w:val="1"/>
    </w:lvl>
  </w:abstractNum>
  <w:abstractNum w:abstractNumId="38">
    <w:nsid w:val="57A61A29"/>
    <w:multiLevelType w:val="hybridMultilevel"/>
    <w:lvl w:ilvl="0">
      <w:lvlJc w:val="left"/>
      <w:lvlText w:val="(%1)"/>
      <w:numFmt w:val="lowerLetter"/>
      <w:start w:val="5"/>
    </w:lvl>
  </w:abstractNum>
  <w:abstractNum w:abstractNumId="39">
    <w:nsid w:val="5399C654"/>
    <w:multiLevelType w:val="hybridMultilevel"/>
    <w:lvl w:ilvl="0">
      <w:lvlJc w:val="left"/>
      <w:lvlText w:val="(%1)"/>
      <w:numFmt w:val="lowerRoman"/>
      <w:start w:val="1"/>
    </w:lvl>
  </w:abstractNum>
  <w:abstractNum w:abstractNumId="40">
    <w:nsid w:val="20EE1348"/>
    <w:multiLevelType w:val="hybridMultilevel"/>
    <w:lvl w:ilvl="0">
      <w:lvlJc w:val="left"/>
      <w:lvlText w:val="(%1)"/>
      <w:numFmt w:val="lowerLetter"/>
      <w:start w:val="6"/>
    </w:lvl>
  </w:abstractNum>
  <w:abstractNum w:abstractNumId="41">
    <w:nsid w:val="4427069A"/>
    <w:multiLevelType w:val="hybridMultilevel"/>
    <w:lvl w:ilvl="0">
      <w:lvlJc w:val="left"/>
      <w:lvlText w:val="%1."/>
      <w:numFmt w:val="decimal"/>
      <w:start w:val="7"/>
    </w:lvl>
  </w:abstractNum>
  <w:abstractNum w:abstractNumId="42">
    <w:nsid w:val="B37E80A"/>
    <w:multiLevelType w:val="hybridMultilevel"/>
    <w:lvl w:ilvl="0">
      <w:lvlJc w:val="left"/>
      <w:lvlText w:val="(%1)"/>
      <w:numFmt w:val="lowerLetter"/>
      <w:start w:val="1"/>
    </w:lvl>
    <w:lvl w:ilvl="1">
      <w:lvlJc w:val="left"/>
      <w:lvlText w:val="(%2)"/>
      <w:numFmt w:val="lowerRoman"/>
      <w:start w:val="1"/>
    </w:lvl>
  </w:abstractNum>
  <w:abstractNum w:abstractNumId="43">
    <w:nsid w:val="2157F6BC"/>
    <w:multiLevelType w:val="hybridMultilevel"/>
    <w:lvl w:ilvl="0">
      <w:lvlJc w:val="left"/>
      <w:lvlText w:val="(%1)"/>
      <w:numFmt w:val="lowerLetter"/>
      <w:start w:val="2"/>
    </w:lvl>
    <w:lvl w:ilvl="1">
      <w:lvlJc w:val="left"/>
      <w:lvlText w:val="(%2)"/>
      <w:numFmt w:val="lowerRoman"/>
      <w:start w:val="1"/>
    </w:lvl>
  </w:abstractNum>
  <w:abstractNum w:abstractNumId="44">
    <w:nsid w:val="704E1DD5"/>
    <w:multiLevelType w:val="hybridMultilevel"/>
    <w:lvl w:ilvl="0">
      <w:lvlJc w:val="left"/>
      <w:lvlText w:val="(%1)"/>
      <w:numFmt w:val="lowerRoman"/>
      <w:start w:val="4"/>
    </w:lvl>
  </w:abstractNum>
  <w:abstractNum w:abstractNumId="45">
    <w:nsid w:val="57D2F10E"/>
    <w:multiLevelType w:val="hybridMultilevel"/>
    <w:lvl w:ilvl="0">
      <w:lvlJc w:val="left"/>
      <w:lvlText w:val="%1"/>
      <w:numFmt w:val="lowerLetter"/>
      <w:start w:val="1"/>
    </w:lvl>
    <w:lvl w:ilvl="1">
      <w:lvlJc w:val="left"/>
      <w:lvlText w:val="(%2)"/>
      <w:numFmt w:val="lowerRoman"/>
      <w:start w:val="5"/>
    </w:lvl>
  </w:abstractNum>
  <w:abstractNum w:abstractNumId="46">
    <w:nsid w:val="BFFAE18"/>
    <w:multiLevelType w:val="hybridMultilevel"/>
    <w:lvl w:ilvl="0">
      <w:lvlJc w:val="left"/>
      <w:lvlText w:val="(%1)"/>
      <w:numFmt w:val="lowerLetter"/>
      <w:start w:val="3"/>
    </w:lvl>
    <w:lvl w:ilvl="1">
      <w:lvlJc w:val="left"/>
      <w:lvlText w:val="(%2)"/>
      <w:numFmt w:val="lowerRoman"/>
      <w:start w:val="1"/>
    </w:lvl>
  </w:abstractNum>
  <w:abstractNum w:abstractNumId="47">
    <w:nsid w:val="E3E47A8"/>
    <w:multiLevelType w:val="hybridMultilevel"/>
    <w:lvl w:ilvl="0">
      <w:lvlJc w:val="left"/>
      <w:lvlText w:val="(%1)"/>
      <w:numFmt w:val="lowerRoman"/>
      <w:start w:val="4"/>
    </w:lvl>
  </w:abstractNum>
  <w:abstractNum w:abstractNumId="48">
    <w:nsid w:val="2E48F044"/>
    <w:multiLevelType w:val="hybridMultilevel"/>
    <w:lvl w:ilvl="0">
      <w:lvlJc w:val="left"/>
      <w:lvlText w:val="%1"/>
      <w:numFmt w:val="decimal"/>
      <w:start w:val="1"/>
    </w:lvl>
    <w:lvl w:ilvl="1">
      <w:lvlJc w:val="left"/>
      <w:lvlText w:val="(%2)"/>
      <w:numFmt w:val="lowerRoman"/>
      <w:start w:val="1"/>
    </w:lvl>
  </w:abstractNum>
  <w:abstractNum w:abstractNumId="49">
    <w:nsid w:val="49D0FEAC"/>
    <w:multiLevelType w:val="hybridMultilevel"/>
    <w:lvl w:ilvl="0">
      <w:lvlJc w:val="left"/>
      <w:lvlText w:val="%1."/>
      <w:numFmt w:val="decimal"/>
      <w:start w:val="8"/>
    </w:lvl>
    <w:lvl w:ilvl="1">
      <w:lvlJc w:val="left"/>
      <w:lvlText w:val="%2"/>
      <w:numFmt w:val="lowerRoman"/>
      <w:start w:val="1"/>
    </w:lvl>
  </w:abstractNum>
  <w:abstractNum w:abstractNumId="50">
    <w:nsid w:val="4BEE5A5B"/>
    <w:multiLevelType w:val="hybridMultilevel"/>
    <w:lvl w:ilvl="0">
      <w:lvlJc w:val="left"/>
      <w:lvlText w:val="(%1)"/>
      <w:numFmt w:val="lowerLetter"/>
      <w:start w:val="1"/>
    </w:lvl>
    <w:lvl w:ilvl="1">
      <w:lvlJc w:val="left"/>
      <w:lvlText w:val="(%2)"/>
      <w:numFmt w:val="decimal"/>
      <w:start w:val="2"/>
    </w:lvl>
  </w:abstractNum>
  <w:abstractNum w:abstractNumId="51">
    <w:nsid w:val="5551B9F3"/>
    <w:multiLevelType w:val="hybridMultilevel"/>
    <w:lvl w:ilvl="0">
      <w:lvlJc w:val="left"/>
      <w:lvlText w:val="(%1)"/>
      <w:numFmt w:val="lowerLetter"/>
      <w:start w:val="2"/>
    </w:lvl>
    <w:lvl w:ilvl="1">
      <w:lvlJc w:val="left"/>
      <w:lvlText w:val="(%2)"/>
      <w:numFmt w:val="lowerLetter"/>
      <w:start w:val="35"/>
    </w:lvl>
  </w:abstractNum>
  <w:abstractNum w:abstractNumId="52">
    <w:nsid w:val="24F6AB8E"/>
    <w:multiLevelType w:val="hybridMultilevel"/>
    <w:lvl w:ilvl="0">
      <w:lvlJc w:val="left"/>
      <w:lvlText w:val="%1."/>
      <w:numFmt w:val="decimal"/>
      <w:start w:val="9"/>
    </w:lvl>
  </w:abstractNum>
  <w:abstractNum w:abstractNumId="53">
    <w:nsid w:val="634C574C"/>
    <w:multiLevelType w:val="hybridMultilevel"/>
    <w:lvl w:ilvl="0">
      <w:lvlJc w:val="left"/>
      <w:lvlText w:val="(%1)"/>
      <w:numFmt w:val="lowerLetter"/>
      <w:start w:val="1"/>
    </w:lvl>
  </w:abstractNum>
  <w:abstractNum w:abstractNumId="54">
    <w:nsid w:val="24E99DD7"/>
    <w:multiLevelType w:val="hybridMultilevel"/>
    <w:lvl w:ilvl="0">
      <w:lvlJc w:val="left"/>
      <w:lvlText w:val="%1."/>
      <w:numFmt w:val="decimal"/>
      <w:start w:val="10"/>
    </w:lvl>
  </w:abstractNum>
  <w:abstractNum w:abstractNumId="55">
    <w:nsid w:val="2A31B62D"/>
    <w:multiLevelType w:val="hybridMultilevel"/>
    <w:lvl w:ilvl="0">
      <w:lvlJc w:val="left"/>
      <w:lvlText w:val="%1."/>
      <w:numFmt w:val="decimal"/>
      <w:start w:val="11"/>
    </w:lvl>
  </w:abstractNum>
  <w:abstractNum w:abstractNumId="56">
    <w:nsid w:val="1849C29B"/>
    <w:multiLevelType w:val="hybridMultilevel"/>
    <w:lvl w:ilvl="0">
      <w:lvlJc w:val="left"/>
      <w:lvlText w:val="%1."/>
      <w:numFmt w:val="decimal"/>
      <w:start w:val="12"/>
    </w:lvl>
  </w:abstractNum>
  <w:abstractNum w:abstractNumId="57">
    <w:nsid w:val="7DFF9D09"/>
    <w:multiLevelType w:val="hybridMultilevel"/>
    <w:lvl w:ilvl="0">
      <w:lvlJc w:val="left"/>
      <w:lvlText w:val="%1."/>
      <w:numFmt w:val="decimal"/>
      <w:start w:val="13"/>
    </w:lvl>
  </w:abstractNum>
  <w:abstractNum w:abstractNumId="58">
    <w:nsid w:val="754342"/>
    <w:multiLevelType w:val="hybridMultilevel"/>
    <w:lvl w:ilvl="0">
      <w:lvlJc w:val="left"/>
      <w:lvlText w:val="%1."/>
      <w:numFmt w:val="decimal"/>
      <w:start w:val="14"/>
    </w:lvl>
  </w:abstractNum>
  <w:abstractNum w:abstractNumId="59">
    <w:nsid w:val="69E7F3E5"/>
    <w:multiLevelType w:val="hybridMultilevel"/>
    <w:lvl w:ilvl="0">
      <w:lvlJc w:val="left"/>
      <w:lvlText w:val="%1."/>
      <w:numFmt w:val="decimal"/>
      <w:start w:val="15"/>
    </w:lvl>
  </w:abstractNum>
  <w:abstractNum w:abstractNumId="60">
    <w:nsid w:val="2A6DE806"/>
    <w:multiLevelType w:val="hybridMultilevel"/>
    <w:lvl w:ilvl="0">
      <w:lvlJc w:val="left"/>
      <w:lvlText w:val="%1."/>
      <w:numFmt w:val="decimal"/>
      <w:start w:val="16"/>
    </w:lvl>
  </w:abstractNum>
  <w:abstractNum w:abstractNumId="61">
    <w:nsid w:val="1816F8C4"/>
    <w:multiLevelType w:val="hybridMultilevel"/>
    <w:lvl w:ilvl="0">
      <w:lvlJc w:val="left"/>
      <w:lvlText w:val="%1."/>
      <w:numFmt w:val="decimal"/>
      <w:start w:val="17"/>
    </w:lvl>
  </w:abstractNum>
  <w:abstractNum w:abstractNumId="62">
    <w:nsid w:val="37DF2233"/>
    <w:multiLevelType w:val="hybridMultilevel"/>
    <w:lvl w:ilvl="0">
      <w:lvlJc w:val="left"/>
      <w:lvlText w:val="%1."/>
      <w:numFmt w:val="decimal"/>
      <w:start w:val="18"/>
    </w:lvl>
  </w:abstractNum>
  <w:abstractNum w:abstractNumId="63">
    <w:nsid w:val="7AB49DAF"/>
    <w:multiLevelType w:val="hybridMultilevel"/>
    <w:lvl w:ilvl="0">
      <w:lvlJc w:val="left"/>
      <w:lvlText w:val="%1."/>
      <w:numFmt w:val="decimal"/>
      <w:start w:val="19"/>
    </w:lvl>
  </w:abstractNum>
  <w:abstractNum w:abstractNumId="64">
    <w:nsid w:val="759F82CD"/>
    <w:multiLevelType w:val="hybridMultilevel"/>
    <w:lvl w:ilvl="0">
      <w:lvlJc w:val="left"/>
      <w:lvlText w:val="(%1)"/>
      <w:numFmt w:val="lowerLetter"/>
      <w:start w:val="1"/>
    </w:lvl>
  </w:abstractNum>
  <w:abstractNum w:abstractNumId="65">
    <w:nsid w:val="61E74EA3"/>
    <w:multiLevelType w:val="hybridMultilevel"/>
    <w:lvl w:ilvl="0">
      <w:lvlJc w:val="left"/>
      <w:lvlText w:val="(%1)"/>
      <w:numFmt w:val="lowerLetter"/>
      <w:start w:val="3"/>
    </w:lvl>
  </w:abstractNum>
  <w:abstractNum w:abstractNumId="66">
    <w:nsid w:val="597B4D84"/>
    <w:multiLevelType w:val="hybridMultilevel"/>
    <w:lvl w:ilvl="0">
      <w:lvlJc w:val="left"/>
      <w:lvlText w:val="-"/>
      <w:numFmt w:val="bullet"/>
      <w:start w:val="1"/>
    </w:lvl>
  </w:abstractNum>
  <w:abstractNum w:abstractNumId="67">
    <w:nsid w:val="F819E7F"/>
    <w:multiLevelType w:val="hybridMultilevel"/>
    <w:lvl w:ilvl="0">
      <w:lvlJc w:val="left"/>
      <w:lvlText w:val="%1."/>
      <w:numFmt w:val="decimal"/>
      <w:start w:val="1"/>
    </w:lvl>
  </w:abstractNum>
  <w:abstractNum w:abstractNumId="68">
    <w:nsid w:val="57C7D42D"/>
    <w:multiLevelType w:val="hybridMultilevel"/>
    <w:lvl w:ilvl="0">
      <w:lvlJc w:val="left"/>
      <w:lvlText w:val="%1."/>
      <w:numFmt w:val="decimal"/>
      <w:start w:val="2"/>
    </w:lvl>
  </w:abstractNum>
  <w:abstractNum w:abstractNumId="69">
    <w:nsid w:val="312167AD"/>
    <w:multiLevelType w:val="hybridMultilevel"/>
    <w:lvl w:ilvl="0">
      <w:lvlJc w:val="left"/>
      <w:lvlText w:val="%1."/>
      <w:numFmt w:val="decimal"/>
      <w:start w:val="3"/>
    </w:lvl>
  </w:abstractNum>
  <w:abstractNum w:abstractNumId="70">
    <w:nsid w:val="631B64D4"/>
    <w:multiLevelType w:val="hybridMultilevel"/>
    <w:lvl w:ilvl="0">
      <w:lvlJc w:val="left"/>
      <w:lvlText w:val="(%1)"/>
      <w:numFmt w:val="lowerLetter"/>
      <w:start w:val="1"/>
    </w:lvl>
  </w:abstractNum>
  <w:abstractNum w:abstractNumId="71">
    <w:nsid w:val="78B5E776"/>
    <w:multiLevelType w:val="hybridMultilevel"/>
    <w:lvl w:ilvl="0">
      <w:lvlJc w:val="left"/>
      <w:lvlText w:val="%1."/>
      <w:numFmt w:val="decimal"/>
      <w:start w:val="4"/>
    </w:lvl>
  </w:abstractNum>
  <w:abstractNum w:abstractNumId="72">
    <w:nsid w:val="75486E47"/>
    <w:multiLevelType w:val="hybridMultilevel"/>
    <w:lvl w:ilvl="0">
      <w:lvlJc w:val="left"/>
      <w:lvlText w:val="(%1)"/>
      <w:numFmt w:val="lowerLetter"/>
      <w:start w:val="1"/>
    </w:lvl>
  </w:abstractNum>
  <w:abstractNum w:abstractNumId="73">
    <w:nsid w:val="6E534CDE"/>
    <w:multiLevelType w:val="hybridMultilevel"/>
    <w:lvl w:ilvl="0">
      <w:lvlJc w:val="left"/>
      <w:lvlText w:val="(%1)"/>
      <w:numFmt w:val="lowerLetter"/>
      <w:start w:val="2"/>
    </w:lvl>
    <w:lvl w:ilvl="1">
      <w:lvlJc w:val="left"/>
      <w:lvlText w:val="%2."/>
      <w:numFmt w:val="decimal"/>
      <w:start w:val="1"/>
    </w:lvl>
  </w:abstractNum>
  <w:abstractNum w:abstractNumId="74">
    <w:nsid w:val="1A0DDE32"/>
    <w:multiLevelType w:val="hybridMultilevel"/>
    <w:lvl w:ilvl="0">
      <w:lvlJc w:val="left"/>
      <w:lvlText w:val="(%1)"/>
      <w:numFmt w:val="lowerLetter"/>
      <w:start w:val="6"/>
    </w:lvl>
    <w:lvl w:ilvl="1">
      <w:lvlJc w:val="left"/>
      <w:lvlText w:val="(%2)"/>
      <w:numFmt w:val="decimal"/>
      <w:start w:val="1"/>
    </w:lvl>
  </w:abstractNum>
  <w:abstractNum w:abstractNumId="75">
    <w:nsid w:val="65968C1C"/>
    <w:multiLevelType w:val="hybridMultilevel"/>
    <w:lvl w:ilvl="0">
      <w:lvlJc w:val="left"/>
      <w:lvlText w:val="%1."/>
      <w:numFmt w:val="decimal"/>
      <w:start w:val="5"/>
    </w:lvl>
  </w:abstractNum>
  <w:abstractNum w:abstractNumId="76">
    <w:nsid w:val="46263DEC"/>
    <w:multiLevelType w:val="hybridMultilevel"/>
    <w:lvl w:ilvl="0">
      <w:lvlJc w:val="left"/>
      <w:lvlText w:val="(%1)"/>
      <w:numFmt w:val="lowerLetter"/>
      <w:start w:val="1"/>
    </w:lvl>
    <w:lvl w:ilvl="1">
      <w:lvlJc w:val="left"/>
      <w:lvlText w:val="(%2)"/>
      <w:numFmt w:val="decimal"/>
      <w:start w:val="30"/>
    </w:lvl>
  </w:abstractNum>
  <w:abstractNum w:abstractNumId="77">
    <w:nsid w:val="260D8C4A"/>
    <w:multiLevelType w:val="hybridMultilevel"/>
    <w:lvl w:ilvl="0">
      <w:lvlJc w:val="left"/>
      <w:lvlText w:val="(%1)"/>
      <w:numFmt w:val="lowerRoman"/>
      <w:start w:val="1"/>
    </w:lvl>
  </w:abstractNum>
  <w:abstractNum w:abstractNumId="78">
    <w:nsid w:val="73D4D3C4"/>
    <w:multiLevelType w:val="hybridMultilevel"/>
    <w:lvl w:ilvl="0">
      <w:lvlJc w:val="left"/>
      <w:lvlText w:val="(%1)"/>
      <w:numFmt w:val="lowerLetter"/>
      <w:start w:val="4"/>
    </w:lvl>
    <w:lvl w:ilvl="1">
      <w:lvlJc w:val="left"/>
      <w:lvlText w:val="(%2)"/>
      <w:numFmt w:val="lowerRoman"/>
      <w:start w:val="1"/>
    </w:lvl>
  </w:abstractNum>
  <w:abstractNum w:abstractNumId="79">
    <w:nsid w:val="746F2E30"/>
    <w:multiLevelType w:val="hybridMultilevel"/>
    <w:lvl w:ilvl="0">
      <w:lvlJc w:val="left"/>
      <w:lvlText w:val="%1"/>
      <w:numFmt w:val="lowerLetter"/>
      <w:start w:val="1"/>
    </w:lvl>
    <w:lvl w:ilvl="1">
      <w:lvlJc w:val="left"/>
      <w:lvlText w:val="(%2)"/>
      <w:numFmt w:val="lowerLetter"/>
      <w:start w:val="35"/>
    </w:lvl>
  </w:abstractNum>
  <w:abstractNum w:abstractNumId="80">
    <w:nsid w:val="6FDE8AF6"/>
    <w:multiLevelType w:val="hybridMultilevel"/>
    <w:lvl w:ilvl="0">
      <w:lvlJc w:val="left"/>
      <w:lvlText w:val="(%1)"/>
      <w:numFmt w:val="lowerLetter"/>
      <w:start w:val="5"/>
    </w:lvl>
    <w:lvl w:ilvl="1">
      <w:lvlJc w:val="left"/>
      <w:lvlText w:val="%2"/>
      <w:numFmt w:val="lowerLetter"/>
      <w:start w:val="1"/>
    </w:lvl>
  </w:abstractNum>
  <w:abstractNum w:abstractNumId="81">
    <w:nsid w:val="3FC32E20"/>
    <w:multiLevelType w:val="hybridMultilevel"/>
    <w:lvl w:ilvl="0">
      <w:lvlJc w:val="left"/>
      <w:lvlText w:val="%1."/>
      <w:numFmt w:val="decimal"/>
      <w:start w:val="6"/>
    </w:lvl>
  </w:abstractNum>
  <w:abstractNum w:abstractNumId="82">
    <w:nsid w:val="49C0E823"/>
    <w:multiLevelType w:val="hybridMultilevel"/>
    <w:lvl w:ilvl="0">
      <w:lvlJc w:val="left"/>
      <w:lvlText w:val="(%1)"/>
      <w:numFmt w:val="lowerLetter"/>
      <w:start w:val="1"/>
    </w:lvl>
    <w:lvl w:ilvl="1">
      <w:lvlJc w:val="left"/>
      <w:lvlText w:val="(%2)"/>
      <w:numFmt w:val="lowerRoman"/>
      <w:start w:val="1"/>
    </w:lvl>
  </w:abstractNum>
  <w:abstractNum w:abstractNumId="83">
    <w:nsid w:val="14D53685"/>
    <w:multiLevelType w:val="hybridMultilevel"/>
    <w:lvl w:ilvl="0">
      <w:lvlJc w:val="left"/>
      <w:lvlText w:val="%1"/>
      <w:numFmt w:val="lowerLetter"/>
      <w:start w:val="1"/>
    </w:lvl>
    <w:lvl w:ilvl="1">
      <w:lvlJc w:val="left"/>
      <w:lvlText w:val="(%2)"/>
      <w:numFmt w:val="lowerRoman"/>
      <w:start w:val="2"/>
    </w:lvl>
  </w:abstractNum>
  <w:abstractNum w:abstractNumId="84">
    <w:nsid w:val="230F856C"/>
    <w:multiLevelType w:val="hybridMultilevel"/>
    <w:lvl w:ilvl="0">
      <w:lvlJc w:val="left"/>
      <w:lvlText w:val="(%1)"/>
      <w:numFmt w:val="lowerLetter"/>
      <w:start w:val="2"/>
    </w:lvl>
    <w:lvl w:ilvl="1">
      <w:lvlJc w:val="left"/>
      <w:lvlText w:val="(%2)"/>
      <w:numFmt w:val="lowerRoman"/>
      <w:start w:val="1"/>
    </w:lvl>
  </w:abstractNum>
  <w:abstractNum w:abstractNumId="85">
    <w:nsid w:val="6EAA85FB"/>
    <w:multiLevelType w:val="hybridMultilevel"/>
    <w:lvl w:ilvl="0">
      <w:lvlJc w:val="left"/>
      <w:lvlText w:val="%1"/>
      <w:numFmt w:val="lowerLetter"/>
      <w:start w:val="1"/>
    </w:lvl>
    <w:lvl w:ilvl="1">
      <w:lvlJc w:val="left"/>
      <w:lvlText w:val="(%2)"/>
      <w:numFmt w:val="lowerRoman"/>
      <w:start w:val="4"/>
    </w:lvl>
  </w:abstractNum>
  <w:abstractNum w:abstractNumId="86">
    <w:nsid w:val="3F06ECB2"/>
    <w:multiLevelType w:val="hybridMultilevel"/>
    <w:lvl w:ilvl="0">
      <w:lvlJc w:val="left"/>
      <w:lvlText w:val="(%1)"/>
      <w:numFmt w:val="lowerLetter"/>
      <w:start w:val="3"/>
    </w:lvl>
    <w:lvl w:ilvl="1">
      <w:lvlJc w:val="left"/>
      <w:lvlText w:val="(%2)"/>
      <w:numFmt w:val="lowerRoman"/>
      <w:start w:val="1"/>
    </w:lvl>
  </w:abstractNum>
  <w:abstractNum w:abstractNumId="87">
    <w:nsid w:val="3B594807"/>
    <w:multiLevelType w:val="hybridMultilevel"/>
    <w:lvl w:ilvl="0">
      <w:lvlJc w:val="left"/>
      <w:lvlText w:val="(%1)"/>
      <w:numFmt w:val="lowerLetter"/>
      <w:start w:val="4"/>
    </w:lvl>
    <w:lvl w:ilvl="1">
      <w:lvlJc w:val="left"/>
      <w:lvlText w:val="(%2)"/>
      <w:numFmt w:val="lowerRoman"/>
      <w:start w:val="1"/>
    </w:lvl>
  </w:abstractNum>
  <w:abstractNum w:abstractNumId="88">
    <w:nsid w:val="6CAA230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9">
    <w:nsid w:val="3F7C2FF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90">
    <w:nsid w:val="25413BEC"/>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91">
    <w:nsid w:val="17180B0B"/>
    <w:multiLevelType w:val="hybridMultilevel"/>
    <w:lvl w:ilvl="0">
      <w:lvlJc w:val="left"/>
      <w:lvlText w:val="%1"/>
      <w:numFmt w:val="lowerLetter"/>
      <w:start w:val="1"/>
    </w:lvl>
    <w:lvl w:ilvl="1">
      <w:lvlJc w:val="left"/>
      <w:lvlText w:val="(%2)"/>
      <w:numFmt w:val="lowerRoman"/>
      <w:start w:val="6"/>
    </w:lvl>
  </w:abstractNum>
  <w:abstractNum w:abstractNumId="92">
    <w:nsid w:val="579328B9"/>
    <w:multiLevelType w:val="hybridMultilevel"/>
    <w:lvl w:ilvl="0">
      <w:lvlJc w:val="left"/>
      <w:lvlText w:val="(%1)"/>
      <w:numFmt w:val="lowerLetter"/>
      <w:start w:val="6"/>
    </w:lvl>
    <w:lvl w:ilvl="1">
      <w:lvlJc w:val="left"/>
      <w:lvlText w:val="%2"/>
      <w:numFmt w:val="lowerRoman"/>
      <w:start w:val="1"/>
    </w:lvl>
  </w:abstractNum>
  <w:abstractNum w:abstractNumId="93">
    <w:nsid w:val="5D205E20"/>
    <w:multiLevelType w:val="hybridMultilevel"/>
    <w:lvl w:ilvl="0">
      <w:lvlJc w:val="left"/>
      <w:lvlText w:val="%1."/>
      <w:numFmt w:val="decimal"/>
      <w:start w:val="7"/>
    </w:lvl>
  </w:abstractNum>
  <w:abstractNum w:abstractNumId="94">
    <w:nsid w:val="11CCA8BA"/>
    <w:multiLevelType w:val="hybridMultilevel"/>
    <w:lvl w:ilvl="0">
      <w:lvlJc w:val="left"/>
      <w:lvlText w:val="(%1)"/>
      <w:numFmt w:val="lowerLetter"/>
      <w:start w:val="1"/>
    </w:lvl>
    <w:lvl w:ilvl="1">
      <w:lvlJc w:val="left"/>
      <w:lvlText w:val="(%2)"/>
      <w:numFmt w:val="lowerRoman"/>
      <w:start w:val="1"/>
    </w:lvl>
  </w:abstractNum>
  <w:abstractNum w:abstractNumId="95">
    <w:nsid w:val="4D32AB86"/>
    <w:multiLevelType w:val="hybridMultilevel"/>
    <w:lvl w:ilvl="0">
      <w:lvlJc w:val="left"/>
      <w:lvlText w:val="%1"/>
      <w:numFmt w:val="lowerLetter"/>
      <w:start w:val="1"/>
    </w:lvl>
    <w:lvl w:ilvl="1">
      <w:lvlJc w:val="left"/>
      <w:lvlText w:val="(%2)"/>
      <w:numFmt w:val="lowerLetter"/>
      <w:start w:val="35"/>
    </w:lvl>
  </w:abstractNum>
  <w:abstractNum w:abstractNumId="96">
    <w:nsid w:val="3F07ACC3"/>
    <w:multiLevelType w:val="hybridMultilevel"/>
    <w:lvl w:ilvl="0">
      <w:lvlJc w:val="left"/>
      <w:lvlText w:val="(%1)"/>
      <w:numFmt w:val="lowerLetter"/>
      <w:start w:val="2"/>
    </w:lvl>
    <w:lvl w:ilvl="1">
      <w:lvlJc w:val="left"/>
      <w:lvlText w:val="(%2)"/>
      <w:numFmt w:val="lowerLetter"/>
      <w:start w:val="9"/>
    </w:lvl>
  </w:abstractNum>
  <w:abstractNum w:abstractNumId="97">
    <w:nsid w:val="6B47F63E"/>
    <w:multiLevelType w:val="hybridMultilevel"/>
    <w:lvl w:ilvl="0">
      <w:lvlJc w:val="left"/>
      <w:lvlText w:val="(%1)"/>
      <w:numFmt w:val="lowerRoman"/>
      <w:start w:val="2"/>
    </w:lvl>
  </w:abstractNum>
  <w:abstractNum w:abstractNumId="98">
    <w:nsid w:val="5CB44A05"/>
    <w:multiLevelType w:val="hybridMultilevel"/>
    <w:lvl w:ilvl="0">
      <w:lvlJc w:val="left"/>
      <w:lvlText w:val="(%1)"/>
      <w:numFmt w:val="lowerRoman"/>
      <w:start w:val="3"/>
    </w:lvl>
  </w:abstractNum>
  <w:abstractNum w:abstractNumId="99">
    <w:nsid w:val="16CF80F1"/>
    <w:multiLevelType w:val="hybridMultilevel"/>
    <w:lvl w:ilvl="0">
      <w:lvlJc w:val="left"/>
      <w:lvlText w:val="%1"/>
      <w:numFmt w:val="lowerLetter"/>
      <w:start w:val="1"/>
    </w:lvl>
    <w:lvl w:ilvl="1">
      <w:lvlJc w:val="left"/>
      <w:lvlText w:val="(%2)"/>
      <w:numFmt w:val="lowerRoman"/>
      <w:start w:val="5"/>
    </w:lvl>
  </w:abstractNum>
  <w:abstractNum w:abstractNumId="100">
    <w:nsid w:val="1C695DEC"/>
    <w:multiLevelType w:val="hybridMultilevel"/>
    <w:lvl w:ilvl="0">
      <w:lvlJc w:val="left"/>
      <w:lvlText w:val="(%1)"/>
      <w:numFmt w:val="lowerLetter"/>
      <w:start w:val="3"/>
    </w:lvl>
    <w:lvl w:ilvl="1">
      <w:lvlJc w:val="left"/>
      <w:lvlText w:val="(%2)"/>
      <w:numFmt w:val="lowerRoman"/>
      <w:start w:val="1"/>
    </w:lvl>
  </w:abstractNum>
  <w:abstractNum w:abstractNumId="101">
    <w:nsid w:val="3FCFAED9"/>
    <w:multiLevelType w:val="hybridMultilevel"/>
    <w:lvl w:ilvl="0">
      <w:lvlJc w:val="left"/>
      <w:lvlText w:val="(%1)"/>
      <w:numFmt w:val="lowerRoman"/>
      <w:start w:val="3"/>
    </w:lvl>
  </w:abstractNum>
  <w:abstractNum w:abstractNumId="102">
    <w:nsid w:val="F856867"/>
    <w:multiLevelType w:val="hybridMultilevel"/>
    <w:lvl w:ilvl="0">
      <w:lvlJc w:val="left"/>
      <w:lvlText w:val="(%1)"/>
      <w:numFmt w:val="lowerRoman"/>
      <w:start w:val="1"/>
    </w:lvl>
  </w:abstractNum>
  <w:abstractNum w:abstractNumId="103">
    <w:nsid w:val="11B1CC33"/>
    <w:multiLevelType w:val="hybridMultilevel"/>
    <w:lvl w:ilvl="0">
      <w:lvlJc w:val="left"/>
      <w:lvlText w:val="%1."/>
      <w:numFmt w:val="decimal"/>
      <w:start w:val="8"/>
    </w:lvl>
  </w:abstractNum>
  <w:abstractNum w:abstractNumId="104">
    <w:nsid w:val="2E22FBB7"/>
    <w:multiLevelType w:val="hybridMultilevel"/>
    <w:lvl w:ilvl="0">
      <w:lvlJc w:val="left"/>
      <w:lvlText w:val="(%1)"/>
      <w:numFmt w:val="lowerLetter"/>
      <w:start w:val="1"/>
    </w:lvl>
    <w:lvl w:ilvl="1">
      <w:lvlJc w:val="left"/>
      <w:lvlText w:val="(%2)"/>
      <w:numFmt w:val="decimal"/>
      <w:start w:val="2"/>
    </w:lvl>
  </w:abstractNum>
  <w:abstractNum w:abstractNumId="105">
    <w:nsid w:val="29934699"/>
    <w:multiLevelType w:val="hybridMultilevel"/>
    <w:lvl w:ilvl="0">
      <w:lvlJc w:val="left"/>
      <w:lvlText w:val="%1."/>
      <w:numFmt w:val="decimal"/>
      <w:start w:val="9"/>
    </w:lvl>
  </w:abstractNum>
  <w:abstractNum w:abstractNumId="106">
    <w:nsid w:val="77485850"/>
    <w:multiLevelType w:val="hybridMultilevel"/>
    <w:lvl w:ilvl="0">
      <w:lvlJc w:val="left"/>
      <w:lvlText w:val="(%1)"/>
      <w:numFmt w:val="lowerLetter"/>
      <w:start w:val="1"/>
    </w:lvl>
  </w:abstractNum>
  <w:abstractNum w:abstractNumId="107">
    <w:nsid w:val="744939A3"/>
    <w:multiLevelType w:val="hybridMultilevel"/>
    <w:lvl w:ilvl="0">
      <w:lvlJc w:val="left"/>
      <w:lvlText w:val="%1."/>
      <w:numFmt w:val="decimal"/>
      <w:start w:val="10"/>
    </w:lvl>
  </w:abstractNum>
  <w:abstractNum w:abstractNumId="108">
    <w:nsid w:val="4FA0D2E3"/>
    <w:multiLevelType w:val="hybridMultilevel"/>
    <w:lvl w:ilvl="0">
      <w:lvlJc w:val="left"/>
      <w:lvlText w:val="%1."/>
      <w:numFmt w:val="decimal"/>
      <w:start w:val="11"/>
    </w:lvl>
  </w:abstractNum>
  <w:abstractNum w:abstractNumId="109">
    <w:nsid w:val="6B1D2C14"/>
    <w:multiLevelType w:val="hybridMultilevel"/>
    <w:lvl w:ilvl="0">
      <w:lvlJc w:val="left"/>
      <w:lvlText w:val="%1."/>
      <w:numFmt w:val="decimal"/>
      <w:start w:val="12"/>
    </w:lvl>
  </w:abstractNum>
  <w:abstractNum w:abstractNumId="110">
    <w:nsid w:val="68B867D3"/>
    <w:multiLevelType w:val="hybridMultilevel"/>
    <w:lvl w:ilvl="0">
      <w:lvlJc w:val="left"/>
      <w:lvlText w:val="%1."/>
      <w:numFmt w:val="decimal"/>
      <w:start w:val="13"/>
    </w:lvl>
  </w:abstractNum>
  <w:abstractNum w:abstractNumId="111">
    <w:nsid w:val="3F7F5DD9"/>
    <w:multiLevelType w:val="hybridMultilevel"/>
    <w:lvl w:ilvl="0">
      <w:lvlJc w:val="left"/>
      <w:lvlText w:val="%1."/>
      <w:numFmt w:val="decimal"/>
      <w:start w:val="14"/>
    </w:lvl>
  </w:abstractNum>
  <w:abstractNum w:abstractNumId="112">
    <w:nsid w:val="2AE05A34"/>
    <w:multiLevelType w:val="hybridMultilevel"/>
    <w:lvl w:ilvl="0">
      <w:lvlJc w:val="left"/>
      <w:lvlText w:val="%1."/>
      <w:numFmt w:val="decimal"/>
      <w:start w:val="15"/>
    </w:lvl>
  </w:abstractNum>
  <w:abstractNum w:abstractNumId="113">
    <w:nsid w:val="32794FF7"/>
    <w:multiLevelType w:val="hybridMultilevel"/>
    <w:lvl w:ilvl="0">
      <w:lvlJc w:val="left"/>
      <w:lvlText w:val="%1."/>
      <w:numFmt w:val="decimal"/>
      <w:start w:val="16"/>
    </w:lvl>
  </w:abstractNum>
  <w:abstractNum w:abstractNumId="114">
    <w:nsid w:val="5454945E"/>
    <w:multiLevelType w:val="hybridMultilevel"/>
    <w:lvl w:ilvl="0">
      <w:lvlJc w:val="left"/>
      <w:lvlText w:val="%1."/>
      <w:numFmt w:val="decimal"/>
      <w:start w:val="17"/>
    </w:lvl>
  </w:abstractNum>
  <w:abstractNum w:abstractNumId="115">
    <w:nsid w:val="4DEFDFA0"/>
    <w:multiLevelType w:val="hybridMultilevel"/>
    <w:lvl w:ilvl="0">
      <w:lvlJc w:val="left"/>
      <w:lvlText w:val="%1."/>
      <w:numFmt w:val="decimal"/>
      <w:start w:val="18"/>
    </w:lvl>
  </w:abstractNum>
  <w:abstractNum w:abstractNumId="116">
    <w:nsid w:val="2123D5F2"/>
    <w:multiLevelType w:val="hybridMultilevel"/>
    <w:lvl w:ilvl="0">
      <w:lvlJc w:val="left"/>
      <w:lvlText w:val="%1."/>
      <w:numFmt w:val="decimal"/>
      <w:start w:val="19"/>
    </w:lvl>
  </w:abstractNum>
  <w:abstractNum w:abstractNumId="117">
    <w:nsid w:val="135B8110"/>
    <w:multiLevelType w:val="hybridMultilevel"/>
    <w:lvl w:ilvl="0">
      <w:lvlJc w:val="left"/>
      <w:lvlText w:val="(%1)"/>
      <w:numFmt w:val="lowerLetter"/>
      <w:start w:val="1"/>
    </w:lvl>
  </w:abstractNum>
  <w:abstractNum w:abstractNumId="118">
    <w:nsid w:val="94927A8"/>
    <w:multiLevelType w:val="hybridMultilevel"/>
    <w:lvl w:ilvl="0">
      <w:lvlJc w:val="left"/>
      <w:lvlText w:val="-"/>
      <w:numFmt w:val="bullet"/>
      <w:start w:val="1"/>
    </w:lvl>
  </w:abstractNum>
  <w:abstractNum w:abstractNumId="119">
    <w:nsid w:val="DCDF8F6"/>
    <w:multiLevelType w:val="hybridMultilevel"/>
    <w:lvl w:ilvl="0">
      <w:lvlJc w:val="left"/>
      <w:lvlText w:val="%1."/>
      <w:numFmt w:val="decimal"/>
      <w:start w:val="1"/>
    </w:lvl>
  </w:abstractNum>
  <w:abstractNum w:abstractNumId="120">
    <w:nsid w:val="52D7B105"/>
    <w:multiLevelType w:val="hybridMultilevel"/>
    <w:lvl w:ilvl="0">
      <w:lvlJc w:val="left"/>
      <w:lvlText w:val="%1."/>
      <w:numFmt w:val="decimal"/>
      <w:start w:val="2"/>
    </w:lvl>
  </w:abstractNum>
  <w:abstractNum w:abstractNumId="121">
    <w:nsid w:val="2E8A6394"/>
    <w:multiLevelType w:val="hybridMultilevel"/>
    <w:lvl w:ilvl="0">
      <w:lvlJc w:val="left"/>
      <w:lvlText w:val="%1."/>
      <w:numFmt w:val="decimal"/>
      <w:start w:val="3"/>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decimal"/>
      <w:start w:val="4"/>
    </w:lvl>
  </w:abstractNum>
  <w:abstractNum w:abstractNumId="124">
    <w:nsid w:val="BAAC1B4"/>
    <w:multiLevelType w:val="hybridMultilevel"/>
    <w:lvl w:ilvl="0">
      <w:lvlJc w:val="left"/>
      <w:lvlText w:val="(%1)"/>
      <w:numFmt w:val="lowerLetter"/>
      <w:start w:val="1"/>
    </w:lvl>
  </w:abstractNum>
  <w:abstractNum w:abstractNumId="125">
    <w:nsid w:val="36B2ACBC"/>
    <w:multiLevelType w:val="hybridMultilevel"/>
    <w:lvl w:ilvl="0">
      <w:lvlJc w:val="left"/>
      <w:lvlText w:val="(%1)"/>
      <w:numFmt w:val="lowerLetter"/>
      <w:start w:val="2"/>
    </w:lvl>
  </w:abstractNum>
  <w:abstractNum w:abstractNumId="126">
    <w:nsid w:val="779D8544"/>
    <w:multiLevelType w:val="hybridMultilevel"/>
    <w:lvl w:ilvl="0">
      <w:lvlJc w:val="left"/>
      <w:lvlText w:val="(%1)"/>
      <w:numFmt w:val="lowerLetter"/>
      <w:start w:val="8"/>
    </w:lvl>
  </w:abstractNum>
  <w:abstractNum w:abstractNumId="127">
    <w:nsid w:val="4AB26E78"/>
    <w:multiLevelType w:val="hybridMultilevel"/>
    <w:lvl w:ilvl="0">
      <w:lvlJc w:val="left"/>
      <w:lvlText w:val="%1."/>
      <w:numFmt w:val="decimal"/>
      <w:start w:val="5"/>
    </w:lvl>
  </w:abstractNum>
  <w:abstractNum w:abstractNumId="128">
    <w:nsid w:val="21FAA2FA"/>
    <w:multiLevelType w:val="hybridMultilevel"/>
    <w:lvl w:ilvl="0">
      <w:lvlJc w:val="left"/>
      <w:lvlText w:val="(%1)"/>
      <w:numFmt w:val="lowerLetter"/>
      <w:start w:val="1"/>
    </w:lvl>
    <w:lvl w:ilvl="1">
      <w:lvlJc w:val="left"/>
      <w:lvlText w:val="(%2)"/>
      <w:numFmt w:val="decimal"/>
      <w:start w:val="90"/>
    </w:lvl>
  </w:abstractNum>
  <w:abstractNum w:abstractNumId="129">
    <w:nsid w:val="5451CF49"/>
    <w:multiLevelType w:val="hybridMultilevel"/>
    <w:lvl w:ilvl="0">
      <w:lvlJc w:val="left"/>
      <w:lvlText w:val="(%1)"/>
      <w:numFmt w:val="lowerRoman"/>
      <w:start w:val="1"/>
    </w:lvl>
    <w:lvl w:ilvl="1">
      <w:lvlJc w:val="left"/>
      <w:lvlText w:val="(%2)"/>
      <w:numFmt w:val="decimal"/>
      <w:start w:val="1"/>
    </w:lvl>
  </w:abstractNum>
  <w:abstractNum w:abstractNumId="130">
    <w:nsid w:val="6181EF69"/>
    <w:multiLevelType w:val="hybridMultilevel"/>
    <w:lvl w:ilvl="0">
      <w:lvlJc w:val="left"/>
      <w:lvlText w:val="(%1)"/>
      <w:numFmt w:val="lowerLetter"/>
      <w:start w:val="4"/>
    </w:lvl>
    <w:lvl w:ilvl="1">
      <w:lvlJc w:val="left"/>
      <w:lvlText w:val="(%2)"/>
      <w:numFmt w:val="lowerRoman"/>
      <w:start w:val="1"/>
    </w:lvl>
  </w:abstractNum>
  <w:abstractNum w:abstractNumId="131">
    <w:nsid w:val="3E6400E6"/>
    <w:multiLevelType w:val="hybridMultilevel"/>
    <w:lvl w:ilvl="0">
      <w:lvlJc w:val="left"/>
      <w:lvlText w:val="%1"/>
      <w:numFmt w:val="lowerLetter"/>
      <w:start w:val="1"/>
    </w:lvl>
    <w:lvl w:ilvl="1">
      <w:lvlJc w:val="left"/>
      <w:lvlText w:val="(%2)"/>
      <w:numFmt w:val="lowerLetter"/>
      <w:start w:val="35"/>
    </w:lvl>
  </w:abstractNum>
  <w:abstractNum w:abstractNumId="132">
    <w:nsid w:val="14217E23"/>
    <w:multiLevelType w:val="hybridMultilevel"/>
    <w:lvl w:ilvl="0">
      <w:lvlJc w:val="left"/>
      <w:lvlText w:val="(%1)"/>
      <w:numFmt w:val="lowerLetter"/>
      <w:start w:val="5"/>
    </w:lvl>
    <w:lvl w:ilvl="1">
      <w:lvlJc w:val="left"/>
      <w:lvlText w:val="%2"/>
      <w:numFmt w:val="lowerLetter"/>
      <w:start w:val="1"/>
    </w:lvl>
  </w:abstractNum>
  <w:abstractNum w:abstractNumId="133">
    <w:nsid w:val="710757D0"/>
    <w:multiLevelType w:val="hybridMultilevel"/>
    <w:lvl w:ilvl="0">
      <w:lvlJc w:val="left"/>
      <w:lvlText w:val="%1."/>
      <w:numFmt w:val="decimal"/>
      <w:start w:val="6"/>
    </w:lvl>
  </w:abstractNum>
  <w:abstractNum w:abstractNumId="134">
    <w:nsid w:val="5015CD1A"/>
    <w:multiLevelType w:val="hybridMultilevel"/>
    <w:lvl w:ilvl="0">
      <w:lvlJc w:val="left"/>
      <w:lvlText w:val="(%1)"/>
      <w:numFmt w:val="lowerLetter"/>
      <w:start w:val="1"/>
    </w:lvl>
    <w:lvl w:ilvl="1">
      <w:lvlJc w:val="left"/>
      <w:lvlText w:val="(%2)"/>
      <w:numFmt w:val="lowerRoman"/>
      <w:start w:val="1"/>
    </w:lvl>
  </w:abstractNum>
  <w:abstractNum w:abstractNumId="135">
    <w:nsid w:val="424479DA"/>
    <w:multiLevelType w:val="hybridMultilevel"/>
    <w:lvl w:ilvl="0">
      <w:lvlJc w:val="left"/>
      <w:lvlText w:val="%1"/>
      <w:numFmt w:val="lowerLetter"/>
      <w:start w:val="1"/>
    </w:lvl>
    <w:lvl w:ilvl="1">
      <w:lvlJc w:val="left"/>
      <w:lvlText w:val="(%2)"/>
      <w:numFmt w:val="lowerRoman"/>
      <w:start w:val="4"/>
    </w:lvl>
  </w:abstractNum>
  <w:abstractNum w:abstractNumId="136">
    <w:nsid w:val="1A9A9E69"/>
    <w:multiLevelType w:val="hybridMultilevel"/>
    <w:lvl w:ilvl="0">
      <w:lvlJc w:val="left"/>
      <w:lvlText w:val="(%1)"/>
      <w:numFmt w:val="lowerLetter"/>
      <w:start w:val="2"/>
    </w:lvl>
    <w:lvl w:ilvl="1">
      <w:lvlJc w:val="left"/>
      <w:lvlText w:val="(%2)"/>
      <w:numFmt w:val="lowerRoman"/>
      <w:start w:val="1"/>
    </w:lvl>
  </w:abstractNum>
  <w:abstractNum w:abstractNumId="137">
    <w:nsid w:val="475E256A"/>
    <w:multiLevelType w:val="hybridMultilevel"/>
    <w:lvl w:ilvl="0">
      <w:lvlJc w:val="left"/>
      <w:lvlText w:val="(%1)"/>
      <w:numFmt w:val="lowerLetter"/>
      <w:start w:val="3"/>
    </w:lvl>
    <w:lvl w:ilvl="1">
      <w:lvlJc w:val="left"/>
      <w:lvlText w:val="(%2)"/>
      <w:numFmt w:val="lowerRoman"/>
      <w:start w:val="1"/>
    </w:lvl>
  </w:abstractNum>
  <w:abstractNum w:abstractNumId="138">
    <w:nsid w:val="368DB37E"/>
    <w:multiLevelType w:val="hybridMultilevel"/>
    <w:lvl w:ilvl="0">
      <w:lvlJc w:val="left"/>
      <w:lvlText w:val="(%1)"/>
      <w:numFmt w:val="lowerLetter"/>
      <w:start w:val="4"/>
    </w:lvl>
    <w:lvl w:ilvl="1">
      <w:lvlJc w:val="left"/>
      <w:lvlText w:val="(%2)"/>
      <w:numFmt w:val="lowerRoman"/>
      <w:start w:val="1"/>
    </w:lvl>
  </w:abstractNum>
  <w:abstractNum w:abstractNumId="139">
    <w:nsid w:val="6A3B714C"/>
    <w:multiLevelType w:val="hybridMultilevel"/>
    <w:lvl w:ilvl="0">
      <w:lvlJc w:val="left"/>
      <w:lvlText w:val="(%1)"/>
      <w:numFmt w:val="lowerLetter"/>
      <w:start w:val="5"/>
    </w:lvl>
    <w:lvl w:ilvl="1">
      <w:lvlJc w:val="left"/>
      <w:lvlText w:val="(%2)"/>
      <w:numFmt w:val="lowerRoman"/>
      <w:start w:val="1"/>
    </w:lvl>
  </w:abstractNum>
  <w:abstractNum w:abstractNumId="140">
    <w:nsid w:val="327B517E"/>
    <w:multiLevelType w:val="hybridMultilevel"/>
    <w:lvl w:ilvl="0">
      <w:lvlJc w:val="left"/>
      <w:lvlText w:val="%1"/>
      <w:numFmt w:val="lowerLetter"/>
      <w:start w:val="1"/>
    </w:lvl>
    <w:lvl w:ilvl="1">
      <w:lvlJc w:val="left"/>
      <w:lvlText w:val="(%2)"/>
      <w:numFmt w:val="lowerRoman"/>
      <w:start w:val="6"/>
    </w:lvl>
  </w:abstractNum>
  <w:abstractNum w:abstractNumId="141">
    <w:nsid w:val="1F461B51"/>
    <w:multiLevelType w:val="hybridMultilevel"/>
    <w:lvl w:ilvl="0">
      <w:lvlJc w:val="left"/>
      <w:lvlText w:val="(%1)"/>
      <w:numFmt w:val="lowerLetter"/>
      <w:start w:val="6"/>
    </w:lvl>
    <w:lvl w:ilvl="1">
      <w:lvlJc w:val="left"/>
      <w:lvlText w:val="%2"/>
      <w:numFmt w:val="lowerRoman"/>
      <w:start w:val="1"/>
    </w:lvl>
  </w:abstractNum>
  <w:abstractNum w:abstractNumId="142">
    <w:nsid w:val="29BACF25"/>
    <w:multiLevelType w:val="hybridMultilevel"/>
    <w:lvl w:ilvl="0">
      <w:lvlJc w:val="left"/>
      <w:lvlText w:val="%1."/>
      <w:numFmt w:val="decimal"/>
      <w:start w:val="7"/>
    </w:lvl>
  </w:abstractNum>
  <w:abstractNum w:abstractNumId="143">
    <w:nsid w:val="5D5BABB3"/>
    <w:multiLevelType w:val="hybridMultilevel"/>
    <w:lvl w:ilvl="0">
      <w:lvlJc w:val="left"/>
      <w:lvlText w:val="(%1)"/>
      <w:numFmt w:val="lowerLetter"/>
      <w:start w:val="1"/>
    </w:lvl>
    <w:lvl w:ilvl="1">
      <w:lvlJc w:val="left"/>
      <w:lvlText w:val="(%2)"/>
      <w:numFmt w:val="lowerRoman"/>
      <w:start w:val="1"/>
    </w:lvl>
  </w:abstractNum>
  <w:abstractNum w:abstractNumId="144">
    <w:nsid w:val="51BF6B48"/>
    <w:multiLevelType w:val="hybridMultilevel"/>
    <w:lvl w:ilvl="0">
      <w:lvlJc w:val="left"/>
      <w:lvlText w:val="(%1)"/>
      <w:numFmt w:val="lowerLetter"/>
      <w:start w:val="2"/>
    </w:lvl>
    <w:lvl w:ilvl="1">
      <w:lvlJc w:val="left"/>
      <w:lvlText w:val="(%2)"/>
      <w:numFmt w:val="lowerRoman"/>
      <w:start w:val="1"/>
    </w:lvl>
  </w:abstractNum>
  <w:abstractNum w:abstractNumId="145">
    <w:nsid w:val="7E0F6384"/>
    <w:multiLevelType w:val="hybridMultilevel"/>
    <w:lvl w:ilvl="0">
      <w:lvlJc w:val="left"/>
      <w:lvlText w:val="(%1)"/>
      <w:numFmt w:val="lowerRoman"/>
      <w:start w:val="3"/>
    </w:lvl>
    <w:lvl w:ilvl="1">
      <w:lvlJc w:val="left"/>
      <w:lvlText w:val="(%2)"/>
      <w:numFmt w:val="lowerRoman"/>
      <w:start w:val="3"/>
    </w:lvl>
  </w:abstractNum>
  <w:abstractNum w:abstractNumId="146">
    <w:nsid w:val="2B4B8B53"/>
    <w:multiLevelType w:val="hybridMultilevel"/>
    <w:lvl w:ilvl="0">
      <w:lvlJc w:val="left"/>
      <w:lvlText w:val="%1"/>
      <w:numFmt w:val="lowerLetter"/>
      <w:start w:val="1"/>
    </w:lvl>
    <w:lvl w:ilvl="1">
      <w:lvlJc w:val="left"/>
      <w:lvlText w:val="(%2)"/>
      <w:numFmt w:val="lowerRoman"/>
      <w:start w:val="5"/>
    </w:lvl>
  </w:abstractNum>
  <w:abstractNum w:abstractNumId="147">
    <w:nsid w:val="72E3413A"/>
    <w:multiLevelType w:val="hybridMultilevel"/>
    <w:lvl w:ilvl="0">
      <w:lvlJc w:val="left"/>
      <w:lvlText w:val="(%1)"/>
      <w:numFmt w:val="lowerLetter"/>
      <w:start w:val="3"/>
    </w:lvl>
    <w:lvl w:ilvl="1">
      <w:lvlJc w:val="left"/>
      <w:lvlText w:val="(%2)"/>
      <w:numFmt w:val="lowerRoman"/>
      <w:start w:val="1"/>
    </w:lvl>
  </w:abstractNum>
  <w:abstractNum w:abstractNumId="148">
    <w:nsid w:val="116AE494"/>
    <w:multiLevelType w:val="hybridMultilevel"/>
    <w:lvl w:ilvl="0">
      <w:lvlJc w:val="left"/>
      <w:lvlText w:val="(%1)"/>
      <w:numFmt w:val="lowerRoman"/>
      <w:start w:val="4"/>
    </w:lvl>
  </w:abstractNum>
  <w:abstractNum w:abstractNumId="149">
    <w:nsid w:val="3494B2FB"/>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150">
    <w:nsid w:val="B13A31"/>
    <w:multiLevelType w:val="hybridMultilevel"/>
    <w:lvl w:ilvl="0">
      <w:lvlJc w:val="left"/>
      <w:lvlText w:val="%1."/>
      <w:numFmt w:val="decimal"/>
      <w:start w:val="8"/>
    </w:lvl>
    <w:lvl w:ilvl="1">
      <w:lvlJc w:val="left"/>
      <w:lvlText w:val="%2"/>
      <w:numFmt w:val="lowerRoman"/>
      <w:start w:val="1"/>
    </w:lvl>
    <w:lvl w:ilvl="2">
      <w:lvlJc w:val="left"/>
      <w:lvlText w:val="%3"/>
      <w:numFmt w:val="decimal"/>
      <w:start w:val="1"/>
    </w:lvl>
  </w:abstractNum>
  <w:abstractNum w:abstractNumId="151">
    <w:nsid w:val="64429599"/>
    <w:multiLevelType w:val="hybridMultilevel"/>
    <w:lvl w:ilvl="0">
      <w:lvlJc w:val="left"/>
      <w:lvlText w:val="(%1)"/>
      <w:numFmt w:val="lowerLetter"/>
      <w:start w:val="1"/>
    </w:lvl>
  </w:abstractNum>
  <w:abstractNum w:abstractNumId="152">
    <w:nsid w:val="631F1690"/>
    <w:multiLevelType w:val="hybridMultilevel"/>
    <w:lvl w:ilvl="0">
      <w:lvlJc w:val="left"/>
      <w:lvlText w:val="(%1)"/>
      <w:numFmt w:val="lowerLetter"/>
      <w:start w:val="2"/>
    </w:lvl>
    <w:lvl w:ilvl="1">
      <w:lvlJc w:val="left"/>
      <w:lvlText w:val="(%2)"/>
      <w:numFmt w:val="decimal"/>
      <w:start w:val="2"/>
    </w:lvl>
  </w:abstractNum>
  <w:abstractNum w:abstractNumId="153">
    <w:nsid w:val="25973E32"/>
    <w:multiLevelType w:val="hybridMultilevel"/>
    <w:lvl w:ilvl="0">
      <w:lvlJc w:val="left"/>
      <w:lvlText w:val="%1."/>
      <w:numFmt w:val="decimal"/>
      <w:start w:val="9"/>
    </w:lvl>
  </w:abstractNum>
  <w:abstractNum w:abstractNumId="154">
    <w:nsid w:val="EAD6F57"/>
    <w:multiLevelType w:val="hybridMultilevel"/>
    <w:lvl w:ilvl="0">
      <w:lvlJc w:val="left"/>
      <w:lvlText w:val="(%1)"/>
      <w:numFmt w:val="lowerLetter"/>
      <w:start w:val="1"/>
    </w:lvl>
  </w:abstractNum>
  <w:abstractNum w:abstractNumId="155">
    <w:nsid w:val="6EC9D844"/>
    <w:multiLevelType w:val="hybridMultilevel"/>
    <w:lvl w:ilvl="0">
      <w:lvlJc w:val="left"/>
      <w:lvlText w:val="(%1)"/>
      <w:numFmt w:val="lowerLetter"/>
      <w:start w:val="2"/>
    </w:lvl>
  </w:abstractNum>
  <w:abstractNum w:abstractNumId="156">
    <w:nsid w:val="5C49EAEE"/>
    <w:multiLevelType w:val="hybridMultilevel"/>
    <w:lvl w:ilvl="0">
      <w:lvlJc w:val="left"/>
      <w:lvlText w:val="%1."/>
      <w:numFmt w:val="decimal"/>
      <w:start w:val="10"/>
    </w:lvl>
  </w:abstractNum>
  <w:abstractNum w:abstractNumId="157">
    <w:nsid w:val="64AF49B"/>
    <w:multiLevelType w:val="hybridMultilevel"/>
    <w:lvl w:ilvl="0">
      <w:lvlJc w:val="left"/>
      <w:lvlText w:val="%1."/>
      <w:numFmt w:val="decimal"/>
      <w:start w:val="11"/>
    </w:lvl>
  </w:abstractNum>
  <w:abstractNum w:abstractNumId="158">
    <w:nsid w:val="397C46BC"/>
    <w:multiLevelType w:val="hybridMultilevel"/>
    <w:lvl w:ilvl="0">
      <w:lvlJc w:val="left"/>
      <w:lvlText w:val="%1."/>
      <w:numFmt w:val="decimal"/>
      <w:start w:val="12"/>
    </w:lvl>
  </w:abstractNum>
  <w:abstractNum w:abstractNumId="159">
    <w:nsid w:val="7E448DE9"/>
    <w:multiLevelType w:val="hybridMultilevel"/>
    <w:lvl w:ilvl="0">
      <w:lvlJc w:val="left"/>
      <w:lvlText w:val="%1."/>
      <w:numFmt w:val="decimal"/>
      <w:start w:val="13"/>
    </w:lvl>
  </w:abstractNum>
  <w:abstractNum w:abstractNumId="160">
    <w:nsid w:val="5A9CC3E5"/>
    <w:multiLevelType w:val="hybridMultilevel"/>
    <w:lvl w:ilvl="0">
      <w:lvlJc w:val="left"/>
      <w:lvlText w:val="%1."/>
      <w:numFmt w:val="decimal"/>
      <w:start w:val="14"/>
    </w:lvl>
  </w:abstractNum>
  <w:abstractNum w:abstractNumId="161">
    <w:nsid w:val="1AFE3625"/>
    <w:multiLevelType w:val="hybridMultilevel"/>
    <w:lvl w:ilvl="0">
      <w:lvlJc w:val="left"/>
      <w:lvlText w:val="%1."/>
      <w:numFmt w:val="decimal"/>
      <w:start w:val="15"/>
    </w:lvl>
  </w:abstractNum>
  <w:abstractNum w:abstractNumId="162">
    <w:nsid w:val="3CA88ECF"/>
    <w:multiLevelType w:val="hybridMultilevel"/>
    <w:lvl w:ilvl="0">
      <w:lvlJc w:val="left"/>
      <w:lvlText w:val="%1."/>
      <w:numFmt w:val="decimal"/>
      <w:start w:val="16"/>
    </w:lvl>
  </w:abstractNum>
  <w:abstractNum w:abstractNumId="163">
    <w:nsid w:val="6EBE4208"/>
    <w:multiLevelType w:val="hybridMultilevel"/>
    <w:lvl w:ilvl="0">
      <w:lvlJc w:val="left"/>
      <w:lvlText w:val="%1."/>
      <w:numFmt w:val="decimal"/>
      <w:start w:val="17"/>
    </w:lvl>
  </w:abstractNum>
  <w:abstractNum w:abstractNumId="164">
    <w:nsid w:val="C058DF5"/>
    <w:multiLevelType w:val="hybridMultilevel"/>
    <w:lvl w:ilvl="0">
      <w:lvlJc w:val="left"/>
      <w:lvlText w:val="%1."/>
      <w:numFmt w:val="decimal"/>
      <w:start w:val="18"/>
    </w:lvl>
  </w:abstractNum>
  <w:abstractNum w:abstractNumId="165">
    <w:nsid w:val="CBE5BE9"/>
    <w:multiLevelType w:val="hybridMultilevel"/>
    <w:lvl w:ilvl="0">
      <w:lvlJc w:val="left"/>
      <w:lvlText w:val="%1."/>
      <w:numFmt w:val="decimal"/>
      <w:start w:val="19"/>
    </w:lvl>
  </w:abstractNum>
  <w:abstractNum w:abstractNumId="166">
    <w:nsid w:val="3102BBE2"/>
    <w:multiLevelType w:val="hybridMultilevel"/>
    <w:lvl w:ilvl="0">
      <w:lvlJc w:val="left"/>
      <w:lvlText w:val="(%1)"/>
      <w:numFmt w:val="lowerLetter"/>
      <w:start w:val="1"/>
    </w:lvl>
  </w:abstractNum>
  <w:abstractNum w:abstractNumId="167">
    <w:nsid w:val="26A02C5E"/>
    <w:multiLevelType w:val="hybridMultilevel"/>
    <w:lvl w:ilvl="0">
      <w:lvlJc w:val="left"/>
      <w:lvlText w:val="(%1)"/>
      <w:numFmt w:val="lowerLetter"/>
      <w:start w:val="4"/>
    </w:lvl>
  </w:abstractNum>
  <w:abstractNum w:abstractNumId="168">
    <w:nsid w:val="541C8153"/>
    <w:multiLevelType w:val="hybridMultilevel"/>
    <w:lvl w:ilvl="0">
      <w:lvlJc w:val="left"/>
      <w:lvlText w:val="-"/>
      <w:numFmt w:val="bullet"/>
      <w:start w:val="1"/>
    </w:lvl>
  </w:abstractNum>
  <w:abstractNum w:abstractNumId="169">
    <w:nsid w:val="67906F60"/>
    <w:multiLevelType w:val="hybridMultilevel"/>
    <w:lvl w:ilvl="0">
      <w:lvlJc w:val="left"/>
      <w:lvlText w:val="%1."/>
      <w:numFmt w:val="decimal"/>
      <w:start w:val="1"/>
    </w:lvl>
  </w:abstractNum>
  <w:abstractNum w:abstractNumId="170">
    <w:nsid w:val="10DB9DAA"/>
    <w:multiLevelType w:val="hybridMultilevel"/>
    <w:lvl w:ilvl="0">
      <w:lvlJc w:val="left"/>
      <w:lvlText w:val="%1."/>
      <w:numFmt w:val="decimal"/>
      <w:start w:val="2"/>
    </w:lvl>
  </w:abstractNum>
  <w:abstractNum w:abstractNumId="171">
    <w:nsid w:val="697D2D2"/>
    <w:multiLevelType w:val="hybridMultilevel"/>
    <w:lvl w:ilvl="0">
      <w:lvlJc w:val="left"/>
      <w:lvlText w:val="%1."/>
      <w:numFmt w:val="decimal"/>
      <w:start w:val="3"/>
    </w:lvl>
  </w:abstractNum>
  <w:abstractNum w:abstractNumId="172">
    <w:nsid w:val="6D68AB2"/>
    <w:multiLevelType w:val="hybridMultilevel"/>
    <w:lvl w:ilvl="0">
      <w:lvlJc w:val="left"/>
      <w:lvlText w:val="(%1)"/>
      <w:numFmt w:val="lowerLetter"/>
      <w:start w:val="1"/>
    </w:lvl>
  </w:abstractNum>
  <w:abstractNum w:abstractNumId="173">
    <w:nsid w:val="3A966CD0"/>
    <w:multiLevelType w:val="hybridMultilevel"/>
    <w:lvl w:ilvl="0">
      <w:lvlJc w:val="left"/>
      <w:lvlText w:val="%1."/>
      <w:numFmt w:val="decimal"/>
      <w:start w:val="4"/>
    </w:lvl>
  </w:abstractNum>
  <w:abstractNum w:abstractNumId="174">
    <w:nsid w:val="63F37E85"/>
    <w:multiLevelType w:val="hybridMultilevel"/>
    <w:lvl w:ilvl="0">
      <w:lvlJc w:val="left"/>
      <w:lvlText w:val="(%1)"/>
      <w:numFmt w:val="lowerLetter"/>
      <w:start w:val="1"/>
    </w:lvl>
  </w:abstractNum>
  <w:abstractNum w:abstractNumId="175">
    <w:nsid w:val="5895F5FA"/>
    <w:multiLevelType w:val="hybridMultilevel"/>
    <w:lvl w:ilvl="0">
      <w:lvlJc w:val="left"/>
      <w:lvlText w:val="(%1)"/>
      <w:numFmt w:val="lowerLetter"/>
      <w:start w:val="2"/>
    </w:lvl>
  </w:abstractNum>
  <w:abstractNum w:abstractNumId="176">
    <w:nsid w:val="38A5D054"/>
    <w:multiLevelType w:val="hybridMultilevel"/>
    <w:lvl w:ilvl="0">
      <w:lvlJc w:val="left"/>
      <w:lvlText w:val="(%1)"/>
      <w:numFmt w:val="lowerLetter"/>
      <w:start w:val="8"/>
    </w:lvl>
    <w:lvl w:ilvl="1">
      <w:lvlJc w:val="left"/>
      <w:lvlText w:val="%2."/>
      <w:numFmt w:val="decimal"/>
      <w:start w:val="1"/>
    </w:lvl>
  </w:abstractNum>
  <w:abstractNum w:abstractNumId="177">
    <w:nsid w:val="F3F09D8"/>
    <w:multiLevelType w:val="hybridMultilevel"/>
    <w:lvl w:ilvl="0">
      <w:lvlJc w:val="left"/>
      <w:lvlText w:val="%1."/>
      <w:numFmt w:val="decimal"/>
      <w:start w:val="5"/>
    </w:lvl>
  </w:abstractNum>
  <w:abstractNum w:abstractNumId="178">
    <w:nsid w:val="4B793735"/>
    <w:multiLevelType w:val="hybridMultilevel"/>
    <w:lvl w:ilvl="0">
      <w:lvlJc w:val="left"/>
      <w:lvlText w:val="(%1)"/>
      <w:numFmt w:val="lowerLetter"/>
      <w:start w:val="1"/>
    </w:lvl>
    <w:lvl w:ilvl="1">
      <w:lvlJc w:val="left"/>
      <w:lvlText w:val="(%2)"/>
      <w:numFmt w:val="decimal"/>
      <w:start w:val="30"/>
    </w:lvl>
  </w:abstractNum>
  <w:abstractNum w:abstractNumId="179">
    <w:nsid w:val="4A10B4E8"/>
    <w:multiLevelType w:val="hybridMultilevel"/>
    <w:lvl w:ilvl="0">
      <w:lvlJc w:val="left"/>
      <w:lvlText w:val="%1"/>
      <w:numFmt w:val="lowerLetter"/>
      <w:start w:val="1"/>
    </w:lvl>
    <w:lvl w:ilvl="1">
      <w:lvlJc w:val="left"/>
      <w:lvlText w:val="(%2)"/>
      <w:numFmt w:val="decimal"/>
      <w:start w:val="90"/>
    </w:lvl>
  </w:abstractNum>
  <w:abstractNum w:abstractNumId="180">
    <w:nsid w:val="43D3BCD4"/>
    <w:multiLevelType w:val="hybridMultilevel"/>
    <w:lvl w:ilvl="0">
      <w:lvlJc w:val="left"/>
      <w:lvlText w:val="(%1)"/>
      <w:numFmt w:val="lowerRoman"/>
      <w:start w:val="1"/>
    </w:lvl>
  </w:abstractNum>
  <w:abstractNum w:abstractNumId="181">
    <w:nsid w:val="4C2A7166"/>
    <w:multiLevelType w:val="hybridMultilevel"/>
    <w:lvl w:ilvl="0">
      <w:lvlJc w:val="left"/>
      <w:lvlText w:val="%1"/>
      <w:numFmt w:val="lowerLetter"/>
      <w:start w:val="1"/>
    </w:lvl>
    <w:lvl w:ilvl="1">
      <w:lvlJc w:val="left"/>
      <w:lvlText w:val="(%2)"/>
      <w:numFmt w:val="lowerLetter"/>
      <w:start w:val="35"/>
    </w:lvl>
  </w:abstractNum>
  <w:abstractNum w:abstractNumId="182">
    <w:nsid w:val="2E534A82"/>
    <w:multiLevelType w:val="hybridMultilevel"/>
    <w:lvl w:ilvl="0">
      <w:lvlJc w:val="left"/>
      <w:lvlText w:val="(%1)"/>
      <w:numFmt w:val="lowerLetter"/>
      <w:start w:val="4"/>
    </w:lvl>
    <w:lvl w:ilvl="1">
      <w:lvlJc w:val="left"/>
      <w:lvlText w:val="(%2)"/>
      <w:numFmt w:val="lowerLetter"/>
      <w:start w:val="9"/>
    </w:lvl>
  </w:abstractNum>
  <w:abstractNum w:abstractNumId="183">
    <w:nsid w:val="26F2D36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184">
    <w:nsid w:val="71C1AF98"/>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85">
    <w:nsid w:val="3D00B9D9"/>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186">
    <w:nsid w:val="15BCABA8"/>
    <w:multiLevelType w:val="hybridMultilevel"/>
    <w:lvl w:ilvl="0">
      <w:lvlJc w:val="left"/>
      <w:lvlText w:val="(%1)"/>
      <w:numFmt w:val="lowerLetter"/>
      <w:start w:val="6"/>
    </w:lvl>
  </w:abstractNum>
  <w:abstractNum w:abstractNumId="187">
    <w:nsid w:val="4E0B9A87"/>
    <w:multiLevelType w:val="hybridMultilevel"/>
    <w:lvl w:ilvl="0">
      <w:lvlJc w:val="left"/>
      <w:lvlText w:val="%1."/>
      <w:numFmt w:val="decimal"/>
      <w:start w:val="6"/>
    </w:lvl>
  </w:abstractNum>
  <w:abstractNum w:abstractNumId="188">
    <w:nsid w:val="434BAE75"/>
    <w:multiLevelType w:val="hybridMultilevel"/>
    <w:lvl w:ilvl="0">
      <w:lvlJc w:val="left"/>
      <w:lvlText w:val="(%1)"/>
      <w:numFmt w:val="lowerLetter"/>
      <w:start w:val="1"/>
    </w:lvl>
    <w:lvl w:ilvl="1">
      <w:lvlJc w:val="left"/>
      <w:lvlText w:val="(%2)"/>
      <w:numFmt w:val="lowerRoman"/>
      <w:start w:val="1"/>
    </w:lvl>
  </w:abstractNum>
  <w:abstractNum w:abstractNumId="189">
    <w:nsid w:val="4F38F265"/>
    <w:multiLevelType w:val="hybridMultilevel"/>
    <w:lvl w:ilvl="0">
      <w:lvlJc w:val="left"/>
      <w:lvlText w:val="%1"/>
      <w:numFmt w:val="lowerLetter"/>
      <w:start w:val="1"/>
    </w:lvl>
    <w:lvl w:ilvl="1">
      <w:lvlJc w:val="left"/>
      <w:lvlText w:val="(%2)"/>
      <w:numFmt w:val="lowerRoman"/>
      <w:start w:val="2"/>
    </w:lvl>
  </w:abstractNum>
  <w:abstractNum w:abstractNumId="190">
    <w:nsid w:val="4C502870"/>
    <w:multiLevelType w:val="hybridMultilevel"/>
    <w:lvl w:ilvl="0">
      <w:lvlJc w:val="left"/>
      <w:lvlText w:val="(%1)"/>
      <w:numFmt w:val="lowerLetter"/>
      <w:start w:val="3"/>
    </w:lvl>
    <w:lvl w:ilvl="1">
      <w:lvlJc w:val="left"/>
      <w:lvlText w:val="(%2)"/>
      <w:numFmt w:val="lowerRoman"/>
      <w:start w:val="1"/>
    </w:lvl>
  </w:abstractNum>
  <w:abstractNum w:abstractNumId="191">
    <w:nsid w:val="1DE8725A"/>
    <w:multiLevelType w:val="hybridMultilevel"/>
    <w:lvl w:ilvl="0">
      <w:lvlJc w:val="left"/>
      <w:lvlText w:val="(%1)"/>
      <w:numFmt w:val="lowerLetter"/>
      <w:start w:val="4"/>
    </w:lvl>
    <w:lvl w:ilvl="1">
      <w:lvlJc w:val="left"/>
      <w:lvlText w:val="(%2)"/>
      <w:numFmt w:val="lowerRoman"/>
      <w:start w:val="1"/>
    </w:lvl>
  </w:abstractNum>
  <w:abstractNum w:abstractNumId="192">
    <w:nsid w:val="6A37288A"/>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3"/>
    </w:lvl>
  </w:abstractNum>
  <w:abstractNum w:abstractNumId="193">
    <w:nsid w:val="8F8B73F"/>
    <w:multiLevelType w:val="hybridMultilevel"/>
    <w:lvl w:ilvl="0">
      <w:lvlJc w:val="left"/>
      <w:lvlText w:val="%1"/>
      <w:numFmt w:val="lowerLetter"/>
      <w:start w:val="1"/>
    </w:lvl>
    <w:lvl w:ilvl="1">
      <w:lvlJc w:val="left"/>
      <w:lvlText w:val="(%2)"/>
      <w:numFmt w:val="lowerRoman"/>
      <w:start w:val="4"/>
    </w:lvl>
  </w:abstractNum>
  <w:abstractNum w:abstractNumId="194">
    <w:nsid w:val="CA6B462"/>
    <w:multiLevelType w:val="hybridMultilevel"/>
    <w:lvl w:ilvl="0">
      <w:lvlJc w:val="left"/>
      <w:lvlText w:val="(%1)"/>
      <w:numFmt w:val="lowerLetter"/>
      <w:start w:val="6"/>
    </w:lvl>
    <w:lvl w:ilvl="1">
      <w:lvlJc w:val="left"/>
      <w:lvlText w:val="%2"/>
      <w:numFmt w:val="lowerRoman"/>
      <w:start w:val="1"/>
    </w:lvl>
  </w:abstractNum>
  <w:abstractNum w:abstractNumId="195">
    <w:nsid w:val="763CB680"/>
    <w:multiLevelType w:val="hybridMultilevel"/>
    <w:lvl w:ilvl="0">
      <w:lvlJc w:val="left"/>
      <w:lvlText w:val="%1."/>
      <w:numFmt w:val="decimal"/>
      <w:start w:val="7"/>
    </w:lvl>
  </w:abstractNum>
  <w:abstractNum w:abstractNumId="196">
    <w:nsid w:val="15B71329"/>
    <w:multiLevelType w:val="hybridMultilevel"/>
    <w:lvl w:ilvl="0">
      <w:lvlJc w:val="left"/>
      <w:lvlText w:val="(%1)"/>
      <w:numFmt w:val="lowerLetter"/>
      <w:start w:val="1"/>
    </w:lvl>
    <w:lvl w:ilvl="1">
      <w:lvlJc w:val="left"/>
      <w:lvlText w:val="(%2)"/>
      <w:numFmt w:val="lowerRoman"/>
      <w:start w:val="1"/>
    </w:lvl>
  </w:abstractNum>
  <w:abstractNum w:abstractNumId="197">
    <w:nsid w:val="3DA97044"/>
    <w:multiLevelType w:val="hybridMultilevel"/>
    <w:lvl w:ilvl="0">
      <w:lvlJc w:val="left"/>
      <w:lvlText w:val="(%1)"/>
      <w:numFmt w:val="lowerRoman"/>
      <w:start w:val="2"/>
    </w:lvl>
    <w:lvl w:ilvl="1">
      <w:lvlJc w:val="left"/>
      <w:lvlText w:val="(%2)"/>
      <w:numFmt w:val="lowerRoman"/>
      <w:start w:val="3"/>
    </w:lvl>
  </w:abstractNum>
  <w:abstractNum w:abstractNumId="198">
    <w:nsid w:val="1CDCE2DE"/>
    <w:multiLevelType w:val="hybridMultilevel"/>
    <w:lvl w:ilvl="0">
      <w:lvlJc w:val="left"/>
      <w:lvlText w:val="%1"/>
      <w:numFmt w:val="lowerRoman"/>
      <w:start w:val="1"/>
    </w:lvl>
    <w:lvl w:ilvl="1">
      <w:lvlJc w:val="left"/>
      <w:lvlText w:val="(%2)"/>
      <w:numFmt w:val="lowerRoman"/>
      <w:start w:val="4"/>
    </w:lvl>
  </w:abstractNum>
  <w:abstractNum w:abstractNumId="199">
    <w:nsid w:val="69D3947C"/>
    <w:multiLevelType w:val="hybridMultilevel"/>
    <w:lvl w:ilvl="0">
      <w:lvlJc w:val="left"/>
      <w:lvlText w:val="(%1)"/>
      <w:numFmt w:val="lowerRoman"/>
      <w:start w:val="5"/>
    </w:lvl>
    <w:lvl w:ilvl="1">
      <w:lvlJc w:val="left"/>
      <w:lvlText w:val="%2"/>
      <w:numFmt w:val="lowerRoman"/>
      <w:start w:val="1"/>
    </w:lvl>
  </w:abstractNum>
  <w:abstractNum w:abstractNumId="200">
    <w:nsid w:val="2539DFA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lvl w:ilvl="3">
      <w:lvlJc w:val="left"/>
      <w:lvlText w:val="%4"/>
      <w:numFmt w:val="upperLetter"/>
      <w:start w:val="1"/>
    </w:lvl>
  </w:abstractNum>
  <w:abstractNum w:abstractNumId="201">
    <w:nsid w:val="2DB8808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lvl w:ilvl="3">
      <w:lvlJc w:val="left"/>
      <w:lvlText w:val="(%4)"/>
      <w:numFmt w:val="upperLetter"/>
      <w:start w:val="2"/>
    </w:lvl>
  </w:abstractNum>
  <w:abstractNum w:abstractNumId="202">
    <w:nsid w:val="706B674E"/>
    <w:multiLevelType w:val="hybridMultilevel"/>
    <w:lvl w:ilvl="0">
      <w:lvlJc w:val="left"/>
      <w:lvlText w:val="(%1)"/>
      <w:numFmt w:val="lowerRoman"/>
      <w:start w:val="4"/>
    </w:lvl>
  </w:abstractNum>
  <w:abstractNum w:abstractNumId="203">
    <w:nsid w:val="2C106A57"/>
    <w:multiLevelType w:val="hybridMultilevel"/>
    <w:lvl w:ilvl="0">
      <w:lvlJc w:val="left"/>
      <w:lvlText w:val="%1"/>
      <w:numFmt w:val="decimal"/>
      <w:start w:val="1"/>
    </w:lvl>
    <w:lvl w:ilvl="1">
      <w:lvlJc w:val="left"/>
      <w:lvlText w:val="(%2)"/>
      <w:numFmt w:val="lowerRoman"/>
      <w:start w:val="1"/>
    </w:lvl>
  </w:abstractNum>
  <w:abstractNum w:abstractNumId="204">
    <w:nsid w:val="684EED59"/>
    <w:multiLevelType w:val="hybridMultilevel"/>
    <w:lvl w:ilvl="0">
      <w:lvlJc w:val="left"/>
      <w:lvlText w:val="%1."/>
      <w:numFmt w:val="decimal"/>
      <w:start w:val="8"/>
    </w:lvl>
    <w:lvl w:ilvl="1">
      <w:lvlJc w:val="left"/>
      <w:lvlText w:val="%2"/>
      <w:numFmt w:val="lowerRoman"/>
      <w:start w:val="1"/>
    </w:lvl>
  </w:abstractNum>
  <w:abstractNum w:abstractNumId="205">
    <w:nsid w:val="545EE5D3"/>
    <w:multiLevelType w:val="hybridMultilevel"/>
    <w:lvl w:ilvl="0">
      <w:lvlJc w:val="left"/>
      <w:lvlText w:val="(%1)"/>
      <w:numFmt w:val="lowerLetter"/>
      <w:start w:val="1"/>
    </w:lvl>
    <w:lvl w:ilvl="1">
      <w:lvlJc w:val="left"/>
      <w:lvlText w:val="(%2)"/>
      <w:numFmt w:val="decimal"/>
      <w:start w:val="2"/>
    </w:lvl>
  </w:abstractNum>
  <w:abstractNum w:abstractNumId="206">
    <w:nsid w:val="4A66051"/>
    <w:multiLevelType w:val="hybridMultilevel"/>
    <w:lvl w:ilvl="0">
      <w:lvlJc w:val="left"/>
      <w:lvlText w:val="(%1)"/>
      <w:numFmt w:val="lowerLetter"/>
      <w:start w:val="3"/>
    </w:lvl>
    <w:lvl w:ilvl="1">
      <w:lvlJc w:val="left"/>
      <w:lvlText w:val="(%2)"/>
      <w:numFmt w:val="lowerLetter"/>
      <w:start w:val="35"/>
    </w:lvl>
  </w:abstractNum>
  <w:abstractNum w:abstractNumId="207">
    <w:nsid w:val="20F4BDAD"/>
    <w:multiLevelType w:val="hybridMultilevel"/>
    <w:lvl w:ilvl="0">
      <w:lvlJc w:val="left"/>
      <w:lvlText w:val="%1."/>
      <w:numFmt w:val="decimal"/>
      <w:start w:val="9"/>
    </w:lvl>
  </w:abstractNum>
  <w:abstractNum w:abstractNumId="208">
    <w:nsid w:val="639DEFAC"/>
    <w:multiLevelType w:val="hybridMultilevel"/>
    <w:lvl w:ilvl="0">
      <w:lvlJc w:val="left"/>
      <w:lvlText w:val="(%1)"/>
      <w:numFmt w:val="lowerLetter"/>
      <w:start w:val="1"/>
    </w:lvl>
  </w:abstractNum>
  <w:abstractNum w:abstractNumId="209">
    <w:nsid w:val="501F9786"/>
    <w:multiLevelType w:val="hybridMultilevel"/>
    <w:lvl w:ilvl="0">
      <w:lvlJc w:val="left"/>
      <w:lvlText w:val="(%1)"/>
      <w:numFmt w:val="lowerLetter"/>
      <w:start w:val="2"/>
    </w:lvl>
  </w:abstractNum>
  <w:abstractNum w:abstractNumId="210">
    <w:nsid w:val="6B057295"/>
    <w:multiLevelType w:val="hybridMultilevel"/>
    <w:lvl w:ilvl="0">
      <w:lvlJc w:val="left"/>
      <w:lvlText w:val="%1."/>
      <w:numFmt w:val="decimal"/>
      <w:start w:val="10"/>
    </w:lvl>
  </w:abstractNum>
  <w:abstractNum w:abstractNumId="211">
    <w:nsid w:val="2771AC80"/>
    <w:multiLevelType w:val="hybridMultilevel"/>
    <w:lvl w:ilvl="0">
      <w:lvlJc w:val="left"/>
      <w:lvlText w:val="%1."/>
      <w:numFmt w:val="decimal"/>
      <w:start w:val="11"/>
    </w:lvl>
  </w:abstractNum>
  <w:abstractNum w:abstractNumId="212">
    <w:nsid w:val="1C4A08EC"/>
    <w:multiLevelType w:val="hybridMultilevel"/>
    <w:lvl w:ilvl="0">
      <w:lvlJc w:val="left"/>
      <w:lvlText w:val="%1."/>
      <w:numFmt w:val="decimal"/>
      <w:start w:val="12"/>
    </w:lvl>
  </w:abstractNum>
  <w:abstractNum w:abstractNumId="213">
    <w:nsid w:val="1958BD17"/>
    <w:multiLevelType w:val="hybridMultilevel"/>
    <w:lvl w:ilvl="0">
      <w:lvlJc w:val="left"/>
      <w:lvlText w:val="%1."/>
      <w:numFmt w:val="decimal"/>
      <w:start w:val="13"/>
    </w:lvl>
  </w:abstractNum>
  <w:abstractNum w:abstractNumId="214">
    <w:nsid w:val="4E647FE4"/>
    <w:multiLevelType w:val="hybridMultilevel"/>
    <w:lvl w:ilvl="0">
      <w:lvlJc w:val="left"/>
      <w:lvlText w:val="%1."/>
      <w:numFmt w:val="decimal"/>
      <w:start w:val="14"/>
    </w:lvl>
  </w:abstractNum>
  <w:abstractNum w:abstractNumId="215">
    <w:nsid w:val="E0BB885"/>
    <w:multiLevelType w:val="hybridMultilevel"/>
    <w:lvl w:ilvl="0">
      <w:lvlJc w:val="left"/>
      <w:lvlText w:val="%1."/>
      <w:numFmt w:val="decimal"/>
      <w:start w:val="15"/>
    </w:lvl>
  </w:abstractNum>
  <w:abstractNum w:abstractNumId="216">
    <w:nsid w:val="565976F1"/>
    <w:multiLevelType w:val="hybridMultilevel"/>
    <w:lvl w:ilvl="0">
      <w:lvlJc w:val="left"/>
      <w:lvlText w:val="%1."/>
      <w:numFmt w:val="decimal"/>
      <w:start w:val="16"/>
    </w:lvl>
  </w:abstractNum>
  <w:abstractNum w:abstractNumId="217">
    <w:nsid w:val="64212B8C"/>
    <w:multiLevelType w:val="hybridMultilevel"/>
    <w:lvl w:ilvl="0">
      <w:lvlJc w:val="left"/>
      <w:lvlText w:val="%1."/>
      <w:numFmt w:val="decimal"/>
      <w:start w:val="17"/>
    </w:lvl>
  </w:abstractNum>
  <w:abstractNum w:abstractNumId="218">
    <w:nsid w:val="5C17530C"/>
    <w:multiLevelType w:val="hybridMultilevel"/>
    <w:lvl w:ilvl="0">
      <w:lvlJc w:val="left"/>
      <w:lvlText w:val="%1."/>
      <w:numFmt w:val="decimal"/>
      <w:start w:val="18"/>
    </w:lvl>
  </w:abstractNum>
  <w:abstractNum w:abstractNumId="219">
    <w:nsid w:val="19A52566"/>
    <w:multiLevelType w:val="hybridMultilevel"/>
    <w:lvl w:ilvl="0">
      <w:lvlJc w:val="left"/>
      <w:lvlText w:val="%1."/>
      <w:numFmt w:val="decimal"/>
      <w:start w:val="19"/>
    </w:lvl>
  </w:abstractNum>
  <w:abstractNum w:abstractNumId="220">
    <w:nsid w:val="335A1DF1"/>
    <w:multiLevelType w:val="hybridMultilevel"/>
    <w:lvl w:ilvl="0">
      <w:lvlJc w:val="left"/>
      <w:lvlText w:val="(%1)"/>
      <w:numFmt w:val="lowerLetter"/>
      <w:start w:val="1"/>
    </w:lvl>
  </w:abstractNum>
  <w:abstractNum w:abstractNumId="221">
    <w:nsid w:val="28677B7C"/>
    <w:multiLevelType w:val="hybridMultilevel"/>
    <w:lvl w:ilvl="0">
      <w:lvlJc w:val="left"/>
      <w:lvlText w:val="(%1)"/>
      <w:numFmt w:val="lowerLetter"/>
      <w:start w:val="3"/>
    </w:lvl>
  </w:abstractNum>
  <w:abstractNum w:abstractNumId="222">
    <w:nsid w:val="378D97C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2019-12-11T18:53:35Z</dcterms:created>
  <dcterms:modified xsi:type="dcterms:W3CDTF">2019-12-11T18:53:35Z</dcterms:modified>
</cp:coreProperties>
</file>