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17" w:lineRule="exact"/>
        <w:rPr>
          <w:sz w:val="24"/>
          <w:szCs w:val="24"/>
          <w:color w:val="auto"/>
        </w:rPr>
      </w:pPr>
    </w:p>
    <w:p>
      <w:pPr>
        <w:ind w:left="480" w:right="120" w:hanging="337"/>
        <w:spacing w:after="0" w:line="262"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1"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8" w:lineRule="exact"/>
        <w:rPr>
          <w:sz w:val="24"/>
          <w:szCs w:val="24"/>
          <w:color w:val="auto"/>
        </w:rPr>
      </w:pPr>
    </w:p>
    <w:p>
      <w:pPr>
        <w:ind w:left="480" w:right="100" w:hanging="337"/>
        <w:spacing w:after="0" w:line="262"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480"/>
        <w:spacing w:after="0"/>
        <w:tabs>
          <w:tab w:leader="none" w:pos="3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gridSpan w:val="3"/>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77"/>
              <w:spacing w:after="0"/>
              <w:rPr>
                <w:sz w:val="20"/>
                <w:szCs w:val="20"/>
                <w:color w:val="auto"/>
              </w:rPr>
            </w:pPr>
            <w:r>
              <w:rPr>
                <w:rFonts w:ascii="Times New Roman" w:cs="Times New Roman" w:eastAsia="Times New Roman" w:hAnsi="Times New Roman"/>
                <w:sz w:val="18"/>
                <w:szCs w:val="18"/>
                <w:b w:val="1"/>
                <w:bCs w:val="1"/>
                <w:color w:val="auto"/>
                <w:w w:val="98"/>
              </w:rPr>
              <w:t>73-1309529</w:t>
            </w:r>
          </w:p>
        </w:tc>
      </w:tr>
      <w:tr>
        <w:trPr>
          <w:trHeight w:val="203"/>
        </w:trPr>
        <w:tc>
          <w:tcPr>
            <w:tcW w:w="20" w:type="dxa"/>
            <w:vAlign w:val="bottom"/>
          </w:tcPr>
          <w:p>
            <w:pPr>
              <w:spacing w:after="0"/>
              <w:rPr>
                <w:sz w:val="17"/>
                <w:szCs w:val="17"/>
                <w:color w:val="auto"/>
              </w:rPr>
            </w:pPr>
          </w:p>
        </w:tc>
        <w:tc>
          <w:tcPr>
            <w:tcW w:w="3680" w:type="dxa"/>
            <w:vAlign w:val="bottom"/>
            <w:gridSpan w:val="3"/>
          </w:tcPr>
          <w:p>
            <w:pPr>
              <w:jc w:val="center"/>
              <w:ind w:left="1356"/>
              <w:spacing w:after="0" w:line="202" w:lineRule="exact"/>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97"/>
              <w:spacing w:after="0" w:line="202"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0" w:type="dxa"/>
            <w:vAlign w:val="bottom"/>
          </w:tcPr>
          <w:p>
            <w:pPr>
              <w:spacing w:after="0"/>
              <w:rPr>
                <w:sz w:val="20"/>
                <w:szCs w:val="20"/>
                <w:color w:val="auto"/>
              </w:rPr>
            </w:pPr>
          </w:p>
        </w:tc>
        <w:tc>
          <w:tcPr>
            <w:tcW w:w="3680" w:type="dxa"/>
            <w:vAlign w:val="bottom"/>
            <w:gridSpan w:val="3"/>
          </w:tcPr>
          <w:p>
            <w:pPr>
              <w:jc w:val="center"/>
              <w:ind w:left="1356"/>
              <w:spacing w:after="0"/>
              <w:rPr>
                <w:sz w:val="20"/>
                <w:szCs w:val="20"/>
                <w:color w:val="auto"/>
              </w:rPr>
            </w:pPr>
            <w:r>
              <w:rPr>
                <w:rFonts w:ascii="Times New Roman" w:cs="Times New Roman" w:eastAsia="Times New Roman" w:hAnsi="Times New Roman"/>
                <w:sz w:val="18"/>
                <w:szCs w:val="18"/>
                <w:i w:val="1"/>
                <w:iCs w:val="1"/>
                <w:color w:val="auto"/>
              </w:rPr>
              <w:t>incorporation or organization)</w:t>
            </w: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777"/>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31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800 Capitol Street</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Suite 3000</w:t>
            </w:r>
          </w:p>
        </w:tc>
        <w:tc>
          <w:tcPr>
            <w:tcW w:w="320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Houston, Texas 77002</w:t>
            </w:r>
          </w:p>
        </w:tc>
        <w:tc>
          <w:tcPr>
            <w:tcW w:w="32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200" w:type="dxa"/>
            <w:vAlign w:val="bottom"/>
          </w:tcPr>
          <w:p>
            <w:pPr>
              <w:spacing w:after="0"/>
              <w:rPr>
                <w:sz w:val="20"/>
                <w:szCs w:val="20"/>
                <w:color w:val="auto"/>
              </w:rPr>
            </w:pPr>
          </w:p>
        </w:tc>
      </w:tr>
      <w:tr>
        <w:trPr>
          <w:trHeight w:val="31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(713) 512-6200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7000" w:type="dxa"/>
            <w:vAlign w:val="bottom"/>
            <w:gridSpan w:val="6"/>
          </w:tcPr>
          <w:p>
            <w:pPr>
              <w:jc w:val="center"/>
              <w:ind w:left="3096"/>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3200" w:type="dxa"/>
            <w:vAlign w:val="bottom"/>
          </w:tcPr>
          <w:p>
            <w:pPr>
              <w:spacing w:after="0"/>
              <w:rPr>
                <w:sz w:val="20"/>
                <w:szCs w:val="20"/>
                <w:color w:val="auto"/>
              </w:rPr>
            </w:pPr>
          </w:p>
        </w:tc>
      </w:tr>
      <w:tr>
        <w:trPr>
          <w:trHeight w:val="338"/>
        </w:trPr>
        <w:tc>
          <w:tcPr>
            <w:tcW w:w="7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6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0" w:type="dxa"/>
            <w:vAlign w:val="bottom"/>
          </w:tcPr>
          <w:p>
            <w:pPr>
              <w:spacing w:after="0"/>
              <w:rPr>
                <w:sz w:val="15"/>
                <w:szCs w:val="15"/>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rPr>
              <w:t>WM</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894" w:right="839" w:bottom="1440" w:gutter="0" w:footer="0" w:header="0"/>
        </w:sectPr>
      </w:pPr>
    </w:p>
    <w:p>
      <w:pPr>
        <w:spacing w:after="0" w:line="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ind w:left="7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2" w:lineRule="exact"/>
        <w:rPr>
          <w:sz w:val="24"/>
          <w:szCs w:val="24"/>
          <w:color w:val="auto"/>
        </w:rPr>
      </w:pPr>
    </w:p>
    <w:p>
      <w:pPr>
        <w:sectPr>
          <w:pgSz w:w="11900" w:h="16838" w:orient="portrait"/>
          <w:cols w:equalWidth="0" w:num="2">
            <w:col w:w="7320" w:space="720"/>
            <w:col w:w="2180"/>
          </w:cols>
          <w:pgMar w:left="840" w:top="894" w:right="83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spacing w:after="0" w:line="207" w:lineRule="exact"/>
        <w:tabs>
          <w:tab w:leader="none" w:pos="75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$0.01 par value, of the registrant outstanding at October 24, 2024 was 401,365,541 (excluding treasury shares of 228,916,920).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388620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-22225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894" w:right="8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Par Value Amounts)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100" w:type="dxa"/>
            <w:vAlign w:val="bottom"/>
            <w:gridSpan w:val="3"/>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0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receivable, net of allowance for doubtful accounts of $31 and $30, respectively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2,633</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receivables, net of allowance for doubtful accounts of $3 and $4, respectively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Parts and supplies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3,804</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Property and equipment, net of accumulated depreciation and depletion of $23,620 and $22,826,</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respectively</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17,931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16,968</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9,254</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Restricted funds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995</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34,730</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32,823</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28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1,853</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1,709</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Accrued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revenues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4,226</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15,895</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1,826</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Landfill and environmental remediation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2,888</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1,092</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26,758</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25,927</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Waste Management, Inc. stockholders’ equity: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$0.01 par value; 1,500,000,000 shares authorized; 630,282,461 shares issued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5,351</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14,334</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Treasury stock at cost, 228,928,455 and 228,827,218 shares, respectively</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(12,999)</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(12,751)</w:t>
            </w:r>
          </w:p>
        </w:tc>
        <w:tc>
          <w:tcPr>
            <w:tcW w:w="0" w:type="dxa"/>
            <w:vAlign w:val="bottom"/>
          </w:tcPr>
          <w:p>
            <w:pPr>
              <w:spacing w:after="0"/>
              <w:rPr>
                <w:sz w:val="1"/>
                <w:szCs w:val="1"/>
                <w:color w:val="auto"/>
              </w:rPr>
            </w:pPr>
          </w:p>
        </w:tc>
      </w:tr>
      <w:tr>
        <w:trPr>
          <w:trHeight w:val="196"/>
        </w:trPr>
        <w:tc>
          <w:tcPr>
            <w:tcW w:w="6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Waste Management, Inc. stockholders’ equity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6,903</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equity</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7,972</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6,896</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34,730</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left="60" w:right="5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(In Millions, Except per Share Amounts) (Unaudited)</w:t>
      </w: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7"/>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in net income (losses) of unconsolidated entities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5.35</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197"/>
        </w:trPr>
        <w:tc>
          <w:tcPr>
            <w:tcW w:w="54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1.88</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5.33</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8040" w:type="dxa"/>
            <w:vAlign w:val="bottom"/>
            <w:gridSpan w:val="1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0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7"/>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Derivative instruments, net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Post-retirement benefit obligations, net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Waste Management, Inc.</w:t>
            </w:r>
          </w:p>
        </w:tc>
        <w:tc>
          <w:tcPr>
            <w:tcW w:w="22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Borders>
              <w:top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income</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40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consolidated net income to net cash provided by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accretion on landfill and environmental remediation liabilities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Provision for bad debts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gain on disposal of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(Gain) loss from divestitures, asset impairments and other, net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Equity in net (income) losses of unconsolidated entities, net of dividends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 in operating assets and liabilities, net of effects of acquisitions and divestitures: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Receivables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revenues and other liabilities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Proceeds from divestitures of businesses and other assets, net of cash divested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New borrowings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Debt repayments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stock repurchase program</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dividends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Tax payments associated with equity-based compensation transactions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 and cash equivalents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(Decrease) increase in cash, cash equivalents and restricted cash and cash equivalents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beginning of period</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and cash equivalents at end of period: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40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other current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restricted funds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32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1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jc w:val="center"/>
              <w:ind w:right="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3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8"/>
              </w:rPr>
              <w:t>Amounts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98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rPr>
              <w:t>(Loss) Income</w:t>
            </w:r>
          </w:p>
        </w:tc>
        <w:tc>
          <w:tcPr>
            <w:tcW w:w="66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28"/>
        </w:trPr>
        <w:tc>
          <w:tcPr>
            <w:tcW w:w="258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2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2024</w:t>
            </w: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$ 7,451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5,433</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$ 15,104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(73)</w:t>
            </w:r>
          </w:p>
        </w:tc>
        <w:tc>
          <w:tcPr>
            <w:tcW w:w="6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(229,183)</w:t>
            </w:r>
          </w:p>
        </w:tc>
        <w:tc>
          <w:tcPr>
            <w:tcW w:w="70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 (13,013)</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8"/>
        </w:trPr>
        <w:tc>
          <w:tcPr>
            <w:tcW w:w="25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760</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8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5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$0.75 per</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(301)</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(301)</w:t>
            </w:r>
          </w:p>
        </w:tc>
        <w:tc>
          <w:tcPr>
            <w:tcW w:w="18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5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2024</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$ 7,972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5,485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$ 15,563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(228,928)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(12,999)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2023</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$ 6,928</w:t>
            </w: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1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5,341</w:t>
            </w: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$ 13,744</w:t>
            </w:r>
          </w:p>
        </w:tc>
        <w:tc>
          <w:tcPr>
            <w:tcW w:w="60" w:type="dxa"/>
            <w:vAlign w:val="bottom"/>
          </w:tcPr>
          <w:p>
            <w:pPr>
              <w:spacing w:after="0"/>
              <w:rPr>
                <w:sz w:val="12"/>
                <w:szCs w:val="12"/>
                <w:color w:val="auto"/>
              </w:rPr>
            </w:pPr>
          </w:p>
        </w:tc>
        <w:tc>
          <w:tcPr>
            <w:tcW w:w="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6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(225,407)</w:t>
            </w:r>
          </w:p>
        </w:tc>
        <w:tc>
          <w:tcPr>
            <w:tcW w:w="7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 (12,150)</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258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58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(26)</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(26)</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5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$0.70 per</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(283)</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(283)</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5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6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(373)</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(2,347)</w:t>
            </w: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(373)</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2023</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$ 6,966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5,385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$ 14,124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(227,457)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(12,507)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32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3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0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(Loss) Income</w:t>
            </w:r>
          </w:p>
        </w:tc>
        <w:tc>
          <w:tcPr>
            <w:tcW w:w="66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28"/>
        </w:trPr>
        <w:tc>
          <w:tcPr>
            <w:tcW w:w="250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6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December 31, 2023</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6,896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5,351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$ 14,334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6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(228,827)</w:t>
            </w:r>
          </w:p>
        </w:tc>
        <w:tc>
          <w:tcPr>
            <w:tcW w:w="70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 (12,751)</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25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2,147</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5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10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$2.25 per</w:t>
            </w:r>
          </w:p>
        </w:tc>
        <w:tc>
          <w:tcPr>
            <w:tcW w:w="100" w:type="dxa"/>
            <w:vAlign w:val="bottom"/>
          </w:tcPr>
          <w:p>
            <w:pPr>
              <w:spacing w:after="0"/>
              <w:rPr>
                <w:sz w:val="10"/>
                <w:szCs w:val="10"/>
                <w:color w:val="auto"/>
              </w:rPr>
            </w:pP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(909)</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(909)</w:t>
            </w:r>
          </w:p>
        </w:tc>
        <w:tc>
          <w:tcPr>
            <w:tcW w:w="8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(1,494)</w:t>
            </w: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Adoption of new accounting standard</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250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2024</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7,972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5,485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$ 15,563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(228,928)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(12,999)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December 31, 2022</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6,864</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Pr>
          <w:p>
            <w:pPr>
              <w:spacing w:after="0"/>
              <w:rPr>
                <w:sz w:val="12"/>
                <w:szCs w:val="12"/>
                <w:color w:val="auto"/>
              </w:rPr>
            </w:pPr>
          </w:p>
        </w:tc>
        <w:tc>
          <w:tcPr>
            <w:tcW w:w="2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5,314</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$ 13,167</w:t>
            </w:r>
          </w:p>
        </w:tc>
        <w:tc>
          <w:tcPr>
            <w:tcW w:w="6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(69)</w:t>
            </w:r>
          </w:p>
        </w:tc>
        <w:tc>
          <w:tcPr>
            <w:tcW w:w="6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(222,396)</w:t>
            </w:r>
          </w:p>
        </w:tc>
        <w:tc>
          <w:tcPr>
            <w:tcW w:w="7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 (11,569)</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25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1,807</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26"/>
        </w:trPr>
        <w:tc>
          <w:tcPr>
            <w:tcW w:w="25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$2.10 per</w:t>
            </w: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(855)</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(855)</w:t>
            </w: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10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(1,001)</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(6,283)</w:t>
            </w: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(1,001)</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2"/>
        </w:trPr>
        <w:tc>
          <w:tcPr>
            <w:tcW w:w="250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2023</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6,966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5,385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$ 14,124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(227,457)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(12,507)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 w:name="page7"/>
    <w:bookmarkEnd w:id="6"/>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Basis of Presentation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13.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business is operated and managed locally by our subsidiaries that focus on distinct geographic areas and provide collection, transfer, disposal, and recycling and resource recovery services. Through our subsidiaries, including our Waste Management Renewable Energy (“WM Renewable Energy”) business, we are also a leading developer, operator and owner of landfill gas-to-energy facilities in the U.S. and Canada that produce renewable electricity and renewable natural gas (“RNG”), which is a significant source of fuel that we allocate to our natural gas fleet.</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four reportable segments, referred to as (i) Collection and Disposal - East Tier (“East Tier”); (ii) Collection and Disposal - West Tier (“West Tier”); (iii) Recycling Processing and Sales and (iv) WM Renewable Energy. Our East and West Tier, along with certain ancillary services (“Other Ancillary”) not managed through our Tier segments, but that support our collection and disposal operations, form our “Collection and Disposal” businesses. We also provide additional services not managed through our four reportable segments, which are presented as Corporate and Other. Refer to Note 7 for further discussion.</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as of September 30, 2024 and for the three and nine months ended September 30, 2024 and 2023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2023.</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Actual results could differ materially from the estimates and assumptions that we use in the preparation of our financial statements.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generally recognize revenue as services are performed or products are delivered. For example, revenue typically is recognized as waste is collected, tons are received at our landfills or transfer stations, or recycling and other commodities, such as RNG, electricity and capacity, Renewable Identification Numbers (“RINs”) and Renewable Energy Credits (“RECs”), are sold.</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also bill for certain services prior to performance. Such services include, among others, certain commercial and residential contracts, and equipment rentals. These advanced billings are included in deferred revenues and recognized as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7" w:name="page8"/>
    <w:bookmarkEnd w:id="7"/>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revenue in the period service is provided. Substantially all our deferred revenues during the reported periods are realized as revenues within one to three months, when the related services are performed.</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Sheets. As of September 30, 2024 and December 31, 2023, we had $216 million and $207 million, respectively, of deferred contract costs, of which $151 million and $148 million, respectively, were related to deferred sales incentives.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Amounts for our operating lease right-of-use assets are recorded in long-term other assets and the current and long-term portion of our operating lease liabilities are reflected in accrued liabilities and other long-term liabilities, respectively, in our Condensed Consolidated Balance Sheets. Amounts for our financing leases are recorded in property and equipment, net of accumulated depreciation and depletion, and current or long-term debt in our Condensed Consolidated Balance Sheets, as appropriate.</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investments held within restricted funds,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When necessary, reclassifications have been made to our prior period financial information to conform to the current year presentation and are not material to our Condensed Consolidated Financial Statements.</w:t>
      </w:r>
    </w:p>
    <w:p>
      <w:pPr>
        <w:spacing w:after="0" w:line="158" w:lineRule="exact"/>
        <w:rPr>
          <w:sz w:val="20"/>
          <w:szCs w:val="20"/>
          <w:color w:val="auto"/>
        </w:rPr>
      </w:pPr>
    </w:p>
    <w:p>
      <w:pPr>
        <w:ind w:left="360" w:hanging="310"/>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Landfill and Environmental Remediation Liabilities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Liabilities for landfill and environmental remediation costs are presented in the table below (in millions):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220" w:type="dxa"/>
            <w:vAlign w:val="bottom"/>
            <w:gridSpan w:val="4"/>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240" w:type="dxa"/>
            <w:vAlign w:val="bottom"/>
            <w:gridSpan w:val="4"/>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 accrued liabilities)</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8" w:name="page9"/>
    <w:bookmarkEnd w:id="8"/>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changes to landfill and environmental remediation liabilities for the nine months ended September 30, 2024 are reflected in the table below (in millions):</w:t>
      </w:r>
    </w:p>
    <w:tbl>
      <w:tblPr>
        <w:tblLayout w:type="fixed"/>
        <w:tblInd w:w="60" w:type="dxa"/>
        <w:tblCellMar>
          <w:top w:w="0" w:type="dxa"/>
          <w:left w:w="0" w:type="dxa"/>
          <w:bottom w:w="0" w:type="dxa"/>
          <w:right w:w="0" w:type="dxa"/>
        </w:tblCellMar>
      </w:tblPr>
      <w:tr>
        <w:trPr>
          <w:trHeight w:val="137"/>
        </w:trPr>
        <w:tc>
          <w:tcPr>
            <w:tcW w:w="6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180" w:type="dxa"/>
            <w:vAlign w:val="bottom"/>
          </w:tcPr>
          <w:p>
            <w:pPr>
              <w:spacing w:after="0"/>
              <w:rPr>
                <w:sz w:val="11"/>
                <w:szCs w:val="11"/>
                <w:color w:val="auto"/>
              </w:rPr>
            </w:pPr>
          </w:p>
        </w:tc>
        <w:tc>
          <w:tcPr>
            <w:tcW w:w="94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Environmental</w:t>
            </w:r>
          </w:p>
        </w:tc>
        <w:tc>
          <w:tcPr>
            <w:tcW w:w="0" w:type="dxa"/>
            <w:vAlign w:val="bottom"/>
          </w:tcPr>
          <w:p>
            <w:pPr>
              <w:spacing w:after="0"/>
              <w:rPr>
                <w:sz w:val="1"/>
                <w:szCs w:val="1"/>
                <w:color w:val="auto"/>
              </w:rPr>
            </w:pPr>
          </w:p>
        </w:tc>
      </w:tr>
      <w:tr>
        <w:trPr>
          <w:trHeight w:val="173"/>
        </w:trPr>
        <w:tc>
          <w:tcPr>
            <w:tcW w:w="69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Obligations settled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accretion</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Revisions in estimates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Acquisitions, divestitures and other adjustments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At several of our landfills, we provide financial assurance by depositing cash into restricted trust funds for purposes of settling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176" w:lineRule="exact"/>
        <w:rPr>
          <w:sz w:val="20"/>
          <w:szCs w:val="20"/>
          <w:color w:val="auto"/>
        </w:rPr>
      </w:pPr>
    </w:p>
    <w:p>
      <w:pPr>
        <w:ind w:left="360" w:hanging="310"/>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and Derivatives</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debt at principal amounts as of each balance sheet date (in millions) and provides the maturities and interest rate ranges of each major category as of September 30, 2024:</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40" w:type="dxa"/>
            <w:vAlign w:val="bottom"/>
            <w:tcBorders>
              <w:bottom w:val="single" w:sz="8" w:color="CCEEFF"/>
            </w:tcBorders>
          </w:tcPr>
          <w:p>
            <w:pPr>
              <w:spacing w:after="0"/>
              <w:rPr>
                <w:sz w:val="15"/>
                <w:szCs w:val="15"/>
                <w:color w:val="auto"/>
              </w:rPr>
            </w:pPr>
          </w:p>
        </w:tc>
        <w:tc>
          <w:tcPr>
            <w:tcW w:w="46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8"/>
        </w:trPr>
        <w:tc>
          <w:tcPr>
            <w:tcW w:w="692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Commercial paper program (weighted average interest rate of 5.6% as of</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34"/>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198"/>
        </w:trPr>
        <w:tc>
          <w:tcPr>
            <w:tcW w:w="69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Senior notes, maturing through 2050, interest rates ranging from 0.75% to 7.75% (weighted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interest rate of 3.9% as of September 30, 2024 and 3.7% as of December 31, 2023)</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11,376</w:t>
            </w:r>
          </w:p>
        </w:tc>
      </w:tr>
      <w:tr>
        <w:trPr>
          <w:trHeight w:val="216"/>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senior notes, C$500 million maturing September 2026, interest rate of 2.6%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198"/>
        </w:trPr>
        <w:tc>
          <w:tcPr>
            <w:tcW w:w="69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Tax-exempt bonds, maturing through 2053, fixed and variable interest rates ranging from</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0.70% to 5.0% (weighted average interest rate of 3.7% as of September 30, 2024 and 3.3%</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r>
      <w:tr>
        <w:trPr>
          <w:trHeight w:val="198"/>
        </w:trPr>
        <w:tc>
          <w:tcPr>
            <w:tcW w:w="69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Financing leases and other, maturing through 2082 (weighted average interest rate of 4.9% as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4"/>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September 30, 2024 and 5.0% as of December 31, 2023) (a)</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issuance costs, discounts and other</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09"/>
        </w:trPr>
        <w:tc>
          <w:tcPr>
            <w:tcW w:w="224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16,229</w:t>
            </w:r>
          </w:p>
        </w:tc>
      </w:tr>
      <w:tr>
        <w:trPr>
          <w:trHeight w:val="216"/>
        </w:trPr>
        <w:tc>
          <w:tcPr>
            <w:tcW w:w="6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10"/>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r>
      <w:tr>
        <w:trPr>
          <w:trHeight w:val="20"/>
        </w:trPr>
        <w:tc>
          <w:tcPr>
            <w:tcW w:w="22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our landfill financing leases, the maturities of our financing leases and other debt obligations extend through 2059.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9" w:name="page10"/>
    <w:bookmarkEnd w:id="9"/>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Classification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2024, we had approximately $1.9 billion of debt maturing within the next 12 months, including</w:t>
      </w:r>
    </w:p>
    <w:p>
      <w:pPr>
        <w:spacing w:after="0" w:line="27" w:lineRule="exact"/>
        <w:rPr>
          <w:sz w:val="20"/>
          <w:szCs w:val="20"/>
          <w:color w:val="auto"/>
        </w:rPr>
      </w:pPr>
    </w:p>
    <w:p>
      <w:pPr>
        <w:jc w:val="both"/>
        <w:ind w:left="60" w:right="59" w:firstLine="39"/>
        <w:spacing w:after="0" w:line="252" w:lineRule="auto"/>
        <w:tabs>
          <w:tab w:leader="none" w:pos="3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billion of tax-exempt bonds with term interest rate periods that expire within the next 12 months, which is prior to their scheduled maturities; (ii) $422 million of 3.125% senior notes that mature in March 2025 and (iii) $254 million of other debt with scheduled maturities within the next 12 months, including $110 million of tax-exempt bonds. As of September 30, 2024, we have classified $1.2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The remaining $676 million of debt maturing in the next 12 months is classified as current obligations.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Access to and Utilization of Credit Facilities and Commercial Paper Program</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Term Credit Agreement Up to $7.2 Billion — </w:t>
      </w:r>
      <w:r>
        <w:rPr>
          <w:rFonts w:ascii="Times New Roman" w:cs="Times New Roman" w:eastAsia="Times New Roman" w:hAnsi="Times New Roman"/>
          <w:sz w:val="18"/>
          <w:szCs w:val="18"/>
          <w:color w:val="auto"/>
        </w:rPr>
        <w:t>On August 28, 2024, the Company entered into a delayed draw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in a principal amount of up to $7.2 billion (the “Term Credit Agreement”). Borrowings under our Term Credit Agreement may be used to pay all or a portion of the consideration for our pending acquisition of Stericycle; to pay, prepay or otherwise refinance certain indebtedness of Stericycle; and/or to pay fees and expenses incurred in connection with the acquisition and the Term Credit Agreement. The maturity date of borrowings under the Term Credit Agreement shall be the first business day that is 364 days after the date that borrowings are received (the “Funding Date”). WM Holdings, a wholly-owned subsidiary of WMI, guarantees all of the obligations under the Term Credit Agreement.</w:t>
      </w:r>
    </w:p>
    <w:p>
      <w:pPr>
        <w:spacing w:after="0" w:line="18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Borrowings under the Term Credit Agreement will bear interest at a base rate or the secured overnight financing rate (“SOFR”) administered by the Federal Reserve Bank of New York, plus an applicable spread depending on our senior public debt rating assigned by Moody’s Investors Service, Inc. and Standard and Poor’s Global Ratings. The spread above SOFR can range from 0.90% to 1.250% per annum and the spread for base rate loans can range from zero to 0.250% per annum. We also pay certain other fees set forth in the Term Credit Agreement, including (a) a ticking fee accruing on the aggregate lending commitments from August 28, 2024 to the earlier of the Funding Date or the termination or expiration of the lending commitments under the Term Credit Agreement; (b) extension fees on the aggregate lending commitments in effect on June 3, 2025 and December 31, 2025; and (c) duration fees on the aggregate principal amount of borrowings outstanding on December 31, 2024, December 31, 2025 and at the end of each fiscal quarter. As of September 30, 2024, there were no outstanding borrowings under our Term Credit Agreement and the ticking fee in effect was 0.065% per annum.</w:t>
      </w:r>
    </w:p>
    <w:p>
      <w:pPr>
        <w:spacing w:after="0" w:line="19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$3.5 Billion Revolving Credit Facility — </w:t>
      </w:r>
      <w:r>
        <w:rPr>
          <w:rFonts w:ascii="Times New Roman" w:cs="Times New Roman" w:eastAsia="Times New Roman" w:hAnsi="Times New Roman"/>
          <w:sz w:val="18"/>
          <w:szCs w:val="18"/>
          <w:color w:val="auto"/>
        </w:rPr>
        <w:t>In May 2024, we amended and restated our $3.5 billion U.S. and Canadian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credit facility, extending the term through May 2029. The agreement includes a $1.0 billion accordion feature that may be used to increase total capacity in future periods, and we have the option to request up to two one-year extensions. Waste Management of Canada Corporation and WM Quebec Inc., each an indirect wholly-owned subsidiary of WMI, are borrowers under the $3.5 billion revolving credit facility, and the agreement permits borrowing in Canadian dollars up to the U.S. dollar equivalent of $375 million, with such borrowings to be repaid in Canadian dollars. WM Holdings guarantees all the obligations under the $3.5 billion revolving credit facility.</w:t>
      </w:r>
    </w:p>
    <w:p>
      <w:pPr>
        <w:spacing w:after="0" w:line="18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$3.5 billion revolving credit facility provides us with credit capacity to be used for cash borrowings, to support letters of credit and to support our commercial paper program. The interest rates we pay on outstanding U.S. or Canadian loans are based on SOFR or the Canadian Overnight Repo Rate Average (“CORRA”) administered by the Bank of Canada, respectively, plus a spread depending on our senior public debt rating assigned by Moody’s Investors Service, Inc. and Standard and Poor’s Global Ratings. The spread above SOFR or CORRA can range from 0.585% to 1.025% per annum, plus applicable credit adjustments. We also pay certain other fees set forth in the $3.5 billion revolving credit facility agreement, including a facility fee based on the aggregate commitment, regardless of usage. As of September 30, 2024, we had no outstanding borrowings under this facility. We had $171 million of letters of credit issued and no outstanding borrowings under our commercial paper program, both supported by the facility, leaving unused and available credit capacity of $3.3 billion as of September 30, 2024.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0" w:name="page11"/>
    <w:bookmarkEnd w:id="10"/>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We have a commercial paper program that enables us to borrow funds for up to 397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at competitive interest rates. The rates we pay for outstanding borrowings are based on the term of the notes. The commercial paper program is fully supported by our $3.5 billion revolving credit facility. In July 2024, we issued $1.5 billion of new senior notes and used the proceeds primarily to repay outstanding commercial paper borrowings. As of September 30, 2024, we had no outstanding borrowings under our commercial paper program.</w:t>
      </w:r>
    </w:p>
    <w:p>
      <w:pPr>
        <w:spacing w:after="0" w:line="18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Letter of Credit Lines — </w:t>
      </w:r>
      <w:r>
        <w:rPr>
          <w:rFonts w:ascii="Times New Roman" w:cs="Times New Roman" w:eastAsia="Times New Roman" w:hAnsi="Times New Roman"/>
          <w:sz w:val="18"/>
          <w:szCs w:val="18"/>
          <w:color w:val="auto"/>
        </w:rPr>
        <w:t>As of September 30, 2024, we had utilized $863 million of other uncommitted letter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lines with terms maturing through December 2027.</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Borrowings and Repayments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During the nine months ended September 30, 2024, we made cash repayments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$10.3 billion, which were partially offset by $9.4 billion of cash borrowings (net of related discount on issuance).</w:t>
      </w:r>
    </w:p>
    <w:p>
      <w:pPr>
        <w:spacing w:after="0" w:line="15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 During the nine months ended September 30, 2024, WMI issued $750 million of 4.950% senior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2027 and $750 million of 4.950% senior notes due 2031, the net proceeds of which were $1.5 billion. The net proceeds were used primarily to reduce outstanding borrowings under our commercial paper program. During the nine months ended September 30, 2024, we repaid $156 million of WMI’s 3.5% senior notes upon maturity in May 2024.</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212529"/>
        </w:rPr>
        <w:t xml:space="preserve">Treasury Locks </w:t>
      </w:r>
      <w:r>
        <w:rPr>
          <w:rFonts w:ascii="Times New Roman" w:cs="Times New Roman" w:eastAsia="Times New Roman" w:hAnsi="Times New Roman"/>
          <w:sz w:val="18"/>
          <w:szCs w:val="18"/>
          <w:color w:val="000000"/>
        </w:rPr>
        <w:t>— We use treasury lock agreements to hedge our exposure to interest rate changes and to reduce the</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000000"/>
        </w:rPr>
        <w:t>volatility of financing costs on expected future debt issuances. Each of our treasury lock transactions was designated as a cash flow hedge of the interest payments associated with an anticipated debt issuance. During the third quarter of 2024, we entered into treasury lock transactions to fix the ten-year treasury rate on an aggregate notional amount of $900 million. We also entered into treasury lock transactions to fix the thirty-year treasury rate on an aggregate notional amount of $650 million. As of September 30, 2024, we recognized an unrealized loss of $35 million within accumulated other comprehensive (loss) income and an associated derivative liability reflected within accrued liabilities on the Company’s Condensed Consolidated Balance Sheets related to these cash flow hedges. Upon termination, these derivatives will be amortized to earnings as a component of interest expense over the full term of each issuance.</w:t>
      </w:r>
    </w:p>
    <w:p>
      <w:pPr>
        <w:spacing w:after="0" w:line="186" w:lineRule="exact"/>
        <w:rPr>
          <w:sz w:val="20"/>
          <w:szCs w:val="20"/>
          <w:color w:val="auto"/>
        </w:rPr>
      </w:pPr>
    </w:p>
    <w:p>
      <w:pPr>
        <w:ind w:left="360" w:hanging="310"/>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effective income tax rate was 23.6% and 22.2% for the three and nine months ended September 30, 2024, respectively, compared with 24.1% and 24.0% for the three and nine months ended September 30, 2023, respectively. The decrease in our effective income tax rate when comparing the three and nine months ended September 30, 2024 and 2023 was primarily driven by (i) an increase in federal tax credits and (ii) the reduction in the state and local income tax rate partially offset by impacts of adopting Accounting Standards Update (“ASU”) 2023-02, which is discussed further below. We evaluate our effective income tax rate at each interim period and adjust it as facts and circumstances warrant.</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Investments Qualifying for Federal Tax Credits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Renewable Natural Gas </w:t>
      </w:r>
      <w:r>
        <w:rPr>
          <w:rFonts w:ascii="Times New Roman" w:cs="Times New Roman" w:eastAsia="Times New Roman" w:hAnsi="Times New Roman"/>
          <w:sz w:val="18"/>
          <w:szCs w:val="18"/>
          <w:color w:val="auto"/>
        </w:rPr>
        <w:t>— Through our subsidiaries, including our WM Renewable Energy segment,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in building landfill gas-to-energy facilities in the U.S. and Canada that produce renewable electricity and RNG. We expect our new RNG facilities to qualify for federal tax credits and to realize those credits through 2027 under Sections 48 and 45Z of the Internal Revenue Code.</w:t>
      </w:r>
    </w:p>
    <w:p>
      <w:pPr>
        <w:spacing w:after="0" w:line="18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we recognized a reduction in our income tax expense of $37 million and $111 million, respectively, due to federal tax credits expected to be realized from our RNG investments compared with $2 million and $6 million, respectively, for the comparable prior year periods.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11" w:name="page12"/>
    <w:bookmarkEnd w:id="11"/>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Low-Income Housing </w:t>
      </w:r>
      <w:r>
        <w:rPr>
          <w:rFonts w:ascii="Times New Roman" w:cs="Times New Roman" w:eastAsia="Times New Roman" w:hAnsi="Times New Roman"/>
          <w:sz w:val="18"/>
          <w:szCs w:val="18"/>
          <w:color w:val="auto"/>
        </w:rPr>
        <w:t>— We have significant financial interests in entities established to invest in and manage low-income housing properties. We support the operations of these entities in exchange for a pro-rata share of the tax credits they generate. The low-income housing investments qualify for federal tax credits that we expect to realize through 2035 under Section 42 or Section 45D of the Internal Revenue Code.</w:t>
      </w:r>
    </w:p>
    <w:p>
      <w:pPr>
        <w:spacing w:after="0" w:line="18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a result of adopting ASU 2023-02, we amortize our investments in these entities using the proportional amortization method. Under the proportional amortization method, the equity investment is amortized in proportion to the income tax credits and other income tax benefits received. The amortization expense and the income tax credits are required to be presented on a net basis in income tax expense on the Condensed Consolidated Statements of Operations. Prior to fiscal year 2024, we accounted for our investments in these entities using the equity method of accounting, recognizing our share of each entity’s results of operations and other reductions in the value of our investments in equity in net income (losses) of unconsolidated entities, within our Condensed Consolidated Statements of Operations.</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2024, we recognized additional income tax expense of $19 million and $56 million, respectively, related to amortization under ASU 2023-02 and a reduction in our income tax expense primarily due to federal tax credits of $26 million and $76 million, respectively. In addition, during the three and nine months ended September 30, 2024, we recognized interest expense of $5 million and $16 million, respectively, associated with our investments in low-income housing properties. See Note 13 for additional information related to these unconsolidated variable interest entities.</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2023, we recognized $18 million and $43 million of net losses, respectively, and a reduction in our income tax expense of $28 million and $76 million, respectively, primarily due to federal tax credits realized from these investments as well as the tax benefits from the pre-tax losses realized. In addition, during the three and nine months ended September 30, 2023, we recognized interest expense of $3 million and $10 million, respectively, associated with our investments in low-income housing properties. See Note 13 for additional information related to these unconsolidated variable interest entities.</w:t>
      </w:r>
    </w:p>
    <w:p>
      <w:pPr>
        <w:spacing w:after="0" w:line="183"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earnings per share were computed using the following common share data (shares in millions):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5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15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gridSpan w:val="3"/>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0" w:type="dxa"/>
            <w:vAlign w:val="bottom"/>
          </w:tcPr>
          <w:p>
            <w:pPr>
              <w:spacing w:after="0"/>
              <w:rPr>
                <w:sz w:val="1"/>
                <w:szCs w:val="1"/>
                <w:color w:val="auto"/>
              </w:rPr>
            </w:pPr>
          </w:p>
        </w:tc>
      </w:tr>
      <w:tr>
        <w:trPr>
          <w:trHeight w:val="198"/>
        </w:trPr>
        <w:tc>
          <w:tcPr>
            <w:tcW w:w="59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Dilutive effect of equity-based compensation awards and other contingently</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issuable shares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Potentially issuable shares</w:t>
            </w: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60" w:type="dxa"/>
            <w:vAlign w:val="bottom"/>
            <w:vMerge w:val="continue"/>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16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6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anti-dilutive potentially issuable shares excluded from diluted</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outstanding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the Condensed Consolidated Statements of Operations for net income attributable to Waste Management, Inc.</w:t>
      </w:r>
    </w:p>
    <w:p>
      <w:pPr>
        <w:spacing w:after="0" w:line="221"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w:t>
      </w:r>
      <w:r>
        <w:rPr>
          <w:rFonts w:ascii="Times New Roman" w:cs="Times New Roman" w:eastAsia="Times New Roman" w:hAnsi="Times New Roman"/>
          <w:sz w:val="18"/>
          <w:szCs w:val="18"/>
          <w:color w:val="auto"/>
        </w:rPr>
        <w:t>We have obtained letters of credit, surety bonds and insurance policies and have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3. Surety bonds and insurance policies are supported by (i) a diverse group of third-party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12" w:name="page13"/>
    <w:bookmarkEnd w:id="12"/>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surety and insurance companies; (ii) an entity in which we have a noncontrolling financial interest or (iii) a wholly-owned insurance captive, the sole business of which is to issue surety bonds and/or insurance policies on our behalf.</w:t>
      </w:r>
    </w:p>
    <w:p>
      <w:pPr>
        <w:spacing w:after="0" w:line="162"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Insurance — </w:t>
      </w:r>
      <w:r>
        <w:rPr>
          <w:rFonts w:ascii="Times New Roman" w:cs="Times New Roman" w:eastAsia="Times New Roman" w:hAnsi="Times New Roman"/>
          <w:sz w:val="18"/>
          <w:szCs w:val="18"/>
          <w:color w:val="auto"/>
        </w:rPr>
        <w:t>We carry insurance coverage for protection of our assets and operations from certain risks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Our exposure could increase if our insurers are unable to meet their commitments on a timely basis.</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do not expect the impact of any known casualty, property, environmental or other contingency to have a material impact on our financial condition, results of operations or cash flows.</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Guarantees — </w:t>
      </w:r>
      <w:r>
        <w:rPr>
          <w:rFonts w:ascii="Times New Roman" w:cs="Times New Roman" w:eastAsia="Times New Roman" w:hAnsi="Times New Roman"/>
          <w:sz w:val="18"/>
          <w:szCs w:val="18"/>
          <w:color w:val="auto"/>
        </w:rPr>
        <w:t>In the ordinary course of our business, WMI and WM Holdings enter into guarantee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their subsidiaries’ operations. Additionally, WMI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8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2024, we have guaranteed the obligations and certain performance requirements of third parties in connection with both consolidated and unconsolidated entities, including guarantees to cover the difference, if any, between the sale value and the guaranteed market or contractually-determined value of certain homeowner’s properties that are adjacent to or near 19 of our landfills. We have also agreed to indemnify certain third-party purchasers against liabilities associated with divested operations prior to such sale. We do not believe that the remaining contingent obligations will have a material adverse effect on the Company’s business, financial condition, results of operations or cash flows.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 </w:t>
      </w:r>
      <w:r>
        <w:rPr>
          <w:rFonts w:ascii="Times New Roman" w:cs="Times New Roman" w:eastAsia="Times New Roman" w:hAnsi="Times New Roman"/>
          <w:sz w:val="18"/>
          <w:szCs w:val="18"/>
          <w:color w:val="auto"/>
        </w:rPr>
        <w:t>A significant portion of our operating costs and capital expenditures could be characterized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3" w:name="page14"/>
    <w:bookmarkEnd w:id="13"/>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(where estimable), our aggregate potential liability would be approximately $17 million higher than the $202 million recorded in the Condensed Consolidated Balance Sheet as of September 30, 2024.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2024, we had been notified by the government that we are a PRP in connection with 74 locations listed on the Environmental Protection Agency’s (“EPA’s”) Superfund National Priorities List, or NPL. Of the 74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94"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2018, both of McGinnes Industrial Maintenance Corporation (“MIMC”), a subsidiary of Waste Management of Texas, Inc., and International Paper Company (“IPC”) entered into an Administrative Order on Consent with the EPA as PRPs to develop a remedial design for the San Jacinto River Waste Pits Superfund Site in Harris County, Texas. We recorded a liability for MIMC’s estimated potential share of the EPA’s proposed remedy and related costs, although allocation of responsibility among the PRPs for the proposed remedy has not been established. MIMC and IPC have continued to work on a remedial design to support the EPA’s proposed remedy; however, in the first quarter of 2024, the EPA publicly issued a letter alleging that the remedial design has serious deficiencies. MIMC and IPC subsequently engaged with the EPA and provided responses to the EPA letter. The EPA responded that, while the parties had not remedied all concerns from its letter, the parties had sufficiently demonstrated a path forward and were given additional time to submit a full remedial design, which was submitted during the third quarter of 2024. In late October 2024, the EPA provided comments in response to the full remedial design submission and the parties are currently reviewing those comments. As of September 30, 2024 and December 31, 2023, the recorded liability for MIMC’s estimated potential share of costs for the remedy was approximately $85 million. MIMC’s ultimate liability could be materially different from current estimates, including potential increases resulting from MIMC’s continued engagement with the EPA regarding a final remedial design for the site.</w:t>
      </w:r>
    </w:p>
    <w:p>
      <w:pPr>
        <w:spacing w:after="0" w:line="19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4" w:name="page15"/>
    <w:bookmarkEnd w:id="14"/>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whether disclosure of any such environmental proceedings is required. As of the date of this filing, we are not aware of any matters that are required to be disclosed pursuant to this standard.</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We are subject to various proceedings, lawsuits, disputes and claims arising in the ordinary course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9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June 2022, we and certain of our officers were named as defendants in a complaint alleging violation of the federal securities laws and seeking certification as a class action in the U.S. District Court for the Southern District of New York. A lead plaintiff has been appointed and an amended complaint was filed in January 2023. The amended complaint seeks damages on behalf of a putative class of secondary market purchasers of our senior notes with a special mandatory redemption feature issued in May 2019, asserting claims under the Securities Exchange Act based on alleged misrepresentations and omissions concerning the time for completion of our acquisition of Advanced Disposal. The case is currently in the discovery phase, and we intend to vigorously defend against this pending suit. We believe any potential recovery by the plaintiffs, in excess of applicable deductibles, will be covered by insurance, and we do not believe that the eventual outcome of this suit will have a material adverse effect on the Company’s business, financial condition, results of operations or cash flows.</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Times New Roman" w:cs="Times New Roman" w:eastAsia="Times New Roman" w:hAnsi="Times New Roman"/>
          <w:sz w:val="18"/>
          <w:szCs w:val="18"/>
          <w:color w:val="auto"/>
        </w:rPr>
        <w:t>About 20% of our workforce is covered by collective bargaining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A complete or partial withdrawal from a Multiemployer Pension Plan may also occur if employees covered by a collective bargaining agreement vote to decertify a union from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5" w:name="page16"/>
    <w:bookmarkEnd w:id="15"/>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Tax Matters — </w:t>
      </w:r>
      <w:r>
        <w:rPr>
          <w:rFonts w:ascii="Times New Roman" w:cs="Times New Roman" w:eastAsia="Times New Roman" w:hAnsi="Times New Roman"/>
          <w:sz w:val="18"/>
          <w:szCs w:val="18"/>
          <w:color w:val="auto"/>
        </w:rPr>
        <w:t>We participate in the IRS’s Compliance Assurance Process, which means we work with the 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The Company expects to seek a refund of the entire amount deposited with the IRS and litigate any denial of the claim for refund. As of September 30, 2024 and December 31, 2023, the IRS deposit, net of reserve for uncertain tax positions, is classified as a component of other long-term assets in the Company’s Condensed Consolidated Balance Sheets.</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Times New Roman" w:cs="Times New Roman" w:eastAsia="Times New Roman" w:hAnsi="Times New Roman"/>
          <w:sz w:val="17"/>
          <w:szCs w:val="17"/>
          <w:color w:val="auto"/>
        </w:rPr>
        <w:t>In addition, we are in the examination phase of IRS audits for the 2023 and 2024 tax years and expect the audits to be completed within the next 18 months. We are also currently undergoing audits by the Canada Revenue Agency for the 2021 tax year and various state and local jurisdictions for tax years that date back to 2014.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164"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Related Information</w:t>
      </w:r>
    </w:p>
    <w:p>
      <w:pPr>
        <w:spacing w:after="0" w:line="229"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four reportable segments, referred to as (i) East Tier; (ii) West Tier; (iii) Recycling Processing and Sales and</w:t>
      </w:r>
    </w:p>
    <w:p>
      <w:pPr>
        <w:jc w:val="both"/>
        <w:ind w:left="60" w:right="59" w:hanging="10"/>
        <w:spacing w:after="0" w:line="253" w:lineRule="auto"/>
        <w:tabs>
          <w:tab w:leader="none" w:pos="37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Renewable Energy. Our East and West Tier, along with Other Ancillary services not managed through our Tier segments, but that support our collection and disposal operations, form our “Collection and Disposal” businesses. We also provide additional services not managed through our four reportable segments, which are presented as Corporate and Other.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6" w:name="page17"/>
    <w:bookmarkEnd w:id="16"/>
    <w:p>
      <w:pPr>
        <w:ind w:left="380"/>
        <w:spacing w:after="0"/>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0" w:type="dxa"/>
            <w:vAlign w:val="bottom"/>
          </w:tcPr>
          <w:p>
            <w:pPr>
              <w:spacing w:after="0"/>
              <w:rPr>
                <w:sz w:val="13"/>
                <w:szCs w:val="13"/>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Operations(b)</w:t>
            </w:r>
          </w:p>
        </w:tc>
        <w:tc>
          <w:tcPr>
            <w:tcW w:w="0" w:type="dxa"/>
            <w:vAlign w:val="bottom"/>
          </w:tcPr>
          <w:p>
            <w:pPr>
              <w:spacing w:after="0"/>
              <w:rPr>
                <w:sz w:val="1"/>
                <w:szCs w:val="1"/>
                <w:color w:val="auto"/>
              </w:rPr>
            </w:pPr>
          </w:p>
        </w:tc>
      </w:tr>
      <w:tr>
        <w:trPr>
          <w:trHeight w:val="169"/>
        </w:trPr>
        <w:tc>
          <w:tcPr>
            <w:tcW w:w="3580" w:type="dxa"/>
            <w:vAlign w:val="bottom"/>
            <w:tcBorders>
              <w:top w:val="single" w:sz="8" w:color="CCEEFF"/>
            </w:tcBorders>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and Disposal: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East Tier</w:t>
            </w:r>
          </w:p>
        </w:tc>
        <w:tc>
          <w:tcPr>
            <w:tcW w:w="19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West Tier</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Ancillary</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CCEEFF"/>
            </w:tcBorders>
            <w:gridSpan w:val="2"/>
            <w:shd w:val="clear" w:color="auto" w:fill="CCEEFF"/>
          </w:tcPr>
          <w:p>
            <w:pPr>
              <w:ind w:left="320"/>
              <w:spacing w:after="0" w:line="210" w:lineRule="exact"/>
              <w:rPr>
                <w:sz w:val="20"/>
                <w:szCs w:val="20"/>
                <w:color w:val="auto"/>
              </w:rPr>
            </w:pPr>
            <w:r>
              <w:rPr>
                <w:rFonts w:ascii="Times New Roman" w:cs="Times New Roman" w:eastAsia="Times New Roman" w:hAnsi="Times New Roman"/>
                <w:sz w:val="17"/>
                <w:szCs w:val="17"/>
                <w:color w:val="auto"/>
              </w:rPr>
              <w:t>Collection and Disposal</w:t>
            </w:r>
            <w:r>
              <w:rPr>
                <w:rFonts w:ascii="Times New Roman" w:cs="Times New Roman" w:eastAsia="Times New Roman" w:hAnsi="Times New Roman"/>
                <w:sz w:val="24"/>
                <w:szCs w:val="24"/>
                <w:color w:val="auto"/>
                <w:vertAlign w:val="superscript"/>
              </w:rPr>
              <w:t>(c)(d)</w:t>
            </w:r>
          </w:p>
        </w:tc>
        <w:tc>
          <w:tcPr>
            <w:tcW w:w="1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Recycling Processing and Sales</w:t>
            </w:r>
            <w:r>
              <w:rPr>
                <w:rFonts w:ascii="Times New Roman" w:cs="Times New Roman" w:eastAsia="Times New Roman" w:hAnsi="Times New Roman"/>
                <w:sz w:val="25"/>
                <w:szCs w:val="25"/>
                <w:color w:val="auto"/>
                <w:vertAlign w:val="superscript"/>
              </w:rPr>
              <w:t>(c)</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WM Renewable Energy</w:t>
            </w:r>
            <w:r>
              <w:rPr>
                <w:rFonts w:ascii="Times New Roman" w:cs="Times New Roman" w:eastAsia="Times New Roman" w:hAnsi="Times New Roman"/>
                <w:sz w:val="25"/>
                <w:szCs w:val="25"/>
                <w:color w:val="auto"/>
                <w:vertAlign w:val="superscript"/>
              </w:rPr>
              <w:t>(d)</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56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Collection and Disposal:</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East Tier</w:t>
            </w:r>
          </w:p>
        </w:tc>
        <w:tc>
          <w:tcPr>
            <w:tcW w:w="194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West Tier</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Ancillary</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tcPr>
          <w:p>
            <w:pPr>
              <w:ind w:left="320"/>
              <w:spacing w:after="0" w:line="210" w:lineRule="exact"/>
              <w:rPr>
                <w:sz w:val="20"/>
                <w:szCs w:val="20"/>
                <w:color w:val="auto"/>
              </w:rPr>
            </w:pPr>
            <w:r>
              <w:rPr>
                <w:rFonts w:ascii="Times New Roman" w:cs="Times New Roman" w:eastAsia="Times New Roman" w:hAnsi="Times New Roman"/>
                <w:sz w:val="17"/>
                <w:szCs w:val="17"/>
                <w:color w:val="auto"/>
              </w:rPr>
              <w:t>Collection and Disposal</w:t>
            </w:r>
            <w:r>
              <w:rPr>
                <w:rFonts w:ascii="Times New Roman" w:cs="Times New Roman" w:eastAsia="Times New Roman" w:hAnsi="Times New Roman"/>
                <w:sz w:val="24"/>
                <w:szCs w:val="24"/>
                <w:color w:val="auto"/>
                <w:vertAlign w:val="superscript"/>
              </w:rPr>
              <w:t>(c)(d)</w:t>
            </w:r>
          </w:p>
        </w:tc>
        <w:tc>
          <w:tcPr>
            <w:tcW w:w="1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Recycling Processing and Sales</w:t>
            </w:r>
            <w:r>
              <w:rPr>
                <w:rFonts w:ascii="Times New Roman" w:cs="Times New Roman" w:eastAsia="Times New Roman" w:hAnsi="Times New Roman"/>
                <w:sz w:val="25"/>
                <w:szCs w:val="25"/>
                <w:color w:val="auto"/>
                <w:vertAlign w:val="superscript"/>
              </w:rPr>
              <w:t>(c)</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WM Renewable Energy</w:t>
            </w:r>
            <w:r>
              <w:rPr>
                <w:rFonts w:ascii="Times New Roman" w:cs="Times New Roman" w:eastAsia="Times New Roman" w:hAnsi="Times New Roman"/>
                <w:sz w:val="25"/>
                <w:szCs w:val="25"/>
                <w:color w:val="auto"/>
                <w:vertAlign w:val="superscript"/>
              </w:rPr>
              <w:t>(d)</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77" w:right="1440" w:bottom="1440" w:gutter="0" w:footer="0" w:header="0"/>
        </w:sectPr>
      </w:pPr>
    </w:p>
    <w:bookmarkStart w:id="17" w:name="page18"/>
    <w:bookmarkEnd w:id="1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2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3"/>
                <w:szCs w:val="13"/>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Income</w:t>
            </w: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2"/>
                <w:szCs w:val="12"/>
                <w:color w:val="auto"/>
              </w:rPr>
            </w:pPr>
          </w:p>
        </w:tc>
        <w:tc>
          <w:tcPr>
            <w:tcW w:w="74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Operations(b)</w:t>
            </w:r>
          </w:p>
        </w:tc>
      </w:tr>
      <w:tr>
        <w:trPr>
          <w:trHeight w:val="156"/>
        </w:trPr>
        <w:tc>
          <w:tcPr>
            <w:tcW w:w="5320" w:type="dxa"/>
            <w:vAlign w:val="bottom"/>
            <w:tcBorders>
              <w:top w:val="single" w:sz="8" w:color="CCEEFF"/>
            </w:tcBorders>
            <w:gridSpan w:val="4"/>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and Disposal:</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East Tier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16"/>
        </w:trPr>
        <w:tc>
          <w:tcPr>
            <w:tcW w:w="20" w:type="dxa"/>
            <w:vAlign w:val="bottom"/>
            <w:shd w:val="clear" w:color="auto" w:fill="CCEEFF"/>
          </w:tcPr>
          <w:p>
            <w:pPr>
              <w:spacing w:after="0"/>
              <w:rPr>
                <w:sz w:val="18"/>
                <w:szCs w:val="18"/>
                <w:color w:val="auto"/>
              </w:rPr>
            </w:pPr>
          </w:p>
        </w:tc>
        <w:tc>
          <w:tcPr>
            <w:tcW w:w="5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West Tier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Other Ancillary</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300" w:type="dxa"/>
            <w:vAlign w:val="bottom"/>
            <w:tcBorders>
              <w:top w:val="single" w:sz="8" w:color="CCEEFF"/>
            </w:tcBorders>
            <w:gridSpan w:val="3"/>
            <w:shd w:val="clear" w:color="auto" w:fill="CCEEFF"/>
          </w:tcPr>
          <w:p>
            <w:pPr>
              <w:ind w:left="320"/>
              <w:spacing w:after="0" w:line="210" w:lineRule="exact"/>
              <w:rPr>
                <w:sz w:val="20"/>
                <w:szCs w:val="20"/>
                <w:color w:val="auto"/>
              </w:rPr>
            </w:pPr>
            <w:r>
              <w:rPr>
                <w:rFonts w:ascii="Times New Roman" w:cs="Times New Roman" w:eastAsia="Times New Roman" w:hAnsi="Times New Roman"/>
                <w:sz w:val="17"/>
                <w:szCs w:val="17"/>
                <w:color w:val="auto"/>
              </w:rPr>
              <w:t>Collection and Disposal</w:t>
            </w:r>
            <w:r>
              <w:rPr>
                <w:rFonts w:ascii="Times New Roman" w:cs="Times New Roman" w:eastAsia="Times New Roman" w:hAnsi="Times New Roman"/>
                <w:sz w:val="24"/>
                <w:szCs w:val="24"/>
                <w:color w:val="auto"/>
                <w:vertAlign w:val="superscript"/>
              </w:rPr>
              <w:t>(c)(d)</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r>
      <w:tr>
        <w:trPr>
          <w:trHeight w:val="216"/>
        </w:trPr>
        <w:tc>
          <w:tcPr>
            <w:tcW w:w="532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17"/>
                <w:szCs w:val="17"/>
                <w:color w:val="auto"/>
              </w:rPr>
              <w:t>Recycling Processing and Sales</w:t>
            </w:r>
            <w:r>
              <w:rPr>
                <w:rFonts w:ascii="Times New Roman" w:cs="Times New Roman" w:eastAsia="Times New Roman" w:hAnsi="Times New Roman"/>
                <w:sz w:val="25"/>
                <w:szCs w:val="25"/>
                <w:color w:val="auto"/>
                <w:vertAlign w:val="superscript"/>
              </w:rPr>
              <w:t>(c)</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5320" w:type="dxa"/>
            <w:vAlign w:val="bottom"/>
            <w:gridSpan w:val="4"/>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WM Renewable Energy</w:t>
            </w:r>
            <w:r>
              <w:rPr>
                <w:rFonts w:ascii="Times New Roman" w:cs="Times New Roman" w:eastAsia="Times New Roman" w:hAnsi="Times New Roman"/>
                <w:sz w:val="25"/>
                <w:szCs w:val="25"/>
                <w:color w:val="auto"/>
                <w:vertAlign w:val="superscript"/>
              </w:rPr>
              <w:t>(d)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300" w:type="dxa"/>
            <w:vAlign w:val="bottom"/>
            <w:tcBorders>
              <w:top w:val="single" w:sz="8" w:color="CCEEFF"/>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Collection and Disposal:</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East Tier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West Tier</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16"/>
        </w:trPr>
        <w:tc>
          <w:tcPr>
            <w:tcW w:w="20" w:type="dxa"/>
            <w:vAlign w:val="bottom"/>
            <w:shd w:val="clear" w:color="auto" w:fill="CCEEFF"/>
          </w:tcPr>
          <w:p>
            <w:pPr>
              <w:spacing w:after="0"/>
              <w:rPr>
                <w:sz w:val="18"/>
                <w:szCs w:val="18"/>
                <w:color w:val="auto"/>
              </w:rPr>
            </w:pPr>
          </w:p>
        </w:tc>
        <w:tc>
          <w:tcPr>
            <w:tcW w:w="5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Ancillary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20" w:type="dxa"/>
            <w:vAlign w:val="bottom"/>
          </w:tcPr>
          <w:p>
            <w:pPr>
              <w:spacing w:after="0"/>
              <w:rPr>
                <w:sz w:val="18"/>
                <w:szCs w:val="18"/>
                <w:color w:val="auto"/>
              </w:rPr>
            </w:pPr>
          </w:p>
        </w:tc>
        <w:tc>
          <w:tcPr>
            <w:tcW w:w="5300" w:type="dxa"/>
            <w:vAlign w:val="bottom"/>
            <w:gridSpan w:val="3"/>
          </w:tcPr>
          <w:p>
            <w:pPr>
              <w:ind w:left="320"/>
              <w:spacing w:after="0" w:line="210" w:lineRule="exact"/>
              <w:rPr>
                <w:sz w:val="20"/>
                <w:szCs w:val="20"/>
                <w:color w:val="auto"/>
              </w:rPr>
            </w:pPr>
            <w:r>
              <w:rPr>
                <w:rFonts w:ascii="Times New Roman" w:cs="Times New Roman" w:eastAsia="Times New Roman" w:hAnsi="Times New Roman"/>
                <w:sz w:val="17"/>
                <w:szCs w:val="17"/>
                <w:color w:val="auto"/>
              </w:rPr>
              <w:t>Collection and Disposal</w:t>
            </w:r>
            <w:r>
              <w:rPr>
                <w:rFonts w:ascii="Times New Roman" w:cs="Times New Roman" w:eastAsia="Times New Roman" w:hAnsi="Times New Roman"/>
                <w:sz w:val="24"/>
                <w:szCs w:val="24"/>
                <w:color w:val="auto"/>
                <w:vertAlign w:val="superscript"/>
              </w:rPr>
              <w:t>(c)(d)</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14,078</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w:t>
            </w:r>
          </w:p>
        </w:tc>
      </w:tr>
      <w:tr>
        <w:trPr>
          <w:trHeight w:val="216"/>
        </w:trPr>
        <w:tc>
          <w:tcPr>
            <w:tcW w:w="5320" w:type="dxa"/>
            <w:vAlign w:val="bottom"/>
            <w:gridSpan w:val="4"/>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Recycling Processing and Sales</w:t>
            </w:r>
            <w:r>
              <w:rPr>
                <w:rFonts w:ascii="Times New Roman" w:cs="Times New Roman" w:eastAsia="Times New Roman" w:hAnsi="Times New Roman"/>
                <w:sz w:val="25"/>
                <w:szCs w:val="25"/>
                <w:color w:val="auto"/>
                <w:vertAlign w:val="superscript"/>
              </w:rPr>
              <w:t>(c)</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32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17"/>
                <w:szCs w:val="17"/>
                <w:color w:val="auto"/>
              </w:rPr>
              <w:t>WM Renewable Energy</w:t>
            </w:r>
            <w:r>
              <w:rPr>
                <w:rFonts w:ascii="Times New Roman" w:cs="Times New Roman" w:eastAsia="Times New Roman" w:hAnsi="Times New Roman"/>
                <w:sz w:val="25"/>
                <w:szCs w:val="25"/>
                <w:color w:val="auto"/>
                <w:vertAlign w:val="superscript"/>
              </w:rPr>
              <w:t>(d)</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10"/>
        </w:trPr>
        <w:tc>
          <w:tcPr>
            <w:tcW w:w="20" w:type="dxa"/>
            <w:vAlign w:val="bottom"/>
          </w:tcPr>
          <w:p>
            <w:pPr>
              <w:spacing w:after="0"/>
              <w:rPr>
                <w:sz w:val="18"/>
                <w:szCs w:val="18"/>
                <w:color w:val="auto"/>
              </w:rPr>
            </w:pPr>
          </w:p>
        </w:tc>
        <w:tc>
          <w:tcPr>
            <w:tcW w:w="53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those items included in the determination of income from operations, the accounting policies of the segments are the same as those described in Note 1.</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 related to the processing of recycled material we collect are included within our Collection and Disposal businesses. The amounts in income from operations for the three and nine months ended September 30, 2024, are $29 million and $77 million, respectively. The amounts in income from operations for three and nine months ended September 30, 2023, are $16 million and $41 million, respectively.</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Renewable Energy pays a 15% intercompany royalty to our Collection and Disposal businesses for landfill gas. The total amount of royalties in income from operations for the three and nine months ended September 30, 2024, are $13 million and $34 million, respectively. The total amount of royalties in income from operations for the three and nine months ended September 30, 2023, are $10 million and $30 million, respectively.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18" w:name="page19"/>
    <w:bookmarkEnd w:id="18"/>
    <w:p>
      <w:pPr>
        <w:ind w:left="380"/>
        <w:spacing w:after="0"/>
        <w:rPr>
          <w:sz w:val="20"/>
          <w:szCs w:val="20"/>
          <w:color w:val="auto"/>
        </w:rPr>
      </w:pPr>
      <w:r>
        <w:rPr>
          <w:rFonts w:ascii="Times New Roman" w:cs="Times New Roman" w:eastAsia="Times New Roman" w:hAnsi="Times New Roman"/>
          <w:sz w:val="18"/>
          <w:szCs w:val="18"/>
          <w:color w:val="auto"/>
        </w:rPr>
        <w:t>The mix of operating revenues from our major lines of business are as follows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60" w:type="dxa"/>
            <w:vAlign w:val="bottom"/>
          </w:tcPr>
          <w:p>
            <w:pPr>
              <w:spacing w:after="0"/>
              <w:rPr>
                <w:sz w:val="13"/>
                <w:szCs w:val="13"/>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 (a)</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56"/>
        </w:trPr>
        <w:tc>
          <w:tcPr>
            <w:tcW w:w="280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w w:val="98"/>
              </w:rPr>
              <w:t>Three Months Ended September 30:</w:t>
            </w:r>
          </w:p>
        </w:tc>
        <w:tc>
          <w:tcPr>
            <w:tcW w:w="34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auto"/>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3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3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tcPr>
          <w:p>
            <w:pPr>
              <w:spacing w:after="0"/>
              <w:rPr>
                <w:sz w:val="21"/>
                <w:szCs w:val="21"/>
                <w:color w:val="auto"/>
              </w:rPr>
            </w:pPr>
          </w:p>
        </w:tc>
        <w:tc>
          <w:tcPr>
            <w:tcW w:w="2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3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3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480" w:type="dxa"/>
            <w:vAlign w:val="bottom"/>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77" w:right="1440" w:bottom="1440" w:gutter="0" w:footer="0" w:header="0"/>
        </w:sectPr>
      </w:pPr>
    </w:p>
    <w:bookmarkStart w:id="19" w:name="page20"/>
    <w:bookmarkEnd w:id="1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0" w:type="dxa"/>
            <w:vAlign w:val="bottom"/>
          </w:tcPr>
          <w:p>
            <w:pPr>
              <w:spacing w:after="0"/>
              <w:rPr>
                <w:sz w:val="13"/>
                <w:szCs w:val="13"/>
                <w:color w:val="auto"/>
              </w:rPr>
            </w:pPr>
          </w:p>
        </w:tc>
        <w:tc>
          <w:tcPr>
            <w:tcW w:w="58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Revenues (a)</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155"/>
        </w:trPr>
        <w:tc>
          <w:tcPr>
            <w:tcW w:w="6280" w:type="dxa"/>
            <w:vAlign w:val="bottom"/>
            <w:tcBorders>
              <w:top w:val="single" w:sz="8" w:color="CCEEFF"/>
            </w:tcBorders>
            <w:gridSpan w:val="4"/>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626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10"/>
        </w:trPr>
        <w:tc>
          <w:tcPr>
            <w:tcW w:w="20" w:type="dxa"/>
            <w:vAlign w:val="bottom"/>
          </w:tcPr>
          <w:p>
            <w:pPr>
              <w:spacing w:after="0"/>
              <w:rPr>
                <w:sz w:val="18"/>
                <w:szCs w:val="18"/>
                <w:color w:val="auto"/>
              </w:rPr>
            </w:pPr>
          </w:p>
        </w:tc>
        <w:tc>
          <w:tcPr>
            <w:tcW w:w="6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14,722</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16,170</w:t>
            </w:r>
          </w:p>
        </w:tc>
      </w:tr>
      <w:tr>
        <w:trPr>
          <w:trHeight w:val="196"/>
        </w:trPr>
        <w:tc>
          <w:tcPr>
            <w:tcW w:w="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626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10"/>
        </w:trPr>
        <w:tc>
          <w:tcPr>
            <w:tcW w:w="20" w:type="dxa"/>
            <w:vAlign w:val="bottom"/>
          </w:tcPr>
          <w:p>
            <w:pPr>
              <w:spacing w:after="0"/>
              <w:rPr>
                <w:sz w:val="18"/>
                <w:szCs w:val="18"/>
                <w:color w:val="auto"/>
              </w:rPr>
            </w:pPr>
          </w:p>
        </w:tc>
        <w:tc>
          <w:tcPr>
            <w:tcW w:w="6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14,078</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20" w:type="dxa"/>
            <w:vAlign w:val="bottom"/>
          </w:tcPr>
          <w:p>
            <w:pPr>
              <w:spacing w:after="0"/>
              <w:rPr>
                <w:sz w:val="18"/>
                <w:szCs w:val="18"/>
                <w:color w:val="auto"/>
              </w:rPr>
            </w:pPr>
          </w:p>
        </w:tc>
        <w:tc>
          <w:tcPr>
            <w:tcW w:w="6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3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6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20" w:name="page21"/>
    <w:bookmarkEnd w:id="20"/>
    <w:p>
      <w:pPr>
        <w:ind w:left="420" w:hanging="370"/>
        <w:spacing w:after="0"/>
        <w:tabs>
          <w:tab w:leader="none" w:pos="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we completed solid waste and recycling acquisitions primarily in New York, Florida, North Carolina, and Arizona with total consideration of $780 million, which included $774 million in cash paid and $6 million of other consideration, specifically purchase price holdbacks. In addition, we paid $16 million of holdbacks, primarily related to prior year acquisitions.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Total consideration for our 2024 acquisitions was primarily allocated to $160 million of property and equipment, $78 million of other intangible assets, primarily customer relationships, and $581 million of goodwill. The goodwill was primarily a result of expected synergies from combining the acquired businesses with our existing operations and substantially all was tax deductible. We remain in the measurement period for most of our acquisitions, and adjustments to our preliminary purchase price allocation may occur.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 of Stericycle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June 3, 2024, we entered into an Agreement and Plan of Merger (the “Merger Agreement”) to acquire all outstanding shares of Stericycle for $62.00 per share in cash, representing a total enterprise value of approximately $7.2 billion when including approximately $1.4 billion of Stericycle’s net debt. Stericycle is a U.S. based leading provider of compliance-based solutions for regulated waste, including medical waste, and secure information destruction. Stericycle serves customers in North America and Europe.</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expect the Stericycle acquisition to close in the fourth quarter of 2024, and we intend to finance the Stericycle acquisition through a combination of bank debt, commercial paper and/or issuance of senior notes.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(Gain) Loss from Divestitures, Asset Impairments and Unusual Items, Net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(Gain) loss from divestitures, asset impairments and unusual items, net for the three months ended September 30, 2024 primarily relates to a $14 million loss associated with the divestiture of a minority investment in a medical waste company within Corporate and Other, in connection with our pending acquisition of Stericycle. The nine months ended September 30, 2024 include a $54 million charge required to increase the estimated fair value of a liability associated with the expected disposition of an investment the Company holds in a waste diversion technology business recorded during the second quarter of 2024. This charge is reflected in our Corporate and Other measures within our segment reporting. (Gain) loss from divestitures, asset impairments and unusual items, net for the three and nine months ended September 30, 2023 were not material.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Accumulated Other Comprehensive (Loss) Income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changes in the balances of each component of accumulated other comprehensive (loss) income, net of tax, which is included as a component of Waste Management, Inc. stockholders’ equity, are as follows (in millions, with amounts in parentheses representing decreases to accumulated other comprehensive income):</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500" w:type="dxa"/>
            <w:vAlign w:val="bottom"/>
            <w:gridSpan w:val="9"/>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Derivative   for-Sale   Translation</w:t>
            </w:r>
          </w:p>
        </w:tc>
        <w:tc>
          <w:tcPr>
            <w:tcW w:w="12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 net of</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expense (benefit) of $(9), $3, $0 and $0, respectively</w:t>
            </w:r>
          </w:p>
        </w:tc>
        <w:tc>
          <w:tcPr>
            <w:tcW w:w="28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loss, net of tax (expense) benefit of $0, $0, $0 and $0,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7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b w:val="1"/>
          <w:bCs w:val="1"/>
          <w:color w:val="auto"/>
        </w:rPr>
        <w:t>11. Common Stock Repurchase Program</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repurchases shares of its common stock as part of capital allocation programs authorized by our Board of Directors.</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February 2024, we repurchased 0.2 million shares of our common stock through an October 2023 Accelerated Share Repurchase (“ASR”) agreement that completed in February 2024, based on a final weighted average price of $175.29. Also in February 2024, we entered into an ASR agreement to repurchase $250 million of our common stock. At the beginning of the repurchase period, we delivered $250 million cash and initially received 1 million shares based on a stock price of $199.16, exclusive of the applicable 1% excise tax. The ASR agreement completed in April 2024 and we received 0.2 million additional shares based on a final weighted average price of $206.23.</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the second quarter of 2024 we repurchased 0.1 million shares of our common stock in open market transactions in compliance with Rule 10b5-1 and Rule 10b-18 of the Exchange Act for $12 million, inclusive of per-share commissions, at a weighted average price of $209.20. There were no common stock repurchases during the third quarter of 2024.</w:t>
      </w:r>
    </w:p>
    <w:p>
      <w:pPr>
        <w:spacing w:after="0" w:line="176"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has authorization for $1,238 million of future share repurchases. As a result of the pending Stericycle acquisition discussed in Note 8, the Company previously announced that it has temporarily suspended share repurchases. The amount of future share repurchases executed under our Board of Directors’ authorization is determined at management’s discretion, based on various factors, including our net earnings, financial condition and cash required for future business plans, growth and acquisitions.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Accounted for at Fair Value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assets and liabilities that are measured at fair value on a recurring basis include the following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40" w:type="dxa"/>
            <w:vAlign w:val="bottom"/>
            <w:tcBorders>
              <w:bottom w:val="single" w:sz="8" w:color="CCEEFF"/>
            </w:tcBorders>
          </w:tcPr>
          <w:p>
            <w:pPr>
              <w:spacing w:after="0"/>
              <w:rPr>
                <w:sz w:val="15"/>
                <w:szCs w:val="15"/>
                <w:color w:val="auto"/>
              </w:rPr>
            </w:pPr>
          </w:p>
        </w:tc>
        <w:tc>
          <w:tcPr>
            <w:tcW w:w="45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8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Quoted prices in active markets (Level 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equivalents and money market funds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tcPr>
          <w:p>
            <w:pPr>
              <w:spacing w:after="0"/>
              <w:rPr>
                <w:sz w:val="18"/>
                <w:szCs w:val="18"/>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securities (a)</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50"/>
        </w:trPr>
        <w:tc>
          <w:tcPr>
            <w:tcW w:w="68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196"/>
        </w:trPr>
        <w:tc>
          <w:tcPr>
            <w:tcW w:w="224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76" w:lineRule="exact"/>
        <w:rPr>
          <w:sz w:val="20"/>
          <w:szCs w:val="20"/>
          <w:color w:val="auto"/>
        </w:rPr>
      </w:pPr>
    </w:p>
    <w:p>
      <w:pPr>
        <w:ind w:left="380" w:right="1059" w:hanging="330"/>
        <w:spacing w:after="0" w:line="407"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available-for-sale securities primarily relate to debt securities with maturities over the next ten years. See Note 9 for information related to our nonrecurring fair value measurements.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 carrying value of our debt was $16.7 billion and $16.2 billion, respectively. The estimated fair value of our debt was approximately $16.3 billion as of September 30, 2024 and $15.6 billion as of December 31, 2023.</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the estimates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22" w:name="page23"/>
    <w:bookmarkEnd w:id="22"/>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September 30, 2024 and December 31, 2023. These amounts have not been revalued since those dates, and current estimates of fair value could differ significantly from the amounts presented.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Variable Interest Entities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our financial interests in unconsolidated and consolidated variable interest entities that we consider significant: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Low-Income Housing Properties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do not consolidate our investments in entities established to manage low-income housing properties because we are not the primary beneficiary of these entities as we do not have the power to individually direct the activities of these entities. Our aggregate investment balance in these entities was $381 million and $458 million as of September 30, 2024 and December 31, 2023, respectively. The debt balance related to our investments in low-income housing properties was $373 million and $408 million as of September 30, 2024 and December 31, 2023, respectively. Additional information related to these investments is discussed in Note 4.</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Trust Funds for Final Capping, Closure, Post-Closure or Environmental Remediation Obligations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Unconsolidated Variable Interest Entities — </w:t>
      </w:r>
      <w:r>
        <w:rPr>
          <w:rFonts w:ascii="Times New Roman" w:cs="Times New Roman" w:eastAsia="Times New Roman" w:hAnsi="Times New Roman"/>
          <w:sz w:val="18"/>
          <w:szCs w:val="18"/>
          <w:color w:val="auto"/>
        </w:rPr>
        <w:t>Trust funds that are established for both the benefit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(loss) income. Our investments and receivables related to these trusts had an aggregate carrying value of $112 million and $104 million as of September 30, 2024 and December 31, 2023, respectively.</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Consolidated Variable Interest Entities — </w:t>
      </w:r>
      <w:r>
        <w:rPr>
          <w:rFonts w:ascii="Times New Roman" w:cs="Times New Roman" w:eastAsia="Times New Roman" w:hAnsi="Times New Roman"/>
          <w:sz w:val="18"/>
          <w:szCs w:val="18"/>
          <w:color w:val="auto"/>
        </w:rPr>
        <w:t>Trust funds for which we are the sole beneficiary are consolidated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the primary beneficiary. These trust funds are recorded in restricted funds in our Condensed Consolidated Balance Sheets. Unrealized gains and losses on available-for-sale securities held by these trusts are recorded as a component of accumulated other comprehensive (loss) income. These trusts had a fair value of $124 million and $119 million as of September 30, 2024 and December 31, 2023, respectively.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Stericycle Exchange Offer and Consent Solicitation</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September 10, 2024, we announced that, in connection with the acquisition of Stericycle, we commenced a private exchange offer (the “Exchange Offer”) and related consent solicitation on behalf of Stericycle (the “Consent Solicitation”) with respect to the outstanding 3.875% Senior Notes due 2029 issued by Stericycle (the “SRCL Notes”). The Exchange Offer and the Consent Solicitation are being made upon the terms and conditions set forth in an exchange offer memorandum and consent solicitation statement dated September 10, 2024 (the “Offering Memorandum”).</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Pursuant to the Exchange Offer, we are offering to issue new notes (the “WM Notes”) in exchange for any and all of the $500 million aggregate principal amount of the SRCL Notes held by holders eligible to participate in the Exchange Offer (“Eligible Holders”). The WM Notes will have the same interest rate, interest payment dates and maturity date as the exchanged SRCL notes but will differ in certain respects from the SRCL Notes, including the redemption provisions, as described in the Offering Memorandum. In addition, pursuant to the Consent Solicitation, we solicited on behalf 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3" w:name="page24"/>
    <w:bookmarkEnd w:id="23"/>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Stericycle and, as of September 23, 2024, we received consents from the Eligible Holders to amend the SRCL Notes and the related indenture under which they were issued to eliminate substantially all of the restrictive covenants, restrictive provisions and events of default, other than payment-related, guarantee-related and bankruptcy-related events of default (the “Proposed Amendments”).</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Exchange Offer and Consent Solicitation are being made solely pursuant to the conditions set forth in the Offering Memorandum in a private offering exempt from, or not subject to, registration under the Securities Act of 1933, as amended, and are conditioned upon, among other things, the consummation of the acquisition of Stericycle.</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September 23, 2024 (the “Early Tender Date”), $474,581,000 in aggregate principal amount of SRCL Notes, representing approximately 94.92% of the aggregate principal amount of SRCL Notes outstanding, had been validly tendered and not validly withdrawn. As a result, we have received the requisite number of consents to adopt the Proposed Amendments. Eligible Holders of SRCL Notes validly tendered and not validly withdrawn by the Early Tender Date, and accepted for exchange, will receive at settlement an equal principal amount of WM Notes and cash consideration of approximately $2.63 per $1,000 principal amount of SRCL Notes.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October 8, 2024, we issued a press release extending the expiration date of the Exchange Offer and Consent Solicitation (the “Expiration Date”) from October 8, 2024 to October 31, 2024, which may be further extended by us in our sole discretion. As of October 8, 2024, $485,255,000 in aggregate principal amount of SRCL Notes representing approximately 97.05% of the aggregate principal amount of SRCL Notes outstanding, had been validly tendered and not validly withdrawn. Eligible Holders of SRCL Notes validly tendered and not validly withdrawn after the Early Tender Deadline but on or prior to the Expiration Date, and accepted for exchange, will receive at settlement $970 principal amount of WM Notes per $1,000 principal amount of SRCL Notes and no cash consideration. We expect to settle the Exchange Offer on or about the third business day after the Expiration Date, as such date may be further extended.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 of Stericycle and Related Financing</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currently expect to draw $5.2 billion principal amount of borrowings under the Term Credit Agreement to finance the majority of the Stericycle acquisition consideration. On October 28, 2024, we entered into a first amendment to the Term Credit Agreement to simplify logistics and permit such borrowings in advance of closing the acquisition. All conditions to closing the Stericycle acquisition with respect to antitrust and foreign direct investment laws have now been satisfied, with the exception of only the final clearance from the Competition Bureau of Canada pursuant to the Canadian Competition Act. This final clearance, funding of the borrowings under the Term Credit Agreement and the closing of the Stericycle acquisition are expected to occur in the fourth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4" w:name="page25"/>
    <w:bookmarkEnd w:id="24"/>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2023.</w:t>
      </w:r>
    </w:p>
    <w:p>
      <w:pPr>
        <w:spacing w:after="0" w:line="180" w:lineRule="exact"/>
        <w:rPr>
          <w:sz w:val="20"/>
          <w:szCs w:val="20"/>
          <w:color w:val="auto"/>
        </w:rPr>
      </w:pPr>
    </w:p>
    <w:p>
      <w:pPr>
        <w:jc w:val="both"/>
        <w:ind w:left="60" w:right="59" w:firstLine="38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“target,”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 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including the pending Stericycle acquisition, or new lines of business; failure to identify acquisition targets, consummate and integrate acquisitions, including our planned integration of Stericycle; our ability to consummate and finance the Stericycle acquisition and achieve the anticipated benefits therefrom, including cost synergies; legal, regulatory and other matters that may affect the costs and timing of our ability to complete, integrate and deliver all of the expected benefits of the pending Stericycle acquisition; existing or new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 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 instability of financial institutions; adoption of new tax legislation; fuel shortages; failure to develop and protect new technology; failure of technology to perform as expected; failure to prevent, detect and manage cybersecurity incidents or comply with privacy regulations; inability to adapt and manage the benefits and risks of artificial intelligence; negative outcomes of litigation or governmental proceedings, including those acquired through transactions, including the pending Stericycle acquisition; and operations or management decisions or developments that result in impairment charges and other risks discussed in our filings with the SEC, including Part I, Item 1A of our Annual Report on Form 10-K for the year ended December 31, 2023, as updated by Part II, Item 1A of our Quarterly Report on Form 10-Q for the quarter ended June 30, 2024. We assume no obligation to update any forward-looking statement, including financial estimates and forecasts, whether as a result of future events, circumstances or developments or otherwise.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5" w:name="page26"/>
    <w:bookmarkEnd w:id="25"/>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more practical for larger urban markets, where the distance to landfills is typically farther, we manage transfer stations that consolidate, compact and transport waste efficiently and economically. Our business is operated and managed locally by our subsidiaries that focus on distinct geographic areas and provide collection, transfer, disposal, recycling and resource recovery services. Through our subsidiaries, including our Waste Management Renewable Energy (“WM Renewable Energy”) business, we are also a leading developer, operator and owner of landfill gas-to-energy facilities in the U.S. and Canada that produce renewable electricity and renewable natural gas (“RNG”), which is a significant source of fuel that we allocate to our natural gas fleet. Additionally, we are a leading recycler in the U.S. and Canada, handling materials that include paper, cardboard, glass, plastic and metal.</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four reportable segments, referred to as (i) Collection and Disposal - East Tier (“East Tier”); (ii) Collection and Disposal - West Tier (“West Tier”); (iii) Recycling Processing and Sales and (iv) WM Renewable Energy. Our East and West Tiers, along with certain ancillary services (“Other Ancillary”) not managed through our Tier segments, but that support our collection and disposal operations, form our “Collection and Disposal” businesses.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is embedded in all that we do.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that investing in automation to improve processes and drive operational efficiency combined with a focus on the cost to serve our customer will yield an attractive profit margin and enhanced service quality. We are furthering our strategy of focused differentiation and continuous improvement beyond our traditional waste operations through our sustainability growth strategy that includes significant planned investments in our WM Renewable Energy and Recycling Processing and Sales segments, while increasing automation and reducing labor dependency. We are also evaluating and pursuing emerging diversion technologies that may generate additional value.</w:t>
      </w:r>
    </w:p>
    <w:p>
      <w:pPr>
        <w:spacing w:after="0" w:line="182" w:lineRule="exact"/>
        <w:rPr>
          <w:sz w:val="20"/>
          <w:szCs w:val="20"/>
          <w:color w:val="auto"/>
        </w:rPr>
      </w:pPr>
    </w:p>
    <w:p>
      <w:pPr>
        <w:jc w:val="both"/>
        <w:ind w:left="60" w:right="59" w:firstLine="360"/>
        <w:spacing w:after="0" w:line="235" w:lineRule="auto"/>
        <w:rPr>
          <w:sz w:val="20"/>
          <w:szCs w:val="20"/>
          <w:color w:val="auto"/>
        </w:rPr>
      </w:pPr>
      <w:r>
        <w:rPr>
          <w:rFonts w:ascii="Times New Roman" w:cs="Times New Roman" w:eastAsia="Times New Roman" w:hAnsi="Times New Roman"/>
          <w:sz w:val="18"/>
          <w:szCs w:val="18"/>
          <w:color w:val="auto"/>
        </w:rPr>
        <w:t>The Company continually evaluates potential acquisitions that provide the opportunity for strategic growth. On June 3, 2024, we announced that we have entered into an Agreement and Plan of Merger (the “Merger Agreement”) to acquire all outstanding shares of Stericycle, Inc. (“Stericycle”) for $62.00 per share in cash, representing a total enterprise value of approximately $7.2 billion when including approximately $1.4 billion of Stericycle’s net debt. Stericycle is a U.S. based leading provider of compliance-based solutions for regulated waste, including medical waste, and secure information destruction. Stericycle serves customers in North America and Europe. We believe that the pending Stericycle acquisition will expand the Company’s comprehensive environmental solutions in the growing healthcare market while advancing the Company’s sustainability commitments.</w:t>
      </w:r>
    </w:p>
    <w:p>
      <w:pPr>
        <w:spacing w:after="0" w:line="3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and expanding our renewable energy projects to meet the evolving needs of our diverse customer base. Consistent with our Company’s long-standing commitment to sustainability and environmental stewardship, we have published our 2024 Sustainability Report providing details on our sustainability-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6" w:name="page27"/>
    <w:bookmarkEnd w:id="26"/>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related performance and outlining progress towards our 2030 sustainability goals. The Sustainability Report conveys the strong linkage between the Company’s sustainability goals and our growth strategy, inclusive of the planned and ongoing expansion of the Company’s Recycling Processing and Sales and WM Renewable Energy segments. The information in this report can be found at https://sustainability.wm.com but it does not constitute a part of, and is not incorporated by reference into, this Quarterly Report on Form 10-Q.</w:t>
      </w:r>
    </w:p>
    <w:p>
      <w:pPr>
        <w:spacing w:after="0" w:line="18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inflation. Volume changes can fluctuate significantly by line of business and volume changes in higher margin businesses can impact key financial metrics. We must dynamically manage our cost structure in response to volume changes and cost inflation.</w:t>
      </w:r>
    </w:p>
    <w:p>
      <w:pPr>
        <w:spacing w:after="0" w:line="19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Advancements made through these initiatives are intended to seamlessly and digitally connect all enterprise functions required to service customers and provide the best experience.</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sometimes experience margin pressures and variability in earnings and margins from our commodity-driven businesses, specifically within our Recycling Processing and Sales and WM Renewable Energy segments. While recycling commodity prices have recovered nicely in 2024 from the low levels experienced in 2023, commodity values are still below prices seen at the beginning of 2022. In our WM Renewable Energy segment, while the impacts of fluctuations are not currently material, the impact of fluctuations in the prices of electricity, Renewable Identification Numbers (“RINs”) and Renewable Energy Credits (“RECs”) could be significant as the segment continues to grow. We continue to take proactive steps to adjust our business models to protect against the down-side risk of changes in commodity prices.</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Variability in economic conditions, including inflation, interest rates, employment trends and supply chain reliability, can create risk and uncertainty in financial outlook. We take proactive steps to recover and mitigate inflationary cost pressures through our overall pricing efforts and by managing our costs through efficiency, labor productivity, and investments in technology to automate certain aspects of our business. We remain committed to putting our people first to ensure that they are well positioned to execute our daily operations diligently and safely. We remain focused on delivering outstanding customer service, managing our variable costs with changing volumes and investing in technology that will enhance our customers’ experience and provide operating efficiencies intended to reduce our cost to 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7" w:name="page28"/>
    <w:bookmarkEnd w:id="27"/>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Current Quarter Financial Results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the third quarter of 2024, we continued to focus on our priorities to advance our strategy—enhancing employee engagement, permanently reducing our cost to serve through the use of technology and automation, and investing in growth through our Recycling Processing and Sales and WM Renewable Energy segments. This strategic focus, combined with strong operational execution, resulted in increased revenue, income from operations and income from operations margin. We remain diligent in offering a competitively profitable service that meets the needs of our customers, and we are focused on driving operating efficiencies and reducing discretionary spend. We continue to invest in our people through paying a competitive market wage, investments in our digital platform and training for our team members. We also continue to make investments in automation and optimization to enhance our operational efficiency and improve labor productivity for all lines of business. During the third quarter of 2024, we allocated $781 million of available cash to capital expenditures and $301 million to our shareholders through dividends.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Key elements of our financial results for the third quarter include:</w:t>
      </w:r>
    </w:p>
    <w:p>
      <w:pPr>
        <w:spacing w:after="0" w:line="117" w:lineRule="exact"/>
        <w:rPr>
          <w:sz w:val="20"/>
          <w:szCs w:val="20"/>
          <w:color w:val="auto"/>
        </w:rPr>
      </w:pPr>
    </w:p>
    <w:p>
      <w:pPr>
        <w:jc w:val="both"/>
        <w:ind w:left="720" w:right="7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$5,609 million, compared with $5,198 million in the prior year period, an increase of $411 million, or 7.9%. The increase is primarily attributable to higher yield in our Collection and Disposal businesses and an increase in market value for recycled commodities;</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of $3,399 million, or 60.6% of revenues, compared with $3,188 million, or 61.3% of revenues, in the prior year period. The $211 million increase in operating expenses is primarily attributable to (i) higher recycling rebates from an increase in the market value for the commodities we process; (ii) annual employee wage increases and higher incentive compensation; (iii) our recent acquisition of a solid waste and recycling company in New York; (iv) an increase in landfill operating costs largely due to wet weather driving leachate costs higher; (v) an increase in volumes in our Strategic Business Solutions (“WMSBS”) business, which increases our subcontractor costs, and (vi) an increase in risk management costs. These increases were offset in part by (i) lower diesel fuel prices and (ii) improved operating efficiency and cost control initiatives in our Collection and Disposal businesses. Although our operating expenses increased overall, efficiency gains, improved employee retention, and momentum in truck deliveries, positioned us to significantly reduce our operating expenses as a percentage of revenue when compared to the third quarter of 2023;</w:t>
      </w:r>
    </w:p>
    <w:p>
      <w:pPr>
        <w:spacing w:after="0" w:line="83"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were $525 million, or 9.4% of revenues, compared with $470 million, or 9.0% of revenues, in the prior year period. The $55 million increase is primarily attributable to</w:t>
      </w:r>
    </w:p>
    <w:p>
      <w:pPr>
        <w:jc w:val="both"/>
        <w:ind w:left="720" w:right="79" w:firstLine="5"/>
        <w:spacing w:after="0" w:line="253" w:lineRule="auto"/>
        <w:tabs>
          <w:tab w:leader="none" w:pos="97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from higher annual and long-term incentive compensation costs and annual wage increases and (ii) increased professional fees to support strategic initiatives, including our pending acquisition of Stericycle. We focus on optimizing our costs and managing discretionary spending in order to drive continuous improvement in these costs as a percentage of revenue. The increase in this measure in the current quarter is entirely attributable to transaction and advisory costs incurred to support the pending acquisition of Stericycle;</w:t>
      </w:r>
    </w:p>
    <w:p>
      <w:pPr>
        <w:spacing w:after="0" w:line="78"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$1,119 million, or 20.0% of revenues, compared with $1,021 million, or 19.6% of revenues, in the prior year period. The increase in the current year earnings was primarily driven by revenue growth and improved business performance in our Collection and Disposal businesses;</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$1,358 million compared with $1,263 million in the prior year period, with the increase driven by higher earnings in our Collection and Disposal businesses, which were partially offset by (i) unfavorable changes in working capital and (ii) higher cash interest payments;</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was $618 million compared with $612 million in the prior year period. Free cash flow was relatively flat on a year-over-year basis despite the significant increase in net cash provided by operating activities discussed above due to higher capital expenditures in the current year. The increase in capital expenditures was planned and is to support the growth of our business. Free cash flow is a non-GAAP measure of liquidity. Refer to Free Cash Flow below for our definition of free cash flow, additional information about our use of this measure, and a reconciliation to net cash provided by operating activities, which is the most comparable GAAP measure.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mix of operating revenues from our major lines of business are as follows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40" w:type="dxa"/>
            <w:vAlign w:val="bottom"/>
            <w:gridSpan w:val="3"/>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1"/>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27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 (a)</w:t>
            </w:r>
          </w:p>
        </w:tc>
        <w:tc>
          <w:tcPr>
            <w:tcW w:w="1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27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Landfill</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2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27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Landfill</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2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0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73" w:right="1440" w:bottom="1440" w:gutter="0" w:footer="0" w:header="0"/>
        </w:sectPr>
      </w:pPr>
    </w:p>
    <w:bookmarkStart w:id="29" w:name="page30"/>
    <w:bookmarkEnd w:id="2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0" w:type="dxa"/>
            <w:vAlign w:val="bottom"/>
          </w:tcPr>
          <w:p>
            <w:pPr>
              <w:spacing w:after="0"/>
              <w:rPr>
                <w:sz w:val="13"/>
                <w:szCs w:val="13"/>
                <w:color w:val="auto"/>
              </w:rPr>
            </w:pPr>
          </w:p>
        </w:tc>
        <w:tc>
          <w:tcPr>
            <w:tcW w:w="58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Revenues (a)</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155"/>
        </w:trPr>
        <w:tc>
          <w:tcPr>
            <w:tcW w:w="6280" w:type="dxa"/>
            <w:vAlign w:val="bottom"/>
            <w:tcBorders>
              <w:top w:val="single" w:sz="8" w:color="CCEEFF"/>
            </w:tcBorders>
            <w:gridSpan w:val="4"/>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626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09"/>
        </w:trPr>
        <w:tc>
          <w:tcPr>
            <w:tcW w:w="20" w:type="dxa"/>
            <w:vAlign w:val="bottom"/>
          </w:tcPr>
          <w:p>
            <w:pPr>
              <w:spacing w:after="0"/>
              <w:rPr>
                <w:sz w:val="18"/>
                <w:szCs w:val="18"/>
                <w:color w:val="auto"/>
              </w:rPr>
            </w:pPr>
          </w:p>
        </w:tc>
        <w:tc>
          <w:tcPr>
            <w:tcW w:w="6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14,722</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9"/>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16,170</w:t>
            </w:r>
          </w:p>
        </w:tc>
      </w:tr>
      <w:tr>
        <w:trPr>
          <w:trHeight w:val="197"/>
        </w:trPr>
        <w:tc>
          <w:tcPr>
            <w:tcW w:w="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626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10"/>
        </w:trPr>
        <w:tc>
          <w:tcPr>
            <w:tcW w:w="20" w:type="dxa"/>
            <w:vAlign w:val="bottom"/>
          </w:tcPr>
          <w:p>
            <w:pPr>
              <w:spacing w:after="0"/>
              <w:rPr>
                <w:sz w:val="18"/>
                <w:szCs w:val="18"/>
                <w:color w:val="auto"/>
              </w:rPr>
            </w:pPr>
          </w:p>
        </w:tc>
        <w:tc>
          <w:tcPr>
            <w:tcW w:w="6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14,078</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16"/>
        </w:trPr>
        <w:tc>
          <w:tcPr>
            <w:tcW w:w="6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6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20" w:type="dxa"/>
            <w:vAlign w:val="bottom"/>
          </w:tcPr>
          <w:p>
            <w:pPr>
              <w:spacing w:after="0"/>
              <w:rPr>
                <w:sz w:val="18"/>
                <w:szCs w:val="18"/>
                <w:color w:val="auto"/>
              </w:rPr>
            </w:pPr>
          </w:p>
        </w:tc>
        <w:tc>
          <w:tcPr>
            <w:tcW w:w="6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3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30" w:name="page31"/>
    <w:bookmarkEnd w:id="30"/>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associated with the period-to-period change in revenues and average yield (dollars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780" w:type="dxa"/>
            <w:vAlign w:val="bottom"/>
            <w:gridSpan w:val="9"/>
          </w:tcPr>
          <w:p>
            <w:pPr>
              <w:jc w:val="center"/>
              <w:ind w:right="67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700" w:type="dxa"/>
            <w:vAlign w:val="bottom"/>
            <w:gridSpan w:val="9"/>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5"/>
          </w:tcPr>
          <w:p>
            <w:pPr>
              <w:jc w:val="center"/>
              <w:ind w:left="65"/>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5"/>
          </w:tcPr>
          <w:p>
            <w:pPr>
              <w:jc w:val="center"/>
              <w:ind w:left="165"/>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80" w:type="dxa"/>
            <w:vAlign w:val="bottom"/>
            <w:gridSpan w:val="9"/>
          </w:tcPr>
          <w:p>
            <w:pPr>
              <w:jc w:val="center"/>
              <w:ind w:right="670"/>
              <w:spacing w:after="0"/>
              <w:rPr>
                <w:sz w:val="20"/>
                <w:szCs w:val="20"/>
                <w:color w:val="auto"/>
              </w:rPr>
            </w:pPr>
            <w:r>
              <w:rPr>
                <w:rFonts w:ascii="Times New Roman" w:cs="Times New Roman" w:eastAsia="Times New Roman" w:hAnsi="Times New Roman"/>
                <w:sz w:val="14"/>
                <w:szCs w:val="14"/>
                <w:b w:val="1"/>
                <w:bCs w:val="1"/>
                <w:color w:val="auto"/>
              </w:rPr>
              <w:t>September 30, 2024 vs. 2023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8"/>
          </w:tcPr>
          <w:p>
            <w:pPr>
              <w:jc w:val="center"/>
              <w:ind w:right="650"/>
              <w:spacing w:after="0"/>
              <w:rPr>
                <w:sz w:val="20"/>
                <w:szCs w:val="20"/>
                <w:color w:val="auto"/>
              </w:rPr>
            </w:pPr>
            <w:r>
              <w:rPr>
                <w:rFonts w:ascii="Times New Roman" w:cs="Times New Roman" w:eastAsia="Times New Roman" w:hAnsi="Times New Roman"/>
                <w:sz w:val="14"/>
                <w:szCs w:val="14"/>
                <w:b w:val="1"/>
                <w:bCs w:val="1"/>
                <w:color w:val="auto"/>
              </w:rPr>
              <w:t>September 30, 2024 vs. 2023</w:t>
            </w: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right"/>
              <w:ind w:right="356"/>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right"/>
              <w:ind w:right="35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80" w:type="dxa"/>
            <w:vAlign w:val="bottom"/>
            <w:gridSpan w:val="3"/>
          </w:tcPr>
          <w:p>
            <w:pPr>
              <w:jc w:val="right"/>
              <w:ind w:right="416"/>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80" w:type="dxa"/>
            <w:vAlign w:val="bottom"/>
            <w:gridSpan w:val="3"/>
          </w:tcPr>
          <w:p>
            <w:pPr>
              <w:jc w:val="right"/>
              <w:ind w:right="41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72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Business(a)   Amount</w:t>
            </w:r>
          </w:p>
        </w:tc>
        <w:tc>
          <w:tcPr>
            <w:tcW w:w="1060" w:type="dxa"/>
            <w:vAlign w:val="bottom"/>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7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Business(a)   Amount</w:t>
            </w:r>
          </w:p>
        </w:tc>
        <w:tc>
          <w:tcPr>
            <w:tcW w:w="98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0" w:type="dxa"/>
            <w:vAlign w:val="bottom"/>
          </w:tcPr>
          <w:p>
            <w:pPr>
              <w:spacing w:after="0"/>
              <w:rPr>
                <w:sz w:val="1"/>
                <w:szCs w:val="1"/>
                <w:color w:val="auto"/>
              </w:rPr>
            </w:pPr>
          </w:p>
        </w:tc>
      </w:tr>
      <w:tr>
        <w:trPr>
          <w:trHeight w:val="209"/>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Recycling Processing and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Sales and WM Renewable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Energy (c)</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Energy surcharge and</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mandated fees</w:t>
            </w: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average yield (d)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Volume (e)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Internal revenue growth</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Divestitures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translation</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in both our Recycling Processing and Sales and WM Renewable Energy segments, as well as changes in certain recycling fees charged by our collection and disposal operations.</w:t>
      </w:r>
    </w:p>
    <w:p>
      <w:pPr>
        <w:spacing w:after="0" w:line="6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 attributable to average yield for the total Company.</w:t>
      </w:r>
    </w:p>
    <w:p>
      <w:pPr>
        <w:spacing w:after="0" w:line="11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activities from our Corporate and Other businesses.</w:t>
      </w:r>
    </w:p>
    <w:p>
      <w:pPr>
        <w:spacing w:after="0" w:line="11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provides further details about our period-to-period change in revenues: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Average Yield</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Collection and Disposal Average Yield </w:t>
      </w:r>
      <w:r>
        <w:rPr>
          <w:rFonts w:ascii="Times New Roman" w:cs="Times New Roman" w:eastAsia="Times New Roman" w:hAnsi="Times New Roman"/>
          <w:sz w:val="18"/>
          <w:szCs w:val="18"/>
          <w:color w:val="auto"/>
        </w:rPr>
        <w:t>— This measure reflects the effect on our revenue from the pricing activities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collection, transfer and landfill operations, exclusive of volume changes. Revenue growth from Collection and Disposal average yield includes not only base rate changes and environmental and service fee fluctuations, but also</w:t>
      </w:r>
    </w:p>
    <w:p>
      <w:pPr>
        <w:spacing w:after="0" w:line="1" w:lineRule="exact"/>
        <w:rPr>
          <w:sz w:val="20"/>
          <w:szCs w:val="20"/>
          <w:color w:val="auto"/>
        </w:rPr>
      </w:pPr>
    </w:p>
    <w:p>
      <w:pPr>
        <w:ind w:left="280" w:hanging="230"/>
        <w:spacing w:after="0"/>
        <w:tabs>
          <w:tab w:leader="none" w:pos="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average price changes related to the overall mix of services, which are due to the types of services provided;</w:t>
      </w:r>
    </w:p>
    <w:p>
      <w:pPr>
        <w:spacing w:after="0" w:line="9"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price from new and lost business and (iii) price decreases to retain customers.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1" w:name="page32"/>
    <w:bookmarkEnd w:id="31"/>
    <w:p>
      <w:pPr>
        <w:ind w:left="380"/>
        <w:spacing w:after="0"/>
        <w:rPr>
          <w:sz w:val="20"/>
          <w:szCs w:val="20"/>
          <w:color w:val="auto"/>
        </w:rPr>
      </w:pPr>
      <w:r>
        <w:rPr>
          <w:rFonts w:ascii="Times New Roman" w:cs="Times New Roman" w:eastAsia="Times New Roman" w:hAnsi="Times New Roman"/>
          <w:sz w:val="18"/>
          <w:szCs w:val="18"/>
          <w:color w:val="auto"/>
        </w:rPr>
        <w:t>The details of our revenue growth from Collection and Disposal average yield are as follows (dollars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320" w:type="dxa"/>
            <w:vAlign w:val="bottom"/>
            <w:gridSpan w:val="5"/>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2260" w:type="dxa"/>
            <w:vAlign w:val="bottom"/>
            <w:gridSpan w:val="5"/>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r>
      <w:tr>
        <w:trPr>
          <w:trHeight w:val="148"/>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4"/>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2"/>
                <w:szCs w:val="12"/>
                <w:color w:val="auto"/>
              </w:rPr>
            </w:pPr>
          </w:p>
        </w:tc>
        <w:tc>
          <w:tcPr>
            <w:tcW w:w="2120" w:type="dxa"/>
            <w:vAlign w:val="bottom"/>
            <w:gridSpan w:val="4"/>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4"/>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September 30, 2024 vs. 2023</w:t>
            </w:r>
          </w:p>
        </w:tc>
        <w:tc>
          <w:tcPr>
            <w:tcW w:w="140" w:type="dxa"/>
            <w:vAlign w:val="bottom"/>
          </w:tcPr>
          <w:p>
            <w:pPr>
              <w:spacing w:after="0"/>
              <w:rPr>
                <w:sz w:val="15"/>
                <w:szCs w:val="15"/>
                <w:color w:val="auto"/>
              </w:rPr>
            </w:pPr>
          </w:p>
        </w:tc>
        <w:tc>
          <w:tcPr>
            <w:tcW w:w="2120" w:type="dxa"/>
            <w:vAlign w:val="bottom"/>
            <w:gridSpan w:val="4"/>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September 30, 2024 vs. 2023</w:t>
            </w:r>
          </w:p>
        </w:tc>
      </w:tr>
      <w:tr>
        <w:trPr>
          <w:trHeight w:val="117"/>
        </w:trPr>
        <w:tc>
          <w:tcPr>
            <w:tcW w:w="4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80" w:type="dxa"/>
            <w:vAlign w:val="bottom"/>
          </w:tcPr>
          <w:p>
            <w:pPr>
              <w:spacing w:after="0"/>
              <w:rPr>
                <w:sz w:val="10"/>
                <w:szCs w:val="10"/>
                <w:color w:val="auto"/>
              </w:rPr>
            </w:pPr>
          </w:p>
        </w:tc>
      </w:tr>
      <w:tr>
        <w:trPr>
          <w:trHeight w:val="176"/>
        </w:trPr>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Related</w:t>
            </w:r>
          </w:p>
        </w:tc>
      </w:tr>
      <w:tr>
        <w:trPr>
          <w:trHeight w:val="173"/>
        </w:trPr>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116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40" w:type="dxa"/>
            <w:vAlign w:val="bottom"/>
          </w:tcPr>
          <w:p>
            <w:pPr>
              <w:spacing w:after="0"/>
              <w:rPr>
                <w:sz w:val="15"/>
                <w:szCs w:val="15"/>
                <w:color w:val="auto"/>
              </w:rPr>
            </w:pPr>
          </w:p>
        </w:tc>
        <w:tc>
          <w:tcPr>
            <w:tcW w:w="7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08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Business</w:t>
            </w: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r>
      <w:tr>
        <w:trPr>
          <w:trHeight w:val="209"/>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bottom w:val="single" w:sz="8" w:color="CCEEFF"/>
            </w:tcBorders>
          </w:tcPr>
          <w:p>
            <w:pPr>
              <w:spacing w:after="0"/>
              <w:rPr>
                <w:sz w:val="18"/>
                <w:szCs w:val="18"/>
                <w:color w:val="auto"/>
              </w:rPr>
            </w:pPr>
          </w:p>
        </w:tc>
      </w:tr>
      <w:tr>
        <w:trPr>
          <w:trHeight w:val="210"/>
        </w:trPr>
        <w:tc>
          <w:tcPr>
            <w:tcW w:w="4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4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4.1 %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38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4.6 %</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overall pricing efforts are focused on keeping pace with the increasing costs and capital needs of our business. Average yield growth in our collection line of business was 5.1% and 5.6% for the three and nine months ended September 30, 2024, respectively. We are also continuing to see growth in our disposal business with average yield in our municipal solid waste business of 3.1% and 3.2% for the three and nine months ended September 30, 2024, respectively.</w:t>
      </w:r>
    </w:p>
    <w:p>
      <w:pPr>
        <w:spacing w:after="0" w:line="17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Recycling Processing and Sales and WM Renewable Energy </w:t>
      </w:r>
      <w:r>
        <w:rPr>
          <w:rFonts w:ascii="Times New Roman" w:cs="Times New Roman" w:eastAsia="Times New Roman" w:hAnsi="Times New Roman"/>
          <w:sz w:val="18"/>
          <w:szCs w:val="18"/>
          <w:color w:val="auto"/>
        </w:rPr>
        <w:t>— Recycling Processing and Sales revenues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yield increased $102 million and $219 million for the three and nine months ended September 30, 2024, as compared with prior year periods. Average market prices for single-stream recycled commodities increased approximately 75% and nearly 65% for the three and nine months ended September 30, 2024, respectively, as compared with the prior year periods. Yield from the WM Renewable Energy segment increased $6 million and $17 million for the three and nine months ended September 30, 2024, respectively, as compared with the prior year periods, primarily driven by increases in RINs values. While there may be short-term fluctuations in our commodity-driven businesses as prices change, we believe that our business models and processes appropriately protect against the downside risk of changes in commodity prices.</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Energy Surcharge and Mandated Fees — </w:t>
      </w:r>
      <w:r>
        <w:rPr>
          <w:rFonts w:ascii="Times New Roman" w:cs="Times New Roman" w:eastAsia="Times New Roman" w:hAnsi="Times New Roman"/>
          <w:sz w:val="18"/>
          <w:szCs w:val="18"/>
          <w:color w:val="auto"/>
        </w:rPr>
        <w:t>These fees, which include our energy surcharge program and other mandated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decreased $19 million and $55 million for the three and nine months ended September 30, 2024, respectively, as compared with the prior year periods. Our energy surcharge incorporates market prices for both diesel and CNG. The decrease in energy surcharge revenues is primarily due to a decline of nearly 15% and nearly 10% in market prices for diesel fuel for the three and nine months ended September 30, 2024, respectively, as compared to the prior year periods. The mandated fees are primarily related to fees and taxes assessed by various state, county and municipal government agencies at our landfills and transfer stations. These amounts have not significantly impacted the change in revenue for the three and nine months ended September 30, 2024, respectively, as compared with the prior year periods.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Volume</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revenues from volume (excluding volumes from acquisitions and divestitures) increased $70 million and $75 million for the three and nine months ended September 30, 2024, respectively, as compared with the prior year periods. Volume increases have been generated by our WMSBS business due to our continued focus on a differentiated service model for national accounts customers, special waste and municipal solid waste tons at our landfills, an increase in recycling activity, and our commercial collection business. These increases were partially offset by a decline in our industrial and residential collection volumes. Furthermore, our construction and demolition landfill volumes for the nine months ended September 30, 2024, declined as compared to prior year due to clean-up efforts in our East Tier from Hurricane Ian in the prior year.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2" w:name="page33"/>
    <w:bookmarkEnd w:id="32"/>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operating expenses (in millions of dollars and as a percentage of revenues):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42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$ 2,780</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$ 2,750</w:t>
            </w: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and disposal costs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r>
      <w:tr>
        <w:trPr>
          <w:trHeight w:val="432"/>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and repairs</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24"/>
                <w:szCs w:val="24"/>
                <w:color w:val="auto"/>
              </w:rPr>
            </w:pPr>
          </w:p>
        </w:tc>
      </w:tr>
      <w:tr>
        <w:trPr>
          <w:trHeight w:val="432"/>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Subcontractor costs</w:t>
            </w: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4"/>
                <w:szCs w:val="24"/>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 and franchise fees and taxes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operating costs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management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CCEEFF"/>
            </w:tcBorders>
          </w:tcPr>
          <w:p>
            <w:pPr>
              <w:spacing w:after="0"/>
              <w:rPr>
                <w:sz w:val="18"/>
                <w:szCs w:val="18"/>
                <w:color w:val="auto"/>
              </w:rPr>
            </w:pPr>
          </w:p>
        </w:tc>
      </w:tr>
      <w:tr>
        <w:trPr>
          <w:trHeight w:val="425"/>
        </w:trPr>
        <w:tc>
          <w:tcPr>
            <w:tcW w:w="3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3,399</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3,188</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61.3 %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$ 9,830</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60.8 %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$ 9,460</w:t>
            </w: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items affecting the comparison of operating expenses for the reported periods include:</w:t>
      </w:r>
    </w:p>
    <w:p>
      <w:pPr>
        <w:spacing w:after="0" w:line="22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We have been driving optimization in these costs through technology that drives route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optimization, improved driver retention, and efficiency. The increase in labor and related benefits costs for the three months ended September 30, 2024 as compared to the three months ended September 30, 2023 was primarily driven by (i) annual employee wage increases and higher incentive compensation; (ii) our recent acquisition of a solid waste and recycling company in New York, and (iii) higher employee benefits costs. For the first six months of 2024, labor and related benefit costs decreased as compared to the prior year periods because of efficiency gains and improved driver retention. While these productivity and operational efficiency gains continued to provide benefits in the third quarter, they were more than offset by the increases described above.</w:t>
      </w:r>
    </w:p>
    <w:p>
      <w:pPr>
        <w:spacing w:after="0" w:line="185" w:lineRule="exact"/>
        <w:rPr>
          <w:sz w:val="20"/>
          <w:szCs w:val="20"/>
          <w:color w:val="auto"/>
        </w:rPr>
      </w:pPr>
    </w:p>
    <w:p>
      <w:pPr>
        <w:jc w:val="both"/>
        <w:ind w:left="60" w:right="59"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Transfer and Disposal Costs </w:t>
      </w:r>
      <w:r>
        <w:rPr>
          <w:rFonts w:ascii="Times New Roman" w:cs="Times New Roman" w:eastAsia="Times New Roman" w:hAnsi="Times New Roman"/>
          <w:sz w:val="18"/>
          <w:szCs w:val="18"/>
          <w:color w:val="auto"/>
        </w:rPr>
        <w:t>— The increase in transfer and disposal costs was primarily due to (i) inflationary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which includes increased disposal fees at third-party sites and higher rates from our third-party haulers and</w:t>
      </w:r>
    </w:p>
    <w:p>
      <w:pPr>
        <w:ind w:left="60" w:right="59" w:hanging="10"/>
        <w:spacing w:after="0" w:line="260" w:lineRule="auto"/>
        <w:tabs>
          <w:tab w:leader="none" w:pos="3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acquisition of a solid waste and recycling company in New York. These cost increases were offset, in part, by decreases in industrial and residential collection volumes.</w:t>
      </w:r>
    </w:p>
    <w:p>
      <w:pPr>
        <w:spacing w:after="0" w:line="179"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Maintenance and Repairs </w:t>
      </w:r>
      <w:r>
        <w:rPr>
          <w:rFonts w:ascii="Times New Roman" w:cs="Times New Roman" w:eastAsia="Times New Roman" w:hAnsi="Times New Roman"/>
          <w:sz w:val="18"/>
          <w:szCs w:val="18"/>
          <w:color w:val="auto"/>
        </w:rPr>
        <w:t>— The increase in maintenance and repairs costs was primarily driven by (i) inflationary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acquisition related cost increases for parts, supplies and third-party services, although the impact of inflationary cost increases has moderated from the high levels observed during the first half of 2023 and (ii) annual wage increases and higher technician headcount. These cost increases were offset, in part, by an improvement in new truck deliveries, which lowered average fleet age and reduced demand for third-party services, parts and supplies and has resulted in improvements in operational efficiencies.</w:t>
      </w:r>
    </w:p>
    <w:p>
      <w:pPr>
        <w:spacing w:after="0" w:line="18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Subcontractor Costs </w:t>
      </w:r>
      <w:r>
        <w:rPr>
          <w:rFonts w:ascii="Times New Roman" w:cs="Times New Roman" w:eastAsia="Times New Roman" w:hAnsi="Times New Roman"/>
          <w:sz w:val="18"/>
          <w:szCs w:val="18"/>
          <w:color w:val="auto"/>
        </w:rPr>
        <w:t>— The increase in subcontractor costs was primarily due to (i) an increase in volumes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WMSBS business, which relies more extensively on subcontracted hauling and services than our Collection and Disposal businesses and (ii) continued inflationary cost increases, particularly labor costs from third-party haulers although this impact has moderated from the high levels observed during the first half of 2023. These increases were offset, in part, by the impact of lower fuel prices on third-party subcontracted hauling and services.</w:t>
      </w:r>
    </w:p>
    <w:p>
      <w:pPr>
        <w:spacing w:after="0" w:line="18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The increase in cost of goods sold was primarily driven by an approximate 75% and 65%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single-stream recycling commodity prices for the three and nine months ended September 30, 2024, respectively, as compared to the prior year periods.</w:t>
      </w:r>
    </w:p>
    <w:p>
      <w:pPr>
        <w:sectPr>
          <w:pgSz w:w="11900" w:h="16838" w:orient="portrait"/>
          <w:cols w:equalWidth="0" w:num="1">
            <w:col w:w="9019"/>
          </w:cols>
          <w:pgMar w:left="1440" w:top="87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type w:val="continuous"/>
        </w:sectPr>
      </w:pPr>
    </w:p>
    <w:bookmarkStart w:id="33" w:name="page34"/>
    <w:bookmarkEnd w:id="33"/>
    <w:p>
      <w:pPr>
        <w:jc w:val="both"/>
        <w:ind w:left="60" w:right="59"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Fuel </w:t>
      </w:r>
      <w:r>
        <w:rPr>
          <w:rFonts w:ascii="Times New Roman" w:cs="Times New Roman" w:eastAsia="Times New Roman" w:hAnsi="Times New Roman"/>
          <w:sz w:val="17"/>
          <w:szCs w:val="17"/>
          <w:color w:val="auto"/>
        </w:rPr>
        <w:t>— The decrease in fuel costs was primarily due to a decrease of nearly 15% and nearly 10% in market prices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diesel fuel during the three and nine months ended September 30, 2024, respectively, as compared to the prior year periods.</w:t>
      </w:r>
    </w:p>
    <w:p>
      <w:pPr>
        <w:spacing w:after="0" w:line="135"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Disposal and Franchise Fees and Taxes </w:t>
      </w:r>
      <w:r>
        <w:rPr>
          <w:rFonts w:ascii="Times New Roman" w:cs="Times New Roman" w:eastAsia="Times New Roman" w:hAnsi="Times New Roman"/>
          <w:sz w:val="18"/>
          <w:szCs w:val="18"/>
          <w:color w:val="auto"/>
        </w:rPr>
        <w:t>— The increase in disposal and franchise fees and taxes was primarily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an increase in landfill volumes and an overall rate increase in fees and taxes paid to municipalities on our disposal volumes.</w:t>
      </w:r>
    </w:p>
    <w:p>
      <w:pPr>
        <w:spacing w:after="0" w:line="17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Landfill Operating Costs </w:t>
      </w:r>
      <w:r>
        <w:rPr>
          <w:rFonts w:ascii="Times New Roman" w:cs="Times New Roman" w:eastAsia="Times New Roman" w:hAnsi="Times New Roman"/>
          <w:sz w:val="18"/>
          <w:szCs w:val="18"/>
          <w:color w:val="auto"/>
        </w:rPr>
        <w:t>— The increase in landfill operating costs was primarily due to (i) leachate collection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which can largely be attributed to particularly wet weather in certain markets throughout 2024; (ii) methane collection and treatment and (iii) site maintenance.</w:t>
      </w:r>
    </w:p>
    <w:p>
      <w:pPr>
        <w:spacing w:after="0" w:line="17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Risk Management </w:t>
      </w:r>
      <w:r>
        <w:rPr>
          <w:rFonts w:ascii="Times New Roman" w:cs="Times New Roman" w:eastAsia="Times New Roman" w:hAnsi="Times New Roman"/>
          <w:sz w:val="18"/>
          <w:szCs w:val="18"/>
          <w:color w:val="auto"/>
        </w:rPr>
        <w:t>— Risk management costs increased primarily due to higher auto and workers compensation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and increases in premiums for property coverage. Additionally, for the nine months ended September 30, 2024, costs increased due to adjustments to our reserves for certain large loss claims offset, in part, by current year insurance recoveries for property claims associated with a hurricane in 2023.</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selling, general and administrative expenses (in millions of dollars and as a percentage of revenues):</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4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2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2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84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42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$ 324</w:t>
            </w:r>
          </w:p>
        </w:tc>
        <w:tc>
          <w:tcPr>
            <w:tcW w:w="1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5.8 %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$ 280</w:t>
            </w:r>
          </w:p>
        </w:tc>
        <w:tc>
          <w:tcPr>
            <w:tcW w:w="1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5.4 %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6.0 %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5.8 %</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r>
      <w:tr>
        <w:trPr>
          <w:trHeight w:val="432"/>
        </w:trPr>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CCEEFF"/>
            </w:tcBorders>
          </w:tcPr>
          <w:p>
            <w:pPr>
              <w:spacing w:after="0"/>
              <w:rPr>
                <w:sz w:val="24"/>
                <w:szCs w:val="24"/>
                <w:color w:val="auto"/>
              </w:rPr>
            </w:pPr>
          </w:p>
        </w:tc>
      </w:tr>
      <w:tr>
        <w:trPr>
          <w:trHeight w:val="426"/>
        </w:trPr>
        <w:tc>
          <w:tcPr>
            <w:tcW w:w="28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$ 525</w:t>
            </w:r>
          </w:p>
        </w:tc>
        <w:tc>
          <w:tcPr>
            <w:tcW w:w="1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9.4 %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$ 470</w:t>
            </w:r>
          </w:p>
        </w:tc>
        <w:tc>
          <w:tcPr>
            <w:tcW w:w="1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9.0 %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9.4 %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9.3 %</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for the three and nine months ended September 30, 2024 primarily due to (i) increased labor costs from higher annual and long-term incentive compensation costs, and annual wage increases and (ii) increased professional fees to support strategic initiatives, including our pending acquisition of Stericycle. Partially offsetting these increases was a decline in litigation costs.</w:t>
      </w:r>
    </w:p>
    <w:p>
      <w:pPr>
        <w:spacing w:after="0" w:line="2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Depreciation, Depletion and Amortization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depreciation, depletion and amortization expenses (in millions of dollars and as a percentage of revenues):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35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5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191"/>
        </w:trPr>
        <w:tc>
          <w:tcPr>
            <w:tcW w:w="354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Depreciation of tangible property and</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$ 323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$ 298</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432"/>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Depletion of landfill airspace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24"/>
                <w:szCs w:val="24"/>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8"/>
                <w:szCs w:val="18"/>
                <w:color w:val="auto"/>
              </w:rPr>
            </w:pPr>
          </w:p>
        </w:tc>
      </w:tr>
      <w:tr>
        <w:trPr>
          <w:trHeight w:val="425"/>
        </w:trPr>
        <w:tc>
          <w:tcPr>
            <w:tcW w:w="35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$ 558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$ 519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10.0 %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6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1,545</w:t>
            </w:r>
          </w:p>
        </w:tc>
        <w:tc>
          <w:tcPr>
            <w:tcW w:w="1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0"/>
        </w:trPr>
        <w:tc>
          <w:tcPr>
            <w:tcW w:w="3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increase in depreciation of tangible property and equipment for the three and nine months ended September 30, 2024 as compared to prior year periods was primarily driven by accelerated investments in capital assets such as trucks, digital assets, and upgraded facilities and equipment. The increase in depletion of landfill airspace for the three and nine months ended September 30, 2024 as compared to the prior year period, was driven by changes in amortization rates from revisions in landfill estimates and volume increases, partially offset by the closure of a landfill in our East Tier.</w:t>
      </w:r>
    </w:p>
    <w:p>
      <w:pPr>
        <w:sectPr>
          <w:pgSz w:w="11900" w:h="16838" w:orient="portrait"/>
          <w:cols w:equalWidth="0" w:num="1">
            <w:col w:w="9019"/>
          </w:cols>
          <w:pgMar w:left="1440" w:top="875"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type w:val="continuous"/>
        </w:sectPr>
      </w:pPr>
    </w:p>
    <w:bookmarkStart w:id="34" w:name="page35"/>
    <w:bookmarkEnd w:id="34"/>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Divestitures, Asset Impairments and Unusual Items, Net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(Gain) loss from divestitures, asset impairments and unusual items, net for the three months ended September 30, 2024 primarily relates to a $14 million loss associated with the divestiture of a minority investment in a medical waste company within Corporate and Other, in connection with our pending acquisition of Stericycle. The nine months ended September 30, 2024 include a $54 million charge required to increase the estimated fair value of a liability associated with the expected disposition of an investment the Company holds in a waste diversion technology business recorded during the second quarter of 2024. This charge is reflected in our Corporate and Other measures within our segment reporting. (Gain) loss from divestitures, asset impairments and unusual items, net for the three and nine months ended September 30, 2023 were not material.</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income from operations for our reportable segments (dollars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4"/>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5"/>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East Tier</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$ 1,778</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 Tier</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60" w:type="dxa"/>
            <w:vAlign w:val="bottom"/>
            <w:tcBorders>
              <w:right w:val="single" w:sz="8" w:color="CCEEFF"/>
            </w:tcBorders>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1,426</w:t>
            </w:r>
          </w:p>
        </w:tc>
        <w:tc>
          <w:tcPr>
            <w:tcW w:w="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1,259</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60" w:type="dxa"/>
            <w:vAlign w:val="bottom"/>
            <w:tcBorders>
              <w:right w:val="single" w:sz="8" w:color="CCEEFF"/>
            </w:tcBorders>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2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1,119</w:t>
            </w:r>
          </w:p>
        </w:tc>
        <w:tc>
          <w:tcPr>
            <w:tcW w:w="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1,021</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9.6 %</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60" w:type="dxa"/>
            <w:vAlign w:val="bottom"/>
            <w:tcBorders>
              <w:right w:val="single" w:sz="8" w:color="CCEEFF"/>
            </w:tcBorders>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$ 2,790</w:t>
            </w: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 revenues</w:t>
            </w: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2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19.6</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19.4</w:t>
            </w:r>
          </w:p>
        </w:tc>
        <w:tc>
          <w:tcPr>
            <w:tcW w:w="160" w:type="dxa"/>
            <w:vAlign w:val="bottom"/>
            <w:vMerge w:val="continue"/>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*Percentage change does not provide a meaningful comparison.</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significant items affecting income from operations for our segments during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as compared with the prior year periods, are summarized below:</w:t>
      </w:r>
    </w:p>
    <w:p>
      <w:pPr>
        <w:spacing w:after="0" w:line="97" w:lineRule="exact"/>
        <w:rPr>
          <w:sz w:val="20"/>
          <w:szCs w:val="20"/>
          <w:color w:val="auto"/>
        </w:rPr>
      </w:pPr>
    </w:p>
    <w:p>
      <w:pPr>
        <w:jc w:val="both"/>
        <w:ind w:left="720" w:right="79" w:hanging="319"/>
        <w:spacing w:after="0" w:line="255"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Collection and Disposal </w:t>
      </w:r>
      <w:r>
        <w:rPr>
          <w:rFonts w:ascii="Times New Roman" w:cs="Times New Roman" w:eastAsia="Times New Roman" w:hAnsi="Times New Roman"/>
          <w:sz w:val="18"/>
          <w:szCs w:val="18"/>
          <w:color w:val="auto"/>
        </w:rPr>
        <w:t>— Income from operations in our Collection and Disposal businesses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 our focus on price increases that keep pace with inflationary cost pressures in our business alongside intentional efforts to improve efficiency and operating costs incurred to serve our customers; (ii) gains on the sale of non-strategic assets and (iii) higher landfill volumes generated from special waste and municipal solid waste as well as an increase in volumes from our WMSBS business. These increases were partially offset by</w:t>
      </w:r>
    </w:p>
    <w:p>
      <w:pPr>
        <w:jc w:val="both"/>
        <w:ind w:left="720" w:right="79" w:firstLine="5"/>
        <w:spacing w:after="0" w:line="255" w:lineRule="auto"/>
        <w:tabs>
          <w:tab w:leader="none" w:pos="95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revenue from industrial volumes; (ii) increased depreciation expenses with relation to our fleet, machinery and equipment as well as higher depletion costs at our landfills and (iii) an increase in landfill operating costs.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Recycling Processing and Sales </w:t>
      </w:r>
      <w:r>
        <w:rPr>
          <w:rFonts w:ascii="Times New Roman" w:cs="Times New Roman" w:eastAsia="Times New Roman" w:hAnsi="Times New Roman"/>
          <w:sz w:val="18"/>
          <w:szCs w:val="18"/>
          <w:color w:val="auto"/>
        </w:rPr>
        <w:t>— The increase in income from operations in Recycling Processing and Sales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nine-month period was primarily due to (i) improved commodity pricing compared to prior year; (ii) a gain on sale of a non-strategic asset in the second quarter of 2024 and (iii) benefits from our growth investments and cost management. These improvements were partially offset by the impact of higher facility shutdown costs incurred during our capital investment programs targeted at automating and upgrading our single stream recycling business across North America.</w:t>
      </w:r>
    </w:p>
    <w:p>
      <w:pPr>
        <w:spacing w:after="0" w:line="74" w:lineRule="exact"/>
        <w:rPr>
          <w:rFonts w:ascii="Times New Roman" w:cs="Times New Roman" w:eastAsia="Times New Roman" w:hAnsi="Times New Roman"/>
          <w:sz w:val="18"/>
          <w:szCs w:val="18"/>
          <w:color w:val="auto"/>
        </w:rPr>
      </w:pPr>
    </w:p>
    <w:p>
      <w:pPr>
        <w:jc w:val="both"/>
        <w:ind w:left="720" w:right="79" w:hanging="319"/>
        <w:spacing w:after="0" w:line="267"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WM Renewable Energy </w:t>
      </w:r>
      <w:r>
        <w:rPr>
          <w:rFonts w:ascii="Times New Roman" w:cs="Times New Roman" w:eastAsia="Times New Roman" w:hAnsi="Times New Roman"/>
          <w:sz w:val="18"/>
          <w:szCs w:val="18"/>
          <w:color w:val="auto"/>
        </w:rPr>
        <w:t>— The increase in income from operations in WM Renewable Energy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increased revenue due to (i) higher RIN quantities and market values and (ii) increased beneficial use of landfill gas due to the completion of additional projects.</w:t>
      </w:r>
    </w:p>
    <w:p>
      <w:pPr>
        <w:spacing w:after="0" w:line="65" w:lineRule="exact"/>
        <w:rPr>
          <w:rFonts w:ascii="Times New Roman" w:cs="Times New Roman" w:eastAsia="Times New Roman" w:hAnsi="Times New Roman"/>
          <w:sz w:val="18"/>
          <w:szCs w:val="18"/>
          <w:color w:val="auto"/>
        </w:rPr>
      </w:pPr>
    </w:p>
    <w:p>
      <w:pPr>
        <w:jc w:val="both"/>
        <w:ind w:left="720" w:right="79" w:hanging="319"/>
        <w:spacing w:after="0" w:line="267"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 The decrease in income from operations was primarily driven by (i) a $54 million charge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increase the estimated fair value of a liability associated with the expected disposition of an investment</w:t>
      </w:r>
    </w:p>
    <w:p>
      <w:pPr>
        <w:sectPr>
          <w:pgSz w:w="11900" w:h="16838" w:orient="portrait"/>
          <w:cols w:equalWidth="0" w:num="1">
            <w:col w:w="9019"/>
          </w:cols>
          <w:pgMar w:left="1440" w:top="87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type w:val="continuous"/>
        </w:sectPr>
      </w:pPr>
    </w:p>
    <w:bookmarkStart w:id="35" w:name="page36"/>
    <w:bookmarkEnd w:id="35"/>
    <w:p>
      <w:pPr>
        <w:jc w:val="both"/>
        <w:ind w:left="720" w:right="79"/>
        <w:spacing w:after="0" w:line="258" w:lineRule="auto"/>
        <w:rPr>
          <w:sz w:val="20"/>
          <w:szCs w:val="20"/>
          <w:color w:val="auto"/>
        </w:rPr>
      </w:pPr>
      <w:r>
        <w:rPr>
          <w:rFonts w:ascii="Times New Roman" w:cs="Times New Roman" w:eastAsia="Times New Roman" w:hAnsi="Times New Roman"/>
          <w:sz w:val="18"/>
          <w:szCs w:val="18"/>
          <w:color w:val="auto"/>
        </w:rPr>
        <w:t>the Company holds in a waste diversion technology business recorded during the second quarter of 2024; (ii) higher annual and long-term incentive compensation costs; (iii) increased professional fees to support strategic initiatives, including our pending acquisition of Stericycle; (iv) an increase in risk management costs due to an adjustment to our reserves for auto and workers compensation claims and increases in premiums for property coverage and (v) a loss arising from the divestiture of a minority-owned medical waste investment.</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Net</w:t>
      </w:r>
    </w:p>
    <w:p>
      <w:pPr>
        <w:spacing w:after="0" w:line="229" w:lineRule="exact"/>
        <w:rPr>
          <w:sz w:val="20"/>
          <w:szCs w:val="20"/>
          <w:color w:val="auto"/>
        </w:rPr>
      </w:pPr>
    </w:p>
    <w:p>
      <w:pPr>
        <w:jc w:val="both"/>
        <w:ind w:left="60" w:right="59" w:firstLine="259"/>
        <w:spacing w:after="0" w:line="261" w:lineRule="auto"/>
        <w:rPr>
          <w:sz w:val="20"/>
          <w:szCs w:val="20"/>
          <w:color w:val="auto"/>
        </w:rPr>
      </w:pPr>
      <w:r>
        <w:rPr>
          <w:rFonts w:ascii="Times New Roman" w:cs="Times New Roman" w:eastAsia="Times New Roman" w:hAnsi="Times New Roman"/>
          <w:sz w:val="18"/>
          <w:szCs w:val="18"/>
          <w:color w:val="auto"/>
        </w:rPr>
        <w:t>Our interest expense, net was $131 million and $397 million for the three and nine months ended September 30, 2024, respectively, compared to $127 million and $372 million for the three and nine months ended September 30, 2023, respectively. The increase is primarily related to an increase in our average debt balances to fund growth as well as an increase in our weighted average borrowing rate of approximately 20 basis points.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in Net Income (Losses) of Unconsolidated Entities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recognized equity method investment income of $1 million and $4 million during the three and nine months ended September 30, 2024, respectively, compared to losses of $18 million and $41 million for the three and nine months ended September 30, 2023, respectively. These financial statement impacts are largely related to our noncontrolling interests in entities established to invest in and manage low-income housing properties. In 2024, we adopted Accounting Standards Update (“ASU”) 2023-02, and, as a result, beginning in 2024, the amortization of these investments is recognized as a component of income tax expense. Refer to Note 4 to the Condensed Consolidated Financial Statements for further discussion.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income tax expense was $235 million and $611 million for the three and nine months ended September 30, 2024, respectively, compared to $210 million and $570 million for the three and nine months ended September 30, 2023, respectively. Our effective income tax rate was 23.6% and 22.2% for the three and nine months ended September 30, 2024, respectively, compared to 24.1% and 24.0% for the three and nine months ended September 30, 2023, respectively. See Note 4 to the Condensed Consolidated Financial Statements for more information related to income taxes.</w:t>
      </w:r>
    </w:p>
    <w:p>
      <w:pPr>
        <w:spacing w:after="0" w:line="18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Tax Legislation </w:t>
      </w:r>
      <w:r>
        <w:rPr>
          <w:rFonts w:ascii="Times New Roman" w:cs="Times New Roman" w:eastAsia="Times New Roman" w:hAnsi="Times New Roman"/>
          <w:sz w:val="18"/>
          <w:szCs w:val="18"/>
          <w:color w:val="auto"/>
        </w:rPr>
        <w:t>— The Inflation Reduction Act of 2022 (“IRA”) was signed into law by President Biden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16, 2022 and contains several tax-related provisions, including with respect to (i) alternative fuel tax credits; (ii) tax incentives for investments in renewable energy production, carbon capture, 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provisions of the IRA related to alternative fuel tax credits secure approximately $60 million of annual pre-tax benefit (recorded as a reduction in our operating expense) for tax credits in 2023 and 2024.</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With respect to the investment tax credit, as expanded by the IRA, we expect the cumulative benefit to be between $250 million and $350 million, a large portion of which is anticipated to be realized in 2024 through 2026. The Company projects a full year investment tax credit benefit of approximately $145 million, which is derived from the projected completion of five new RNG facilities by the end of 2024. The amount of the projected investment tax credit benefit for 2024 is based on a number of estimates and assumptions, including the timing of project completion and interpretation of the IRA.</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IRS issued proposed regulations applicable to the investment tax credits that could call into question our ability to realize some, or all, of this tax benefit, which would negatively impact financial expectations in connection with our significant planned and ongoing investments in sustainability growth projects in our WM Renewable Energy segment. In coordination with other members of the RNG industry and external advisors we are engaging directly with the U.S. Congress, the current federal administration, and other biogas sector stakeholders to encourage the Treasury Department to further refine its analysis prior to publication of final regulations that more accurately reflect the express language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6" w:name="page37"/>
    <w:bookmarkEnd w:id="36"/>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legislative intent of the statute with respect to the investment tax credit. However, there is no guarantee that such efforts will be successful. We expect that the production tax credit incentives for investments in renewable energy and carbon capture, as expanded by the IRA, will likely result in an incremental benefit to the Company, although at this time, the anticipated amount of such benefit has not been quantified.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consistently generates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diverse investor base, large value of unencumbered assets and modest leverage enable it to obtain adequate financing and refinance upcoming maturities as necessary to meet its ongoing capital, operating, strategic and other liquidity requirements. We also have the additional ability to manage liquidity during periods of significant financial market disruption through temporary modification of our capital expenditure and share repurchase plans.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and Cash Equivalents, Restricted Funds and Debt Obligations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and cash equivalents, restricted funds and debt balances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84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39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Restricted funds and other:</w:t>
            </w: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Insurance reserves</w:t>
            </w:r>
          </w:p>
        </w:tc>
        <w:tc>
          <w:tcPr>
            <w:tcW w:w="9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Final capping, closure, post-closure and environmental remediation funds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1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restricted funds and other (a)</w:t>
            </w:r>
          </w:p>
        </w:tc>
        <w:tc>
          <w:tcPr>
            <w:tcW w:w="7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Debt:</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portion</w:t>
            </w:r>
          </w:p>
        </w:tc>
        <w:tc>
          <w:tcPr>
            <w:tcW w:w="9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portion</w:t>
            </w:r>
          </w:p>
        </w:tc>
        <w:tc>
          <w:tcPr>
            <w:tcW w:w="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76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and December 31, 2023, $90 million of these account balances were included in other current assets in our Condensed Consolidated Balance Sheets.</w:t>
      </w:r>
    </w:p>
    <w:p>
      <w:pPr>
        <w:spacing w:after="0" w:line="16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As of September 30, 2024, we had approximately $1.9 billion of debt maturing within the next 12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$1.2 billion of tax exempt bonds with term interest rate periods that expire within the next 12 months, which is prior to their scheduled maturities; (ii) $422 million of 3.125% senior notes that mature in March 2025 and (iii) $254 million of other debt with scheduled maturities within the next 12 months, including $110 million of tax-exempt bonds. As of September 30, 2024, we have classified $1.2 billion of debt maturing in the next 12 months as long term because we have the intent and ability to refinance these borrowings on a long-term basis as supported by the forecasted available capacity under our $3.5 billion long-term U.S. and Canadian revolving credit facility (“$3.5 billion revolving credit facility”). The remaining $676 million of debt maturing in the next 12 months is classified as current obligations.</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WMI issued $750 million of 4.950% senior notes due 2027 and $750 million of 4.950% senior notes due 2031, the net proceeds of which were $1.5 billion. The net proceeds were used primarily to reduce outstanding borrowings under our commercial paper program.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7" w:name="page38"/>
    <w:bookmarkEnd w:id="37"/>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Guarantor Financial Information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Advances due to affiliates</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22,271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21,228</w:t>
            </w: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w:t>
            </w:r>
          </w:p>
        </w:tc>
      </w:tr>
      <w:tr>
        <w:trPr>
          <w:trHeight w:val="353"/>
        </w:trPr>
        <w:tc>
          <w:tcPr>
            <w:tcW w:w="6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8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0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Information:</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bl>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flows for the nine months ended September 30 (in millions):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(2,839)</w:t>
            </w:r>
          </w:p>
        </w:tc>
        <w:tc>
          <w:tcPr>
            <w:tcW w:w="1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(903)</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Our operating cash flows increased by $542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2024, as compared with the prior year period, driven by (i) higher earnings in our Collection and Disposal businesses; (ii) favorable changes in working capital and (iii) lower annual incentive compensation payments. This increase was partially offset by higher cash interest payments.</w:t>
      </w:r>
    </w:p>
    <w:p>
      <w:pPr>
        <w:spacing w:after="0" w:line="180"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The most significant items included in our investing cash flows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2024 and 2023 are summarized below:</w:t>
      </w:r>
    </w:p>
    <w:p>
      <w:pPr>
        <w:spacing w:after="0" w:line="50" w:lineRule="exact"/>
        <w:rPr>
          <w:sz w:val="20"/>
          <w:szCs w:val="20"/>
          <w:color w:val="auto"/>
        </w:rPr>
      </w:pPr>
    </w:p>
    <w:p>
      <w:pPr>
        <w:jc w:val="both"/>
        <w:ind w:left="720" w:right="79" w:hanging="319"/>
        <w:spacing w:after="0" w:line="26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 </w:t>
      </w:r>
      <w:r>
        <w:rPr>
          <w:rFonts w:ascii="Times New Roman" w:cs="Times New Roman" w:eastAsia="Times New Roman" w:hAnsi="Times New Roman"/>
          <w:sz w:val="18"/>
          <w:szCs w:val="18"/>
          <w:color w:val="auto"/>
        </w:rPr>
        <w:t>We used $2,116 million and $1,853 million for capital expenditures during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2024 and 2023, respectively. The increase in capital spending is primarily driven by</w:t>
      </w:r>
    </w:p>
    <w:p>
      <w:pPr>
        <w:jc w:val="both"/>
        <w:ind w:left="720" w:right="79" w:firstLine="5"/>
        <w:spacing w:after="0" w:line="255" w:lineRule="auto"/>
        <w:tabs>
          <w:tab w:leader="none" w:pos="96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and ongoing investments in our Recycling Processing and Sales and WM Renewable Energy segments and (ii) an increase in truck spending in the current year due to supply chain constraints on truck deliveries in the prior year.</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7"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Acquisitions — </w:t>
      </w:r>
      <w:r>
        <w:rPr>
          <w:rFonts w:ascii="Times New Roman" w:cs="Times New Roman" w:eastAsia="Times New Roman" w:hAnsi="Times New Roman"/>
          <w:sz w:val="18"/>
          <w:szCs w:val="18"/>
          <w:color w:val="auto"/>
        </w:rPr>
        <w:t>Our spending on acquisitions was $790 million and $139 million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and 2023, respectively, of which $782 million and $139 million, respectively, are considered cash used in investing activities. The remaining spend is cash used in financing activity related to the timing of</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8" w:name="page39"/>
    <w:bookmarkEnd w:id="38"/>
    <w:p>
      <w:pPr>
        <w:ind w:left="720" w:right="79"/>
        <w:spacing w:after="0" w:line="282" w:lineRule="auto"/>
        <w:rPr>
          <w:sz w:val="20"/>
          <w:szCs w:val="20"/>
          <w:color w:val="auto"/>
        </w:rPr>
      </w:pPr>
      <w:r>
        <w:rPr>
          <w:rFonts w:ascii="Times New Roman" w:cs="Times New Roman" w:eastAsia="Times New Roman" w:hAnsi="Times New Roman"/>
          <w:sz w:val="18"/>
          <w:szCs w:val="18"/>
          <w:color w:val="auto"/>
        </w:rPr>
        <w:t>contingent consideration paid. Substantially all of these acquisitions are related to our solid waste and recycling businesses.</w:t>
      </w:r>
    </w:p>
    <w:p>
      <w:pPr>
        <w:spacing w:after="0" w:line="52" w:lineRule="exact"/>
        <w:rPr>
          <w:sz w:val="20"/>
          <w:szCs w:val="20"/>
          <w:color w:val="auto"/>
        </w:rPr>
      </w:pPr>
    </w:p>
    <w:p>
      <w:pPr>
        <w:jc w:val="both"/>
        <w:ind w:left="720" w:right="79" w:hanging="319"/>
        <w:spacing w:after="0" w:line="261"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Net </w:t>
      </w:r>
      <w:r>
        <w:rPr>
          <w:rFonts w:ascii="Times New Roman" w:cs="Times New Roman" w:eastAsia="Times New Roman" w:hAnsi="Times New Roman"/>
          <w:sz w:val="18"/>
          <w:szCs w:val="18"/>
          <w:color w:val="auto"/>
        </w:rPr>
        <w:t>— The year-over-year changes in other investing activities were primarily driven by changes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portfolio associated with a wholly-owned insurance captive. During the nine months ended September 30, 2024 and 2023, we used $38 million and $71 million, respectively, of cash from restricted cash and cash equivalents to invest in available-for-sale securities.</w:t>
      </w:r>
    </w:p>
    <w:p>
      <w:pPr>
        <w:spacing w:after="0" w:line="72" w:lineRule="exact"/>
        <w:rPr>
          <w:sz w:val="20"/>
          <w:szCs w:val="20"/>
          <w:color w:val="auto"/>
        </w:rPr>
      </w:pPr>
    </w:p>
    <w:p>
      <w:pPr>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 </w:t>
      </w:r>
      <w:r>
        <w:rPr>
          <w:rFonts w:ascii="Times New Roman" w:cs="Times New Roman" w:eastAsia="Times New Roman" w:hAnsi="Times New Roman"/>
          <w:sz w:val="18"/>
          <w:szCs w:val="18"/>
          <w:color w:val="auto"/>
        </w:rPr>
        <w:t>The most significant items affecting the comparison of our financing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for the nine months ended September 30, 2024 and 2023 are summarized below:</w:t>
      </w:r>
    </w:p>
    <w:p>
      <w:pPr>
        <w:spacing w:after="0" w:line="50" w:lineRule="exact"/>
        <w:rPr>
          <w:sz w:val="20"/>
          <w:szCs w:val="20"/>
          <w:color w:val="auto"/>
        </w:rPr>
      </w:pPr>
    </w:p>
    <w:p>
      <w:pPr>
        <w:ind w:left="720" w:right="79" w:hanging="319"/>
        <w:spacing w:after="0" w:line="284"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Borrowings and Repayments — </w:t>
      </w:r>
      <w:r>
        <w:rPr>
          <w:rFonts w:ascii="Times New Roman" w:cs="Times New Roman" w:eastAsia="Times New Roman" w:hAnsi="Times New Roman"/>
          <w:sz w:val="18"/>
          <w:szCs w:val="18"/>
          <w:color w:val="auto"/>
        </w:rPr>
        <w:t>The following summarizes our cash borrowings (net of related discount)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repayments of debt for the nine months ended September 30 (in millions):</w:t>
      </w:r>
    </w:p>
    <w:p>
      <w:pPr>
        <w:spacing w:after="0" w:line="59"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60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14,062</w:t>
            </w:r>
          </w:p>
        </w:tc>
      </w:tr>
      <w:tr>
        <w:trPr>
          <w:trHeight w:val="21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6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17,319</w:t>
            </w: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Repayments</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2"/>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(10,306)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(15,335)</w:t>
            </w: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425"/>
        </w:trPr>
        <w:tc>
          <w:tcPr>
            <w:tcW w:w="60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(10,619)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(16,991)</w:t>
            </w:r>
          </w:p>
        </w:tc>
      </w:tr>
      <w:tr>
        <w:trPr>
          <w:trHeight w:val="209"/>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Net cash borrowings (repayments)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Refer to Note 3 to the Condensed Consolidated Financial Statements for additional information related to our debt borrowings and repayments.</w:t>
      </w:r>
    </w:p>
    <w:p>
      <w:pPr>
        <w:spacing w:after="0" w:line="52" w:lineRule="exact"/>
        <w:rPr>
          <w:sz w:val="20"/>
          <w:szCs w:val="20"/>
          <w:color w:val="auto"/>
        </w:rPr>
      </w:pPr>
    </w:p>
    <w:p>
      <w:pPr>
        <w:jc w:val="both"/>
        <w:ind w:left="720" w:right="79" w:hanging="319"/>
        <w:spacing w:after="0" w:line="25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Repurchase Program — </w:t>
      </w:r>
      <w:r>
        <w:rPr>
          <w:rFonts w:ascii="Times New Roman" w:cs="Times New Roman" w:eastAsia="Times New Roman" w:hAnsi="Times New Roman"/>
          <w:sz w:val="18"/>
          <w:szCs w:val="18"/>
          <w:color w:val="auto"/>
        </w:rPr>
        <w:t>During the nine months ended September 30, 2024 and 2023, we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$262 and $990 million, respectively, to repurchase shares of our common stock under accelerated share repurchase agreements and open market transactions. The decrease in share repurchase activity in 2024 relates to our temporary suspension of share repurchase activity in anticipation of the acquisition of Stericycle. We expect to resume share repurchases once the Company’s leverage returns to targeted levels, which is currently projected to be about 24 months after the acquisition closes. See Note 11 to the Condensed Consolidated Financial Statements for additional information about our share repurchase activity.</w:t>
      </w:r>
    </w:p>
    <w:p>
      <w:pPr>
        <w:spacing w:after="0" w:line="74"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Dividends — </w:t>
      </w:r>
      <w:r>
        <w:rPr>
          <w:rFonts w:ascii="Times New Roman" w:cs="Times New Roman" w:eastAsia="Times New Roman" w:hAnsi="Times New Roman"/>
          <w:sz w:val="18"/>
          <w:szCs w:val="18"/>
          <w:color w:val="auto"/>
        </w:rPr>
        <w:t>For the periods presented, all dividends have been declared by our Board of Directors.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cash dividends of $909 million and $855 million during the nine months ended September 30, 2024 and 2023, respectively. The increase in dividend payments is due to our quarterly per share dividend increasing from $0.70 in 2023 to $0.75 in 2024.</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9" w:name="page40"/>
    <w:bookmarkEnd w:id="39"/>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5"/>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r>
      <w:tr>
        <w:trPr>
          <w:trHeight w:val="216"/>
        </w:trPr>
        <w:tc>
          <w:tcPr>
            <w:tcW w:w="20" w:type="dxa"/>
            <w:vAlign w:val="bottom"/>
          </w:tcPr>
          <w:p>
            <w:pPr>
              <w:spacing w:after="0"/>
              <w:rPr>
                <w:sz w:val="18"/>
                <w:szCs w:val="18"/>
                <w:color w:val="auto"/>
              </w:rPr>
            </w:pP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expenditures - sustainability growth investments (a)</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09"/>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198"/>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divested</w:t>
            </w:r>
          </w:p>
        </w:tc>
        <w:tc>
          <w:tcPr>
            <w:tcW w:w="3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0"/>
        </w:trPr>
        <w:tc>
          <w:tcPr>
            <w:tcW w:w="20" w:type="dxa"/>
            <w:vAlign w:val="bottom"/>
          </w:tcPr>
          <w:p>
            <w:pPr>
              <w:spacing w:after="0"/>
              <w:rPr>
                <w:sz w:val="18"/>
                <w:szCs w:val="18"/>
                <w:color w:val="auto"/>
              </w:rPr>
            </w:pPr>
          </w:p>
        </w:tc>
        <w:tc>
          <w:tcPr>
            <w:tcW w:w="4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growth investments are intended to further our sustainability leadership position by increasing recycling volumes and growing renewable natural gas generation. We expect they will deliver circular solutions for our customers and drive environmental value to the communities we serve.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as described in Item 7 of our Annual Report on Form 10-K for the year ended December 31, 2023. Actual results could differ materially from the estimates and assumptions that we use in the preparation of our financial statements.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 Trends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Variability in economic conditions, including inflation, interest rates, employment trends, and supply chain reliability, can create risk and uncertainty in financial outlook. We take proactive steps to recover and mitigate inflationary cost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0" w:name="page41"/>
    <w:bookmarkEnd w:id="40"/>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pressures through our overall pricing efforts and by managing our costs through efficiency, labor productivity, and investments in technology to automate certain aspects of our business. These efforts may not be successful for various reasons including the pace of inflation, operating cost inefficiencies, market responses, and contractual limitations, such as the timing lag in our ability to recover increased costs under certain contracts that are tied to a price escalation index with a lookback provision.</w:t>
      </w:r>
    </w:p>
    <w:p>
      <w:pPr>
        <w:spacing w:after="0" w:line="179"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market risks as of September 30, 2024 does not materially differ from that discussed under Item 7A in our Annual Report on Form 10-K for the year ended December 31, 2023.</w:t>
      </w:r>
    </w:p>
    <w:p>
      <w:pPr>
        <w:spacing w:after="0" w:line="158"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Effectiveness of Disclosure Controls and Procedures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September 30, 2024 (the end of the period covered by this Quarterly Report on Form 10-Q) at a reasonable assurance level.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Management, together with our CEO and CFO, evaluated the changes in our internal control over financial reporting during the quarter ended September 30, 2024. We determined that there were no changes in our internal control over financial reporting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legal proceedings can be found under the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sections of Note 6 to the Condensed Consolidated Financial Statements.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of our Annual Report on Form 10-K for the year ended December 31, 2023, as updated by Part II, Item 1A of our Quarterly Report on Form 10-Q for the quarter ended June 30,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incorporate by reference into Item 5 of this Quarterly Report on Form 10-Q the information disclosed in Note 14 to the Condensed Consolidated Financial Statements under the heading “Pending Acquisition of Stericycle and Related Financing.”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September 4, 2024, Tara Hemmer, Senior Vice President and Chief Sustainability Officer, adopted a stock trading plan (the “Hemmer Trading Plan”) intended to satisfy the affirmative defense of Rule 10b5-1(c) under the Exchange Act. The Hemmer Trading Plan will commence on December 3, 2024 and will automatically terminate on the earlier of June 30, 2025 and the completion of all of the contemplated transactions set forth therein. The Hemmer Trading Plan provides for</w:t>
      </w:r>
    </w:p>
    <w:p>
      <w:pPr>
        <w:spacing w:after="0" w:line="3" w:lineRule="exact"/>
        <w:rPr>
          <w:sz w:val="20"/>
          <w:szCs w:val="20"/>
          <w:color w:val="auto"/>
        </w:rPr>
      </w:pPr>
    </w:p>
    <w:p>
      <w:pPr>
        <w:jc w:val="both"/>
        <w:ind w:left="60" w:right="59" w:hanging="10"/>
        <w:spacing w:after="0" w:line="251" w:lineRule="auto"/>
        <w:tabs>
          <w:tab w:leader="none" w:pos="2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donation of 714 shares of our common stock; (ii) the potential sale of all net after-tax shares of our common stock received from the vesting on March 1, 2025 of 5,102 restricted share unit (“RSU”) equity compensation awards and (iii) the potential sale of 50% of net after-tax shares of our common stock received from the payout of performance share unit (“PSU”) equity compensation awards, for the performance period ended December 31, 2024. Each of the contemplated transactions will occur upon our common stock reaching specified market prices. Ms. Hemmer received a target grant of 9,252 PSU awards with a performance period ended December 31, 2024; the number of shares to be paid out to Ms. Hemmer on account of these PSU awards can range from zero to 200% of the initial target grant. As a result, the number of shares of common stock to potentially be sold pursuant to the Hemmer Trading Plan will be determined in the first quarter of 2025 based on certification by the Management Development and Compensation Committee of the Board of Directors of the Company’s achievement relative to applicable performance measures for the underlying PSU awards.</w:t>
      </w:r>
    </w:p>
    <w:p>
      <w:pPr>
        <w:spacing w:after="0" w:line="19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September 9, 2024, Ms. Devina Rankin, Executive Vice President and Chief Financial Officer, adopted a stock trading plan (the “Rankin Trading Plan”) intended to satisfy the affirmative defense of Rule 10b5-1(c) under the Exchange Act. The Rankin Trading Plan will commence on February 3, 2025 and will automatically terminate on the earlier of February 3, 2026 and the completion of all of the contemplated transactions set forth therein. The Rankin Trading Plan provides for (i) the potential sale of all net after-tax shares of our common stock received from the vesting on March 1, 2025 of 6,803 RSU equity compensation awards and (ii) the potential sale of 50% of net after-tax shares of our common stock received from the payout of PSU equity compensation awards, for the performance period ended December 31, 2024. Each of the contemplated transactions will occur upon our common stock reaching specified market prices. Ms. Rankin received a target grant of 11,972 PSU awards with a performance period ended December 31, 2024; the number of shares to be paid out to Ms. Rankin on account of these PSU awards can range from zero to 200% of the initial target grant. As a result, as described above in connection with the Hemmer Trading Plan, the number of shares of common stock to potentially be sold pursuant to the Rankin Trading Plan will be determined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40" w:type="dxa"/>
            <w:vAlign w:val="bottom"/>
            <w:gridSpan w:val="8"/>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8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760" w:type="dxa"/>
            <w:vAlign w:val="bottom"/>
            <w:tcBorders>
              <w:top w:val="single" w:sz="8" w:color="auto"/>
              <w:bottom w:val="single" w:sz="8" w:color="0000EE"/>
            </w:tcBorders>
            <w:gridSpan w:val="13"/>
          </w:tcPr>
          <w:p>
            <w:pPr>
              <w:spacing w:after="0" w:line="169"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Term Credit Agreement dated as of August 28, 2024 by and among WMI, WM Holdings., the banks party</w:t>
              </w:r>
            </w:hyperlink>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thereto, and JPMorgan Chase Bank, N.A., as administrative agent [Incorporated by reference to Exhibit</w:t>
              </w:r>
            </w:hyperlink>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14"/>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Form 8-K filed September 3, 2024].</w:t>
              </w:r>
            </w:hyperlink>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77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Form of 2024 Long Term Incentive Compensation Award Agreement RSU Award Agreement (U.S.)</w:t>
            </w: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(Three-Year Step Vest).</w:t>
            </w:r>
          </w:p>
        </w:tc>
        <w:tc>
          <w:tcPr>
            <w:tcW w:w="20" w:type="dxa"/>
            <w:vAlign w:val="bottom"/>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24"/>
                <w:szCs w:val="24"/>
                <w:color w:val="auto"/>
              </w:rPr>
            </w:pPr>
          </w:p>
        </w:tc>
        <w:tc>
          <w:tcPr>
            <w:tcW w:w="17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Guarantor Subsidiary.</w:t>
            </w:r>
          </w:p>
        </w:tc>
        <w:tc>
          <w:tcPr>
            <w:tcW w:w="6080" w:type="dxa"/>
            <w:vAlign w:val="bottom"/>
            <w:gridSpan w:val="10"/>
          </w:tcPr>
          <w:p>
            <w:pPr>
              <w:spacing w:after="0"/>
              <w:rPr>
                <w:sz w:val="24"/>
                <w:szCs w:val="24"/>
                <w:color w:val="auto"/>
              </w:rPr>
            </w:pP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76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Pursuant to Rules 13a-14(a) and 15d-14(a) under the Securities Exchange Act of 1934 James</w:t>
            </w:r>
          </w:p>
        </w:tc>
        <w:tc>
          <w:tcPr>
            <w:tcW w:w="12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 Fish, Jr., President and Chief Executive Officer.</w:t>
            </w:r>
          </w:p>
        </w:tc>
        <w:tc>
          <w:tcPr>
            <w:tcW w:w="4120" w:type="dxa"/>
            <w:vAlign w:val="bottom"/>
            <w:gridSpan w:val="7"/>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77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Pursuant to Rules 13a-14(a) and 15d-14(a) under the Securities Exchange Act of 1934 Devina</w:t>
            </w:r>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 Rankin, Executive Vice President and Chief Financial Officer.</w:t>
            </w: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74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§1350 of James C. Fish, Jr., President and Chief Executive Officer.</w:t>
            </w:r>
          </w:p>
        </w:tc>
        <w:tc>
          <w:tcPr>
            <w:tcW w:w="380" w:type="dxa"/>
            <w:vAlign w:val="bottom"/>
            <w:gridSpan w:val="4"/>
          </w:tcPr>
          <w:p>
            <w:pPr>
              <w:spacing w:after="0"/>
              <w:rPr>
                <w:sz w:val="24"/>
                <w:szCs w:val="24"/>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72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§1350 of Devina A. Rankin, Executive Vice President and Chief</w:t>
            </w:r>
          </w:p>
        </w:tc>
        <w:tc>
          <w:tcPr>
            <w:tcW w:w="56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Officer.</w:t>
            </w:r>
          </w:p>
        </w:tc>
        <w:tc>
          <w:tcPr>
            <w:tcW w:w="6500" w:type="dxa"/>
            <w:vAlign w:val="bottom"/>
            <w:gridSpan w:val="12"/>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4"/>
                <w:szCs w:val="24"/>
                <w:color w:val="auto"/>
              </w:rPr>
            </w:pPr>
          </w:p>
        </w:tc>
        <w:tc>
          <w:tcPr>
            <w:tcW w:w="77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Mine Safety Disclosures.</w:t>
            </w:r>
          </w:p>
        </w:tc>
      </w:tr>
      <w:tr>
        <w:trPr>
          <w:trHeight w:val="35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18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Inline XBRL Instance.</w:t>
            </w:r>
          </w:p>
        </w:tc>
        <w:tc>
          <w:tcPr>
            <w:tcW w:w="5960" w:type="dxa"/>
            <w:vAlign w:val="bottom"/>
            <w:gridSpan w:val="9"/>
          </w:tcPr>
          <w:p>
            <w:pPr>
              <w:spacing w:after="0"/>
              <w:rPr>
                <w:sz w:val="24"/>
                <w:szCs w:val="24"/>
                <w:color w:val="auto"/>
              </w:rPr>
            </w:pP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7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7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7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33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7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7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7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77470</wp:posOffset>
            </wp:positionV>
            <wp:extent cx="14141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7" w:lineRule="exact"/>
        <w:rPr>
          <w:sz w:val="20"/>
          <w:szCs w:val="20"/>
          <w:color w:val="auto"/>
        </w:rPr>
      </w:pPr>
    </w:p>
    <w:p>
      <w:pPr>
        <w:ind w:left="300" w:hanging="250"/>
        <w:spacing w:after="0"/>
        <w:tabs>
          <w:tab w:leader="none" w:pos="3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76"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340" w:type="dxa"/>
            <w:vAlign w:val="bottom"/>
          </w:tcPr>
          <w:p>
            <w:pPr>
              <w:spacing w:after="0"/>
              <w:rPr>
                <w:sz w:val="16"/>
                <w:szCs w:val="16"/>
                <w:color w:val="auto"/>
              </w:rPr>
            </w:pPr>
          </w:p>
        </w:tc>
        <w:tc>
          <w:tcPr>
            <w:tcW w:w="4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CARROLL</w:t>
            </w:r>
          </w:p>
        </w:tc>
      </w:tr>
      <w:tr>
        <w:trPr>
          <w:trHeight w:val="211"/>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Carroll</w:t>
            </w:r>
          </w:p>
        </w:tc>
      </w:tr>
    </w:tbl>
    <w:p>
      <w:pPr>
        <w:jc w:val="center"/>
        <w:ind w:left="4840"/>
        <w:spacing w:after="0"/>
        <w:rPr>
          <w:sz w:val="20"/>
          <w:szCs w:val="20"/>
          <w:color w:val="auto"/>
        </w:rPr>
      </w:pPr>
      <w:r>
        <w:rPr>
          <w:rFonts w:ascii="Times New Roman" w:cs="Times New Roman" w:eastAsia="Times New Roman" w:hAnsi="Times New Roman"/>
          <w:sz w:val="18"/>
          <w:szCs w:val="18"/>
          <w:i w:val="1"/>
          <w:iCs w:val="1"/>
          <w:color w:val="auto"/>
        </w:rPr>
        <w:t>Vice President and</w:t>
      </w:r>
    </w:p>
    <w:p>
      <w:pPr>
        <w:spacing w:after="0" w:line="7"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9"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5" w:name="page46"/>
    <w:bookmarkEnd w:id="45"/>
    <w:p>
      <w:pPr>
        <w:jc w:val="right"/>
        <w:spacing w:after="0"/>
        <w:rPr>
          <w:sz w:val="20"/>
          <w:szCs w:val="20"/>
          <w:color w:val="auto"/>
        </w:rPr>
      </w:pPr>
      <w:r>
        <w:rPr>
          <w:rFonts w:ascii="Calibri" w:cs="Calibri" w:eastAsia="Calibri" w:hAnsi="Calibri"/>
          <w:sz w:val="22"/>
          <w:szCs w:val="22"/>
          <w:b w:val="1"/>
          <w:bCs w:val="1"/>
          <w:color w:val="auto"/>
        </w:rPr>
        <w:drawing>
          <wp:anchor simplePos="0" relativeHeight="251657728" behindDoc="1" locked="0" layoutInCell="0" allowOverlap="1">
            <wp:simplePos x="0" y="0"/>
            <wp:positionH relativeFrom="page">
              <wp:posOffset>523240</wp:posOffset>
            </wp:positionH>
            <wp:positionV relativeFrom="page">
              <wp:posOffset>95250</wp:posOffset>
            </wp:positionV>
            <wp:extent cx="6501765" cy="83451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501765" cy="8345170"/>
                    </a:xfrm>
                    <a:prstGeom prst="rect">
                      <a:avLst/>
                    </a:prstGeom>
                    <a:noFill/>
                  </pic:spPr>
                </pic:pic>
              </a:graphicData>
            </a:graphic>
          </wp:anchor>
        </w:drawing>
        <w:t>EXHIBIT 10.2</w:t>
      </w:r>
    </w:p>
    <w:p>
      <w:pPr>
        <w:jc w:val="center"/>
        <w:spacing w:after="0" w:line="221" w:lineRule="auto"/>
        <w:rPr>
          <w:sz w:val="20"/>
          <w:szCs w:val="20"/>
          <w:color w:val="auto"/>
        </w:rPr>
      </w:pPr>
      <w:r>
        <w:rPr>
          <w:rFonts w:ascii="Calibri" w:cs="Calibri" w:eastAsia="Calibri" w:hAnsi="Calibri"/>
          <w:sz w:val="40"/>
          <w:szCs w:val="40"/>
          <w:b w:val="1"/>
          <w:bCs w:val="1"/>
          <w:color w:val="auto"/>
        </w:rPr>
        <w:t>2024 Long Term Incentve Compensaton</w:t>
      </w:r>
    </w:p>
    <w:p>
      <w:pPr>
        <w:jc w:val="center"/>
        <w:spacing w:after="0" w:line="232" w:lineRule="auto"/>
        <w:rPr>
          <w:sz w:val="20"/>
          <w:szCs w:val="20"/>
          <w:color w:val="auto"/>
        </w:rPr>
      </w:pPr>
      <w:r>
        <w:rPr>
          <w:rFonts w:ascii="Calibri" w:cs="Calibri" w:eastAsia="Calibri" w:hAnsi="Calibri"/>
          <w:sz w:val="40"/>
          <w:szCs w:val="40"/>
          <w:b w:val="1"/>
          <w:bCs w:val="1"/>
          <w:color w:val="auto"/>
        </w:rPr>
        <w:t>Award Agreement</w:t>
      </w:r>
    </w:p>
    <w:p>
      <w:pPr>
        <w:spacing w:after="0" w:line="11" w:lineRule="exact"/>
        <w:rPr>
          <w:sz w:val="20"/>
          <w:szCs w:val="20"/>
          <w:color w:val="auto"/>
        </w:rPr>
      </w:pPr>
    </w:p>
    <w:p>
      <w:pPr>
        <w:jc w:val="center"/>
        <w:ind w:right="20"/>
        <w:spacing w:after="0"/>
        <w:rPr>
          <w:sz w:val="20"/>
          <w:szCs w:val="20"/>
          <w:color w:val="auto"/>
        </w:rPr>
      </w:pPr>
      <w:r>
        <w:rPr>
          <w:rFonts w:ascii="Calibri" w:cs="Calibri" w:eastAsia="Calibri" w:hAnsi="Calibri"/>
          <w:sz w:val="29"/>
          <w:szCs w:val="29"/>
          <w:b w:val="1"/>
          <w:bCs w:val="1"/>
          <w:color w:val="auto"/>
        </w:rPr>
        <w:t>RSU Award (U.S.)(Three-Year Step Vest) under the</w:t>
      </w:r>
    </w:p>
    <w:p>
      <w:pPr>
        <w:jc w:val="center"/>
        <w:spacing w:after="0" w:line="226" w:lineRule="auto"/>
        <w:rPr>
          <w:sz w:val="20"/>
          <w:szCs w:val="20"/>
          <w:color w:val="auto"/>
        </w:rPr>
      </w:pPr>
      <w:r>
        <w:rPr>
          <w:rFonts w:ascii="Calibri" w:cs="Calibri" w:eastAsia="Calibri" w:hAnsi="Calibri"/>
          <w:sz w:val="40"/>
          <w:szCs w:val="40"/>
          <w:b w:val="1"/>
          <w:bCs w:val="1"/>
          <w:color w:val="auto"/>
        </w:rPr>
        <w:t>Waste Management, Inc. 2023 Stock Incentve Plan</w:t>
      </w:r>
    </w:p>
    <w:p>
      <w:pPr>
        <w:spacing w:after="0" w:line="260" w:lineRule="exact"/>
        <w:rPr>
          <w:sz w:val="20"/>
          <w:szCs w:val="20"/>
          <w:color w:val="auto"/>
        </w:rPr>
      </w:pPr>
    </w:p>
    <w:p>
      <w:pPr>
        <w:spacing w:after="0"/>
        <w:rPr>
          <w:sz w:val="20"/>
          <w:szCs w:val="20"/>
          <w:color w:val="auto"/>
        </w:rPr>
      </w:pPr>
      <w:r>
        <w:rPr>
          <w:rFonts w:ascii="Calibri" w:cs="Calibri" w:eastAsia="Calibri" w:hAnsi="Calibri"/>
          <w:sz w:val="20"/>
          <w:szCs w:val="20"/>
          <w:color w:val="auto"/>
        </w:rPr>
        <w:t>This Award Agreement (this “</w:t>
      </w:r>
      <w:r>
        <w:rPr>
          <w:rFonts w:ascii="Calibri" w:cs="Calibri" w:eastAsia="Calibri" w:hAnsi="Calibri"/>
          <w:sz w:val="20"/>
          <w:szCs w:val="20"/>
          <w:b w:val="1"/>
          <w:bCs w:val="1"/>
          <w:i w:val="1"/>
          <w:iCs w:val="1"/>
          <w:color w:val="auto"/>
        </w:rPr>
        <w:t>Agreement</w:t>
      </w:r>
      <w:r>
        <w:rPr>
          <w:rFonts w:ascii="Calibri" w:cs="Calibri" w:eastAsia="Calibri" w:hAnsi="Calibri"/>
          <w:sz w:val="20"/>
          <w:szCs w:val="20"/>
          <w:color w:val="auto"/>
        </w:rPr>
        <w:t>”) is entered into efectve as of [DATE] (the “</w:t>
      </w:r>
      <w:r>
        <w:rPr>
          <w:rFonts w:ascii="Calibri" w:cs="Calibri" w:eastAsia="Calibri" w:hAnsi="Calibri"/>
          <w:sz w:val="20"/>
          <w:szCs w:val="20"/>
          <w:b w:val="1"/>
          <w:bCs w:val="1"/>
          <w:i w:val="1"/>
          <w:iCs w:val="1"/>
          <w:color w:val="auto"/>
        </w:rPr>
        <w:t>Grant Date</w:t>
      </w:r>
      <w:r>
        <w:rPr>
          <w:rFonts w:ascii="Calibri" w:cs="Calibri" w:eastAsia="Calibri" w:hAnsi="Calibri"/>
          <w:sz w:val="20"/>
          <w:szCs w:val="20"/>
          <w:color w:val="auto"/>
        </w:rPr>
        <w:t>”), by and between</w:t>
      </w:r>
    </w:p>
    <w:p>
      <w:pPr>
        <w:spacing w:after="0" w:line="238" w:lineRule="auto"/>
        <w:rPr>
          <w:sz w:val="20"/>
          <w:szCs w:val="20"/>
          <w:color w:val="auto"/>
        </w:rPr>
      </w:pPr>
      <w:r>
        <w:rPr>
          <w:rFonts w:ascii="Calibri" w:cs="Calibri" w:eastAsia="Calibri" w:hAnsi="Calibri"/>
          <w:sz w:val="20"/>
          <w:szCs w:val="20"/>
          <w:color w:val="auto"/>
        </w:rPr>
        <w:t>Waste Management, Inc., a Delaware corporaton (the “</w:t>
      </w:r>
      <w:r>
        <w:rPr>
          <w:rFonts w:ascii="Calibri" w:cs="Calibri" w:eastAsia="Calibri" w:hAnsi="Calibri"/>
          <w:sz w:val="20"/>
          <w:szCs w:val="20"/>
          <w:b w:val="1"/>
          <w:bCs w:val="1"/>
          <w:i w:val="1"/>
          <w:iCs w:val="1"/>
          <w:color w:val="auto"/>
        </w:rPr>
        <w:t>Company</w:t>
      </w:r>
      <w:r>
        <w:rPr>
          <w:rFonts w:ascii="Calibri" w:cs="Calibri" w:eastAsia="Calibri" w:hAnsi="Calibri"/>
          <w:sz w:val="20"/>
          <w:szCs w:val="20"/>
          <w:color w:val="auto"/>
        </w:rPr>
        <w:t>”) (together with its Subsidiaries and Afliates,</w:t>
      </w:r>
    </w:p>
    <w:p>
      <w:pPr>
        <w:spacing w:after="0" w:line="226"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i w:val="1"/>
          <w:iCs w:val="1"/>
          <w:color w:val="auto"/>
        </w:rPr>
        <w:t>WM</w:t>
      </w:r>
      <w:r>
        <w:rPr>
          <w:rFonts w:ascii="Calibri" w:cs="Calibri" w:eastAsia="Calibri" w:hAnsi="Calibri"/>
          <w:sz w:val="20"/>
          <w:szCs w:val="20"/>
          <w:color w:val="auto"/>
        </w:rPr>
        <w:t>”), and you (“</w:t>
      </w:r>
      <w:r>
        <w:rPr>
          <w:rFonts w:ascii="Calibri" w:cs="Calibri" w:eastAsia="Calibri" w:hAnsi="Calibri"/>
          <w:sz w:val="20"/>
          <w:szCs w:val="20"/>
          <w:b w:val="1"/>
          <w:bCs w:val="1"/>
          <w:i w:val="1"/>
          <w:iCs w:val="1"/>
          <w:color w:val="auto"/>
        </w:rPr>
        <w:t>Employee</w:t>
      </w:r>
      <w:r>
        <w:rPr>
          <w:rFonts w:ascii="Calibri" w:cs="Calibri" w:eastAsia="Calibri" w:hAnsi="Calibri"/>
          <w:sz w:val="20"/>
          <w:szCs w:val="20"/>
          <w:color w:val="auto"/>
        </w:rPr>
        <w:t>”). At all tmes, the Awards under this Agreement are subject to the terms and conditons</w:t>
      </w:r>
    </w:p>
    <w:p>
      <w:pPr>
        <w:spacing w:after="0"/>
        <w:rPr>
          <w:sz w:val="20"/>
          <w:szCs w:val="20"/>
          <w:color w:val="auto"/>
        </w:rPr>
      </w:pPr>
      <w:r>
        <w:rPr>
          <w:rFonts w:ascii="Calibri" w:cs="Calibri" w:eastAsia="Calibri" w:hAnsi="Calibri"/>
          <w:sz w:val="20"/>
          <w:szCs w:val="20"/>
          <w:color w:val="auto"/>
        </w:rPr>
        <w:t>of the Waste Management, Inc. 2023 Stock Incentve Plan (the “</w:t>
      </w:r>
      <w:r>
        <w:rPr>
          <w:rFonts w:ascii="Calibri" w:cs="Calibri" w:eastAsia="Calibri" w:hAnsi="Calibri"/>
          <w:sz w:val="20"/>
          <w:szCs w:val="20"/>
          <w:b w:val="1"/>
          <w:bCs w:val="1"/>
          <w:i w:val="1"/>
          <w:iCs w:val="1"/>
          <w:color w:val="auto"/>
        </w:rPr>
        <w:t>Plan</w:t>
      </w:r>
      <w:r>
        <w:rPr>
          <w:rFonts w:ascii="Calibri" w:cs="Calibri" w:eastAsia="Calibri" w:hAnsi="Calibri"/>
          <w:sz w:val="20"/>
          <w:szCs w:val="20"/>
          <w:color w:val="auto"/>
        </w:rPr>
        <w:t>”), this Agreement, and all applicable</w:t>
      </w:r>
    </w:p>
    <w:p>
      <w:pPr>
        <w:spacing w:after="0" w:line="225" w:lineRule="auto"/>
        <w:rPr>
          <w:sz w:val="20"/>
          <w:szCs w:val="20"/>
          <w:color w:val="auto"/>
        </w:rPr>
      </w:pPr>
      <w:r>
        <w:rPr>
          <w:rFonts w:ascii="Calibri" w:cs="Calibri" w:eastAsia="Calibri" w:hAnsi="Calibri"/>
          <w:sz w:val="20"/>
          <w:szCs w:val="20"/>
          <w:color w:val="auto"/>
        </w:rPr>
        <w:t>administratve interpretatons and practces. A copy of the Plan and the Plan Prospectus is available online at</w:t>
      </w:r>
    </w:p>
    <w:p>
      <w:pPr>
        <w:spacing w:after="0" w:line="226" w:lineRule="auto"/>
        <w:rPr>
          <w:sz w:val="20"/>
          <w:szCs w:val="20"/>
          <w:color w:val="auto"/>
        </w:rPr>
      </w:pPr>
      <w:r>
        <w:rPr>
          <w:rFonts w:ascii="Calibri" w:cs="Calibri" w:eastAsia="Calibri" w:hAnsi="Calibri"/>
          <w:sz w:val="20"/>
          <w:szCs w:val="20"/>
          <w:color w:val="auto"/>
        </w:rPr>
        <w:t>www.benefts.ml.com. Please also see the Company’s Form 10-K included in its most recent Annual Report, available on</w:t>
      </w:r>
    </w:p>
    <w:p>
      <w:pPr>
        <w:spacing w:after="0"/>
        <w:rPr>
          <w:sz w:val="20"/>
          <w:szCs w:val="20"/>
          <w:color w:val="auto"/>
        </w:rPr>
      </w:pPr>
      <w:r>
        <w:rPr>
          <w:rFonts w:ascii="Calibri" w:cs="Calibri" w:eastAsia="Calibri" w:hAnsi="Calibri"/>
          <w:sz w:val="20"/>
          <w:szCs w:val="20"/>
          <w:color w:val="auto"/>
        </w:rPr>
        <w:t xml:space="preserve">the Investor Relatons page of </w:t>
      </w:r>
      <w:r>
        <w:rPr>
          <w:rFonts w:ascii="Calibri" w:cs="Calibri" w:eastAsia="Calibri" w:hAnsi="Calibri"/>
          <w:sz w:val="20"/>
          <w:szCs w:val="20"/>
          <w:color w:val="4F6228"/>
        </w:rPr>
        <w:t>www.wm.com</w:t>
      </w:r>
      <w:r>
        <w:rPr>
          <w:rFonts w:ascii="Calibri" w:cs="Calibri" w:eastAsia="Calibri" w:hAnsi="Calibri"/>
          <w:sz w:val="20"/>
          <w:szCs w:val="20"/>
          <w:color w:val="auto"/>
        </w:rPr>
        <w:t xml:space="preserve"> under Financial Reportng – Annual Reports, for informaton about the</w:t>
      </w:r>
    </w:p>
    <w:p>
      <w:pPr>
        <w:spacing w:after="0" w:line="225" w:lineRule="auto"/>
        <w:rPr>
          <w:sz w:val="20"/>
          <w:szCs w:val="20"/>
          <w:color w:val="auto"/>
        </w:rPr>
      </w:pPr>
      <w:r>
        <w:rPr>
          <w:rFonts w:ascii="Calibri" w:cs="Calibri" w:eastAsia="Calibri" w:hAnsi="Calibri"/>
          <w:sz w:val="20"/>
          <w:szCs w:val="20"/>
          <w:color w:val="auto"/>
        </w:rPr>
        <w:t>Company. By executng this Agreement, you consent to receipt of the Plan, the Prospectus, and the Annual Reports by</w:t>
      </w:r>
    </w:p>
    <w:p>
      <w:pPr>
        <w:spacing w:after="0"/>
        <w:rPr>
          <w:sz w:val="20"/>
          <w:szCs w:val="20"/>
          <w:color w:val="auto"/>
        </w:rPr>
      </w:pPr>
      <w:r>
        <w:rPr>
          <w:rFonts w:ascii="Calibri" w:cs="Calibri" w:eastAsia="Calibri" w:hAnsi="Calibri"/>
          <w:sz w:val="20"/>
          <w:szCs w:val="20"/>
          <w:color w:val="auto"/>
        </w:rPr>
        <w:t>electronic access as set forth in this paragraph.</w:t>
      </w:r>
    </w:p>
    <w:p>
      <w:pPr>
        <w:spacing w:after="0" w:line="251" w:lineRule="exact"/>
        <w:rPr>
          <w:sz w:val="20"/>
          <w:szCs w:val="20"/>
          <w:color w:val="auto"/>
        </w:rPr>
      </w:pPr>
    </w:p>
    <w:p>
      <w:pPr>
        <w:ind w:right="80"/>
        <w:spacing w:after="0" w:line="231" w:lineRule="auto"/>
        <w:rPr>
          <w:sz w:val="20"/>
          <w:szCs w:val="20"/>
          <w:color w:val="auto"/>
        </w:rPr>
      </w:pPr>
      <w:r>
        <w:rPr>
          <w:rFonts w:ascii="Calibri" w:cs="Calibri" w:eastAsia="Calibri" w:hAnsi="Calibri"/>
          <w:sz w:val="20"/>
          <w:szCs w:val="20"/>
          <w:b w:val="1"/>
          <w:bCs w:val="1"/>
          <w:color w:val="auto"/>
        </w:rPr>
        <w:t>You must execute this Agreement in full, online in accordance with the instructons below, prior to [DATE], in order for this Agreement to become efectve. If you do not execute this Agreement by correctly following the instructons below, your Awards may be cancelled.</w:t>
      </w:r>
    </w:p>
    <w:p>
      <w:pPr>
        <w:spacing w:after="0" w:line="237" w:lineRule="exact"/>
        <w:rPr>
          <w:sz w:val="20"/>
          <w:szCs w:val="20"/>
          <w:color w:val="auto"/>
        </w:rPr>
      </w:pPr>
    </w:p>
    <w:p>
      <w:pPr>
        <w:jc w:val="center"/>
        <w:spacing w:after="0"/>
        <w:rPr>
          <w:sz w:val="20"/>
          <w:szCs w:val="20"/>
          <w:color w:val="auto"/>
        </w:rPr>
      </w:pPr>
      <w:r>
        <w:rPr>
          <w:rFonts w:ascii="Calibri" w:cs="Calibri" w:eastAsia="Calibri" w:hAnsi="Calibri"/>
          <w:sz w:val="29"/>
          <w:szCs w:val="29"/>
          <w:b w:val="1"/>
          <w:bCs w:val="1"/>
          <w:color w:val="auto"/>
        </w:rPr>
        <w:t>Important Instructons for Executng this Agreement</w:t>
      </w:r>
    </w:p>
    <w:p>
      <w:pPr>
        <w:spacing w:after="0" w:line="257" w:lineRule="exact"/>
        <w:rPr>
          <w:sz w:val="20"/>
          <w:szCs w:val="20"/>
          <w:color w:val="auto"/>
        </w:rPr>
      </w:pPr>
    </w:p>
    <w:p>
      <w:pPr>
        <w:ind w:right="260"/>
        <w:spacing w:after="0" w:line="231" w:lineRule="auto"/>
        <w:rPr>
          <w:sz w:val="20"/>
          <w:szCs w:val="20"/>
          <w:color w:val="auto"/>
        </w:rPr>
      </w:pPr>
      <w:r>
        <w:rPr>
          <w:rFonts w:ascii="Calibri" w:cs="Calibri" w:eastAsia="Calibri" w:hAnsi="Calibri"/>
          <w:sz w:val="20"/>
          <w:szCs w:val="20"/>
          <w:color w:val="auto"/>
        </w:rPr>
        <w:t>If you are a new equity award partcipant, you must open a Limited Individual Investor Account (LIIA) before you can accept your awards. To open your LIIA, log in to www.benefts.ml.com at the secure website maintained by the third-party stock administrator. Once logged in, follow the prompts to “Open a Brokerage Account”. When you have successfully created your account, follow the online instructons, and complete all the steps required to accept the award.</w:t>
      </w:r>
    </w:p>
    <w:p>
      <w:pPr>
        <w:spacing w:after="0" w:line="256" w:lineRule="exact"/>
        <w:rPr>
          <w:sz w:val="20"/>
          <w:szCs w:val="20"/>
          <w:color w:val="auto"/>
        </w:rPr>
      </w:pPr>
    </w:p>
    <w:p>
      <w:pPr>
        <w:ind w:right="80"/>
        <w:spacing w:after="0" w:line="231" w:lineRule="auto"/>
        <w:rPr>
          <w:sz w:val="20"/>
          <w:szCs w:val="20"/>
          <w:color w:val="auto"/>
        </w:rPr>
      </w:pPr>
      <w:r>
        <w:rPr>
          <w:rFonts w:ascii="Calibri" w:cs="Calibri" w:eastAsia="Calibri" w:hAnsi="Calibri"/>
          <w:sz w:val="20"/>
          <w:szCs w:val="20"/>
          <w:color w:val="auto"/>
        </w:rPr>
        <w:t>If you have previously received a stock-based incentve award, log on to www.benefts.ml.com at the secure website maintained by the third-party stock administrator. Follow the online instructons and complete all the steps required to accept the award.</w:t>
      </w:r>
    </w:p>
    <w:p>
      <w:pPr>
        <w:spacing w:after="0" w:line="237" w:lineRule="exact"/>
        <w:rPr>
          <w:sz w:val="20"/>
          <w:szCs w:val="20"/>
          <w:color w:val="auto"/>
        </w:rPr>
      </w:pPr>
    </w:p>
    <w:p>
      <w:pPr>
        <w:jc w:val="center"/>
        <w:spacing w:after="0"/>
        <w:rPr>
          <w:sz w:val="20"/>
          <w:szCs w:val="20"/>
          <w:color w:val="auto"/>
        </w:rPr>
      </w:pPr>
      <w:r>
        <w:rPr>
          <w:rFonts w:ascii="Calibri" w:cs="Calibri" w:eastAsia="Calibri" w:hAnsi="Calibri"/>
          <w:sz w:val="29"/>
          <w:szCs w:val="29"/>
          <w:b w:val="1"/>
          <w:bCs w:val="1"/>
          <w:color w:val="auto"/>
        </w:rPr>
        <w:t>Restricted Stock Units</w:t>
      </w:r>
    </w:p>
    <w:p>
      <w:pPr>
        <w:spacing w:after="0" w:line="257" w:lineRule="exact"/>
        <w:rPr>
          <w:sz w:val="20"/>
          <w:szCs w:val="20"/>
          <w:color w:val="auto"/>
        </w:rPr>
      </w:pPr>
    </w:p>
    <w:p>
      <w:pPr>
        <w:ind w:left="340" w:right="60" w:hanging="332"/>
        <w:spacing w:after="0" w:line="231" w:lineRule="auto"/>
        <w:tabs>
          <w:tab w:leader="none" w:pos="340" w:val="left"/>
        </w:tabs>
        <w:numPr>
          <w:ilvl w:val="0"/>
          <w:numId w:val="30"/>
        </w:numPr>
        <w:rPr>
          <w:rFonts w:ascii="Calibri" w:cs="Calibri" w:eastAsia="Calibri" w:hAnsi="Calibri"/>
          <w:sz w:val="20"/>
          <w:szCs w:val="20"/>
          <w:color w:val="auto"/>
        </w:rPr>
      </w:pPr>
      <w:r>
        <w:rPr>
          <w:rFonts w:ascii="Calibri" w:cs="Calibri" w:eastAsia="Calibri" w:hAnsi="Calibri"/>
          <w:sz w:val="20"/>
          <w:szCs w:val="20"/>
          <w:u w:val="single" w:color="auto"/>
          <w:color w:val="auto"/>
        </w:rPr>
        <w:t>RSU Grant</w:t>
      </w:r>
      <w:r>
        <w:rPr>
          <w:rFonts w:ascii="Calibri" w:cs="Calibri" w:eastAsia="Calibri" w:hAnsi="Calibri"/>
          <w:sz w:val="20"/>
          <w:szCs w:val="20"/>
          <w:color w:val="auto"/>
        </w:rPr>
        <w:t>. The Company grants to Employee the number of Restricted Stock Units (“</w:t>
      </w:r>
      <w:r>
        <w:rPr>
          <w:rFonts w:ascii="Calibri" w:cs="Calibri" w:eastAsia="Calibri" w:hAnsi="Calibri"/>
          <w:sz w:val="20"/>
          <w:szCs w:val="20"/>
          <w:b w:val="1"/>
          <w:bCs w:val="1"/>
          <w:i w:val="1"/>
          <w:iCs w:val="1"/>
          <w:color w:val="auto"/>
        </w:rPr>
        <w:t>RSUs</w:t>
      </w:r>
      <w:r>
        <w:rPr>
          <w:rFonts w:ascii="Calibri" w:cs="Calibri" w:eastAsia="Calibri" w:hAnsi="Calibri"/>
          <w:sz w:val="20"/>
          <w:szCs w:val="20"/>
          <w:i w:val="1"/>
          <w:iCs w:val="1"/>
          <w:color w:val="auto"/>
        </w:rPr>
        <w:t>”</w:t>
      </w:r>
      <w:r>
        <w:rPr>
          <w:rFonts w:ascii="Calibri" w:cs="Calibri" w:eastAsia="Calibri" w:hAnsi="Calibri"/>
          <w:sz w:val="20"/>
          <w:szCs w:val="20"/>
          <w:color w:val="auto"/>
        </w:rPr>
        <w:t>) provided in the Notce of Long-Term Incentve Award (the “</w:t>
      </w:r>
      <w:r>
        <w:rPr>
          <w:rFonts w:ascii="Calibri" w:cs="Calibri" w:eastAsia="Calibri" w:hAnsi="Calibri"/>
          <w:sz w:val="20"/>
          <w:szCs w:val="20"/>
          <w:b w:val="1"/>
          <w:bCs w:val="1"/>
          <w:i w:val="1"/>
          <w:iCs w:val="1"/>
          <w:color w:val="auto"/>
        </w:rPr>
        <w:t>Notce</w:t>
      </w:r>
      <w:r>
        <w:rPr>
          <w:rFonts w:ascii="Calibri" w:cs="Calibri" w:eastAsia="Calibri" w:hAnsi="Calibri"/>
          <w:sz w:val="20"/>
          <w:szCs w:val="20"/>
          <w:color w:val="auto"/>
        </w:rPr>
        <w:t>”). RSUs are notatonal units of measurement denominated in shares of common stock of the Company, $.01 par value (“</w:t>
      </w:r>
      <w:r>
        <w:rPr>
          <w:rFonts w:ascii="Calibri" w:cs="Calibri" w:eastAsia="Calibri" w:hAnsi="Calibri"/>
          <w:sz w:val="20"/>
          <w:szCs w:val="20"/>
          <w:b w:val="1"/>
          <w:bCs w:val="1"/>
          <w:i w:val="1"/>
          <w:iCs w:val="1"/>
          <w:color w:val="auto"/>
        </w:rPr>
        <w:t>Common Stock</w:t>
      </w:r>
      <w:r>
        <w:rPr>
          <w:rFonts w:ascii="Calibri" w:cs="Calibri" w:eastAsia="Calibri" w:hAnsi="Calibri"/>
          <w:sz w:val="20"/>
          <w:szCs w:val="20"/>
          <w:color w:val="auto"/>
        </w:rPr>
        <w:t>”). Each RSU represents a hypothetcal share of Common Stock. Upon your tmely executon of this Agreement, WM will credit your RSUs to an unfunded bookkeeping account for you.</w:t>
      </w:r>
    </w:p>
    <w:p>
      <w:pPr>
        <w:spacing w:after="0" w:line="256" w:lineRule="exact"/>
        <w:rPr>
          <w:rFonts w:ascii="Calibri" w:cs="Calibri" w:eastAsia="Calibri" w:hAnsi="Calibri"/>
          <w:sz w:val="20"/>
          <w:szCs w:val="20"/>
          <w:color w:val="auto"/>
        </w:rPr>
      </w:pPr>
    </w:p>
    <w:p>
      <w:pPr>
        <w:ind w:left="340" w:right="280" w:hanging="332"/>
        <w:spacing w:after="0" w:line="230" w:lineRule="auto"/>
        <w:tabs>
          <w:tab w:leader="none" w:pos="340" w:val="left"/>
        </w:tabs>
        <w:numPr>
          <w:ilvl w:val="0"/>
          <w:numId w:val="30"/>
        </w:numPr>
        <w:rPr>
          <w:rFonts w:ascii="Calibri" w:cs="Calibri" w:eastAsia="Calibri" w:hAnsi="Calibri"/>
          <w:sz w:val="20"/>
          <w:szCs w:val="20"/>
          <w:color w:val="auto"/>
        </w:rPr>
      </w:pPr>
      <w:r>
        <w:rPr>
          <w:rFonts w:ascii="Calibri" w:cs="Calibri" w:eastAsia="Calibri" w:hAnsi="Calibri"/>
          <w:sz w:val="20"/>
          <w:szCs w:val="20"/>
          <w:u w:val="single" w:color="auto"/>
          <w:color w:val="auto"/>
        </w:rPr>
        <w:t>Vestng of RSUs</w:t>
      </w:r>
      <w:r>
        <w:rPr>
          <w:rFonts w:ascii="Calibri" w:cs="Calibri" w:eastAsia="Calibri" w:hAnsi="Calibri"/>
          <w:sz w:val="20"/>
          <w:szCs w:val="20"/>
          <w:color w:val="auto"/>
        </w:rPr>
        <w:t>. T The RSUs granted by this Agreement (</w:t>
      </w: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RSU Awards</w:t>
      </w:r>
      <w:r>
        <w:rPr>
          <w:rFonts w:ascii="Calibri" w:cs="Calibri" w:eastAsia="Calibri" w:hAnsi="Calibri"/>
          <w:sz w:val="20"/>
          <w:szCs w:val="20"/>
          <w:color w:val="auto"/>
        </w:rPr>
        <w:t xml:space="preserve">”) vest entrely on the on a pro-rata basis over a three-year period following the Grant Date, with 34% of the RSUs vestng on the frst anniversary of the Grant Date, 33% on the second anniversary of the Grant Date, and the remaining 33% of the RSUs vestng on the third anniversary of the Grant Date. The dates of vestng are the </w:t>
      </w:r>
      <w:r>
        <w:rPr>
          <w:rFonts w:ascii="Calibri" w:cs="Calibri" w:eastAsia="Calibri" w:hAnsi="Calibri"/>
          <w:sz w:val="20"/>
          <w:szCs w:val="20"/>
          <w:b w:val="1"/>
          <w:bCs w:val="1"/>
          <w:i w:val="1"/>
          <w:iCs w:val="1"/>
          <w:color w:val="auto"/>
        </w:rPr>
        <w:t>Vestng Dates</w:t>
      </w:r>
      <w:r>
        <w:rPr>
          <w:rFonts w:ascii="Calibri" w:cs="Calibri" w:eastAsia="Calibri" w:hAnsi="Calibri"/>
          <w:sz w:val="20"/>
          <w:szCs w:val="20"/>
          <w:color w:val="auto"/>
        </w:rPr>
        <w:t>. Except as otherwise provided</w:t>
      </w:r>
    </w:p>
    <w:p>
      <w:pPr>
        <w:spacing w:after="0" w:line="9" w:lineRule="exact"/>
        <w:rPr>
          <w:sz w:val="20"/>
          <w:szCs w:val="20"/>
          <w:color w:val="auto"/>
        </w:rPr>
      </w:pPr>
    </w:p>
    <w:p>
      <w:pPr>
        <w:ind w:left="340" w:right="220"/>
        <w:spacing w:after="0" w:line="228" w:lineRule="auto"/>
        <w:rPr>
          <w:sz w:val="20"/>
          <w:szCs w:val="20"/>
          <w:color w:val="auto"/>
        </w:rPr>
      </w:pPr>
      <w:r>
        <w:rPr>
          <w:rFonts w:ascii="Calibri" w:cs="Calibri" w:eastAsia="Calibri" w:hAnsi="Calibri"/>
          <w:sz w:val="20"/>
          <w:szCs w:val="20"/>
          <w:color w:val="auto"/>
        </w:rPr>
        <w:t>herein, your RSUs generally vest only if you are contnuously employed from the Grant Date to each Vestng Date, subject to the</w:t>
      </w:r>
    </w:p>
    <w:p>
      <w:pPr>
        <w:jc w:val="center"/>
        <w:spacing w:after="0" w:line="238" w:lineRule="auto"/>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647065</wp:posOffset>
            </wp:positionV>
            <wp:extent cx="65665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40"/>
          </w:cols>
          <w:pgMar w:left="1020" w:top="544" w:right="1039" w:bottom="1440" w:gutter="0" w:footer="0" w:header="0"/>
        </w:sectPr>
      </w:pPr>
    </w:p>
    <w:bookmarkStart w:id="46" w:name="page47"/>
    <w:bookmarkEnd w:id="46"/>
    <w:p>
      <w:pPr>
        <w:ind w:left="340" w:right="320"/>
        <w:spacing w:after="0" w:line="234" w:lineRule="auto"/>
        <w:rPr>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85077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501765" cy="8507730"/>
                    </a:xfrm>
                    <a:prstGeom prst="rect">
                      <a:avLst/>
                    </a:prstGeom>
                    <a:noFill/>
                  </pic:spPr>
                </pic:pic>
              </a:graphicData>
            </a:graphic>
          </wp:anchor>
        </w:drawing>
        <w:t xml:space="preserve">exceptons discussed below. The period from the Grant Date (inclusive) to the last Vestng Date is the </w:t>
      </w:r>
      <w:r>
        <w:rPr>
          <w:rFonts w:ascii="Calibri" w:cs="Calibri" w:eastAsia="Calibri" w:hAnsi="Calibri"/>
          <w:sz w:val="20"/>
          <w:szCs w:val="20"/>
          <w:b w:val="1"/>
          <w:bCs w:val="1"/>
          <w:i w:val="1"/>
          <w:iCs w:val="1"/>
          <w:color w:val="auto"/>
        </w:rPr>
        <w:t>Restricton</w:t>
      </w:r>
      <w:r>
        <w:rPr>
          <w:rFonts w:ascii="Calibri" w:cs="Calibri" w:eastAsia="Calibri" w:hAnsi="Calibri"/>
          <w:sz w:val="20"/>
          <w:szCs w:val="20"/>
          <w:color w:val="auto"/>
        </w:rPr>
        <w:t xml:space="preserve"> </w:t>
      </w:r>
      <w:r>
        <w:rPr>
          <w:rFonts w:ascii="Calibri" w:cs="Calibri" w:eastAsia="Calibri" w:hAnsi="Calibri"/>
          <w:sz w:val="20"/>
          <w:szCs w:val="20"/>
          <w:b w:val="1"/>
          <w:bCs w:val="1"/>
          <w:i w:val="1"/>
          <w:iCs w:val="1"/>
          <w:color w:val="auto"/>
        </w:rPr>
        <w:t>Period</w:t>
      </w:r>
      <w:r>
        <w:rPr>
          <w:rFonts w:ascii="Calibri" w:cs="Calibri" w:eastAsia="Calibri" w:hAnsi="Calibri"/>
          <w:sz w:val="20"/>
          <w:szCs w:val="20"/>
          <w:color w:val="auto"/>
        </w:rPr>
        <w:t>.</w:t>
      </w:r>
    </w:p>
    <w:p>
      <w:pPr>
        <w:spacing w:after="0" w:line="253" w:lineRule="exact"/>
        <w:rPr>
          <w:sz w:val="20"/>
          <w:szCs w:val="20"/>
          <w:color w:val="auto"/>
        </w:rPr>
      </w:pPr>
    </w:p>
    <w:p>
      <w:pPr>
        <w:ind w:left="340" w:right="220" w:hanging="332"/>
        <w:spacing w:after="0" w:line="233" w:lineRule="auto"/>
        <w:tabs>
          <w:tab w:leader="none" w:pos="340" w:val="left"/>
        </w:tabs>
        <w:numPr>
          <w:ilvl w:val="0"/>
          <w:numId w:val="31"/>
        </w:numPr>
        <w:rPr>
          <w:rFonts w:ascii="Calibri" w:cs="Calibri" w:eastAsia="Calibri" w:hAnsi="Calibri"/>
          <w:sz w:val="20"/>
          <w:szCs w:val="20"/>
          <w:color w:val="auto"/>
        </w:rPr>
      </w:pPr>
      <w:r>
        <w:rPr>
          <w:rFonts w:ascii="Calibri" w:cs="Calibri" w:eastAsia="Calibri" w:hAnsi="Calibri"/>
          <w:sz w:val="20"/>
          <w:szCs w:val="20"/>
          <w:u w:val="single" w:color="auto"/>
          <w:color w:val="auto"/>
        </w:rPr>
        <w:t>Timing and Form of Payment of RSU Award</w:t>
      </w:r>
      <w:r>
        <w:rPr>
          <w:rFonts w:ascii="Calibri" w:cs="Calibri" w:eastAsia="Calibri" w:hAnsi="Calibri"/>
          <w:sz w:val="20"/>
          <w:szCs w:val="20"/>
          <w:color w:val="auto"/>
        </w:rPr>
        <w:t>. Upon vestng, each RSU is converted to one share of Common Stock, free of any restrictons. WM will deliver the shares of Common Stock to you and make payment of the corresponding Dividend Equivalents as soon as administratvely feasible (and no later than 74 days) following the Vestng Date.</w:t>
      </w:r>
    </w:p>
    <w:p>
      <w:pPr>
        <w:spacing w:after="0" w:line="237" w:lineRule="exact"/>
        <w:rPr>
          <w:sz w:val="20"/>
          <w:szCs w:val="20"/>
          <w:color w:val="auto"/>
        </w:rPr>
      </w:pPr>
    </w:p>
    <w:p>
      <w:pPr>
        <w:jc w:val="center"/>
        <w:ind w:right="-19"/>
        <w:spacing w:after="0"/>
        <w:rPr>
          <w:sz w:val="20"/>
          <w:szCs w:val="20"/>
          <w:color w:val="auto"/>
        </w:rPr>
      </w:pPr>
      <w:r>
        <w:rPr>
          <w:rFonts w:ascii="Calibri" w:cs="Calibri" w:eastAsia="Calibri" w:hAnsi="Calibri"/>
          <w:sz w:val="29"/>
          <w:szCs w:val="29"/>
          <w:b w:val="1"/>
          <w:bCs w:val="1"/>
          <w:color w:val="auto"/>
        </w:rPr>
        <w:t>Important Award Details</w:t>
      </w:r>
    </w:p>
    <w:p>
      <w:pPr>
        <w:spacing w:after="0" w:line="257"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Your Awards under this Agreement are subject to important terms and conditons set forth below. Please read them carefully and seek advice from your own legal and tax advisors before executng this Agreement.</w:t>
      </w:r>
    </w:p>
    <w:p>
      <w:pPr>
        <w:spacing w:after="0" w:line="253" w:lineRule="exact"/>
        <w:rPr>
          <w:sz w:val="20"/>
          <w:szCs w:val="20"/>
          <w:color w:val="auto"/>
        </w:rPr>
      </w:pPr>
    </w:p>
    <w:p>
      <w:pPr>
        <w:ind w:left="340" w:right="80" w:hanging="332"/>
        <w:spacing w:after="0"/>
        <w:tabs>
          <w:tab w:leader="none" w:pos="340" w:val="left"/>
        </w:tabs>
        <w:numPr>
          <w:ilvl w:val="0"/>
          <w:numId w:val="32"/>
        </w:numPr>
        <w:rPr>
          <w:rFonts w:ascii="Calibri" w:cs="Calibri" w:eastAsia="Calibri" w:hAnsi="Calibri"/>
          <w:sz w:val="20"/>
          <w:szCs w:val="20"/>
          <w:color w:val="auto"/>
        </w:rPr>
      </w:pPr>
      <w:r>
        <w:rPr>
          <w:rFonts w:ascii="Calibri" w:cs="Calibri" w:eastAsia="Calibri" w:hAnsi="Calibri"/>
          <w:sz w:val="20"/>
          <w:szCs w:val="20"/>
          <w:u w:val="single" w:color="auto"/>
          <w:color w:val="auto"/>
        </w:rPr>
        <w:t>Death or Disability</w:t>
      </w:r>
      <w:r>
        <w:rPr>
          <w:rFonts w:ascii="Calibri" w:cs="Calibri" w:eastAsia="Calibri" w:hAnsi="Calibri"/>
          <w:sz w:val="20"/>
          <w:szCs w:val="20"/>
          <w:color w:val="auto"/>
        </w:rPr>
        <w:t>. Upon Employee’s death or disability (as determined by the Commitee and within the meaning of Secton 409A of the Internal Revenue Code of 1986, as amended, and the Treasury Regulatons issued thereunder (“</w:t>
      </w:r>
      <w:r>
        <w:rPr>
          <w:rFonts w:ascii="Calibri" w:cs="Calibri" w:eastAsia="Calibri" w:hAnsi="Calibri"/>
          <w:sz w:val="20"/>
          <w:szCs w:val="20"/>
          <w:b w:val="1"/>
          <w:bCs w:val="1"/>
          <w:i w:val="1"/>
          <w:iCs w:val="1"/>
          <w:color w:val="auto"/>
        </w:rPr>
        <w:t>Secton 409A</w:t>
      </w:r>
      <w:r>
        <w:rPr>
          <w:rFonts w:ascii="Calibri" w:cs="Calibri" w:eastAsia="Calibri" w:hAnsi="Calibri"/>
          <w:sz w:val="20"/>
          <w:szCs w:val="20"/>
          <w:color w:val="auto"/>
        </w:rPr>
        <w:t>”) and specifcally Secton 409A (a)(2)(C) (“</w:t>
      </w:r>
      <w:r>
        <w:rPr>
          <w:rFonts w:ascii="Calibri" w:cs="Calibri" w:eastAsia="Calibri" w:hAnsi="Calibri"/>
          <w:sz w:val="20"/>
          <w:szCs w:val="20"/>
          <w:b w:val="1"/>
          <w:bCs w:val="1"/>
          <w:i w:val="1"/>
          <w:iCs w:val="1"/>
          <w:color w:val="auto"/>
        </w:rPr>
        <w:t>Disability</w:t>
      </w:r>
      <w:r>
        <w:rPr>
          <w:rFonts w:ascii="Calibri" w:cs="Calibri" w:eastAsia="Calibri" w:hAnsi="Calibri"/>
          <w:sz w:val="20"/>
          <w:szCs w:val="20"/>
          <w:color w:val="auto"/>
        </w:rPr>
        <w:t>”)), Employee (or in the case of Employee’s death, Employee’s benefciary) shall be enttled to immediate vestng in full of all RSUs under this Agreement (and related unpaid Dividend Equivalents atributable to the tme period from the Grant Date to the tme of such immediate vestng), which shall be issued and paid within 74 days following the date of such death or Disability, as applicable.</w:t>
      </w:r>
    </w:p>
    <w:p>
      <w:pPr>
        <w:spacing w:after="0" w:line="200" w:lineRule="exact"/>
        <w:rPr>
          <w:rFonts w:ascii="Calibri" w:cs="Calibri" w:eastAsia="Calibri" w:hAnsi="Calibri"/>
          <w:sz w:val="20"/>
          <w:szCs w:val="20"/>
          <w:color w:val="auto"/>
        </w:rPr>
      </w:pPr>
    </w:p>
    <w:p>
      <w:pPr>
        <w:spacing w:after="0" w:line="215" w:lineRule="exact"/>
        <w:rPr>
          <w:rFonts w:ascii="Calibri" w:cs="Calibri" w:eastAsia="Calibri" w:hAnsi="Calibri"/>
          <w:sz w:val="20"/>
          <w:szCs w:val="20"/>
          <w:color w:val="auto"/>
        </w:rPr>
      </w:pPr>
    </w:p>
    <w:p>
      <w:pPr>
        <w:ind w:left="340" w:hanging="332"/>
        <w:spacing w:after="0"/>
        <w:tabs>
          <w:tab w:leader="none" w:pos="340" w:val="left"/>
        </w:tabs>
        <w:numPr>
          <w:ilvl w:val="0"/>
          <w:numId w:val="32"/>
        </w:numPr>
        <w:rPr>
          <w:rFonts w:ascii="Calibri" w:cs="Calibri" w:eastAsia="Calibri" w:hAnsi="Calibri"/>
          <w:sz w:val="20"/>
          <w:szCs w:val="20"/>
          <w:color w:val="auto"/>
        </w:rPr>
      </w:pPr>
      <w:r>
        <w:rPr>
          <w:rFonts w:ascii="Calibri" w:cs="Calibri" w:eastAsia="Calibri" w:hAnsi="Calibri"/>
          <w:sz w:val="20"/>
          <w:szCs w:val="20"/>
          <w:u w:val="single" w:color="auto"/>
          <w:color w:val="auto"/>
        </w:rPr>
        <w:t>Involuntary Terminaton of Employment Without Cause by WM</w:t>
      </w:r>
      <w:r>
        <w:rPr>
          <w:rFonts w:ascii="Calibri" w:cs="Calibri" w:eastAsia="Calibri" w:hAnsi="Calibri"/>
          <w:sz w:val="20"/>
          <w:szCs w:val="20"/>
          <w:color w:val="auto"/>
        </w:rPr>
        <w:t>.</w:t>
      </w:r>
    </w:p>
    <w:p>
      <w:pPr>
        <w:spacing w:after="0" w:line="251" w:lineRule="exact"/>
        <w:rPr>
          <w:rFonts w:ascii="Calibri" w:cs="Calibri" w:eastAsia="Calibri" w:hAnsi="Calibri"/>
          <w:sz w:val="20"/>
          <w:szCs w:val="20"/>
          <w:color w:val="auto"/>
        </w:rPr>
      </w:pPr>
    </w:p>
    <w:p>
      <w:pPr>
        <w:ind w:left="660" w:right="20" w:hanging="328"/>
        <w:spacing w:after="0" w:line="231" w:lineRule="auto"/>
        <w:tabs>
          <w:tab w:leader="none" w:pos="660" w:val="left"/>
        </w:tabs>
        <w:numPr>
          <w:ilvl w:val="1"/>
          <w:numId w:val="32"/>
        </w:numPr>
        <w:rPr>
          <w:rFonts w:ascii="Calibri" w:cs="Calibri" w:eastAsia="Calibri" w:hAnsi="Calibri"/>
          <w:sz w:val="20"/>
          <w:szCs w:val="20"/>
          <w:color w:val="auto"/>
        </w:rPr>
      </w:pPr>
      <w:r>
        <w:rPr>
          <w:rFonts w:ascii="Calibri" w:cs="Calibri" w:eastAsia="Calibri" w:hAnsi="Calibri"/>
          <w:sz w:val="20"/>
          <w:szCs w:val="20"/>
          <w:u w:val="single" w:color="auto"/>
          <w:color w:val="auto"/>
        </w:rPr>
        <w:t>Involuntary Terminaton without Cause</w:t>
      </w:r>
      <w:r>
        <w:rPr>
          <w:rFonts w:ascii="Calibri" w:cs="Calibri" w:eastAsia="Calibri" w:hAnsi="Calibri"/>
          <w:sz w:val="20"/>
          <w:szCs w:val="20"/>
          <w:color w:val="auto"/>
        </w:rPr>
        <w:t>. Upon Employee’s involuntary Terminaton of Employment by WM without Cause, Employee shall, subject to the requirements below, be enttled to the amount of RSUs and any related Dividend Equivalents on such RSUs through the Vestng Date that Employee would have been enttled to under this Agreement if Employee had remained employed untl the Vestng Date multplied by the fracton which has as its numerator the total number of days that Employee was employed by WM during the period beginning on the Grant Date and ending on the date of Terminaton of Employment and has as its denominator 1095, which shall be issued and paid no later than 74 days following the normal Vestng Date.</w:t>
      </w:r>
    </w:p>
    <w:p>
      <w:pPr>
        <w:spacing w:after="0" w:line="258" w:lineRule="exact"/>
        <w:rPr>
          <w:rFonts w:ascii="Calibri" w:cs="Calibri" w:eastAsia="Calibri" w:hAnsi="Calibri"/>
          <w:sz w:val="20"/>
          <w:szCs w:val="20"/>
          <w:color w:val="auto"/>
        </w:rPr>
      </w:pPr>
    </w:p>
    <w:p>
      <w:pPr>
        <w:ind w:left="660" w:right="40" w:hanging="328"/>
        <w:spacing w:after="0" w:line="231" w:lineRule="auto"/>
        <w:tabs>
          <w:tab w:leader="none" w:pos="660" w:val="left"/>
        </w:tabs>
        <w:numPr>
          <w:ilvl w:val="1"/>
          <w:numId w:val="32"/>
        </w:numPr>
        <w:rPr>
          <w:rFonts w:ascii="Calibri" w:cs="Calibri" w:eastAsia="Calibri" w:hAnsi="Calibri"/>
          <w:sz w:val="20"/>
          <w:szCs w:val="20"/>
          <w:color w:val="auto"/>
        </w:rPr>
      </w:pPr>
      <w:r>
        <w:rPr>
          <w:rFonts w:ascii="Calibri" w:cs="Calibri" w:eastAsia="Calibri" w:hAnsi="Calibri"/>
          <w:sz w:val="20"/>
          <w:szCs w:val="20"/>
          <w:u w:val="single" w:color="auto"/>
          <w:color w:val="auto"/>
        </w:rPr>
        <w:t>Retrement</w:t>
      </w:r>
      <w:r>
        <w:rPr>
          <w:rFonts w:ascii="Calibri" w:cs="Calibri" w:eastAsia="Calibri" w:hAnsi="Calibri"/>
          <w:sz w:val="20"/>
          <w:szCs w:val="20"/>
          <w:color w:val="auto"/>
        </w:rPr>
        <w:t>. Upon Employee’s Retrement, Employee shall be enttled to the amount of RSUs and any related Dividend Equivalents on such RSUs through the Vestng Date that Employee would have been enttled to under this Agreement if Employee had remained employed untl the Vestng Date multplied by the fracton which has as its numerator the total number of days that Employee was employed by WM during the calendar year in which the Grant Date occurred and has as its denominator 366, which shall be issued and paid no later than 74 days following the normal Vestng Date. To illustrate the preceding sentence, if Employee retres on or afer the frst day of the calendar year following the calendar year in which the Grant Date occurs, he or she shall be enttled to receive a full payout at such tme.</w:t>
      </w:r>
    </w:p>
    <w:p>
      <w:pPr>
        <w:spacing w:after="0" w:line="256" w:lineRule="exact"/>
        <w:rPr>
          <w:rFonts w:ascii="Calibri" w:cs="Calibri" w:eastAsia="Calibri" w:hAnsi="Calibri"/>
          <w:sz w:val="20"/>
          <w:szCs w:val="20"/>
          <w:color w:val="auto"/>
        </w:rPr>
      </w:pPr>
    </w:p>
    <w:p>
      <w:pPr>
        <w:ind w:left="660" w:hanging="328"/>
        <w:spacing w:after="0"/>
        <w:tabs>
          <w:tab w:leader="none" w:pos="660" w:val="left"/>
        </w:tabs>
        <w:numPr>
          <w:ilvl w:val="1"/>
          <w:numId w:val="32"/>
        </w:numPr>
        <w:rPr>
          <w:rFonts w:ascii="Calibri" w:cs="Calibri" w:eastAsia="Calibri" w:hAnsi="Calibri"/>
          <w:sz w:val="20"/>
          <w:szCs w:val="20"/>
          <w:color w:val="auto"/>
        </w:rPr>
      </w:pPr>
      <w:r>
        <w:rPr>
          <w:rFonts w:ascii="Calibri" w:cs="Calibri" w:eastAsia="Calibri" w:hAnsi="Calibri"/>
          <w:sz w:val="20"/>
          <w:szCs w:val="20"/>
          <w:color w:val="auto"/>
        </w:rPr>
        <w:t>In the event Employee is employed by a subsidiary of the Company that is sold by the Company in a transacton</w:t>
      </w:r>
    </w:p>
    <w:p>
      <w:pPr>
        <w:jc w:val="both"/>
        <w:ind w:left="660" w:right="340" w:hanging="4"/>
        <w:spacing w:after="0" w:line="228" w:lineRule="auto"/>
        <w:tabs>
          <w:tab w:leader="none" w:pos="875" w:val="left"/>
        </w:tabs>
        <w:numPr>
          <w:ilvl w:val="2"/>
          <w:numId w:val="32"/>
        </w:numPr>
        <w:rPr>
          <w:rFonts w:ascii="Calibri" w:cs="Calibri" w:eastAsia="Calibri" w:hAnsi="Calibri"/>
          <w:sz w:val="20"/>
          <w:szCs w:val="20"/>
          <w:color w:val="auto"/>
        </w:rPr>
      </w:pPr>
      <w:r>
        <w:rPr>
          <w:rFonts w:ascii="Calibri" w:cs="Calibri" w:eastAsia="Calibri" w:hAnsi="Calibri"/>
          <w:sz w:val="20"/>
          <w:szCs w:val="20"/>
          <w:color w:val="auto"/>
        </w:rPr>
        <w:t>that would not consttute a Corporate Change of the Company, but (ii) that would consttute a Corporate Change of the subsidiary with the subsidiary substtuted for Company thereunder, such transacton shall be deemed to consttute an involuntary Terminaton of Employment by WM without Cause for purposes of this paragraph 2 as of the efectve date of such Transacton.</w:t>
      </w:r>
    </w:p>
    <w:p>
      <w:pPr>
        <w:spacing w:after="0" w:line="245" w:lineRule="exact"/>
        <w:rPr>
          <w:rFonts w:ascii="Calibri" w:cs="Calibri" w:eastAsia="Calibri" w:hAnsi="Calibri"/>
          <w:sz w:val="20"/>
          <w:szCs w:val="20"/>
          <w:color w:val="auto"/>
        </w:rPr>
      </w:pPr>
    </w:p>
    <w:p>
      <w:pPr>
        <w:ind w:left="660" w:hanging="328"/>
        <w:spacing w:after="0"/>
        <w:tabs>
          <w:tab w:leader="none" w:pos="660" w:val="left"/>
        </w:tabs>
        <w:numPr>
          <w:ilvl w:val="1"/>
          <w:numId w:val="32"/>
        </w:numPr>
        <w:rPr>
          <w:rFonts w:ascii="Calibri" w:cs="Calibri" w:eastAsia="Calibri" w:hAnsi="Calibri"/>
          <w:sz w:val="20"/>
          <w:szCs w:val="20"/>
          <w:color w:val="auto"/>
        </w:rPr>
      </w:pPr>
      <w:r>
        <w:rPr>
          <w:rFonts w:ascii="Calibri" w:cs="Calibri" w:eastAsia="Calibri" w:hAnsi="Calibri"/>
          <w:sz w:val="20"/>
          <w:szCs w:val="20"/>
          <w:color w:val="auto"/>
        </w:rPr>
        <w:t>The following terms shall have the meanings set forth below for purposes of this Agreement:</w:t>
      </w:r>
    </w:p>
    <w:p>
      <w:pPr>
        <w:spacing w:after="0" w:line="251" w:lineRule="exact"/>
        <w:rPr>
          <w:rFonts w:ascii="Calibri" w:cs="Calibri" w:eastAsia="Calibri" w:hAnsi="Calibri"/>
          <w:sz w:val="20"/>
          <w:szCs w:val="20"/>
          <w:color w:val="auto"/>
        </w:rPr>
      </w:pPr>
    </w:p>
    <w:p>
      <w:pPr>
        <w:ind w:left="1300" w:right="160" w:hanging="418"/>
        <w:spacing w:after="0" w:line="234" w:lineRule="auto"/>
        <w:tabs>
          <w:tab w:leader="none" w:pos="1300" w:val="left"/>
        </w:tabs>
        <w:numPr>
          <w:ilvl w:val="3"/>
          <w:numId w:val="32"/>
        </w:numPr>
        <w:rPr>
          <w:rFonts w:ascii="Calibri" w:cs="Calibri" w:eastAsia="Calibri" w:hAnsi="Calibri"/>
          <w:sz w:val="20"/>
          <w:szCs w:val="20"/>
          <w:color w:val="auto"/>
        </w:rPr>
      </w:pPr>
      <w:r>
        <w:rPr>
          <w:rFonts w:ascii="Calibri" w:cs="Calibri" w:eastAsia="Calibri" w:hAnsi="Calibri"/>
          <w:sz w:val="20"/>
          <w:szCs w:val="20"/>
          <w:b w:val="1"/>
          <w:bCs w:val="1"/>
          <w:i w:val="1"/>
          <w:iCs w:val="1"/>
          <w:color w:val="auto"/>
        </w:rPr>
        <w:t xml:space="preserve">Retrement </w:t>
      </w:r>
      <w:r>
        <w:rPr>
          <w:rFonts w:ascii="Calibri" w:cs="Calibri" w:eastAsia="Calibri" w:hAnsi="Calibri"/>
          <w:sz w:val="20"/>
          <w:szCs w:val="20"/>
          <w:color w:val="auto"/>
        </w:rPr>
        <w:t>means Terminaton of Employment due to the voluntary resignaton of employment by</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Employee, afer Employee (1) has reached age 55 or greater; (2) has a sum of age plus years of Service</w:t>
      </w:r>
    </w:p>
    <w:p>
      <w:pPr>
        <w:spacing w:after="0" w:line="1" w:lineRule="exact"/>
        <w:rPr>
          <w:sz w:val="20"/>
          <w:szCs w:val="20"/>
          <w:color w:val="auto"/>
        </w:rPr>
      </w:pPr>
    </w:p>
    <w:p>
      <w:pPr>
        <w:ind w:left="4880" w:right="380" w:hanging="3568"/>
        <w:spacing w:after="0" w:line="225" w:lineRule="auto"/>
        <w:rPr>
          <w:sz w:val="20"/>
          <w:szCs w:val="20"/>
          <w:color w:val="auto"/>
        </w:rPr>
      </w:pPr>
      <w:r>
        <w:rPr>
          <w:rFonts w:ascii="Calibri" w:cs="Calibri" w:eastAsia="Calibri" w:hAnsi="Calibri"/>
          <w:sz w:val="20"/>
          <w:szCs w:val="20"/>
          <w:color w:val="auto"/>
        </w:rPr>
        <w:t>(as defned in paragraph ii. below) with WM equal to 65 or greater; and (3) has completed at least 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647700</wp:posOffset>
            </wp:positionV>
            <wp:extent cx="65665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840"/>
          </w:cols>
          <w:pgMar w:left="1020" w:top="1033" w:right="1039" w:bottom="1440" w:gutter="0" w:footer="0" w:header="0"/>
        </w:sectPr>
      </w:pPr>
    </w:p>
    <w:bookmarkStart w:id="47" w:name="page48"/>
    <w:bookmarkEnd w:id="47"/>
    <w:p>
      <w:pPr>
        <w:ind w:left="1292" w:right="80"/>
        <w:spacing w:after="0" w:line="231" w:lineRule="auto"/>
        <w:rPr>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82594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501765" cy="8259445"/>
                    </a:xfrm>
                    <a:prstGeom prst="rect">
                      <a:avLst/>
                    </a:prstGeom>
                    <a:noFill/>
                  </pic:spPr>
                </pic:pic>
              </a:graphicData>
            </a:graphic>
          </wp:anchor>
        </w:drawing>
        <w:t xml:space="preserve">consecutve full years of Service with WM during the 5-year period immediately preceding the resignaton; </w:t>
      </w:r>
      <w:r>
        <w:rPr>
          <w:rFonts w:ascii="Calibri" w:cs="Calibri" w:eastAsia="Calibri" w:hAnsi="Calibri"/>
          <w:sz w:val="20"/>
          <w:szCs w:val="20"/>
          <w:u w:val="single" w:color="auto"/>
          <w:color w:val="auto"/>
        </w:rPr>
        <w:t>provided</w:t>
      </w:r>
      <w:r>
        <w:rPr>
          <w:rFonts w:ascii="Calibri" w:cs="Calibri" w:eastAsia="Calibri" w:hAnsi="Calibri"/>
          <w:sz w:val="20"/>
          <w:szCs w:val="20"/>
          <w:color w:val="auto"/>
        </w:rPr>
        <w:t>, that Employee is not receiving severance benefts pursuant to the severance pay plans of WM.</w:t>
      </w:r>
    </w:p>
    <w:p>
      <w:pPr>
        <w:spacing w:after="0" w:line="254" w:lineRule="exact"/>
        <w:rPr>
          <w:sz w:val="20"/>
          <w:szCs w:val="20"/>
          <w:color w:val="auto"/>
        </w:rPr>
      </w:pPr>
    </w:p>
    <w:p>
      <w:pPr>
        <w:ind w:left="1292" w:hanging="464"/>
        <w:spacing w:after="0" w:line="231" w:lineRule="auto"/>
        <w:tabs>
          <w:tab w:leader="none" w:pos="1292" w:val="left"/>
        </w:tabs>
        <w:numPr>
          <w:ilvl w:val="2"/>
          <w:numId w:val="33"/>
        </w:numPr>
        <w:rPr>
          <w:rFonts w:ascii="Calibri" w:cs="Calibri" w:eastAsia="Calibri" w:hAnsi="Calibri"/>
          <w:sz w:val="20"/>
          <w:szCs w:val="20"/>
          <w:color w:val="auto"/>
        </w:rPr>
      </w:pPr>
      <w:r>
        <w:rPr>
          <w:rFonts w:ascii="Calibri" w:cs="Calibri" w:eastAsia="Calibri" w:hAnsi="Calibri"/>
          <w:sz w:val="20"/>
          <w:szCs w:val="20"/>
          <w:b w:val="1"/>
          <w:bCs w:val="1"/>
          <w:i w:val="1"/>
          <w:iCs w:val="1"/>
          <w:color w:val="auto"/>
        </w:rPr>
        <w:t xml:space="preserve">Service </w:t>
      </w:r>
      <w:r>
        <w:rPr>
          <w:rFonts w:ascii="Calibri" w:cs="Calibri" w:eastAsia="Calibri" w:hAnsi="Calibri"/>
          <w:sz w:val="20"/>
          <w:szCs w:val="20"/>
          <w:color w:val="auto"/>
        </w:rPr>
        <w:t>is measured from Employee’s original date of hire by WM, except as provided below. In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case of a break of employment by Employee from WM of one year or more in length, Employee’s service before the break of employment is not considered Service. Service with an entty acquired by WM is considered Service so long as Employee remained contnuously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258" w:lineRule="exact"/>
        <w:rPr>
          <w:rFonts w:ascii="Calibri" w:cs="Calibri" w:eastAsia="Calibri" w:hAnsi="Calibri"/>
          <w:sz w:val="20"/>
          <w:szCs w:val="20"/>
          <w:color w:val="auto"/>
        </w:rPr>
      </w:pPr>
    </w:p>
    <w:p>
      <w:pPr>
        <w:ind w:left="1292" w:right="160" w:hanging="511"/>
        <w:spacing w:after="0" w:line="230" w:lineRule="auto"/>
        <w:tabs>
          <w:tab w:leader="none" w:pos="1292" w:val="left"/>
        </w:tabs>
        <w:numPr>
          <w:ilvl w:val="2"/>
          <w:numId w:val="33"/>
        </w:numPr>
        <w:rPr>
          <w:rFonts w:ascii="Calibri" w:cs="Calibri" w:eastAsia="Calibri" w:hAnsi="Calibri"/>
          <w:sz w:val="20"/>
          <w:szCs w:val="20"/>
          <w:color w:val="auto"/>
        </w:rPr>
      </w:pPr>
      <w:r>
        <w:rPr>
          <w:rFonts w:ascii="Calibri" w:cs="Calibri" w:eastAsia="Calibri" w:hAnsi="Calibri"/>
          <w:sz w:val="20"/>
          <w:szCs w:val="20"/>
          <w:b w:val="1"/>
          <w:bCs w:val="1"/>
          <w:i w:val="1"/>
          <w:iCs w:val="1"/>
          <w:color w:val="auto"/>
        </w:rPr>
        <w:t xml:space="preserve">Terminaton of Employment </w:t>
      </w:r>
      <w:r>
        <w:rPr>
          <w:rFonts w:ascii="Calibri" w:cs="Calibri" w:eastAsia="Calibri" w:hAnsi="Calibri"/>
          <w:sz w:val="20"/>
          <w:szCs w:val="20"/>
          <w:color w:val="auto"/>
        </w:rPr>
        <w:t>means the terminaton of Employee’s employment or other service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relatonship with WM as determined by the Commitee. Temporary absences from employment because of illness, vacaton or leave of absence and transfers among the Company and its Subsidiaries and Afliates will not be considered a Terminaton of Employment. Any queston as to whether and when there has been a Terminaton of Employment, and the cause of such terminaton, shall be determined by and in the sole discreton of the Commitee and such determinaton shall be fnal.</w:t>
      </w:r>
    </w:p>
    <w:p>
      <w:pPr>
        <w:spacing w:after="0" w:line="270" w:lineRule="exact"/>
        <w:rPr>
          <w:rFonts w:ascii="Calibri" w:cs="Calibri" w:eastAsia="Calibri" w:hAnsi="Calibri"/>
          <w:sz w:val="20"/>
          <w:szCs w:val="20"/>
          <w:color w:val="auto"/>
        </w:rPr>
      </w:pPr>
    </w:p>
    <w:p>
      <w:pPr>
        <w:ind w:left="1292" w:right="40" w:hanging="493"/>
        <w:spacing w:after="0" w:line="231" w:lineRule="auto"/>
        <w:tabs>
          <w:tab w:leader="none" w:pos="1292" w:val="left"/>
        </w:tabs>
        <w:numPr>
          <w:ilvl w:val="2"/>
          <w:numId w:val="33"/>
        </w:numPr>
        <w:rPr>
          <w:rFonts w:ascii="Calibri" w:cs="Calibri" w:eastAsia="Calibri" w:hAnsi="Calibri"/>
          <w:sz w:val="20"/>
          <w:szCs w:val="20"/>
          <w:color w:val="auto"/>
        </w:rPr>
      </w:pPr>
      <w:r>
        <w:rPr>
          <w:rFonts w:ascii="Calibri" w:cs="Calibri" w:eastAsia="Calibri" w:hAnsi="Calibri"/>
          <w:sz w:val="20"/>
          <w:szCs w:val="20"/>
          <w:b w:val="1"/>
          <w:bCs w:val="1"/>
          <w:i w:val="1"/>
          <w:iCs w:val="1"/>
          <w:color w:val="auto"/>
        </w:rPr>
        <w:t xml:space="preserve">Cause </w:t>
      </w:r>
      <w:r>
        <w:rPr>
          <w:rFonts w:ascii="Calibri" w:cs="Calibri" w:eastAsia="Calibri" w:hAnsi="Calibri"/>
          <w:sz w:val="20"/>
          <w:szCs w:val="20"/>
          <w:color w:val="auto"/>
        </w:rPr>
        <w:t>means any of the following: (1) willful or deliberate and contnual refusal to materially perform</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 xml:space="preserve">Employee’s dutes reasonably requested by WM afer receipt of writen notce to Employee of such failure to perform, specifying such failure (other than as a result of Employee’s sickness, illness, injury, death or disability) and Employee fails to cure such nonperformance within ten (10) days of receipt of said writen notce; (2) breach of any statutory or common law duty of loyalty to WM; (3) Employee has been convicted of, or pleaded </w:t>
      </w:r>
      <w:r>
        <w:rPr>
          <w:rFonts w:ascii="Calibri" w:cs="Calibri" w:eastAsia="Calibri" w:hAnsi="Calibri"/>
          <w:sz w:val="20"/>
          <w:szCs w:val="20"/>
          <w:i w:val="1"/>
          <w:iCs w:val="1"/>
          <w:color w:val="auto"/>
        </w:rPr>
        <w:t>nolo contendre</w:t>
      </w:r>
      <w:r>
        <w:rPr>
          <w:rFonts w:ascii="Calibri" w:cs="Calibri" w:eastAsia="Calibri" w:hAnsi="Calibri"/>
          <w:sz w:val="20"/>
          <w:szCs w:val="20"/>
          <w:color w:val="auto"/>
        </w:rPr>
        <w:t xml:space="preserve"> to, any felony; (4) Employee willfully or intentonally caused material injury to WM, its property, or its assets; (5) Employee disclosed to unauthorized person(s) proprietary or confdental informaton of WM that causes a material injury to WM; or (6) any material violaton or a repeated and willful violaton of WM’s policies or procedures, including but not limited to, WM’s Code of Business Conduct and Ethics (or any successor policy) then in efect.</w:t>
      </w:r>
    </w:p>
    <w:p>
      <w:pPr>
        <w:spacing w:after="0" w:line="242" w:lineRule="exact"/>
        <w:rPr>
          <w:rFonts w:ascii="Calibri" w:cs="Calibri" w:eastAsia="Calibri" w:hAnsi="Calibri"/>
          <w:sz w:val="20"/>
          <w:szCs w:val="20"/>
          <w:color w:val="auto"/>
        </w:rPr>
      </w:pPr>
    </w:p>
    <w:p>
      <w:pPr>
        <w:ind w:left="732" w:right="60" w:hanging="327"/>
        <w:spacing w:after="0" w:line="231" w:lineRule="auto"/>
        <w:tabs>
          <w:tab w:leader="none" w:pos="732" w:val="left"/>
        </w:tabs>
        <w:numPr>
          <w:ilvl w:val="1"/>
          <w:numId w:val="34"/>
        </w:numPr>
        <w:rPr>
          <w:rFonts w:ascii="Calibri" w:cs="Calibri" w:eastAsia="Calibri" w:hAnsi="Calibri"/>
          <w:sz w:val="20"/>
          <w:szCs w:val="20"/>
          <w:color w:val="auto"/>
        </w:rPr>
      </w:pPr>
      <w:r>
        <w:rPr>
          <w:rFonts w:ascii="Calibri" w:cs="Calibri" w:eastAsia="Calibri" w:hAnsi="Calibri"/>
          <w:sz w:val="20"/>
          <w:szCs w:val="20"/>
          <w:color w:val="auto"/>
        </w:rPr>
        <w:t>In order to receive any of the benefts upon terminaton described above in paragraphs 1 and 2, Employee (or, if applicable, Employee’s estate) must frst (x) execute and not revoke a general release of claims in favor of WM and its afliates in a form that is acceptable to WM and which has become efectve and irrevocable prior to the payment date set forth above (or such earlier deadline set by WM and (y) contnue to abide by all ongoing obligatons to WM under any restrictve covenant agreement.</w:t>
      </w:r>
    </w:p>
    <w:p>
      <w:pPr>
        <w:spacing w:after="0" w:line="256" w:lineRule="exact"/>
        <w:rPr>
          <w:rFonts w:ascii="Calibri" w:cs="Calibri" w:eastAsia="Calibri" w:hAnsi="Calibri"/>
          <w:sz w:val="20"/>
          <w:szCs w:val="20"/>
          <w:color w:val="auto"/>
        </w:rPr>
      </w:pPr>
    </w:p>
    <w:p>
      <w:pPr>
        <w:ind w:left="332" w:right="20" w:hanging="332"/>
        <w:spacing w:after="0" w:line="230" w:lineRule="auto"/>
        <w:tabs>
          <w:tab w:leader="none" w:pos="332" w:val="left"/>
        </w:tabs>
        <w:numPr>
          <w:ilvl w:val="0"/>
          <w:numId w:val="35"/>
        </w:numPr>
        <w:rPr>
          <w:rFonts w:ascii="Calibri" w:cs="Calibri" w:eastAsia="Calibri" w:hAnsi="Calibri"/>
          <w:sz w:val="20"/>
          <w:szCs w:val="20"/>
          <w:color w:val="auto"/>
        </w:rPr>
      </w:pPr>
      <w:r>
        <w:rPr>
          <w:rFonts w:ascii="Calibri" w:cs="Calibri" w:eastAsia="Calibri" w:hAnsi="Calibri"/>
          <w:sz w:val="20"/>
          <w:szCs w:val="20"/>
          <w:u w:val="single" w:color="auto"/>
          <w:color w:val="auto"/>
        </w:rPr>
        <w:t>Terminaton of Employment for Other Reasons</w:t>
      </w:r>
      <w:r>
        <w:rPr>
          <w:rFonts w:ascii="Calibri" w:cs="Calibri" w:eastAsia="Calibri" w:hAnsi="Calibri"/>
          <w:sz w:val="20"/>
          <w:szCs w:val="20"/>
          <w:color w:val="auto"/>
        </w:rPr>
        <w:t>. Except as provided in paragraphs 1 through 2 above and 5 below, Employee must be an employee of WM contnuously from the Grant Date through the close of business on last day of the Restricton Period to be enttled to receive payment of any RSU Awards. Upon Terminaton of Employment on or before the lapse of the Restricton Period, for any reason other than terminaton that would qualify Employee for payout under paragraphs 1 through 2 above and 4 below, Employee shall immediately forfeit all unvested RSUs and any related Dividend Equivalents, without the payment of any consideraton by WM.</w:t>
      </w:r>
    </w:p>
    <w:p>
      <w:pPr>
        <w:spacing w:after="0" w:line="260" w:lineRule="exact"/>
        <w:rPr>
          <w:rFonts w:ascii="Calibri" w:cs="Calibri" w:eastAsia="Calibri" w:hAnsi="Calibri"/>
          <w:sz w:val="20"/>
          <w:szCs w:val="20"/>
          <w:color w:val="auto"/>
        </w:rPr>
      </w:pPr>
    </w:p>
    <w:p>
      <w:pPr>
        <w:ind w:left="332" w:hanging="332"/>
        <w:spacing w:after="0"/>
        <w:tabs>
          <w:tab w:leader="none" w:pos="332" w:val="left"/>
        </w:tabs>
        <w:numPr>
          <w:ilvl w:val="0"/>
          <w:numId w:val="35"/>
        </w:numPr>
        <w:rPr>
          <w:rFonts w:ascii="Calibri" w:cs="Calibri" w:eastAsia="Calibri" w:hAnsi="Calibri"/>
          <w:sz w:val="20"/>
          <w:szCs w:val="20"/>
          <w:color w:val="auto"/>
        </w:rPr>
      </w:pPr>
      <w:r>
        <w:rPr>
          <w:rFonts w:ascii="Calibri" w:cs="Calibri" w:eastAsia="Calibri" w:hAnsi="Calibri"/>
          <w:sz w:val="20"/>
          <w:szCs w:val="20"/>
          <w:u w:val="single" w:color="auto"/>
          <w:color w:val="auto"/>
        </w:rPr>
        <w:t>Repayment of RSU Award in the Event of Misconduct</w:t>
      </w:r>
      <w:r>
        <w:rPr>
          <w:rFonts w:ascii="Calibri" w:cs="Calibri" w:eastAsia="Calibri" w:hAnsi="Calibri"/>
          <w:sz w:val="20"/>
          <w:szCs w:val="20"/>
          <w:color w:val="auto"/>
        </w:rPr>
        <w:t>.</w:t>
      </w:r>
    </w:p>
    <w:p>
      <w:pPr>
        <w:spacing w:after="0" w:line="241" w:lineRule="exact"/>
        <w:rPr>
          <w:rFonts w:ascii="Calibri" w:cs="Calibri" w:eastAsia="Calibri" w:hAnsi="Calibri"/>
          <w:sz w:val="20"/>
          <w:szCs w:val="20"/>
          <w:color w:val="auto"/>
        </w:rPr>
      </w:pPr>
    </w:p>
    <w:p>
      <w:pPr>
        <w:ind w:left="732" w:hanging="327"/>
        <w:spacing w:after="0"/>
        <w:tabs>
          <w:tab w:leader="none" w:pos="732" w:val="left"/>
        </w:tabs>
        <w:numPr>
          <w:ilvl w:val="1"/>
          <w:numId w:val="35"/>
        </w:numPr>
        <w:rPr>
          <w:rFonts w:ascii="Calibri" w:cs="Calibri" w:eastAsia="Calibri" w:hAnsi="Calibri"/>
          <w:sz w:val="20"/>
          <w:szCs w:val="20"/>
          <w:color w:val="auto"/>
        </w:rPr>
      </w:pPr>
      <w:r>
        <w:rPr>
          <w:rFonts w:ascii="Calibri" w:cs="Calibri" w:eastAsia="Calibri" w:hAnsi="Calibri"/>
          <w:sz w:val="20"/>
          <w:szCs w:val="20"/>
          <w:u w:val="single" w:color="auto"/>
          <w:color w:val="auto"/>
        </w:rPr>
        <w:t>Clawback Policy</w:t>
      </w:r>
    </w:p>
    <w:p>
      <w:pPr>
        <w:spacing w:after="0" w:line="238" w:lineRule="exact"/>
        <w:rPr>
          <w:rFonts w:ascii="Calibri" w:cs="Calibri" w:eastAsia="Calibri" w:hAnsi="Calibri"/>
          <w:sz w:val="20"/>
          <w:szCs w:val="20"/>
          <w:color w:val="auto"/>
        </w:rPr>
      </w:pPr>
    </w:p>
    <w:p>
      <w:pPr>
        <w:ind w:left="1292" w:right="480" w:hanging="418"/>
        <w:spacing w:after="0" w:line="234" w:lineRule="auto"/>
        <w:tabs>
          <w:tab w:leader="none" w:pos="1292" w:val="left"/>
        </w:tabs>
        <w:numPr>
          <w:ilvl w:val="2"/>
          <w:numId w:val="35"/>
        </w:numPr>
        <w:rPr>
          <w:rFonts w:ascii="Calibri" w:cs="Calibri" w:eastAsia="Calibri" w:hAnsi="Calibri"/>
          <w:sz w:val="20"/>
          <w:szCs w:val="20"/>
          <w:color w:val="auto"/>
        </w:rPr>
      </w:pPr>
      <w:r>
        <w:rPr>
          <w:rFonts w:ascii="Calibri" w:cs="Calibri" w:eastAsia="Calibri" w:hAnsi="Calibri"/>
          <w:sz w:val="20"/>
          <w:szCs w:val="20"/>
          <w:color w:val="auto"/>
        </w:rPr>
        <w:t>Notwithstanding any provisions in the Plan or this Agreement to the contrary, any porton of the payments and benefts provided under this Agreement or the sale of any shares of Common Stock</w:t>
      </w:r>
    </w:p>
    <w:p>
      <w:pPr>
        <w:spacing w:after="0" w:line="1" w:lineRule="exact"/>
        <w:rPr>
          <w:sz w:val="20"/>
          <w:szCs w:val="20"/>
          <w:color w:val="auto"/>
        </w:rPr>
      </w:pPr>
    </w:p>
    <w:p>
      <w:pPr>
        <w:ind w:left="4872" w:right="460" w:hanging="3568"/>
        <w:spacing w:after="0" w:line="225" w:lineRule="auto"/>
        <w:rPr>
          <w:sz w:val="20"/>
          <w:szCs w:val="20"/>
          <w:color w:val="auto"/>
        </w:rPr>
      </w:pPr>
      <w:r>
        <w:rPr>
          <w:rFonts w:ascii="Calibri" w:cs="Calibri" w:eastAsia="Calibri" w:hAnsi="Calibri"/>
          <w:sz w:val="20"/>
          <w:szCs w:val="20"/>
          <w:color w:val="auto"/>
        </w:rPr>
        <w:t>issued hereunder shall be subject to the Waste Management, Inc. Clawback Policy, adopted by the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647700</wp:posOffset>
            </wp:positionV>
            <wp:extent cx="65665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812"/>
          </w:cols>
          <w:pgMar w:left="1028" w:top="1033" w:right="1059" w:bottom="1440" w:gutter="0" w:footer="0" w:header="0"/>
        </w:sectPr>
      </w:pPr>
    </w:p>
    <w:bookmarkStart w:id="48" w:name="page49"/>
    <w:bookmarkEnd w:id="48"/>
    <w:p>
      <w:pPr>
        <w:ind w:left="887"/>
        <w:spacing w:after="0"/>
        <w:rPr>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7959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501765" cy="7959090"/>
                    </a:xfrm>
                    <a:prstGeom prst="rect">
                      <a:avLst/>
                    </a:prstGeom>
                    <a:noFill/>
                  </pic:spPr>
                </pic:pic>
              </a:graphicData>
            </a:graphic>
          </wp:anchor>
        </w:drawing>
        <w:t>Commitee of the Board on August 21, 2023, (as may be amended from tme to tme, the “</w:t>
      </w:r>
      <w:r>
        <w:rPr>
          <w:rFonts w:ascii="Calibri" w:cs="Calibri" w:eastAsia="Calibri" w:hAnsi="Calibri"/>
          <w:sz w:val="20"/>
          <w:szCs w:val="20"/>
          <w:b w:val="1"/>
          <w:bCs w:val="1"/>
          <w:i w:val="1"/>
          <w:iCs w:val="1"/>
          <w:color w:val="auto"/>
        </w:rPr>
        <w:t>Clawback</w:t>
      </w:r>
      <w:r>
        <w:rPr>
          <w:rFonts w:ascii="Calibri" w:cs="Calibri" w:eastAsia="Calibri" w:hAnsi="Calibri"/>
          <w:sz w:val="20"/>
          <w:szCs w:val="20"/>
          <w:color w:val="auto"/>
        </w:rPr>
        <w:t xml:space="preserve"> </w:t>
      </w:r>
      <w:r>
        <w:rPr>
          <w:rFonts w:ascii="Calibri" w:cs="Calibri" w:eastAsia="Calibri" w:hAnsi="Calibri"/>
          <w:sz w:val="20"/>
          <w:szCs w:val="20"/>
          <w:b w:val="1"/>
          <w:bCs w:val="1"/>
          <w:i w:val="1"/>
          <w:iCs w:val="1"/>
          <w:color w:val="auto"/>
        </w:rPr>
        <w:t>Policy</w:t>
      </w:r>
      <w:r>
        <w:rPr>
          <w:rFonts w:ascii="Calibri" w:cs="Calibri" w:eastAsia="Calibri" w:hAnsi="Calibri"/>
          <w:sz w:val="20"/>
          <w:szCs w:val="20"/>
          <w:color w:val="auto"/>
        </w:rPr>
        <w:t>”) and any other clawback or recovery policy adopted by the Commitee or the Board from tme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to tme, including, without limitaton, any such policy adopted in accordance with the requirements of the Dodd-Frank Wall Street Reform and Consumer Protecton Act of 2010 or any rule or regulaton of the SEC or New York Stock Exchange. Additonally, notwithstanding the terms of any of the organizatonal documents of WM, any corporate policy, or any contract between Employee and WM, Employee hereby acknowledges and agrees that Employee will not be enttled to (i) indemnifcaton for any liability (including any amounts owed by Employee in a judgment or setlement in connecton with any acton taken by the Commitee or the Board to enforce the Clawback Policy) (such acton, a “</w:t>
      </w:r>
      <w:r>
        <w:rPr>
          <w:rFonts w:ascii="Calibri" w:cs="Calibri" w:eastAsia="Calibri" w:hAnsi="Calibri"/>
          <w:sz w:val="20"/>
          <w:szCs w:val="20"/>
          <w:b w:val="1"/>
          <w:bCs w:val="1"/>
          <w:i w:val="1"/>
          <w:iCs w:val="1"/>
          <w:color w:val="auto"/>
        </w:rPr>
        <w:t>Clawback Proceeding</w:t>
      </w:r>
      <w:r>
        <w:rPr>
          <w:rFonts w:ascii="Calibri" w:cs="Calibri" w:eastAsia="Calibri" w:hAnsi="Calibri"/>
          <w:sz w:val="20"/>
          <w:szCs w:val="20"/>
          <w:color w:val="auto"/>
        </w:rPr>
        <w:t>”) or loss (including judgments, fnes, taxes, penaltes or amounts paid in setlement by or on behalf of Employee incurred by Employee in connecton with or as a result of any Clawback Proceeding) or (ii) indemnifcaton or advancement of any expenses (including atorneys’ fees) from WM incurred by Employee in connecton any Clawback Proceeding; provided, however, if Employee is successful on the merits in the defense of any claim asserted against Employee in a Clawback Proceeding, Employee shall be indemnifed for the expenses (including atorneys' fees) Employee reasonably incurred to defend such claim. Employee knowingly, voluntarily and intentonally waives, and agrees not to asset any claims regarding, any and all rights to indemnifcaton, advancement of expenses and other rights from WM to which Employee is now or may become enttled under any indemnity agreement or other contract between Employee and WM, the organizatonal documents of WM and the General Corporaton Law of the State of Delaware, in each case to the extent such waiver and agreement is necessary to comply with applicable law or give efect to the preceding provisions of this paragraph.</w:t>
      </w:r>
    </w:p>
    <w:p>
      <w:pPr>
        <w:spacing w:after="0" w:line="304" w:lineRule="exact"/>
        <w:rPr>
          <w:sz w:val="20"/>
          <w:szCs w:val="20"/>
          <w:color w:val="auto"/>
        </w:rPr>
      </w:pPr>
    </w:p>
    <w:p>
      <w:pPr>
        <w:ind w:left="327" w:hanging="327"/>
        <w:spacing w:after="0"/>
        <w:tabs>
          <w:tab w:leader="none" w:pos="327" w:val="left"/>
        </w:tabs>
        <w:numPr>
          <w:ilvl w:val="0"/>
          <w:numId w:val="36"/>
        </w:numPr>
        <w:rPr>
          <w:rFonts w:ascii="Calibri" w:cs="Calibri" w:eastAsia="Calibri" w:hAnsi="Calibri"/>
          <w:sz w:val="20"/>
          <w:szCs w:val="20"/>
          <w:color w:val="auto"/>
        </w:rPr>
      </w:pPr>
      <w:r>
        <w:rPr>
          <w:rFonts w:ascii="Calibri" w:cs="Calibri" w:eastAsia="Calibri" w:hAnsi="Calibri"/>
          <w:sz w:val="20"/>
          <w:szCs w:val="20"/>
          <w:u w:val="single" w:color="auto"/>
          <w:color w:val="auto"/>
        </w:rPr>
        <w:t>Repayment of Award in the Event of Misconduct</w:t>
      </w:r>
      <w:r>
        <w:rPr>
          <w:rFonts w:ascii="Calibri" w:cs="Calibri" w:eastAsia="Calibri" w:hAnsi="Calibri"/>
          <w:sz w:val="20"/>
          <w:szCs w:val="20"/>
          <w:color w:val="auto"/>
        </w:rPr>
        <w:t>.</w:t>
      </w:r>
    </w:p>
    <w:p>
      <w:pPr>
        <w:spacing w:after="0" w:line="251" w:lineRule="exact"/>
        <w:rPr>
          <w:rFonts w:ascii="Calibri" w:cs="Calibri" w:eastAsia="Calibri" w:hAnsi="Calibri"/>
          <w:sz w:val="20"/>
          <w:szCs w:val="20"/>
          <w:color w:val="auto"/>
        </w:rPr>
      </w:pPr>
    </w:p>
    <w:p>
      <w:pPr>
        <w:ind w:left="887" w:right="40" w:hanging="418"/>
        <w:spacing w:after="0" w:line="230" w:lineRule="auto"/>
        <w:tabs>
          <w:tab w:leader="none" w:pos="887" w:val="left"/>
        </w:tabs>
        <w:numPr>
          <w:ilvl w:val="1"/>
          <w:numId w:val="36"/>
        </w:numPr>
        <w:rPr>
          <w:rFonts w:ascii="Calibri" w:cs="Calibri" w:eastAsia="Calibri" w:hAnsi="Calibri"/>
          <w:sz w:val="20"/>
          <w:szCs w:val="20"/>
          <w:color w:val="auto"/>
        </w:rPr>
      </w:pPr>
      <w:r>
        <w:rPr>
          <w:rFonts w:ascii="Calibri" w:cs="Calibri" w:eastAsia="Calibri" w:hAnsi="Calibri"/>
          <w:sz w:val="20"/>
          <w:szCs w:val="20"/>
          <w:color w:val="auto"/>
        </w:rPr>
        <w:t xml:space="preserve">Overriding any other inconsistent terms of this Agreement, if the Commitee, in its sole discreton, determines that Employee either engaged in or benefted from Misconduct (as defned below), then, to the fullest extent permited by law, Employee shall refund and pay to WM any Common Stock and/or amounts (including Dividend Equivalents), plus interest, received by Employee under this Agreement. </w:t>
      </w:r>
      <w:r>
        <w:rPr>
          <w:rFonts w:ascii="Calibri" w:cs="Calibri" w:eastAsia="Calibri" w:hAnsi="Calibri"/>
          <w:sz w:val="20"/>
          <w:szCs w:val="20"/>
          <w:b w:val="1"/>
          <w:bCs w:val="1"/>
          <w:i w:val="1"/>
          <w:iCs w:val="1"/>
          <w:color w:val="auto"/>
        </w:rPr>
        <w:t xml:space="preserve">Misconduct </w:t>
      </w:r>
      <w:r>
        <w:rPr>
          <w:rFonts w:ascii="Calibri" w:cs="Calibri" w:eastAsia="Calibri" w:hAnsi="Calibri"/>
          <w:sz w:val="20"/>
          <w:szCs w:val="20"/>
          <w:color w:val="auto"/>
        </w:rPr>
        <w:t>means any act or failure to act by any employee of WM that (i) caused or was intended to</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 xml:space="preserve">cause a violaton of WM’s policies or the WM code of conduct, generally accepted accountng principles or any applicable laws in efect at the tme of the act or failure to act in queston and that (ii) materially increased the value of the payment or Award received by Employee under this Agreement. The Commitee may, in its sole discreton, delegate the determinaton of Misconduct to an independent third party (either a law frm or an accountng frm, hereinafer referred to as </w:t>
      </w:r>
      <w:r>
        <w:rPr>
          <w:rFonts w:ascii="Calibri" w:cs="Calibri" w:eastAsia="Calibri" w:hAnsi="Calibri"/>
          <w:sz w:val="20"/>
          <w:szCs w:val="20"/>
          <w:b w:val="1"/>
          <w:bCs w:val="1"/>
          <w:i w:val="1"/>
          <w:iCs w:val="1"/>
          <w:color w:val="auto"/>
        </w:rPr>
        <w:t>Independent Third Party</w:t>
      </w:r>
      <w:r>
        <w:rPr>
          <w:rFonts w:ascii="Calibri" w:cs="Calibri" w:eastAsia="Calibri" w:hAnsi="Calibri"/>
          <w:sz w:val="20"/>
          <w:szCs w:val="20"/>
          <w:color w:val="auto"/>
        </w:rPr>
        <w:t>) appointed by the Commitee.</w:t>
      </w:r>
    </w:p>
    <w:p>
      <w:pPr>
        <w:spacing w:after="0" w:line="274" w:lineRule="exact"/>
        <w:rPr>
          <w:rFonts w:ascii="Calibri" w:cs="Calibri" w:eastAsia="Calibri" w:hAnsi="Calibri"/>
          <w:sz w:val="20"/>
          <w:szCs w:val="20"/>
          <w:color w:val="auto"/>
        </w:rPr>
      </w:pPr>
    </w:p>
    <w:p>
      <w:pPr>
        <w:ind w:left="887" w:right="240" w:hanging="464"/>
        <w:spacing w:after="0" w:line="230" w:lineRule="auto"/>
        <w:tabs>
          <w:tab w:leader="none" w:pos="887" w:val="left"/>
        </w:tabs>
        <w:numPr>
          <w:ilvl w:val="1"/>
          <w:numId w:val="36"/>
        </w:numPr>
        <w:rPr>
          <w:rFonts w:ascii="Calibri" w:cs="Calibri" w:eastAsia="Calibri" w:hAnsi="Calibri"/>
          <w:sz w:val="20"/>
          <w:szCs w:val="20"/>
          <w:color w:val="auto"/>
        </w:rPr>
      </w:pPr>
      <w:r>
        <w:rPr>
          <w:rFonts w:ascii="Calibri" w:cs="Calibri" w:eastAsia="Calibri" w:hAnsi="Calibri"/>
          <w:sz w:val="20"/>
          <w:szCs w:val="20"/>
          <w:color w:val="auto"/>
        </w:rPr>
        <w:t>Following a determinaton of Misconduct by Employee, Employee may dispute such determinaton pursuant to binding arbitraton as set forth below under “General Terms” provided, however, that if Employee is determined to have benefted from, but not engaged in, Misconduct, Employee will have no right to dispute such determinaton and such determinaton shall be conclusive and binding.</w:t>
      </w:r>
    </w:p>
    <w:p>
      <w:pPr>
        <w:spacing w:after="0" w:line="252" w:lineRule="exact"/>
        <w:rPr>
          <w:rFonts w:ascii="Calibri" w:cs="Calibri" w:eastAsia="Calibri" w:hAnsi="Calibri"/>
          <w:sz w:val="20"/>
          <w:szCs w:val="20"/>
          <w:color w:val="auto"/>
        </w:rPr>
      </w:pPr>
    </w:p>
    <w:p>
      <w:pPr>
        <w:ind w:left="887" w:right="240" w:hanging="511"/>
        <w:spacing w:after="0" w:line="234" w:lineRule="auto"/>
        <w:tabs>
          <w:tab w:leader="none" w:pos="887" w:val="left"/>
        </w:tabs>
        <w:numPr>
          <w:ilvl w:val="1"/>
          <w:numId w:val="36"/>
        </w:numPr>
        <w:rPr>
          <w:rFonts w:ascii="Calibri" w:cs="Calibri" w:eastAsia="Calibri" w:hAnsi="Calibri"/>
          <w:sz w:val="20"/>
          <w:szCs w:val="20"/>
          <w:color w:val="auto"/>
        </w:rPr>
      </w:pPr>
      <w:r>
        <w:rPr>
          <w:rFonts w:ascii="Calibri" w:cs="Calibri" w:eastAsia="Calibri" w:hAnsi="Calibri"/>
          <w:sz w:val="20"/>
          <w:szCs w:val="20"/>
          <w:color w:val="auto"/>
        </w:rPr>
        <w:t>WM must initate recovery pursuant to this paragraph by the earliest of (i) one year afer discovery of alleged Misconduct, or (ii) the second anniversary of Employee’s Terminaton of Employment.</w:t>
      </w:r>
    </w:p>
    <w:p>
      <w:pPr>
        <w:spacing w:after="0" w:line="252" w:lineRule="exact"/>
        <w:rPr>
          <w:rFonts w:ascii="Calibri" w:cs="Calibri" w:eastAsia="Calibri" w:hAnsi="Calibri"/>
          <w:sz w:val="20"/>
          <w:szCs w:val="20"/>
          <w:color w:val="auto"/>
        </w:rPr>
      </w:pPr>
    </w:p>
    <w:p>
      <w:pPr>
        <w:ind w:left="887" w:right="220" w:hanging="493"/>
        <w:spacing w:after="0" w:line="234" w:lineRule="auto"/>
        <w:tabs>
          <w:tab w:leader="none" w:pos="887" w:val="left"/>
        </w:tabs>
        <w:numPr>
          <w:ilvl w:val="1"/>
          <w:numId w:val="36"/>
        </w:numPr>
        <w:rPr>
          <w:rFonts w:ascii="Calibri" w:cs="Calibri" w:eastAsia="Calibri" w:hAnsi="Calibri"/>
          <w:sz w:val="20"/>
          <w:szCs w:val="20"/>
          <w:color w:val="auto"/>
        </w:rPr>
      </w:pPr>
      <w:r>
        <w:rPr>
          <w:rFonts w:ascii="Calibri" w:cs="Calibri" w:eastAsia="Calibri" w:hAnsi="Calibri"/>
          <w:sz w:val="20"/>
          <w:szCs w:val="20"/>
          <w:color w:val="auto"/>
        </w:rPr>
        <w:t>The provisions of this paragraph, without any implicaton as to any other provision of this Agreement, shall survive the expiraton or terminaton of this Agreement and Employee’s employment.</w:t>
      </w:r>
    </w:p>
    <w:p>
      <w:pPr>
        <w:spacing w:after="0" w:line="243" w:lineRule="exact"/>
        <w:rPr>
          <w:sz w:val="20"/>
          <w:szCs w:val="20"/>
          <w:color w:val="auto"/>
        </w:rPr>
      </w:pPr>
    </w:p>
    <w:p>
      <w:pPr>
        <w:jc w:val="center"/>
        <w:ind w:right="393"/>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646430</wp:posOffset>
            </wp:positionV>
            <wp:extent cx="656653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566535" cy="17145"/>
                    </a:xfrm>
                    <a:prstGeom prst="rect">
                      <a:avLst/>
                    </a:prstGeom>
                    <a:noFill/>
                  </pic:spPr>
                </pic:pic>
              </a:graphicData>
            </a:graphic>
          </wp:anchor>
        </w:drawing>
      </w:r>
    </w:p>
    <w:p>
      <w:pPr>
        <w:sectPr>
          <w:pgSz w:w="11900" w:h="16838" w:orient="portrait"/>
          <w:cols w:equalWidth="0" w:num="1">
            <w:col w:w="9427"/>
          </w:cols>
          <w:pgMar w:left="1433" w:top="1033" w:right="1039" w:bottom="1440" w:gutter="0" w:footer="0" w:header="0"/>
        </w:sectPr>
      </w:pPr>
    </w:p>
    <w:bookmarkStart w:id="49" w:name="page50"/>
    <w:bookmarkEnd w:id="49"/>
    <w:p>
      <w:pPr>
        <w:ind w:left="332" w:hanging="332"/>
        <w:spacing w:after="0"/>
        <w:tabs>
          <w:tab w:leader="none" w:pos="332" w:val="left"/>
        </w:tabs>
        <w:numPr>
          <w:ilvl w:val="0"/>
          <w:numId w:val="37"/>
        </w:numPr>
        <w:rPr>
          <w:rFonts w:ascii="Calibri" w:cs="Calibri" w:eastAsia="Calibri" w:hAnsi="Calibri"/>
          <w:sz w:val="20"/>
          <w:szCs w:val="20"/>
          <w:color w:val="auto"/>
        </w:rPr>
      </w:pPr>
      <w:r>
        <w:rPr>
          <w:rFonts w:ascii="Calibri" w:cs="Calibri" w:eastAsia="Calibri" w:hAnsi="Calibri"/>
          <w:sz w:val="20"/>
          <w:szCs w:val="20"/>
          <w:u w:val="single" w:color="auto"/>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8181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501765" cy="8181975"/>
                    </a:xfrm>
                    <a:prstGeom prst="rect">
                      <a:avLst/>
                    </a:prstGeom>
                    <a:noFill/>
                  </pic:spPr>
                </pic:pic>
              </a:graphicData>
            </a:graphic>
          </wp:anchor>
        </w:drawing>
        <w:t>Acceleraton upon Corporate Change</w:t>
      </w:r>
      <w:r>
        <w:rPr>
          <w:rFonts w:ascii="Calibri" w:cs="Calibri" w:eastAsia="Calibri" w:hAnsi="Calibri"/>
          <w:sz w:val="20"/>
          <w:szCs w:val="20"/>
          <w:color w:val="auto"/>
        </w:rPr>
        <w:t>. Overriding any other inconsistent terms of this Agreement:</w:t>
      </w:r>
    </w:p>
    <w:p>
      <w:pPr>
        <w:spacing w:after="0" w:line="251" w:lineRule="exact"/>
        <w:rPr>
          <w:rFonts w:ascii="Calibri" w:cs="Calibri" w:eastAsia="Calibri" w:hAnsi="Calibri"/>
          <w:sz w:val="20"/>
          <w:szCs w:val="20"/>
          <w:color w:val="auto"/>
        </w:rPr>
      </w:pPr>
    </w:p>
    <w:p>
      <w:pPr>
        <w:ind w:left="652" w:hanging="328"/>
        <w:spacing w:after="0" w:line="232" w:lineRule="auto"/>
        <w:tabs>
          <w:tab w:leader="none" w:pos="652" w:val="left"/>
        </w:tabs>
        <w:numPr>
          <w:ilvl w:val="1"/>
          <w:numId w:val="37"/>
        </w:numPr>
        <w:rPr>
          <w:rFonts w:ascii="Calibri" w:cs="Calibri" w:eastAsia="Calibri" w:hAnsi="Calibri"/>
          <w:sz w:val="20"/>
          <w:szCs w:val="20"/>
          <w:color w:val="auto"/>
        </w:rPr>
      </w:pPr>
      <w:r>
        <w:rPr>
          <w:rFonts w:ascii="Calibri" w:cs="Calibri" w:eastAsia="Calibri" w:hAnsi="Calibri"/>
          <w:sz w:val="20"/>
          <w:szCs w:val="20"/>
          <w:color w:val="auto"/>
        </w:rPr>
        <w:t>If there is a Corporate Change prior to the close of the Restricton Period, all outstanding but unvested RSUs will be immediately vested in full and, along with all associated Dividend Equivalents up to the original Vestng Date, will be due and payable within 74 days following such original Vestng Date, unless the successor entty assumes all RSU Awards granted under the Plan and converts the awards to equivalent grants in the successor efectve as of the Corporate Change. If the successor entty so assumes and converts all RSU Awards granted under the Plan, upon Employee’s involuntary Terminaton of Employment without Cause during the Window Period or upon Employee’s Retrement, death or Disability, then all outstanding but unvested RSUs (or the equivalent grant in the successor entty) and the associated Dividend Equivalents through such date will become immediately vested in full as of such event and paid (i) in the case of death or Disability, within 74 days of such tme or (ii) in the case of Retrement or involuntary Terminaton of Employment without Cause, within 74 days following the original Vestng Date.</w:t>
      </w:r>
    </w:p>
    <w:p>
      <w:pPr>
        <w:spacing w:after="0" w:line="252" w:lineRule="exact"/>
        <w:rPr>
          <w:rFonts w:ascii="Calibri" w:cs="Calibri" w:eastAsia="Calibri" w:hAnsi="Calibri"/>
          <w:sz w:val="20"/>
          <w:szCs w:val="20"/>
          <w:color w:val="auto"/>
        </w:rPr>
      </w:pPr>
    </w:p>
    <w:p>
      <w:pPr>
        <w:ind w:left="652" w:right="40" w:hanging="328"/>
        <w:spacing w:after="0" w:line="231" w:lineRule="auto"/>
        <w:tabs>
          <w:tab w:leader="none" w:pos="652" w:val="left"/>
        </w:tabs>
        <w:numPr>
          <w:ilvl w:val="1"/>
          <w:numId w:val="37"/>
        </w:numPr>
        <w:rPr>
          <w:rFonts w:ascii="Calibri" w:cs="Calibri" w:eastAsia="Calibri" w:hAnsi="Calibri"/>
          <w:sz w:val="20"/>
          <w:szCs w:val="20"/>
          <w:color w:val="auto"/>
        </w:rPr>
      </w:pPr>
      <w:r>
        <w:rPr>
          <w:rFonts w:ascii="Calibri" w:cs="Calibri" w:eastAsia="Calibri" w:hAnsi="Calibri"/>
          <w:sz w:val="20"/>
          <w:szCs w:val="20"/>
          <w:b w:val="1"/>
          <w:bCs w:val="1"/>
          <w:i w:val="1"/>
          <w:iCs w:val="1"/>
          <w:color w:val="auto"/>
        </w:rPr>
        <w:t xml:space="preserve">Window Period </w:t>
      </w:r>
      <w:r>
        <w:rPr>
          <w:rFonts w:ascii="Calibri" w:cs="Calibri" w:eastAsia="Calibri" w:hAnsi="Calibri"/>
          <w:sz w:val="20"/>
          <w:szCs w:val="20"/>
          <w:color w:val="auto"/>
        </w:rPr>
        <w:t>means the period beginning on the date occurring six (6) months immediately prior to the date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on which a Corporate Change frst occurs and ending on the second anniversary of the date on which a Corporate Change occurs.</w:t>
      </w:r>
    </w:p>
    <w:p>
      <w:pPr>
        <w:spacing w:after="0" w:line="253" w:lineRule="exact"/>
        <w:rPr>
          <w:rFonts w:ascii="Calibri" w:cs="Calibri" w:eastAsia="Calibri" w:hAnsi="Calibri"/>
          <w:sz w:val="20"/>
          <w:szCs w:val="20"/>
          <w:color w:val="auto"/>
        </w:rPr>
      </w:pPr>
    </w:p>
    <w:p>
      <w:pPr>
        <w:ind w:left="332" w:right="60" w:hanging="332"/>
        <w:spacing w:after="0" w:line="230" w:lineRule="auto"/>
        <w:tabs>
          <w:tab w:leader="none" w:pos="332" w:val="left"/>
        </w:tabs>
        <w:numPr>
          <w:ilvl w:val="0"/>
          <w:numId w:val="37"/>
        </w:numPr>
        <w:rPr>
          <w:rFonts w:ascii="Calibri" w:cs="Calibri" w:eastAsia="Calibri" w:hAnsi="Calibri"/>
          <w:sz w:val="20"/>
          <w:szCs w:val="20"/>
          <w:color w:val="auto"/>
        </w:rPr>
      </w:pPr>
      <w:r>
        <w:rPr>
          <w:rFonts w:ascii="Calibri" w:cs="Calibri" w:eastAsia="Calibri" w:hAnsi="Calibri"/>
          <w:sz w:val="20"/>
          <w:szCs w:val="20"/>
          <w:u w:val="single" w:color="auto"/>
          <w:color w:val="auto"/>
        </w:rPr>
        <w:t>Dividend Equivalents</w:t>
      </w:r>
      <w:r>
        <w:rPr>
          <w:rFonts w:ascii="Calibri" w:cs="Calibri" w:eastAsia="Calibri" w:hAnsi="Calibri"/>
          <w:sz w:val="20"/>
          <w:szCs w:val="20"/>
          <w:color w:val="auto"/>
        </w:rPr>
        <w:t>. The Company will pay Dividend Equivalents with respect to RSUs as soon as administratvely feasible (and no later than 74 days) following the original Vestng Date. The Company will make such payment in a lump sum cash amount for RSU Award Dividend Equivalents based on the number of RSUs vested multplied by the per share quarterly dividend payments made to stockholders of the Company’s Common Stock during the Restricton Period (without any interest or compounding). Any accumulated and unpaid Dividend Equivalents atributable to RSUs that do not vest or that are cancelled or forfeited will not be paid and are immediately forfeited upon cancellaton or forfeiture of the RSUs.</w:t>
      </w:r>
    </w:p>
    <w:p>
      <w:pPr>
        <w:spacing w:after="0" w:line="236" w:lineRule="exact"/>
        <w:rPr>
          <w:sz w:val="20"/>
          <w:szCs w:val="20"/>
          <w:color w:val="auto"/>
        </w:rPr>
      </w:pPr>
    </w:p>
    <w:p>
      <w:pPr>
        <w:jc w:val="center"/>
        <w:ind w:right="-331"/>
        <w:spacing w:after="0"/>
        <w:rPr>
          <w:sz w:val="20"/>
          <w:szCs w:val="20"/>
          <w:color w:val="auto"/>
        </w:rPr>
      </w:pPr>
      <w:r>
        <w:rPr>
          <w:rFonts w:ascii="Calibri" w:cs="Calibri" w:eastAsia="Calibri" w:hAnsi="Calibri"/>
          <w:sz w:val="29"/>
          <w:szCs w:val="29"/>
          <w:b w:val="1"/>
          <w:bCs w:val="1"/>
          <w:color w:val="auto"/>
        </w:rPr>
        <w:t>General Terms</w:t>
      </w:r>
    </w:p>
    <w:p>
      <w:pPr>
        <w:spacing w:after="0" w:line="260" w:lineRule="exact"/>
        <w:rPr>
          <w:sz w:val="20"/>
          <w:szCs w:val="20"/>
          <w:color w:val="auto"/>
        </w:rPr>
      </w:pPr>
    </w:p>
    <w:p>
      <w:pPr>
        <w:ind w:left="332" w:hanging="332"/>
        <w:spacing w:after="0"/>
        <w:tabs>
          <w:tab w:leader="none" w:pos="332" w:val="left"/>
        </w:tabs>
        <w:numPr>
          <w:ilvl w:val="0"/>
          <w:numId w:val="38"/>
        </w:numPr>
        <w:rPr>
          <w:rFonts w:ascii="Calibri" w:cs="Calibri" w:eastAsia="Calibri" w:hAnsi="Calibri"/>
          <w:sz w:val="20"/>
          <w:szCs w:val="20"/>
          <w:color w:val="auto"/>
        </w:rPr>
      </w:pPr>
      <w:r>
        <w:rPr>
          <w:rFonts w:ascii="Calibri" w:cs="Calibri" w:eastAsia="Calibri" w:hAnsi="Calibri"/>
          <w:sz w:val="20"/>
          <w:szCs w:val="20"/>
          <w:u w:val="single" w:color="auto"/>
          <w:color w:val="auto"/>
        </w:rPr>
        <w:t>Restrictons on Transfer</w:t>
      </w:r>
      <w:r>
        <w:rPr>
          <w:rFonts w:ascii="Calibri" w:cs="Calibri" w:eastAsia="Calibri" w:hAnsi="Calibri"/>
          <w:sz w:val="20"/>
          <w:szCs w:val="20"/>
          <w:color w:val="auto"/>
        </w:rPr>
        <w:t>.</w:t>
      </w:r>
    </w:p>
    <w:p>
      <w:pPr>
        <w:spacing w:after="0" w:line="238" w:lineRule="exact"/>
        <w:rPr>
          <w:rFonts w:ascii="Calibri" w:cs="Calibri" w:eastAsia="Calibri" w:hAnsi="Calibri"/>
          <w:sz w:val="20"/>
          <w:szCs w:val="20"/>
          <w:color w:val="auto"/>
        </w:rPr>
      </w:pPr>
    </w:p>
    <w:p>
      <w:pPr>
        <w:ind w:left="652" w:right="20" w:hanging="328"/>
        <w:spacing w:after="0" w:line="231" w:lineRule="auto"/>
        <w:tabs>
          <w:tab w:leader="none" w:pos="652" w:val="left"/>
        </w:tabs>
        <w:numPr>
          <w:ilvl w:val="1"/>
          <w:numId w:val="38"/>
        </w:numPr>
        <w:rPr>
          <w:rFonts w:ascii="Calibri" w:cs="Calibri" w:eastAsia="Calibri" w:hAnsi="Calibri"/>
          <w:sz w:val="20"/>
          <w:szCs w:val="20"/>
          <w:color w:val="auto"/>
        </w:rPr>
      </w:pPr>
      <w:r>
        <w:rPr>
          <w:rFonts w:ascii="Calibri" w:cs="Calibri" w:eastAsia="Calibri" w:hAnsi="Calibri"/>
          <w:sz w:val="20"/>
          <w:szCs w:val="20"/>
          <w:color w:val="auto"/>
        </w:rPr>
        <w:t>Absent prior writen consent of the Commitee, RSU Awards may not be sold, assigned, transferred, pledged, or otherwise encumbered, whether voluntarily or involuntarily, by operaton of law or otherwise, other than pursuant to a domestc relatons order; provided, however, that the transfer of any shares of Common Stock issued under the RSU Awards shall not be restricted by virtue of this Agreement once such shares have been paid out.</w:t>
      </w:r>
    </w:p>
    <w:p>
      <w:pPr>
        <w:spacing w:after="0" w:line="256" w:lineRule="exact"/>
        <w:rPr>
          <w:rFonts w:ascii="Calibri" w:cs="Calibri" w:eastAsia="Calibri" w:hAnsi="Calibri"/>
          <w:sz w:val="20"/>
          <w:szCs w:val="20"/>
          <w:color w:val="auto"/>
        </w:rPr>
      </w:pPr>
    </w:p>
    <w:p>
      <w:pPr>
        <w:ind w:left="652" w:right="120" w:hanging="328"/>
        <w:spacing w:after="0" w:line="231" w:lineRule="auto"/>
        <w:tabs>
          <w:tab w:leader="none" w:pos="652" w:val="left"/>
        </w:tabs>
        <w:numPr>
          <w:ilvl w:val="1"/>
          <w:numId w:val="38"/>
        </w:numPr>
        <w:rPr>
          <w:rFonts w:ascii="Calibri" w:cs="Calibri" w:eastAsia="Calibri" w:hAnsi="Calibri"/>
          <w:sz w:val="20"/>
          <w:szCs w:val="20"/>
          <w:color w:val="auto"/>
        </w:rPr>
      </w:pPr>
      <w:r>
        <w:rPr>
          <w:rFonts w:ascii="Calibri" w:cs="Calibri" w:eastAsia="Calibri" w:hAnsi="Calibri"/>
          <w:sz w:val="20"/>
          <w:szCs w:val="20"/>
          <w:color w:val="auto"/>
        </w:rPr>
        <w:t>Consistent with paragraph 1.a. above and except as provided in paragraph 3. below, no right or beneft under this Agreement shall be subject to transfer, antcipaton, alienaton, sale, assignment, pledge, encumbrance, or charge, whether voluntary, involuntary, by operaton of law or otherwise, and any atempt to transfer, antcipate, alienate, sell, assign, pledge, encumber or charge the same shall be void. No right or beneft hereunder shall in any manner be liable for or subject to any debts, contracts, liabilites, or torts of the person enttled to such benefts. If Employee or his Benefciary shall atempt to transfer, antcipate, alienate, assign, sell, pledge, encumber or charge any right or beneft hereunder (other than pursuant to a domestc relatons order), or if any creditor shall atempt to subject the same to a writ of garnishment, atachment, executon sequestraton, or any other form of process or involuntary lien or seizure, then such atempt shall have no efect and shall be void.</w:t>
      </w:r>
    </w:p>
    <w:p>
      <w:pPr>
        <w:spacing w:after="0" w:line="246" w:lineRule="exact"/>
        <w:rPr>
          <w:rFonts w:ascii="Calibri" w:cs="Calibri" w:eastAsia="Calibri" w:hAnsi="Calibri"/>
          <w:sz w:val="20"/>
          <w:szCs w:val="20"/>
          <w:color w:val="auto"/>
        </w:rPr>
      </w:pPr>
    </w:p>
    <w:p>
      <w:pPr>
        <w:ind w:left="332" w:hanging="332"/>
        <w:spacing w:after="0"/>
        <w:tabs>
          <w:tab w:leader="none" w:pos="332" w:val="left"/>
        </w:tabs>
        <w:numPr>
          <w:ilvl w:val="0"/>
          <w:numId w:val="38"/>
        </w:numPr>
        <w:rPr>
          <w:rFonts w:ascii="Calibri" w:cs="Calibri" w:eastAsia="Calibri" w:hAnsi="Calibri"/>
          <w:sz w:val="20"/>
          <w:szCs w:val="20"/>
          <w:color w:val="auto"/>
        </w:rPr>
      </w:pPr>
      <w:r>
        <w:rPr>
          <w:rFonts w:ascii="Calibri" w:cs="Calibri" w:eastAsia="Calibri" w:hAnsi="Calibri"/>
          <w:sz w:val="20"/>
          <w:szCs w:val="20"/>
          <w:u w:val="single" w:color="auto"/>
          <w:color w:val="auto"/>
        </w:rPr>
        <w:t>Fractonal Shares</w:t>
      </w:r>
      <w:r>
        <w:rPr>
          <w:rFonts w:ascii="Calibri" w:cs="Calibri" w:eastAsia="Calibri" w:hAnsi="Calibri"/>
          <w:sz w:val="20"/>
          <w:szCs w:val="20"/>
          <w:color w:val="auto"/>
        </w:rPr>
        <w:t>. No fractonal shares of Common Stock will be issued under the Plan or this Agreement.</w:t>
      </w:r>
    </w:p>
    <w:p>
      <w:pPr>
        <w:spacing w:after="0" w:line="242" w:lineRule="exact"/>
        <w:rPr>
          <w:sz w:val="20"/>
          <w:szCs w:val="20"/>
          <w:color w:val="auto"/>
        </w:rPr>
      </w:pPr>
    </w:p>
    <w:p>
      <w:pPr>
        <w:jc w:val="center"/>
        <w:ind w:right="-11"/>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638175</wp:posOffset>
            </wp:positionV>
            <wp:extent cx="65665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12"/>
          </w:cols>
          <w:pgMar w:left="1028" w:top="1023" w:right="1059" w:bottom="1440" w:gutter="0" w:footer="0" w:header="0"/>
        </w:sectPr>
      </w:pPr>
    </w:p>
    <w:bookmarkStart w:id="50" w:name="page51"/>
    <w:bookmarkEnd w:id="50"/>
    <w:p>
      <w:pPr>
        <w:ind w:left="332" w:hanging="332"/>
        <w:spacing w:after="0" w:line="232" w:lineRule="auto"/>
        <w:tabs>
          <w:tab w:leader="none" w:pos="332" w:val="left"/>
        </w:tabs>
        <w:numPr>
          <w:ilvl w:val="0"/>
          <w:numId w:val="39"/>
        </w:numPr>
        <w:rPr>
          <w:rFonts w:ascii="Calibri" w:cs="Calibri" w:eastAsia="Calibri" w:hAnsi="Calibri"/>
          <w:sz w:val="20"/>
          <w:szCs w:val="20"/>
          <w:color w:val="auto"/>
        </w:rPr>
      </w:pPr>
      <w:r>
        <w:rPr>
          <w:rFonts w:ascii="Calibri" w:cs="Calibri" w:eastAsia="Calibri" w:hAnsi="Calibri"/>
          <w:sz w:val="20"/>
          <w:szCs w:val="20"/>
          <w:u w:val="single" w:color="auto"/>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8387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501765" cy="8387715"/>
                    </a:xfrm>
                    <a:prstGeom prst="rect">
                      <a:avLst/>
                    </a:prstGeom>
                    <a:noFill/>
                  </pic:spPr>
                </pic:pic>
              </a:graphicData>
            </a:graphic>
          </wp:anchor>
        </w:drawing>
        <w:t>Withholding Tax</w:t>
      </w:r>
      <w:r>
        <w:rPr>
          <w:rFonts w:ascii="Calibri" w:cs="Calibri" w:eastAsia="Calibri" w:hAnsi="Calibri"/>
          <w:sz w:val="20"/>
          <w:szCs w:val="20"/>
          <w:color w:val="auto"/>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tme, (i) such amount of money or shares of Common Stock earned or owned by Employee or (ii) if employee is an executve ofcer at the tme of such tax event and so elects (or, otherwise, with WM’s approval), shares deliverable to Employee at such tme pursuant to the applicable Award, in each case, as WM may require to meet its obligaton under applicable tax laws or regulatons, and, if Employee fails to do so, WM is authorized to withhold from any shares of Common Stock deliverable to Employee, cash, or other form of remuneraton then or thereafer payable to Employee, any tax required to be withheld.</w:t>
      </w:r>
    </w:p>
    <w:p>
      <w:pPr>
        <w:spacing w:after="0" w:line="252" w:lineRule="exact"/>
        <w:rPr>
          <w:rFonts w:ascii="Calibri" w:cs="Calibri" w:eastAsia="Calibri" w:hAnsi="Calibri"/>
          <w:sz w:val="20"/>
          <w:szCs w:val="20"/>
          <w:color w:val="auto"/>
        </w:rPr>
      </w:pPr>
    </w:p>
    <w:p>
      <w:pPr>
        <w:ind w:left="332" w:right="200" w:hanging="332"/>
        <w:spacing w:after="0" w:line="232" w:lineRule="auto"/>
        <w:tabs>
          <w:tab w:leader="none" w:pos="332" w:val="left"/>
        </w:tabs>
        <w:numPr>
          <w:ilvl w:val="0"/>
          <w:numId w:val="39"/>
        </w:numPr>
        <w:rPr>
          <w:rFonts w:ascii="Calibri" w:cs="Calibri" w:eastAsia="Calibri" w:hAnsi="Calibri"/>
          <w:sz w:val="20"/>
          <w:szCs w:val="20"/>
          <w:color w:val="auto"/>
        </w:rPr>
      </w:pPr>
      <w:r>
        <w:rPr>
          <w:rFonts w:ascii="Calibri" w:cs="Calibri" w:eastAsia="Calibri" w:hAnsi="Calibri"/>
          <w:sz w:val="20"/>
          <w:szCs w:val="20"/>
          <w:u w:val="single" w:color="auto"/>
          <w:color w:val="auto"/>
        </w:rPr>
        <w:t>Compliance with Securites Laws.</w:t>
      </w:r>
      <w:r>
        <w:rPr>
          <w:rFonts w:ascii="Calibri" w:cs="Calibri" w:eastAsia="Calibri" w:hAnsi="Calibri"/>
          <w:sz w:val="20"/>
          <w:szCs w:val="20"/>
          <w:color w:val="auto"/>
        </w:rPr>
        <w:t xml:space="preserve"> WM is not required to deliver any shares of Common Stock under this Agreement, if, in the opinion of counsel for the Company, such issuance would violate the Securites Act of 1933, any other applicable federal or state securites laws or regulatons, or the requirements of any stock exchange or market system upon which the Common Stock may then be listed. Prior to the issuance of any shares, WM may require Employee (or Employee’s legal representatve upon Employee’s death or disability) to enter into such writen representatons, warrantes and agreements as WM may reasonably request in order to comply with applicable laws, including an agreement (in such form as the Commitee may specify) under which Employee represents that the shares of Common Stock acquired under an Award are being acquired for investment and not with a view to sale or distributon.</w:t>
      </w:r>
    </w:p>
    <w:p>
      <w:pPr>
        <w:spacing w:after="0" w:line="252" w:lineRule="exact"/>
        <w:rPr>
          <w:rFonts w:ascii="Calibri" w:cs="Calibri" w:eastAsia="Calibri" w:hAnsi="Calibri"/>
          <w:sz w:val="20"/>
          <w:szCs w:val="20"/>
          <w:color w:val="auto"/>
        </w:rPr>
      </w:pPr>
    </w:p>
    <w:p>
      <w:pPr>
        <w:ind w:left="332" w:right="40"/>
        <w:spacing w:after="0" w:line="230" w:lineRule="auto"/>
        <w:rPr>
          <w:rFonts w:ascii="Calibri" w:cs="Calibri" w:eastAsia="Calibri" w:hAnsi="Calibri"/>
          <w:sz w:val="20"/>
          <w:szCs w:val="20"/>
          <w:color w:val="auto"/>
        </w:rPr>
      </w:pPr>
      <w:r>
        <w:rPr>
          <w:rFonts w:ascii="Calibri" w:cs="Calibri" w:eastAsia="Calibri" w:hAnsi="Calibri"/>
          <w:sz w:val="20"/>
          <w:szCs w:val="20"/>
          <w:color w:val="auto"/>
        </w:rPr>
        <w:t>Further, WM may postpone issuing and/or delivering any Common Stock for so long as WM, in its complete and sole discreton, reasonably determines is necessary to satsfy any of the following conditons: (a) the Company completng or amending any securites registraton or qualifcaton of the Common Stock, (b) receipt of proof satsfactory to WM that a person seeking to exercise the Award afer the Employee’s death is enttled to do so; (c) establishment of Employee’s compliance with any necessary representatons or terms and conditons of the Plan or this Agreement, or (d) compliance with any federal, state, or local tax withholding obligatons.</w:t>
      </w:r>
    </w:p>
    <w:p>
      <w:pPr>
        <w:spacing w:after="0" w:line="256" w:lineRule="exact"/>
        <w:rPr>
          <w:rFonts w:ascii="Calibri" w:cs="Calibri" w:eastAsia="Calibri" w:hAnsi="Calibri"/>
          <w:sz w:val="20"/>
          <w:szCs w:val="20"/>
          <w:color w:val="auto"/>
        </w:rPr>
      </w:pPr>
    </w:p>
    <w:p>
      <w:pPr>
        <w:ind w:left="332" w:right="260" w:hanging="332"/>
        <w:spacing w:after="0" w:line="231" w:lineRule="auto"/>
        <w:tabs>
          <w:tab w:leader="none" w:pos="332" w:val="left"/>
        </w:tabs>
        <w:numPr>
          <w:ilvl w:val="0"/>
          <w:numId w:val="39"/>
        </w:numPr>
        <w:rPr>
          <w:rFonts w:ascii="Calibri" w:cs="Calibri" w:eastAsia="Calibri" w:hAnsi="Calibri"/>
          <w:sz w:val="20"/>
          <w:szCs w:val="20"/>
          <w:color w:val="auto"/>
        </w:rPr>
      </w:pPr>
      <w:r>
        <w:rPr>
          <w:rFonts w:ascii="Calibri" w:cs="Calibri" w:eastAsia="Calibri" w:hAnsi="Calibri"/>
          <w:sz w:val="20"/>
          <w:szCs w:val="20"/>
          <w:u w:val="single" w:color="auto"/>
          <w:color w:val="auto"/>
        </w:rPr>
        <w:t>Employee to Have no Rights as a Stockholder.</w:t>
      </w:r>
      <w:r>
        <w:rPr>
          <w:rFonts w:ascii="Calibri" w:cs="Calibri" w:eastAsia="Calibri" w:hAnsi="Calibri"/>
          <w:sz w:val="20"/>
          <w:szCs w:val="20"/>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7 under “</w:t>
      </w:r>
      <w:r>
        <w:rPr>
          <w:rFonts w:ascii="Calibri" w:cs="Calibri" w:eastAsia="Calibri" w:hAnsi="Calibri"/>
          <w:sz w:val="20"/>
          <w:szCs w:val="20"/>
          <w:b w:val="1"/>
          <w:bCs w:val="1"/>
          <w:color w:val="auto"/>
        </w:rPr>
        <w:t>Important Award Details</w:t>
      </w:r>
      <w:r>
        <w:rPr>
          <w:rFonts w:ascii="Calibri" w:cs="Calibri" w:eastAsia="Calibri" w:hAnsi="Calibri"/>
          <w:sz w:val="20"/>
          <w:szCs w:val="20"/>
          <w:color w:val="auto"/>
        </w:rPr>
        <w:t>.”</w:t>
      </w:r>
    </w:p>
    <w:p>
      <w:pPr>
        <w:spacing w:after="0" w:line="256" w:lineRule="exact"/>
        <w:rPr>
          <w:rFonts w:ascii="Calibri" w:cs="Calibri" w:eastAsia="Calibri" w:hAnsi="Calibri"/>
          <w:sz w:val="20"/>
          <w:szCs w:val="20"/>
          <w:color w:val="auto"/>
        </w:rPr>
      </w:pPr>
    </w:p>
    <w:p>
      <w:pPr>
        <w:ind w:left="332" w:right="160" w:hanging="332"/>
        <w:spacing w:after="0" w:line="231" w:lineRule="auto"/>
        <w:tabs>
          <w:tab w:leader="none" w:pos="332" w:val="left"/>
        </w:tabs>
        <w:numPr>
          <w:ilvl w:val="0"/>
          <w:numId w:val="39"/>
        </w:numPr>
        <w:rPr>
          <w:rFonts w:ascii="Calibri" w:cs="Calibri" w:eastAsia="Calibri" w:hAnsi="Calibri"/>
          <w:sz w:val="20"/>
          <w:szCs w:val="20"/>
          <w:color w:val="auto"/>
        </w:rPr>
      </w:pPr>
      <w:r>
        <w:rPr>
          <w:rFonts w:ascii="Calibri" w:cs="Calibri" w:eastAsia="Calibri" w:hAnsi="Calibri"/>
          <w:sz w:val="20"/>
          <w:szCs w:val="20"/>
          <w:u w:val="single" w:color="auto"/>
          <w:color w:val="auto"/>
        </w:rPr>
        <w:t>Successors and Assigns</w:t>
      </w:r>
      <w:r>
        <w:rPr>
          <w:rFonts w:ascii="Calibri" w:cs="Calibri" w:eastAsia="Calibri" w:hAnsi="Calibri"/>
          <w:sz w:val="20"/>
          <w:szCs w:val="20"/>
          <w:color w:val="auto"/>
        </w:rPr>
        <w:t>. This Agreement shall bind and inure to the beneft of and be enforceable by Employee, WM and their respectve permited successors or assigns (including personal representatves, heirs, and legatees), except that Employee may not assign any rights or obligatons under this Agreement except to the extent, and in the manner, expressly permited herein. The Company shall require any successor (whether direct or indirect, by purchase, merger, consolidaton or otherwise) to all or substantally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6.b. under “</w:t>
      </w:r>
      <w:r>
        <w:rPr>
          <w:rFonts w:ascii="Calibri" w:cs="Calibri" w:eastAsia="Calibri" w:hAnsi="Calibri"/>
          <w:sz w:val="20"/>
          <w:szCs w:val="20"/>
          <w:b w:val="1"/>
          <w:bCs w:val="1"/>
          <w:color w:val="auto"/>
        </w:rPr>
        <w:t>Important Award Details</w:t>
      </w:r>
      <w:r>
        <w:rPr>
          <w:rFonts w:ascii="Calibri" w:cs="Calibri" w:eastAsia="Calibri" w:hAnsi="Calibri"/>
          <w:sz w:val="20"/>
          <w:szCs w:val="20"/>
          <w:color w:val="auto"/>
        </w:rPr>
        <w:t>.”</w:t>
      </w:r>
    </w:p>
    <w:p>
      <w:pPr>
        <w:spacing w:after="0" w:line="256" w:lineRule="exact"/>
        <w:rPr>
          <w:rFonts w:ascii="Calibri" w:cs="Calibri" w:eastAsia="Calibri" w:hAnsi="Calibri"/>
          <w:sz w:val="20"/>
          <w:szCs w:val="20"/>
          <w:color w:val="auto"/>
        </w:rPr>
      </w:pPr>
    </w:p>
    <w:p>
      <w:pPr>
        <w:ind w:left="332" w:hanging="332"/>
        <w:spacing w:after="0"/>
        <w:tabs>
          <w:tab w:leader="none" w:pos="332" w:val="left"/>
        </w:tabs>
        <w:numPr>
          <w:ilvl w:val="0"/>
          <w:numId w:val="39"/>
        </w:numPr>
        <w:rPr>
          <w:rFonts w:ascii="Calibri" w:cs="Calibri" w:eastAsia="Calibri" w:hAnsi="Calibri"/>
          <w:sz w:val="20"/>
          <w:szCs w:val="20"/>
          <w:color w:val="auto"/>
        </w:rPr>
      </w:pPr>
      <w:r>
        <w:rPr>
          <w:rFonts w:ascii="Calibri" w:cs="Calibri" w:eastAsia="Calibri" w:hAnsi="Calibri"/>
          <w:sz w:val="20"/>
          <w:szCs w:val="20"/>
          <w:u w:val="single" w:color="auto"/>
          <w:color w:val="auto"/>
        </w:rPr>
        <w:t>Limitaton of Rights</w:t>
      </w:r>
      <w:r>
        <w:rPr>
          <w:rFonts w:ascii="Calibri" w:cs="Calibri" w:eastAsia="Calibri" w:hAnsi="Calibri"/>
          <w:sz w:val="20"/>
          <w:szCs w:val="20"/>
          <w:color w:val="auto"/>
        </w:rPr>
        <w:t>. Nothing in this Agreement or the Plan may be construed to:</w:t>
      </w:r>
    </w:p>
    <w:p>
      <w:pPr>
        <w:spacing w:after="0" w:line="241" w:lineRule="exact"/>
        <w:rPr>
          <w:rFonts w:ascii="Calibri" w:cs="Calibri" w:eastAsia="Calibri" w:hAnsi="Calibri"/>
          <w:sz w:val="20"/>
          <w:szCs w:val="20"/>
          <w:color w:val="auto"/>
        </w:rPr>
      </w:pPr>
    </w:p>
    <w:p>
      <w:pPr>
        <w:ind w:left="652" w:hanging="328"/>
        <w:spacing w:after="0"/>
        <w:tabs>
          <w:tab w:leader="none" w:pos="652" w:val="left"/>
        </w:tabs>
        <w:numPr>
          <w:ilvl w:val="1"/>
          <w:numId w:val="39"/>
        </w:numPr>
        <w:rPr>
          <w:rFonts w:ascii="Calibri" w:cs="Calibri" w:eastAsia="Calibri" w:hAnsi="Calibri"/>
          <w:sz w:val="20"/>
          <w:szCs w:val="20"/>
          <w:color w:val="auto"/>
        </w:rPr>
      </w:pPr>
      <w:r>
        <w:rPr>
          <w:rFonts w:ascii="Calibri" w:cs="Calibri" w:eastAsia="Calibri" w:hAnsi="Calibri"/>
          <w:sz w:val="20"/>
          <w:szCs w:val="20"/>
          <w:color w:val="auto"/>
        </w:rPr>
        <w:t>give Employee any right to be awarded any further Awards other than in the sole discreton of the Commitee;</w:t>
      </w:r>
    </w:p>
    <w:p>
      <w:pPr>
        <w:spacing w:after="0" w:line="238" w:lineRule="exact"/>
        <w:rPr>
          <w:rFonts w:ascii="Calibri" w:cs="Calibri" w:eastAsia="Calibri" w:hAnsi="Calibri"/>
          <w:sz w:val="20"/>
          <w:szCs w:val="20"/>
          <w:color w:val="auto"/>
        </w:rPr>
      </w:pPr>
    </w:p>
    <w:p>
      <w:pPr>
        <w:jc w:val="both"/>
        <w:ind w:left="652" w:right="340" w:hanging="328"/>
        <w:spacing w:after="0" w:line="231" w:lineRule="auto"/>
        <w:tabs>
          <w:tab w:leader="none" w:pos="652" w:val="left"/>
        </w:tabs>
        <w:numPr>
          <w:ilvl w:val="1"/>
          <w:numId w:val="39"/>
        </w:numPr>
        <w:rPr>
          <w:rFonts w:ascii="Calibri" w:cs="Calibri" w:eastAsia="Calibri" w:hAnsi="Calibri"/>
          <w:sz w:val="20"/>
          <w:szCs w:val="20"/>
          <w:color w:val="auto"/>
        </w:rPr>
      </w:pPr>
      <w:r>
        <w:rPr>
          <w:rFonts w:ascii="Calibri" w:cs="Calibri" w:eastAsia="Calibri" w:hAnsi="Calibri"/>
          <w:sz w:val="20"/>
          <w:szCs w:val="20"/>
          <w:color w:val="auto"/>
        </w:rPr>
        <w:t>give Employee or any other person any interest in any fund or in any specifed asset or assets of WM (other than the Awards made by this Agreement, the related Dividend Equivalents awarded under this Agreement, and any Common Stock issuable under the terms and conditons of such Awards); or</w:t>
      </w:r>
    </w:p>
    <w:p>
      <w:pPr>
        <w:spacing w:after="0" w:line="95" w:lineRule="exact"/>
        <w:rPr>
          <w:rFonts w:ascii="Calibri" w:cs="Calibri" w:eastAsia="Calibri" w:hAnsi="Calibri"/>
          <w:sz w:val="20"/>
          <w:szCs w:val="20"/>
          <w:color w:val="auto"/>
        </w:rPr>
      </w:pPr>
    </w:p>
    <w:p>
      <w:pPr>
        <w:ind w:left="652" w:hanging="328"/>
        <w:spacing w:after="0"/>
        <w:tabs>
          <w:tab w:leader="none" w:pos="652" w:val="left"/>
        </w:tabs>
        <w:numPr>
          <w:ilvl w:val="1"/>
          <w:numId w:val="39"/>
        </w:numPr>
        <w:rPr>
          <w:rFonts w:ascii="Calibri" w:cs="Calibri" w:eastAsia="Calibri" w:hAnsi="Calibri"/>
          <w:sz w:val="20"/>
          <w:szCs w:val="20"/>
          <w:color w:val="auto"/>
        </w:rPr>
      </w:pPr>
      <w:r>
        <w:rPr>
          <w:rFonts w:ascii="Calibri" w:cs="Calibri" w:eastAsia="Calibri" w:hAnsi="Calibri"/>
          <w:sz w:val="20"/>
          <w:szCs w:val="20"/>
          <w:color w:val="auto"/>
        </w:rPr>
        <w:t>confer upon Employee the right to contnue in the employment or service of WM.</w:t>
      </w:r>
    </w:p>
    <w:p>
      <w:pPr>
        <w:spacing w:after="0" w:line="93" w:lineRule="exact"/>
        <w:rPr>
          <w:sz w:val="20"/>
          <w:szCs w:val="20"/>
          <w:color w:val="auto"/>
        </w:rPr>
      </w:pPr>
    </w:p>
    <w:p>
      <w:pPr>
        <w:jc w:val="center"/>
        <w:ind w:right="-11"/>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647065</wp:posOffset>
            </wp:positionV>
            <wp:extent cx="656653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12"/>
          </w:cols>
          <w:pgMar w:left="1028" w:top="1033" w:right="1059" w:bottom="1440" w:gutter="0" w:footer="0" w:header="0"/>
        </w:sectPr>
      </w:pPr>
    </w:p>
    <w:bookmarkStart w:id="51" w:name="page52"/>
    <w:bookmarkEnd w:id="51"/>
    <w:p>
      <w:pPr>
        <w:ind w:left="332" w:right="340" w:hanging="332"/>
        <w:spacing w:after="0" w:line="234" w:lineRule="auto"/>
        <w:tabs>
          <w:tab w:leader="none" w:pos="332" w:val="left"/>
        </w:tabs>
        <w:numPr>
          <w:ilvl w:val="0"/>
          <w:numId w:val="40"/>
        </w:numPr>
        <w:rPr>
          <w:rFonts w:ascii="Calibri" w:cs="Calibri" w:eastAsia="Calibri" w:hAnsi="Calibri"/>
          <w:sz w:val="20"/>
          <w:szCs w:val="20"/>
          <w:color w:val="auto"/>
        </w:rPr>
      </w:pPr>
      <w:r>
        <w:rPr>
          <w:rFonts w:ascii="Calibri" w:cs="Calibri" w:eastAsia="Calibri" w:hAnsi="Calibri"/>
          <w:sz w:val="20"/>
          <w:szCs w:val="20"/>
          <w:u w:val="single" w:color="auto"/>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8413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501765" cy="8413750"/>
                    </a:xfrm>
                    <a:prstGeom prst="rect">
                      <a:avLst/>
                    </a:prstGeom>
                    <a:noFill/>
                  </pic:spPr>
                </pic:pic>
              </a:graphicData>
            </a:graphic>
          </wp:anchor>
        </w:drawing>
        <w:t>Governing Law</w:t>
      </w:r>
      <w:r>
        <w:rPr>
          <w:rFonts w:ascii="Calibri" w:cs="Calibri" w:eastAsia="Calibri" w:hAnsi="Calibri"/>
          <w:sz w:val="20"/>
          <w:szCs w:val="20"/>
          <w:color w:val="auto"/>
        </w:rPr>
        <w:t>. This Agreement shall be governed by and construed in accordance with the internal laws of the State of Texas, without reference to principles of confict of laws.</w:t>
      </w:r>
    </w:p>
    <w:p>
      <w:pPr>
        <w:spacing w:after="0" w:line="252" w:lineRule="exact"/>
        <w:rPr>
          <w:rFonts w:ascii="Calibri" w:cs="Calibri" w:eastAsia="Calibri" w:hAnsi="Calibri"/>
          <w:sz w:val="20"/>
          <w:szCs w:val="20"/>
          <w:color w:val="auto"/>
        </w:rPr>
      </w:pPr>
    </w:p>
    <w:p>
      <w:pPr>
        <w:ind w:left="332" w:right="60" w:hanging="332"/>
        <w:spacing w:after="0" w:line="234" w:lineRule="auto"/>
        <w:tabs>
          <w:tab w:leader="none" w:pos="332" w:val="left"/>
        </w:tabs>
        <w:numPr>
          <w:ilvl w:val="0"/>
          <w:numId w:val="40"/>
        </w:numPr>
        <w:rPr>
          <w:rFonts w:ascii="Calibri" w:cs="Calibri" w:eastAsia="Calibri" w:hAnsi="Calibri"/>
          <w:sz w:val="20"/>
          <w:szCs w:val="20"/>
          <w:color w:val="auto"/>
        </w:rPr>
      </w:pPr>
      <w:r>
        <w:rPr>
          <w:rFonts w:ascii="Calibri" w:cs="Calibri" w:eastAsia="Calibri" w:hAnsi="Calibri"/>
          <w:sz w:val="20"/>
          <w:szCs w:val="20"/>
          <w:u w:val="single" w:color="auto"/>
          <w:color w:val="auto"/>
        </w:rPr>
        <w:t>Severability/Entre Agreement</w:t>
      </w:r>
      <w:r>
        <w:rPr>
          <w:rFonts w:ascii="Calibri" w:cs="Calibri" w:eastAsia="Calibri" w:hAnsi="Calibri"/>
          <w:sz w:val="20"/>
          <w:szCs w:val="20"/>
          <w:color w:val="auto"/>
        </w:rPr>
        <w:t>. The invalidity or unenforceability of any provision of this Agreement shall not afect the validity or enforceability of any other provision of this Agreement.</w:t>
      </w:r>
    </w:p>
    <w:p>
      <w:pPr>
        <w:spacing w:after="0" w:line="252" w:lineRule="exact"/>
        <w:rPr>
          <w:rFonts w:ascii="Calibri" w:cs="Calibri" w:eastAsia="Calibri" w:hAnsi="Calibri"/>
          <w:sz w:val="20"/>
          <w:szCs w:val="20"/>
          <w:color w:val="auto"/>
        </w:rPr>
      </w:pPr>
    </w:p>
    <w:p>
      <w:pPr>
        <w:ind w:left="652" w:right="200" w:hanging="328"/>
        <w:spacing w:after="0" w:line="230" w:lineRule="auto"/>
        <w:tabs>
          <w:tab w:leader="none" w:pos="652" w:val="left"/>
        </w:tabs>
        <w:numPr>
          <w:ilvl w:val="1"/>
          <w:numId w:val="40"/>
        </w:numPr>
        <w:rPr>
          <w:rFonts w:ascii="Calibri" w:cs="Calibri" w:eastAsia="Calibri" w:hAnsi="Calibri"/>
          <w:sz w:val="20"/>
          <w:szCs w:val="20"/>
          <w:color w:val="auto"/>
        </w:rPr>
      </w:pPr>
      <w:r>
        <w:rPr>
          <w:rFonts w:ascii="Calibri" w:cs="Calibri" w:eastAsia="Calibri" w:hAnsi="Calibri"/>
          <w:sz w:val="20"/>
          <w:szCs w:val="20"/>
          <w:color w:val="auto"/>
        </w:rPr>
        <w:t>Employee understands and agrees that the Awards granted under this Agreement are granted under the authority of the Plan and these Awards and this Agreement are in all ways governed by the terms and conditons of the Plan and its administratve practces and interpretatons, which also includes the Clawback Policy to the extent applicable. Any inconsistency between the Agreement and the Plan shall be resolved in favor of the Plan. Employee also agrees the terms and conditons of the Plan, this Agreement and related administratve practces and interpretatons control, even if there is a confict with any other terms and conditons in any employment agreement or in any prior awards. Without limitng the generality of the foregoing, as a conditon to receipt of this Award, Employee agrees that the provisions relatng to vestng and/or forfeiture of this Award upon a Terminaton of Employment set forth in this Agreement supersede and replace any provisions relatng to vestng of the Award upon terminaton or other event set forth in any employment agreement, ofer leter or similar document.</w:t>
      </w:r>
    </w:p>
    <w:p>
      <w:pPr>
        <w:spacing w:after="0" w:line="274" w:lineRule="exact"/>
        <w:rPr>
          <w:rFonts w:ascii="Calibri" w:cs="Calibri" w:eastAsia="Calibri" w:hAnsi="Calibri"/>
          <w:sz w:val="20"/>
          <w:szCs w:val="20"/>
          <w:color w:val="auto"/>
        </w:rPr>
      </w:pPr>
    </w:p>
    <w:p>
      <w:pPr>
        <w:jc w:val="both"/>
        <w:ind w:left="652" w:right="440" w:hanging="328"/>
        <w:spacing w:after="0" w:line="231" w:lineRule="auto"/>
        <w:tabs>
          <w:tab w:leader="none" w:pos="652" w:val="left"/>
        </w:tabs>
        <w:numPr>
          <w:ilvl w:val="1"/>
          <w:numId w:val="40"/>
        </w:numPr>
        <w:rPr>
          <w:rFonts w:ascii="Calibri" w:cs="Calibri" w:eastAsia="Calibri" w:hAnsi="Calibri"/>
          <w:sz w:val="20"/>
          <w:szCs w:val="20"/>
          <w:color w:val="auto"/>
        </w:rPr>
      </w:pPr>
      <w:r>
        <w:rPr>
          <w:rFonts w:ascii="Calibri" w:cs="Calibri" w:eastAsia="Calibri" w:hAnsi="Calibri"/>
          <w:sz w:val="20"/>
          <w:szCs w:val="20"/>
          <w:color w:val="auto"/>
        </w:rPr>
        <w:t>Employee understands and agrees that he or she is to consult with and rely upon only Employee’s own tax, legal, and fnancial advisors regarding the consequences and risks of this Agreement and the awards made under this Agreement.</w:t>
      </w:r>
    </w:p>
    <w:p>
      <w:pPr>
        <w:spacing w:after="0" w:line="240" w:lineRule="exact"/>
        <w:rPr>
          <w:rFonts w:ascii="Calibri" w:cs="Calibri" w:eastAsia="Calibri" w:hAnsi="Calibri"/>
          <w:sz w:val="20"/>
          <w:szCs w:val="20"/>
          <w:color w:val="auto"/>
        </w:rPr>
      </w:pPr>
    </w:p>
    <w:p>
      <w:pPr>
        <w:ind w:left="652" w:hanging="328"/>
        <w:spacing w:after="0" w:line="231" w:lineRule="auto"/>
        <w:tabs>
          <w:tab w:leader="none" w:pos="652" w:val="left"/>
        </w:tabs>
        <w:numPr>
          <w:ilvl w:val="1"/>
          <w:numId w:val="40"/>
        </w:numPr>
        <w:rPr>
          <w:rFonts w:ascii="Calibri" w:cs="Calibri" w:eastAsia="Calibri" w:hAnsi="Calibri"/>
          <w:sz w:val="20"/>
          <w:szCs w:val="20"/>
          <w:color w:val="auto"/>
        </w:rPr>
      </w:pPr>
      <w:r>
        <w:rPr>
          <w:rFonts w:ascii="Calibri" w:cs="Calibri" w:eastAsia="Calibri" w:hAnsi="Calibri"/>
          <w:sz w:val="20"/>
          <w:szCs w:val="20"/>
          <w:color w:val="auto"/>
        </w:rPr>
        <w:t>Except as provided in paragraph 13 below, this Agreement may not be amended except in writng (including by electronic writng) signed by all the partes to this Agreement (or their respectve successors and legal representatves). The captons are not a part of the Agreement and for that reason shall have no force or efect.</w:t>
      </w:r>
    </w:p>
    <w:p>
      <w:pPr>
        <w:spacing w:after="0" w:line="253" w:lineRule="exact"/>
        <w:rPr>
          <w:rFonts w:ascii="Calibri" w:cs="Calibri" w:eastAsia="Calibri" w:hAnsi="Calibri"/>
          <w:sz w:val="20"/>
          <w:szCs w:val="20"/>
          <w:color w:val="auto"/>
        </w:rPr>
      </w:pPr>
    </w:p>
    <w:p>
      <w:pPr>
        <w:jc w:val="both"/>
        <w:ind w:left="332" w:right="160" w:hanging="332"/>
        <w:spacing w:after="0" w:line="231" w:lineRule="auto"/>
        <w:tabs>
          <w:tab w:leader="none" w:pos="332" w:val="left"/>
        </w:tabs>
        <w:numPr>
          <w:ilvl w:val="0"/>
          <w:numId w:val="40"/>
        </w:numPr>
        <w:rPr>
          <w:rFonts w:ascii="Calibri" w:cs="Calibri" w:eastAsia="Calibri" w:hAnsi="Calibri"/>
          <w:sz w:val="20"/>
          <w:szCs w:val="20"/>
          <w:color w:val="auto"/>
        </w:rPr>
      </w:pPr>
      <w:r>
        <w:rPr>
          <w:rFonts w:ascii="Calibri" w:cs="Calibri" w:eastAsia="Calibri" w:hAnsi="Calibri"/>
          <w:sz w:val="20"/>
          <w:szCs w:val="20"/>
          <w:u w:val="single" w:color="auto"/>
          <w:color w:val="auto"/>
        </w:rPr>
        <w:t>No Waiver</w:t>
      </w:r>
      <w:r>
        <w:rPr>
          <w:rFonts w:ascii="Calibri" w:cs="Calibri" w:eastAsia="Calibri" w:hAnsi="Calibri"/>
          <w:sz w:val="20"/>
          <w:szCs w:val="20"/>
          <w:color w:val="auto"/>
        </w:rPr>
        <w:t>. In the event the Employee or WM fails to insist on strict compliance with any term or conditon of this Agreement or fails to assert any right under this Agreement, such failure is not a waiver of that term, conditon or right.</w:t>
      </w:r>
    </w:p>
    <w:p>
      <w:pPr>
        <w:spacing w:after="0" w:line="253" w:lineRule="exact"/>
        <w:rPr>
          <w:rFonts w:ascii="Calibri" w:cs="Calibri" w:eastAsia="Calibri" w:hAnsi="Calibri"/>
          <w:sz w:val="20"/>
          <w:szCs w:val="20"/>
          <w:color w:val="auto"/>
        </w:rPr>
      </w:pPr>
    </w:p>
    <w:p>
      <w:pPr>
        <w:ind w:left="332" w:right="20" w:hanging="332"/>
        <w:spacing w:after="0" w:line="231" w:lineRule="auto"/>
        <w:tabs>
          <w:tab w:leader="none" w:pos="332" w:val="left"/>
        </w:tabs>
        <w:numPr>
          <w:ilvl w:val="0"/>
          <w:numId w:val="40"/>
        </w:numPr>
        <w:rPr>
          <w:rFonts w:ascii="Calibri" w:cs="Calibri" w:eastAsia="Calibri" w:hAnsi="Calibri"/>
          <w:sz w:val="20"/>
          <w:szCs w:val="20"/>
          <w:color w:val="auto"/>
        </w:rPr>
      </w:pPr>
      <w:r>
        <w:rPr>
          <w:rFonts w:ascii="Calibri" w:cs="Calibri" w:eastAsia="Calibri" w:hAnsi="Calibri"/>
          <w:sz w:val="20"/>
          <w:szCs w:val="20"/>
          <w:u w:val="single" w:color="auto"/>
          <w:color w:val="auto"/>
        </w:rPr>
        <w:t>Covenant Requirement Essental Part of Award</w:t>
      </w:r>
      <w:r>
        <w:rPr>
          <w:rFonts w:ascii="Calibri" w:cs="Calibri" w:eastAsia="Calibri" w:hAnsi="Calibri"/>
          <w:sz w:val="20"/>
          <w:szCs w:val="20"/>
          <w:color w:val="auto"/>
        </w:rPr>
        <w:t>. An overriding conditon (even if any other provision of the Plan and this Agreement are confictng) for Employee to receive any beneft from or payment of any Award under this Agreement, is that Employee must also have entered, and abided by the terms of, an agreement containing restrictve covenants concerning limitatons on Employee’s behavior following terminaton of employment that is satsfactory to WM.</w:t>
      </w:r>
    </w:p>
    <w:p>
      <w:pPr>
        <w:spacing w:after="0" w:line="246" w:lineRule="exact"/>
        <w:rPr>
          <w:rFonts w:ascii="Calibri" w:cs="Calibri" w:eastAsia="Calibri" w:hAnsi="Calibri"/>
          <w:sz w:val="20"/>
          <w:szCs w:val="20"/>
          <w:color w:val="auto"/>
        </w:rPr>
      </w:pPr>
    </w:p>
    <w:p>
      <w:pPr>
        <w:ind w:left="332" w:hanging="332"/>
        <w:spacing w:after="0"/>
        <w:tabs>
          <w:tab w:leader="none" w:pos="332" w:val="left"/>
        </w:tabs>
        <w:numPr>
          <w:ilvl w:val="0"/>
          <w:numId w:val="40"/>
        </w:numPr>
        <w:rPr>
          <w:rFonts w:ascii="Calibri" w:cs="Calibri" w:eastAsia="Calibri" w:hAnsi="Calibri"/>
          <w:sz w:val="20"/>
          <w:szCs w:val="20"/>
          <w:color w:val="auto"/>
        </w:rPr>
      </w:pPr>
      <w:r>
        <w:rPr>
          <w:rFonts w:ascii="Calibri" w:cs="Calibri" w:eastAsia="Calibri" w:hAnsi="Calibri"/>
          <w:sz w:val="20"/>
          <w:szCs w:val="20"/>
          <w:u w:val="single" w:color="auto"/>
          <w:color w:val="auto"/>
        </w:rPr>
        <w:t>Defnitons</w:t>
      </w:r>
      <w:r>
        <w:rPr>
          <w:rFonts w:ascii="Calibri" w:cs="Calibri" w:eastAsia="Calibri" w:hAnsi="Calibri"/>
          <w:sz w:val="20"/>
          <w:szCs w:val="20"/>
          <w:color w:val="auto"/>
        </w:rPr>
        <w:t>. If not defned in this Agreement, capitalized terms have the meanings set forth in the Plan.</w:t>
      </w:r>
    </w:p>
    <w:p>
      <w:pPr>
        <w:spacing w:after="0" w:line="238" w:lineRule="exact"/>
        <w:rPr>
          <w:rFonts w:ascii="Calibri" w:cs="Calibri" w:eastAsia="Calibri" w:hAnsi="Calibri"/>
          <w:sz w:val="20"/>
          <w:szCs w:val="20"/>
          <w:color w:val="auto"/>
        </w:rPr>
      </w:pPr>
    </w:p>
    <w:p>
      <w:pPr>
        <w:ind w:left="332" w:right="100" w:hanging="332"/>
        <w:spacing w:after="0" w:line="231" w:lineRule="auto"/>
        <w:tabs>
          <w:tab w:leader="none" w:pos="332" w:val="left"/>
        </w:tabs>
        <w:numPr>
          <w:ilvl w:val="0"/>
          <w:numId w:val="40"/>
        </w:numPr>
        <w:rPr>
          <w:rFonts w:ascii="Calibri" w:cs="Calibri" w:eastAsia="Calibri" w:hAnsi="Calibri"/>
          <w:sz w:val="20"/>
          <w:szCs w:val="20"/>
          <w:color w:val="auto"/>
        </w:rPr>
      </w:pPr>
      <w:r>
        <w:rPr>
          <w:rFonts w:ascii="Calibri" w:cs="Calibri" w:eastAsia="Calibri" w:hAnsi="Calibri"/>
          <w:sz w:val="20"/>
          <w:szCs w:val="20"/>
          <w:u w:val="single" w:color="auto"/>
          <w:color w:val="auto"/>
        </w:rPr>
        <w:t>Compliance with Secton 409A</w:t>
      </w:r>
      <w:r>
        <w:rPr>
          <w:rFonts w:ascii="Calibri" w:cs="Calibri" w:eastAsia="Calibri" w:hAnsi="Calibri"/>
          <w:sz w:val="20"/>
          <w:szCs w:val="20"/>
          <w:color w:val="auto"/>
        </w:rPr>
        <w:t>. Both WM and Employee intend that this Agreement does not result in unfavorable tax consequences to Employee under Secton 409A. Accordingly, Employee consents to any amendment of this Agreement WM may reasonably make consistent to achieve that intenton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benefts to the Employee to the maximum extent possible. This paragraph does not create an obligaton on the part of WM to modify this Agreement and does not guarantee that the amounts or benefts owed under the Agreement will not be subject to interest and penaltes under Secton 409A. Each cash and/or stock payment and/or beneft provided under the Plan and this Agreement and/or pursuant to the terms of WM’s beneft plans, programs and policies shall be considered a separate payment for purposes of Secton 409A. Notwithstanding the foregoing, it is intended that Stock Opton Awards are not subject to Secton 409A. For purposes of Secton 409A, to the extent that Employee is a “specifed employee” within the meaning of</w:t>
      </w:r>
    </w:p>
    <w:p>
      <w:pPr>
        <w:spacing w:after="0" w:line="6" w:lineRule="exact"/>
        <w:rPr>
          <w:sz w:val="20"/>
          <w:szCs w:val="20"/>
          <w:color w:val="auto"/>
        </w:rPr>
      </w:pPr>
    </w:p>
    <w:p>
      <w:pPr>
        <w:ind w:left="332"/>
        <w:spacing w:after="0"/>
        <w:rPr>
          <w:sz w:val="20"/>
          <w:szCs w:val="20"/>
          <w:color w:val="auto"/>
        </w:rPr>
      </w:pPr>
      <w:r>
        <w:rPr>
          <w:rFonts w:ascii="Calibri" w:cs="Calibri" w:eastAsia="Calibri" w:hAnsi="Calibri"/>
          <w:sz w:val="20"/>
          <w:szCs w:val="20"/>
          <w:color w:val="auto"/>
        </w:rPr>
        <w:t>the Treasury</w:t>
      </w:r>
    </w:p>
    <w:p>
      <w:pPr>
        <w:jc w:val="center"/>
        <w:ind w:right="-11"/>
        <w:spacing w:after="0" w:line="225" w:lineRule="auto"/>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647065</wp:posOffset>
            </wp:positionV>
            <wp:extent cx="656653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32"/>
          </w:cols>
          <w:pgMar w:left="1028" w:top="1033" w:right="1039" w:bottom="1440" w:gutter="0" w:footer="0" w:header="0"/>
        </w:sectPr>
      </w:pPr>
    </w:p>
    <w:bookmarkStart w:id="52" w:name="page53"/>
    <w:bookmarkEnd w:id="52"/>
    <w:p>
      <w:pPr>
        <w:ind w:left="332"/>
        <w:spacing w:after="0" w:line="232" w:lineRule="auto"/>
        <w:rPr>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81991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501765" cy="8199120"/>
                    </a:xfrm>
                    <a:prstGeom prst="rect">
                      <a:avLst/>
                    </a:prstGeom>
                    <a:noFill/>
                  </pic:spPr>
                </pic:pic>
              </a:graphicData>
            </a:graphic>
          </wp:anchor>
        </w:drawing>
        <w:t>Regulatons issued pursuant to Secton 409A as of Employee’s separaton from service and to the limited extent necessary to avoid the imputaton of any tax, penalty or interest pursuant to Secton 409A, notwithstanding anything to the contrary in this Agreement, no amount which is subject to Secton 409A of the Code and is payable on account of Employee’s separaton from service shall be paid to Employee before the date (the “Delayed Payment Date”) which is the frst day of the seventh month afer the Employee’s separaton from service or, if earlier, the date of the Employee’s death following such separaton from service. All such amounts that would, but for the immediately preceding sentence, become payable prior to the Delayed Payment Date will be accumulated and paid without interest on the Delayed Payment Date.</w:t>
      </w:r>
    </w:p>
    <w:p>
      <w:pPr>
        <w:spacing w:after="0" w:line="259" w:lineRule="exact"/>
        <w:rPr>
          <w:sz w:val="20"/>
          <w:szCs w:val="20"/>
          <w:color w:val="auto"/>
        </w:rPr>
      </w:pPr>
    </w:p>
    <w:p>
      <w:pPr>
        <w:ind w:left="332" w:hanging="332"/>
        <w:spacing w:after="0" w:line="231" w:lineRule="auto"/>
        <w:tabs>
          <w:tab w:leader="none" w:pos="332" w:val="left"/>
        </w:tabs>
        <w:numPr>
          <w:ilvl w:val="0"/>
          <w:numId w:val="41"/>
        </w:numPr>
        <w:rPr>
          <w:rFonts w:ascii="Calibri" w:cs="Calibri" w:eastAsia="Calibri" w:hAnsi="Calibri"/>
          <w:sz w:val="20"/>
          <w:szCs w:val="20"/>
          <w:color w:val="auto"/>
        </w:rPr>
      </w:pPr>
      <w:r>
        <w:rPr>
          <w:rFonts w:ascii="Calibri" w:cs="Calibri" w:eastAsia="Calibri" w:hAnsi="Calibri"/>
          <w:sz w:val="20"/>
          <w:szCs w:val="20"/>
          <w:u w:val="single" w:color="auto"/>
          <w:color w:val="auto"/>
        </w:rPr>
        <w:t>Use of Personal Data</w:t>
      </w:r>
      <w:r>
        <w:rPr>
          <w:rFonts w:ascii="Calibri" w:cs="Calibri" w:eastAsia="Calibri" w:hAnsi="Calibri"/>
          <w:sz w:val="20"/>
          <w:szCs w:val="20"/>
          <w:color w:val="auto"/>
        </w:rPr>
        <w:t>. Employee agrees to the collecton, use, processing, and transfer of certain personal data, including name, salary, natonality, job ttle, positon, social security number (or other tax identfcaton number) and details of all past Awards and current Awards outstanding under the Plan (“</w:t>
      </w:r>
      <w:r>
        <w:rPr>
          <w:rFonts w:ascii="Calibri" w:cs="Calibri" w:eastAsia="Calibri" w:hAnsi="Calibri"/>
          <w:sz w:val="20"/>
          <w:szCs w:val="20"/>
          <w:b w:val="1"/>
          <w:bCs w:val="1"/>
          <w:i w:val="1"/>
          <w:iCs w:val="1"/>
          <w:color w:val="auto"/>
        </w:rPr>
        <w:t>Data</w:t>
      </w:r>
      <w:r>
        <w:rPr>
          <w:rFonts w:ascii="Calibri" w:cs="Calibri" w:eastAsia="Calibri" w:hAnsi="Calibri"/>
          <w:sz w:val="20"/>
          <w:szCs w:val="20"/>
          <w:color w:val="auto"/>
        </w:rPr>
        <w:t>”), for the purpose of managing and administering the Plan. Employee is not obliged to consent to such collecton, use, processing, and transfer of personal data, but a refusal to provide such consent may afect the ability to partcipate in the Plan. WM may transfer Data among themselves or to third partes as necessary for the purpose of implementaton, administraton, and management of the Plan. These various recipients of Data may be located throughout the world. Employee authorizes these various recipients of Data to receive, possess, use, retain and transfer the Data, in electronic or other form, for the purposes of implementng, administering, and managing the Plan. Employee may, at any tme, review Data with respect to Employee and require any necessary amendments to such Data. Employee may withdraw his or her consent to use Data herein by notfying WM in writng (according to the provisions of paragraph 15 below); however, Employee understands that by withdrawing his or her consent to use Data, Employee may afect his or her ability to partcipate in the Plan.</w:t>
      </w:r>
    </w:p>
    <w:p>
      <w:pPr>
        <w:spacing w:after="0" w:line="266" w:lineRule="exact"/>
        <w:rPr>
          <w:rFonts w:ascii="Calibri" w:cs="Calibri" w:eastAsia="Calibri" w:hAnsi="Calibri"/>
          <w:sz w:val="20"/>
          <w:szCs w:val="20"/>
          <w:color w:val="auto"/>
        </w:rPr>
      </w:pPr>
    </w:p>
    <w:p>
      <w:pPr>
        <w:ind w:left="332" w:right="100" w:hanging="332"/>
        <w:spacing w:after="0" w:line="230" w:lineRule="auto"/>
        <w:tabs>
          <w:tab w:leader="none" w:pos="332" w:val="left"/>
        </w:tabs>
        <w:numPr>
          <w:ilvl w:val="0"/>
          <w:numId w:val="41"/>
        </w:numPr>
        <w:rPr>
          <w:rFonts w:ascii="Calibri" w:cs="Calibri" w:eastAsia="Calibri" w:hAnsi="Calibri"/>
          <w:sz w:val="20"/>
          <w:szCs w:val="20"/>
          <w:color w:val="auto"/>
        </w:rPr>
      </w:pPr>
      <w:r>
        <w:rPr>
          <w:rFonts w:ascii="Calibri" w:cs="Calibri" w:eastAsia="Calibri" w:hAnsi="Calibri"/>
          <w:sz w:val="20"/>
          <w:szCs w:val="20"/>
          <w:u w:val="single" w:color="auto"/>
          <w:color w:val="auto"/>
        </w:rPr>
        <w:t>Notces</w:t>
      </w:r>
      <w:r>
        <w:rPr>
          <w:rFonts w:ascii="Calibri" w:cs="Calibri" w:eastAsia="Calibri" w:hAnsi="Calibri"/>
          <w:sz w:val="20"/>
          <w:szCs w:val="20"/>
          <w:color w:val="auto"/>
        </w:rPr>
        <w:t>. Any notce given by one party under this Agreement to the other shall be in writng and may be delivered personally or by mail, postage prepaid, addressed to the Secretary of the Company, at its then corporate headquarters, and Employee at Employee’s address as shown on WM’s records, or to such other address as Employee, by notce to the Company, may designate in writng from tme to tme.</w:t>
      </w:r>
    </w:p>
    <w:p>
      <w:pPr>
        <w:spacing w:after="0" w:line="265" w:lineRule="exact"/>
        <w:rPr>
          <w:rFonts w:ascii="Calibri" w:cs="Calibri" w:eastAsia="Calibri" w:hAnsi="Calibri"/>
          <w:sz w:val="20"/>
          <w:szCs w:val="20"/>
          <w:color w:val="auto"/>
        </w:rPr>
      </w:pPr>
    </w:p>
    <w:p>
      <w:pPr>
        <w:ind w:left="332" w:right="100" w:hanging="332"/>
        <w:spacing w:after="0" w:line="229" w:lineRule="auto"/>
        <w:tabs>
          <w:tab w:leader="none" w:pos="332" w:val="left"/>
        </w:tabs>
        <w:numPr>
          <w:ilvl w:val="0"/>
          <w:numId w:val="41"/>
        </w:numPr>
        <w:rPr>
          <w:rFonts w:ascii="Calibri" w:cs="Calibri" w:eastAsia="Calibri" w:hAnsi="Calibri"/>
          <w:sz w:val="20"/>
          <w:szCs w:val="20"/>
          <w:color w:val="auto"/>
        </w:rPr>
      </w:pPr>
      <w:r>
        <w:rPr>
          <w:rFonts w:ascii="Calibri" w:cs="Calibri" w:eastAsia="Calibri" w:hAnsi="Calibri"/>
          <w:sz w:val="20"/>
          <w:szCs w:val="20"/>
          <w:u w:val="single" w:color="auto"/>
          <w:color w:val="auto"/>
        </w:rPr>
        <w:t>Electronic Delivery</w:t>
      </w:r>
      <w:r>
        <w:rPr>
          <w:rFonts w:ascii="Calibri" w:cs="Calibri" w:eastAsia="Calibri" w:hAnsi="Calibri"/>
          <w:sz w:val="20"/>
          <w:szCs w:val="20"/>
          <w:color w:val="auto"/>
        </w:rPr>
        <w:t>. WM may, in its sole discreton, deliver any documents related to the Awards under this Agreement, the Plan, and/or the WM 409A Plan, by electronic means or request Employee’s consent to partcipate in the administraton of this Agreement, the Plan, and/or the WM 409A Plan by electronic means. Employee hereby consents to receive such documents by electronic delivery and agrees to partcipate in the Plan through an on-line or electronic system established and maintained by WM or another third party designated by WM.</w:t>
      </w:r>
    </w:p>
    <w:p>
      <w:pPr>
        <w:spacing w:after="0" w:line="252" w:lineRule="exact"/>
        <w:rPr>
          <w:rFonts w:ascii="Calibri" w:cs="Calibri" w:eastAsia="Calibri" w:hAnsi="Calibri"/>
          <w:sz w:val="20"/>
          <w:szCs w:val="20"/>
          <w:color w:val="auto"/>
        </w:rPr>
      </w:pPr>
    </w:p>
    <w:p>
      <w:pPr>
        <w:ind w:left="332" w:right="20" w:hanging="332"/>
        <w:spacing w:after="0"/>
        <w:tabs>
          <w:tab w:leader="none" w:pos="332" w:val="left"/>
        </w:tabs>
        <w:numPr>
          <w:ilvl w:val="0"/>
          <w:numId w:val="41"/>
        </w:numPr>
        <w:rPr>
          <w:rFonts w:ascii="Calibri" w:cs="Calibri" w:eastAsia="Calibri" w:hAnsi="Calibri"/>
          <w:sz w:val="20"/>
          <w:szCs w:val="20"/>
          <w:color w:val="auto"/>
        </w:rPr>
      </w:pPr>
      <w:r>
        <w:rPr>
          <w:rFonts w:ascii="Calibri" w:cs="Calibri" w:eastAsia="Calibri" w:hAnsi="Calibri"/>
          <w:sz w:val="20"/>
          <w:szCs w:val="20"/>
          <w:u w:val="single" w:color="auto"/>
          <w:color w:val="auto"/>
        </w:rPr>
        <w:t>Binding Arbitraton</w:t>
      </w:r>
      <w:r>
        <w:rPr>
          <w:rFonts w:ascii="Calibri" w:cs="Calibri" w:eastAsia="Calibri" w:hAnsi="Calibri"/>
          <w:sz w:val="20"/>
          <w:szCs w:val="20"/>
          <w:color w:val="auto"/>
        </w:rPr>
        <w:t xml:space="preserve">. Except as otherwise specifcally provided herein, the Commitee’s fndings, calculatons and determinatons under this Agreement are made in the sole discreton of the Commitee, and Employee expressly agrees that such determinatons shall be fnal and not subject to dispute. In the event, however, that Employee has a right to dispute a mater hereunder (including, but not limited to, the right to dispute set forth in paragraph 5 under “Important Award Details”), the Company and Employee agree that such dispute shall be setled exclusively by fnal and binding arbitraton, as governed by the Federal Arbitraton Act (9 U.S.C. 1 </w:t>
      </w:r>
      <w:r>
        <w:rPr>
          <w:rFonts w:ascii="Calibri" w:cs="Calibri" w:eastAsia="Calibri" w:hAnsi="Calibri"/>
          <w:sz w:val="20"/>
          <w:szCs w:val="20"/>
          <w:i w:val="1"/>
          <w:iCs w:val="1"/>
          <w:color w:val="auto"/>
        </w:rPr>
        <w:t>et seq.).</w:t>
      </w:r>
      <w:r>
        <w:rPr>
          <w:rFonts w:ascii="Calibri" w:cs="Calibri" w:eastAsia="Calibri" w:hAnsi="Calibri"/>
          <w:sz w:val="20"/>
          <w:szCs w:val="20"/>
          <w:color w:val="auto"/>
        </w:rPr>
        <w:t xml:space="preserve"> The arbitraton proceeding, including the rendering of an award, if any, shall be administered by JAMS pursuant to its Employment Arbitraton Rules and Procedures, which may be found on the JAMS Website </w:t>
      </w:r>
      <w:r>
        <w:rPr>
          <w:rFonts w:ascii="Calibri" w:cs="Calibri" w:eastAsia="Calibri" w:hAnsi="Calibri"/>
          <w:sz w:val="20"/>
          <w:szCs w:val="20"/>
          <w:b w:val="1"/>
          <w:bCs w:val="1"/>
          <w:u w:val="single" w:color="auto"/>
          <w:color w:val="000099"/>
        </w:rPr>
        <w:t>www.jamsadr.com</w:t>
      </w:r>
      <w:r>
        <w:rPr>
          <w:rFonts w:ascii="Calibri" w:cs="Calibri" w:eastAsia="Calibri" w:hAnsi="Calibri"/>
          <w:sz w:val="20"/>
          <w:szCs w:val="20"/>
          <w:color w:val="auto"/>
        </w:rPr>
        <w:t>. All expenses associated with the arbitraton shall be borne by WM; provided however, that such arbitraton expenses will not include atorney fees incurred by the respectve partes. Judgment on any arbitraton award may be entered in any court having jurisdicton.</w:t>
      </w:r>
    </w:p>
    <w:p>
      <w:pPr>
        <w:spacing w:after="0" w:line="200" w:lineRule="exact"/>
        <w:rPr>
          <w:rFonts w:ascii="Calibri" w:cs="Calibri" w:eastAsia="Calibri" w:hAnsi="Calibri"/>
          <w:sz w:val="20"/>
          <w:szCs w:val="20"/>
          <w:color w:val="auto"/>
        </w:rPr>
      </w:pPr>
    </w:p>
    <w:p>
      <w:pPr>
        <w:spacing w:after="0" w:line="207" w:lineRule="exact"/>
        <w:rPr>
          <w:rFonts w:ascii="Calibri" w:cs="Calibri" w:eastAsia="Calibri" w:hAnsi="Calibri"/>
          <w:sz w:val="20"/>
          <w:szCs w:val="20"/>
          <w:color w:val="auto"/>
        </w:rPr>
      </w:pPr>
    </w:p>
    <w:p>
      <w:pPr>
        <w:ind w:left="332" w:right="80" w:hanging="332"/>
        <w:spacing w:after="0" w:line="234" w:lineRule="auto"/>
        <w:tabs>
          <w:tab w:leader="none" w:pos="332" w:val="left"/>
        </w:tabs>
        <w:numPr>
          <w:ilvl w:val="0"/>
          <w:numId w:val="41"/>
        </w:numPr>
        <w:rPr>
          <w:rFonts w:ascii="Calibri" w:cs="Calibri" w:eastAsia="Calibri" w:hAnsi="Calibri"/>
          <w:sz w:val="20"/>
          <w:szCs w:val="20"/>
          <w:color w:val="auto"/>
        </w:rPr>
      </w:pPr>
      <w:r>
        <w:rPr>
          <w:rFonts w:ascii="Calibri" w:cs="Calibri" w:eastAsia="Calibri" w:hAnsi="Calibri"/>
          <w:sz w:val="20"/>
          <w:szCs w:val="20"/>
          <w:u w:val="single" w:color="auto"/>
          <w:color w:val="auto"/>
        </w:rPr>
        <w:t>Counterparts</w:t>
      </w:r>
      <w:r>
        <w:rPr>
          <w:rFonts w:ascii="Calibri" w:cs="Calibri" w:eastAsia="Calibri" w:hAnsi="Calibri"/>
          <w:sz w:val="20"/>
          <w:szCs w:val="20"/>
          <w:color w:val="auto"/>
        </w:rPr>
        <w:t>. This Agreement may be executed in counterparts, which together shall consttute one and the same original.</w:t>
      </w:r>
    </w:p>
    <w:p>
      <w:pPr>
        <w:spacing w:after="0" w:line="392" w:lineRule="exact"/>
        <w:rPr>
          <w:sz w:val="20"/>
          <w:szCs w:val="20"/>
          <w:color w:val="auto"/>
        </w:rPr>
      </w:pPr>
    </w:p>
    <w:p>
      <w:pPr>
        <w:jc w:val="center"/>
        <w:ind w:right="-11"/>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638175</wp:posOffset>
            </wp:positionV>
            <wp:extent cx="656653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12"/>
          </w:cols>
          <w:pgMar w:left="1028" w:top="1033" w:right="1059" w:bottom="1440" w:gutter="0" w:footer="0" w:header="0"/>
        </w:sectPr>
      </w:pPr>
    </w:p>
    <w:bookmarkStart w:id="53" w:name="page54"/>
    <w:bookmarkEnd w:id="53"/>
    <w:p>
      <w:pPr>
        <w:jc w:val="center"/>
        <w:ind w:right="-19"/>
        <w:spacing w:after="0"/>
        <w:rPr>
          <w:sz w:val="20"/>
          <w:szCs w:val="20"/>
          <w:color w:val="auto"/>
        </w:rPr>
      </w:pPr>
      <w:r>
        <w:rPr>
          <w:rFonts w:ascii="Calibri" w:cs="Calibri" w:eastAsia="Calibri" w:hAnsi="Calibri"/>
          <w:sz w:val="29"/>
          <w:szCs w:val="29"/>
          <w:b w:val="1"/>
          <w:bCs w:val="1"/>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2935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501765" cy="2935605"/>
                    </a:xfrm>
                    <a:prstGeom prst="rect">
                      <a:avLst/>
                    </a:prstGeom>
                    <a:noFill/>
                  </pic:spPr>
                </pic:pic>
              </a:graphicData>
            </a:graphic>
          </wp:anchor>
        </w:drawing>
        <w:t>Executon</w:t>
      </w:r>
    </w:p>
    <w:p>
      <w:pPr>
        <w:spacing w:after="0" w:line="257" w:lineRule="exact"/>
        <w:rPr>
          <w:sz w:val="20"/>
          <w:szCs w:val="20"/>
          <w:color w:val="auto"/>
        </w:rPr>
      </w:pPr>
    </w:p>
    <w:p>
      <w:pPr>
        <w:spacing w:after="0" w:line="234" w:lineRule="auto"/>
        <w:rPr>
          <w:sz w:val="20"/>
          <w:szCs w:val="20"/>
          <w:color w:val="auto"/>
        </w:rPr>
      </w:pPr>
      <w:r>
        <w:rPr>
          <w:rFonts w:ascii="Calibri" w:cs="Calibri" w:eastAsia="Calibri" w:hAnsi="Calibri"/>
          <w:sz w:val="20"/>
          <w:szCs w:val="20"/>
          <w:b w:val="1"/>
          <w:bCs w:val="1"/>
          <w:color w:val="auto"/>
        </w:rPr>
        <w:t>IN WITNESS WHEREOF</w:t>
      </w:r>
      <w:r>
        <w:rPr>
          <w:rFonts w:ascii="Calibri" w:cs="Calibri" w:eastAsia="Calibri" w:hAnsi="Calibri"/>
          <w:sz w:val="20"/>
          <w:szCs w:val="20"/>
          <w:color w:val="auto"/>
        </w:rPr>
        <w:t>, the Company has caused this Agreement to be duly executed by one of its ofcers thereunto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duly authorized and Employee has executed this Agreement, efectve as of </w:t>
      </w:r>
      <w:r>
        <w:rPr>
          <w:rFonts w:ascii="Calibri" w:cs="Calibri" w:eastAsia="Calibri" w:hAnsi="Calibri"/>
          <w:sz w:val="20"/>
          <w:szCs w:val="20"/>
          <w:b w:val="1"/>
          <w:bCs w:val="1"/>
          <w:color w:val="auto"/>
        </w:rPr>
        <w:t>[DATE]</w:t>
      </w:r>
      <w:r>
        <w:rPr>
          <w:rFonts w:ascii="Calibri" w:cs="Calibri" w:eastAsia="Calibri" w:hAnsi="Calibri"/>
          <w:sz w:val="20"/>
          <w:szCs w:val="20"/>
          <w:color w:val="auto"/>
        </w:rPr>
        <w:t>.</w:t>
      </w:r>
    </w:p>
    <w:p>
      <w:pPr>
        <w:spacing w:after="0" w:line="200" w:lineRule="exact"/>
        <w:rPr>
          <w:sz w:val="20"/>
          <w:szCs w:val="20"/>
          <w:color w:val="auto"/>
        </w:rPr>
      </w:pPr>
    </w:p>
    <w:p>
      <w:pPr>
        <w:spacing w:after="0" w:line="313" w:lineRule="exact"/>
        <w:rPr>
          <w:sz w:val="20"/>
          <w:szCs w:val="20"/>
          <w:color w:val="auto"/>
        </w:rPr>
      </w:pPr>
    </w:p>
    <w:p>
      <w:pPr>
        <w:ind w:left="100"/>
        <w:spacing w:after="0"/>
        <w:tabs>
          <w:tab w:leader="none" w:pos="5000" w:val="left"/>
        </w:tabs>
        <w:rPr>
          <w:sz w:val="20"/>
          <w:szCs w:val="20"/>
          <w:color w:val="auto"/>
        </w:rPr>
      </w:pPr>
      <w:r>
        <w:rPr>
          <w:rFonts w:ascii="Calibri" w:cs="Calibri" w:eastAsia="Calibri" w:hAnsi="Calibri"/>
          <w:sz w:val="20"/>
          <w:szCs w:val="20"/>
          <w:b w:val="1"/>
          <w:bCs w:val="1"/>
          <w:color w:val="auto"/>
        </w:rPr>
        <w:t>WASTE MANAGEMENT, INC.</w:t>
      </w:r>
      <w:r>
        <w:rPr>
          <w:sz w:val="20"/>
          <w:szCs w:val="20"/>
          <w:color w:val="auto"/>
        </w:rPr>
        <w:tab/>
      </w:r>
      <w:r>
        <w:rPr>
          <w:rFonts w:ascii="Calibri" w:cs="Calibri" w:eastAsia="Calibri" w:hAnsi="Calibri"/>
          <w:sz w:val="19"/>
          <w:szCs w:val="19"/>
          <w:b w:val="1"/>
          <w:bCs w:val="1"/>
          <w:color w:val="auto"/>
        </w:rPr>
        <w:t>Employee</w:t>
      </w:r>
    </w:p>
    <w:p>
      <w:pPr>
        <w:spacing w:after="0" w:line="200" w:lineRule="exact"/>
        <w:rPr>
          <w:sz w:val="20"/>
          <w:szCs w:val="20"/>
          <w:color w:val="auto"/>
        </w:rPr>
      </w:pPr>
    </w:p>
    <w:p>
      <w:pPr>
        <w:spacing w:after="0" w:line="258" w:lineRule="exact"/>
        <w:rPr>
          <w:sz w:val="20"/>
          <w:szCs w:val="20"/>
          <w:color w:val="auto"/>
        </w:rPr>
      </w:pPr>
    </w:p>
    <w:p>
      <w:pPr>
        <w:ind w:left="5020"/>
        <w:spacing w:after="0"/>
        <w:rPr>
          <w:sz w:val="20"/>
          <w:szCs w:val="20"/>
          <w:color w:val="auto"/>
        </w:rPr>
      </w:pPr>
      <w:r>
        <w:rPr>
          <w:rFonts w:ascii="Calibri" w:cs="Calibri" w:eastAsia="Calibri" w:hAnsi="Calibri"/>
          <w:sz w:val="20"/>
          <w:szCs w:val="20"/>
          <w:i w:val="1"/>
          <w:iCs w:val="1"/>
          <w:color w:val="auto"/>
        </w:rPr>
        <w:t>Accepted by Electronic Communicaton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646430</wp:posOffset>
            </wp:positionV>
            <wp:extent cx="656653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40"/>
          </w:cols>
          <w:pgMar w:left="1020" w:top="1273" w:right="10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GUARANTOR SUBSIDIARY</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38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80" w:type="dxa"/>
            <w:vAlign w:val="bottom"/>
            <w:gridSpan w:val="2"/>
          </w:tcPr>
          <w:p>
            <w:pPr>
              <w:jc w:val="center"/>
              <w:ind w:right="12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860" w:type="dxa"/>
            <w:vAlign w:val="bottom"/>
            <w:vMerge w:val="restart"/>
          </w:tcPr>
          <w:p>
            <w:pPr>
              <w:spacing w:after="0"/>
              <w:rPr>
                <w:sz w:val="12"/>
                <w:szCs w:val="12"/>
                <w:color w:val="auto"/>
              </w:rPr>
            </w:pPr>
          </w:p>
        </w:tc>
        <w:tc>
          <w:tcPr>
            <w:tcW w:w="18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88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88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CCEEFF"/>
            </w:tcBorders>
            <w:vMerge w:val="continue"/>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million</w:t>
            </w:r>
          </w:p>
        </w:tc>
        <w:tc>
          <w:tcPr>
            <w:tcW w:w="8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7/17/1998</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7.375%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1/21/2000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1/3/2003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600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6.125%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11/17/2009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600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3.125%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3.90%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3/1/2035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4.10%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3/1/2045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11/15/2027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7/15/2049</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3/15/2031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11/15/2050</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475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475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2.95%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6/1/2041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5/12/2022</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4/15/2032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4.625%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2/15/2023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2/15/2030</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4.625%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2/15/2023</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2/15/2033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4.875%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2/15/2029</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1.250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4.875%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2/15/2034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7/3/2024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7/3/2027</w:t>
            </w:r>
          </w:p>
        </w:tc>
        <w:tc>
          <w:tcPr>
            <w:tcW w:w="0" w:type="dxa"/>
            <w:vAlign w:val="bottom"/>
          </w:tcPr>
          <w:p>
            <w:pPr>
              <w:spacing w:after="0"/>
              <w:rPr>
                <w:sz w:val="1"/>
                <w:szCs w:val="1"/>
                <w:color w:val="auto"/>
              </w:rPr>
            </w:pPr>
          </w:p>
        </w:tc>
      </w:tr>
      <w:tr>
        <w:trPr>
          <w:trHeight w:val="234"/>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7/3/2024</w:t>
            </w:r>
          </w:p>
        </w:tc>
        <w:tc>
          <w:tcPr>
            <w:tcW w:w="8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7/3/2031</w:t>
            </w:r>
          </w:p>
        </w:tc>
        <w:tc>
          <w:tcPr>
            <w:tcW w:w="0" w:type="dxa"/>
            <w:vAlign w:val="bottom"/>
          </w:tcPr>
          <w:p>
            <w:pPr>
              <w:spacing w:after="0"/>
              <w:rPr>
                <w:sz w:val="1"/>
                <w:szCs w:val="1"/>
                <w:color w:val="auto"/>
              </w:rPr>
            </w:pPr>
          </w:p>
        </w:tc>
      </w:tr>
      <w:tr>
        <w:trPr>
          <w:trHeight w:val="745"/>
        </w:trPr>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55" w:name="page56"/>
    <w:bookmarkEnd w:id="5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C. Fish, Jr., certify that:</w:t>
      </w:r>
    </w:p>
    <w:p>
      <w:pPr>
        <w:spacing w:after="0" w:line="158" w:lineRule="exact"/>
        <w:rPr>
          <w:sz w:val="20"/>
          <w:szCs w:val="20"/>
          <w:color w:val="auto"/>
        </w:rPr>
      </w:pPr>
    </w:p>
    <w:p>
      <w:pPr>
        <w:ind w:left="640" w:hanging="26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57" w:lineRule="exact"/>
        <w:rPr>
          <w:rFonts w:ascii="Times New Roman" w:cs="Times New Roman" w:eastAsia="Times New Roman" w:hAnsi="Times New Roman"/>
          <w:sz w:val="18"/>
          <w:szCs w:val="18"/>
          <w:color w:val="auto"/>
        </w:rPr>
      </w:pPr>
    </w:p>
    <w:p>
      <w:pPr>
        <w:ind w:left="60" w:right="79" w:firstLine="314"/>
        <w:spacing w:after="0" w:line="266" w:lineRule="auto"/>
        <w:tabs>
          <w:tab w:leader="none" w:pos="60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0" w:right="239" w:firstLine="314"/>
        <w:spacing w:after="0" w:line="266" w:lineRule="auto"/>
        <w:tabs>
          <w:tab w:leader="none" w:pos="5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0" w:right="159" w:firstLine="314"/>
        <w:spacing w:after="0" w:line="266" w:lineRule="auto"/>
        <w:tabs>
          <w:tab w:leader="none" w:pos="56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9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380" w:right="299" w:firstLine="318"/>
        <w:spacing w:after="0" w:line="261" w:lineRule="auto"/>
        <w:tabs>
          <w:tab w:leader="none" w:pos="10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380" w:right="219" w:firstLine="318"/>
        <w:spacing w:after="0" w:line="266" w:lineRule="auto"/>
        <w:tabs>
          <w:tab w:leader="none" w:pos="9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10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60" w:right="359" w:firstLine="314"/>
        <w:spacing w:after="0" w:line="266" w:lineRule="auto"/>
        <w:tabs>
          <w:tab w:leader="none" w:pos="6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6" w:lineRule="auto"/>
        <w:tabs>
          <w:tab w:leader="none" w:pos="98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380" w:right="119" w:firstLine="318"/>
        <w:spacing w:after="0" w:line="282" w:lineRule="auto"/>
        <w:tabs>
          <w:tab w:leader="none" w:pos="9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2"/>
              </w:rPr>
              <w:t>By:</w:t>
            </w: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260" w:type="dxa"/>
            <w:vAlign w:val="bottom"/>
          </w:tcPr>
          <w:p>
            <w:pPr>
              <w:spacing w:after="0"/>
              <w:rPr>
                <w:sz w:val="16"/>
                <w:szCs w:val="16"/>
                <w:color w:val="auto"/>
              </w:rPr>
            </w:pPr>
          </w:p>
        </w:tc>
        <w:tc>
          <w:tcPr>
            <w:tcW w:w="4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26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6" w:name="page57"/>
    <w:bookmarkEnd w:id="5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Devina A. Rankin, certify that:</w:t>
      </w:r>
    </w:p>
    <w:p>
      <w:pPr>
        <w:spacing w:after="0" w:line="158" w:lineRule="exact"/>
        <w:rPr>
          <w:sz w:val="20"/>
          <w:szCs w:val="20"/>
          <w:color w:val="auto"/>
        </w:rPr>
      </w:pPr>
    </w:p>
    <w:p>
      <w:pPr>
        <w:ind w:left="640" w:hanging="26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57" w:lineRule="exact"/>
        <w:rPr>
          <w:rFonts w:ascii="Times New Roman" w:cs="Times New Roman" w:eastAsia="Times New Roman" w:hAnsi="Times New Roman"/>
          <w:sz w:val="18"/>
          <w:szCs w:val="18"/>
          <w:color w:val="auto"/>
        </w:rPr>
      </w:pPr>
    </w:p>
    <w:p>
      <w:pPr>
        <w:ind w:left="60" w:right="79" w:firstLine="314"/>
        <w:spacing w:after="0" w:line="266" w:lineRule="auto"/>
        <w:tabs>
          <w:tab w:leader="none" w:pos="60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0" w:right="239" w:firstLine="314"/>
        <w:spacing w:after="0" w:line="266" w:lineRule="auto"/>
        <w:tabs>
          <w:tab w:leader="none" w:pos="5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0" w:right="159" w:firstLine="314"/>
        <w:spacing w:after="0" w:line="266" w:lineRule="auto"/>
        <w:tabs>
          <w:tab w:leader="none" w:pos="56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99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380" w:right="299" w:firstLine="318"/>
        <w:spacing w:after="0" w:line="261" w:lineRule="auto"/>
        <w:tabs>
          <w:tab w:leader="none" w:pos="10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380" w:right="219" w:firstLine="318"/>
        <w:spacing w:after="0" w:line="266" w:lineRule="auto"/>
        <w:tabs>
          <w:tab w:leader="none" w:pos="99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10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60" w:right="359" w:firstLine="314"/>
        <w:spacing w:after="0" w:line="266" w:lineRule="auto"/>
        <w:tabs>
          <w:tab w:leader="none" w:pos="6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6" w:lineRule="auto"/>
        <w:tabs>
          <w:tab w:leader="none" w:pos="98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380" w:right="119" w:firstLine="318"/>
        <w:spacing w:after="0" w:line="282" w:lineRule="auto"/>
        <w:tabs>
          <w:tab w:leader="none" w:pos="99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456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28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36"/>
        </w:trPr>
        <w:tc>
          <w:tcPr>
            <w:tcW w:w="2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651510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7" w:name="page58"/>
    <w:bookmarkEnd w:id="5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September 30, 2024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0" w:lineRule="exact"/>
        <w:rPr>
          <w:sz w:val="20"/>
          <w:szCs w:val="20"/>
          <w:color w:val="auto"/>
        </w:rPr>
      </w:pPr>
    </w:p>
    <w:p>
      <w:pPr>
        <w:ind w:left="380" w:right="239" w:firstLine="318"/>
        <w:spacing w:after="0" w:line="282" w:lineRule="auto"/>
        <w:tabs>
          <w:tab w:leader="none" w:pos="10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80" w:right="319" w:firstLine="318"/>
        <w:spacing w:after="0" w:line="282" w:lineRule="auto"/>
        <w:tabs>
          <w:tab w:leader="none" w:pos="10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2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October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651510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8" w:name="page59"/>
    <w:bookmarkEnd w:id="5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September 30, 2024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0" w:lineRule="exact"/>
        <w:rPr>
          <w:sz w:val="20"/>
          <w:szCs w:val="20"/>
          <w:color w:val="auto"/>
        </w:rPr>
      </w:pPr>
    </w:p>
    <w:p>
      <w:pPr>
        <w:ind w:left="380" w:right="239" w:firstLine="318"/>
        <w:spacing w:after="0" w:line="282" w:lineRule="auto"/>
        <w:tabs>
          <w:tab w:leader="none" w:pos="100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80" w:right="59" w:firstLine="318"/>
        <w:spacing w:after="0" w:line="282" w:lineRule="auto"/>
        <w:tabs>
          <w:tab w:leader="none" w:pos="103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18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320" w:type="dxa"/>
            <w:vAlign w:val="bottom"/>
          </w:tcPr>
          <w:p>
            <w:pPr>
              <w:spacing w:after="0"/>
              <w:rPr>
                <w:sz w:val="16"/>
                <w:szCs w:val="16"/>
                <w:color w:val="auto"/>
              </w:rPr>
            </w:pPr>
          </w:p>
        </w:tc>
        <w:tc>
          <w:tcPr>
            <w:tcW w:w="4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36"/>
        </w:trPr>
        <w:tc>
          <w:tcPr>
            <w:tcW w:w="3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October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9" w:name="page60"/>
    <w:bookmarkEnd w:id="5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1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During the quarter ended September 30, 2024,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or (e) an imminent danger order under section 107(a) of the Mine Safety Act or (f) a proposed assessment from the MSHA.</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during the quarter ended September 30, 2024,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2"/>
    </w:lvl>
  </w:abstractNum>
  <w:abstractNum w:abstractNumId="3">
    <w:nsid w:val="8EDBDAB"/>
    <w:multiLevelType w:val="hybridMultilevel"/>
    <w:lvl w:ilvl="0">
      <w:lvlJc w:val="left"/>
      <w:lvlText w:val="%1."/>
      <w:numFmt w:val="decimal"/>
      <w:start w:val="3"/>
    </w:lvl>
  </w:abstractNum>
  <w:abstractNum w:abstractNumId="4">
    <w:nsid w:val="79838CB2"/>
    <w:multiLevelType w:val="hybridMultilevel"/>
    <w:lvl w:ilvl="0">
      <w:lvlJc w:val="left"/>
      <w:lvlText w:val="(%1)"/>
      <w:numFmt w:val="lowerLetter"/>
      <w:start w:val="1"/>
    </w:lvl>
  </w:abstractNum>
  <w:abstractNum w:abstractNumId="5">
    <w:nsid w:val="4353D0CD"/>
    <w:multiLevelType w:val="hybridMultilevel"/>
    <w:lvl w:ilvl="0">
      <w:lvlJc w:val="left"/>
      <w:lvlText w:val="(%1)"/>
      <w:numFmt w:val="lowerRoman"/>
      <w:start w:val="1"/>
    </w:lvl>
  </w:abstractNum>
  <w:abstractNum w:abstractNumId="6">
    <w:nsid w:val="B03E0C6"/>
    <w:multiLevelType w:val="hybridMultilevel"/>
    <w:lvl w:ilvl="0">
      <w:lvlJc w:val="left"/>
      <w:lvlText w:val="%1."/>
      <w:numFmt w:val="decimal"/>
      <w:start w:val="4"/>
    </w:lvl>
  </w:abstractNum>
  <w:abstractNum w:abstractNumId="7">
    <w:nsid w:val="189A769B"/>
    <w:multiLevelType w:val="hybridMultilevel"/>
    <w:lvl w:ilvl="0">
      <w:lvlJc w:val="left"/>
      <w:lvlText w:val="%1."/>
      <w:numFmt w:val="decimal"/>
      <w:start w:val="5"/>
    </w:lvl>
  </w:abstractNum>
  <w:abstractNum w:abstractNumId="8">
    <w:nsid w:val="54E49EB4"/>
    <w:multiLevelType w:val="hybridMultilevel"/>
    <w:lvl w:ilvl="0">
      <w:lvlJc w:val="left"/>
      <w:lvlText w:val="%1."/>
      <w:numFmt w:val="decimal"/>
      <w:start w:val="6"/>
    </w:lvl>
  </w:abstractNum>
  <w:abstractNum w:abstractNumId="9">
    <w:nsid w:val="71F32454"/>
    <w:multiLevelType w:val="hybridMultilevel"/>
    <w:lvl w:ilvl="0">
      <w:lvlJc w:val="left"/>
      <w:lvlText w:val="%1."/>
      <w:numFmt w:val="decimal"/>
      <w:start w:val="7"/>
    </w:lvl>
  </w:abstractNum>
  <w:abstractNum w:abstractNumId="10">
    <w:nsid w:val="2CA88611"/>
    <w:multiLevelType w:val="hybridMultilevel"/>
    <w:lvl w:ilvl="0">
      <w:lvlJc w:val="left"/>
      <w:lvlText w:val="(%1)"/>
      <w:numFmt w:val="lowerRoman"/>
      <w:start w:val="4"/>
    </w:lvl>
  </w:abstractNum>
  <w:abstractNum w:abstractNumId="11">
    <w:nsid w:val="836C40E"/>
    <w:multiLevelType w:val="hybridMultilevel"/>
    <w:lvl w:ilvl="0">
      <w:lvlJc w:val="left"/>
      <w:lvlText w:val="(%1)"/>
      <w:numFmt w:val="lowerLetter"/>
      <w:start w:val="1"/>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1."/>
      <w:numFmt w:val="decimal"/>
      <w:start w:val="8"/>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
      <w:numFmt w:val="bullet"/>
      <w:start w:val="1"/>
    </w:lvl>
    <w:lvl w:ilvl="1">
      <w:lvlJc w:val="left"/>
      <w:lvlText w:val="(%2)"/>
      <w:numFmt w:val="lowerRoman"/>
      <w:start w:val="1"/>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1)"/>
      <w:numFmt w:val="lowerRoman"/>
      <w:start w:val="1"/>
    </w:lvl>
  </w:abstractNum>
  <w:abstractNum w:abstractNumId="19">
    <w:nsid w:val="22221A70"/>
    <w:multiLevelType w:val="hybridMultilevel"/>
    <w:lvl w:ilvl="0">
      <w:lvlJc w:val="left"/>
      <w:lvlText w:val="(%1)"/>
      <w:numFmt w:val="lowerRoman"/>
      <w:start w:val="2"/>
    </w:lvl>
  </w:abstractNum>
  <w:abstractNum w:abstractNumId="20">
    <w:nsid w:val="4516DDE9"/>
    <w:multiLevelType w:val="hybridMultilevel"/>
    <w:lvl w:ilvl="0">
      <w:lvlJc w:val="left"/>
      <w:lvlText w:val="●"/>
      <w:numFmt w:val="bullet"/>
      <w:start w:val="1"/>
    </w:lvl>
    <w:lvl w:ilvl="1">
      <w:lvlJc w:val="left"/>
      <w:lvlText w:val="(%2)"/>
      <w:numFmt w:val="lowerRoman"/>
      <w:start w:val="1"/>
    </w:lvl>
  </w:abstractNum>
  <w:abstractNum w:abstractNumId="21">
    <w:nsid w:val="3006C83E"/>
    <w:multiLevelType w:val="hybridMultilevel"/>
    <w:lvl w:ilvl="0">
      <w:lvlJc w:val="left"/>
      <w:lvlText w:val="(%1)"/>
      <w:numFmt w:val="lowerLetter"/>
      <w:start w:val="1"/>
    </w:lvl>
  </w:abstractNum>
  <w:abstractNum w:abstractNumId="22">
    <w:nsid w:val="614FD4A1"/>
    <w:multiLevelType w:val="hybridMultilevel"/>
    <w:lvl w:ilvl="0">
      <w:lvlJc w:val="left"/>
      <w:lvlText w:val="●"/>
      <w:numFmt w:val="bullet"/>
      <w:start w:val="1"/>
    </w:lvl>
    <w:lvl w:ilvl="1">
      <w:lvlJc w:val="left"/>
      <w:lvlText w:val="(%2)"/>
      <w:numFmt w:val="lowerRoman"/>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lowerRoman"/>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3"/>
    </w:lvl>
  </w:abstractNum>
  <w:abstractNum w:abstractNumId="31">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2">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3">
    <w:nsid w:val="51EAD36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4">
    <w:nsid w:val="2D51779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5">
    <w:nsid w:val="580BD78F"/>
    <w:multiLevelType w:val="hybridMultilevel"/>
    <w:lvl w:ilvl="0">
      <w:lvlJc w:val="left"/>
      <w:lvlText w:val="%1."/>
      <w:numFmt w:val="lowerLetter"/>
      <w:start w:val="2"/>
    </w:lvl>
    <w:lvl w:ilvl="1">
      <w:lvlJc w:val="left"/>
      <w:lvlText w:val="%2."/>
      <w:numFmt w:val="lowerRoman"/>
      <w:start w:val="1"/>
    </w:lvl>
  </w:abstractNum>
  <w:abstractNum w:abstractNumId="36">
    <w:nsid w:val="153EA438"/>
    <w:multiLevelType w:val="hybridMultilevel"/>
    <w:lvl w:ilvl="0">
      <w:lvlJc w:val="left"/>
      <w:lvlText w:val="%1."/>
      <w:numFmt w:val="decimal"/>
      <w:start w:val="5"/>
    </w:lvl>
    <w:lvl w:ilvl="1">
      <w:lvlJc w:val="left"/>
      <w:lvlText w:val="%2."/>
      <w:numFmt w:val="lowerLetter"/>
      <w:start w:val="1"/>
    </w:lvl>
  </w:abstractNum>
  <w:abstractNum w:abstractNumId="37">
    <w:nsid w:val="3855585C"/>
    <w:multiLevelType w:val="hybridMultilevel"/>
    <w:lvl w:ilvl="0">
      <w:lvlJc w:val="left"/>
      <w:lvlText w:val="%1."/>
      <w:numFmt w:val="decimal"/>
      <w:start w:val="1"/>
    </w:lvl>
    <w:lvl w:ilvl="1">
      <w:lvlJc w:val="left"/>
      <w:lvlText w:val="%2."/>
      <w:numFmt w:val="lowerLetter"/>
      <w:start w:val="1"/>
    </w:lvl>
  </w:abstractNum>
  <w:abstractNum w:abstractNumId="38">
    <w:nsid w:val="70A64E2A"/>
    <w:multiLevelType w:val="hybridMultilevel"/>
    <w:lvl w:ilvl="0">
      <w:lvlJc w:val="left"/>
      <w:lvlText w:val="%1."/>
      <w:numFmt w:val="decimal"/>
      <w:start w:val="3"/>
    </w:lvl>
    <w:lvl w:ilvl="1">
      <w:lvlJc w:val="left"/>
      <w:lvlText w:val="%2."/>
      <w:numFmt w:val="lowerLetter"/>
      <w:start w:val="1"/>
    </w:lvl>
  </w:abstractNum>
  <w:abstractNum w:abstractNumId="39">
    <w:nsid w:val="6A2342EC"/>
    <w:multiLevelType w:val="hybridMultilevel"/>
    <w:lvl w:ilvl="0">
      <w:lvlJc w:val="left"/>
      <w:lvlText w:val="%1."/>
      <w:numFmt w:val="decimal"/>
      <w:start w:val="8"/>
    </w:lvl>
    <w:lvl w:ilvl="1">
      <w:lvlJc w:val="left"/>
      <w:lvlText w:val="%2."/>
      <w:numFmt w:val="lowerLetter"/>
      <w:start w:val="1"/>
    </w:lvl>
  </w:abstractNum>
  <w:abstractNum w:abstractNumId="40">
    <w:nsid w:val="2A487CB0"/>
    <w:multiLevelType w:val="hybridMultilevel"/>
    <w:lvl w:ilvl="0">
      <w:lvlJc w:val="left"/>
      <w:lvlText w:val="%1."/>
      <w:numFmt w:val="decimal"/>
      <w:start w:val="14"/>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51" Type="http://schemas.openxmlformats.org/officeDocument/2006/relationships/hyperlink" Target="https://www.sec.gov/Archives/edgar/data/823768/000110465924096357/tm242297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2024-10-28T21:10:21Z</dcterms:created>
  <dcterms:modified xsi:type="dcterms:W3CDTF">2024-10-28T21:10:21Z</dcterms:modified>
</cp:coreProperties>
</file>