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September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240" w:type="dxa"/>
            <w:vAlign w:val="bottom"/>
          </w:tcPr>
          <w:p>
            <w:pPr>
              <w:jc w:val="center"/>
              <w:ind w:right="2544"/>
              <w:spacing w:after="0"/>
              <w:rPr>
                <w:sz w:val="20"/>
                <w:szCs w:val="20"/>
                <w:color w:val="auto"/>
              </w:rPr>
            </w:pPr>
            <w:r>
              <w:rPr>
                <w:rFonts w:ascii="Arial" w:cs="Arial" w:eastAsia="Arial" w:hAnsi="Arial"/>
                <w:sz w:val="18"/>
                <w:szCs w:val="18"/>
                <w:b w:val="1"/>
                <w:bCs w:val="1"/>
                <w:color w:val="auto"/>
                <w:w w:val="88"/>
              </w:rPr>
              <w:t>Delaware</w:t>
            </w:r>
          </w:p>
        </w:tc>
        <w:tc>
          <w:tcPr>
            <w:tcW w:w="2260" w:type="dxa"/>
            <w:vAlign w:val="bottom"/>
          </w:tcPr>
          <w:p>
            <w:pPr>
              <w:jc w:val="center"/>
              <w:ind w:right="126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424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60" w:type="dxa"/>
            <w:vAlign w:val="bottom"/>
          </w:tcPr>
          <w:p>
            <w:pPr>
              <w:jc w:val="center"/>
              <w:ind w:right="1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4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60" w:type="dxa"/>
            <w:vAlign w:val="bottom"/>
          </w:tcPr>
          <w:p>
            <w:pPr>
              <w:jc w:val="center"/>
              <w:ind w:right="124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40" w:type="dxa"/>
            <w:vAlign w:val="bottom"/>
          </w:tcPr>
          <w:p>
            <w:pPr>
              <w:jc w:val="center"/>
              <w:ind w:left="106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60" w:type="dxa"/>
            <w:vAlign w:val="bottom"/>
          </w:tcPr>
          <w:p>
            <w:pPr>
              <w:spacing w:after="0"/>
              <w:rPr>
                <w:sz w:val="24"/>
                <w:szCs w:val="24"/>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40" w:type="dxa"/>
            <w:vAlign w:val="bottom"/>
          </w:tcPr>
          <w:p>
            <w:pPr>
              <w:jc w:val="center"/>
              <w:ind w:left="10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6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On September 5, 2012, Waste Management, Inc. (the “Company”) commenced an underwritten public offering of $500,000,000 aggregate principal amount of its 2.90% Senior Notes due 2022 (the “Notes”) under the Company’s Registration Statement on Form S-3 (No. 333-162059) (the “Registration Statement”). The Notes, which will be fully and unconditionally guaranteed by the Company’s wholly owned subsidiary Waste Management Holdings, Inc. (“WM Holdings”), were sold pursuant to an underwriting agreement (the “Underwriting Agreement”) entered into on September 5, 2012 among the Company and WM Holdings and Barclays Capital Inc., BNP Paribas Securities Corp., and Merrill Lynch, Pierce, Fenner &amp; Smith Incorporated as representatives of the several underwriters named therein.</w:t>
      </w:r>
    </w:p>
    <w:p>
      <w:pPr>
        <w:spacing w:after="0" w:line="144"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and their respective affiliates have, from time to time, performed, and may in the future perform, various financial advisory, investment banking and commercial services for the Company, for which they have received or will receive customary fees and expense reimbursements.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Notes will be issued under an indenture dated as of September 10, 1997, between the Company and The Bank of New York Mellon Trust Company, N.A. (the current successor to Texas Commerce Bank National Association), as trustee (the “Indenture”). The terms of the Notes and the guarantee by WM Holdings will be set forth in an officers’ certificate of the Company (the “Officers’ Certificate”) delivered pursuant to the Indenture. Closing of the issuance and sale of the Notes is scheduled to occur on September 12, 2012.</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Copies of the Underwriting Agreement and the Indenture and forms of the Officers’ Certificate and the guarantee agreement by WM Holdings are being filed as Exhibits 1.1, 4.1, 4.2 and 4.4, respectively, to this Form 8-K and are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1.1</w:t>
            </w:r>
          </w:p>
        </w:tc>
        <w:tc>
          <w:tcPr>
            <w:tcW w:w="10680" w:type="dxa"/>
            <w:vAlign w:val="bottom"/>
          </w:tcPr>
          <w:p>
            <w:pPr>
              <w:ind w:left="460"/>
              <w:spacing w:after="0"/>
              <w:rPr>
                <w:sz w:val="20"/>
                <w:szCs w:val="20"/>
                <w:color w:val="auto"/>
              </w:rPr>
            </w:pPr>
            <w:r>
              <w:rPr>
                <w:rFonts w:ascii="Arial" w:cs="Arial" w:eastAsia="Arial" w:hAnsi="Arial"/>
                <w:sz w:val="18"/>
                <w:szCs w:val="18"/>
                <w:color w:val="auto"/>
                <w:w w:val="88"/>
              </w:rPr>
              <w:t>Underwriting Agreement dated September 5, 2012 by and among the Company, WM Holdings and Barclays Capital Inc., BNP Paribas Securities</w:t>
            </w:r>
          </w:p>
        </w:tc>
      </w:tr>
      <w:tr>
        <w:trPr>
          <w:trHeight w:val="222"/>
        </w:trPr>
        <w:tc>
          <w:tcPr>
            <w:tcW w:w="700" w:type="dxa"/>
            <w:vAlign w:val="bottom"/>
          </w:tcPr>
          <w:p>
            <w:pPr>
              <w:spacing w:after="0"/>
              <w:rPr>
                <w:sz w:val="19"/>
                <w:szCs w:val="19"/>
                <w:color w:val="auto"/>
              </w:rPr>
            </w:pPr>
          </w:p>
        </w:tc>
        <w:tc>
          <w:tcPr>
            <w:tcW w:w="10680" w:type="dxa"/>
            <w:vAlign w:val="bottom"/>
          </w:tcPr>
          <w:p>
            <w:pPr>
              <w:ind w:left="460"/>
              <w:spacing w:after="0"/>
              <w:rPr>
                <w:sz w:val="20"/>
                <w:szCs w:val="20"/>
                <w:color w:val="auto"/>
              </w:rPr>
            </w:pPr>
            <w:r>
              <w:rPr>
                <w:rFonts w:ascii="Arial" w:cs="Arial" w:eastAsia="Arial" w:hAnsi="Arial"/>
                <w:sz w:val="18"/>
                <w:szCs w:val="18"/>
                <w:color w:val="auto"/>
              </w:rPr>
              <w:t>Corp., and Merrill Lynch, Pierce, Fenner &amp; Smith Incorporated as representatives of the several Underwriters named therein.</w:t>
            </w:r>
          </w:p>
        </w:tc>
      </w:tr>
      <w:tr>
        <w:trPr>
          <w:trHeight w:val="318"/>
        </w:trPr>
        <w:tc>
          <w:tcPr>
            <w:tcW w:w="700" w:type="dxa"/>
            <w:vAlign w:val="bottom"/>
          </w:tcPr>
          <w:p>
            <w:pPr>
              <w:jc w:val="right"/>
              <w:ind w:right="392"/>
              <w:spacing w:after="0"/>
              <w:rPr>
                <w:sz w:val="20"/>
                <w:szCs w:val="20"/>
                <w:color w:val="auto"/>
              </w:rPr>
            </w:pPr>
            <w:r>
              <w:rPr>
                <w:rFonts w:ascii="Arial" w:cs="Arial" w:eastAsia="Arial" w:hAnsi="Arial"/>
                <w:sz w:val="18"/>
                <w:szCs w:val="18"/>
                <w:color w:val="auto"/>
                <w:w w:val="79"/>
              </w:rPr>
              <w:t>4.1</w:t>
            </w:r>
          </w:p>
        </w:tc>
        <w:tc>
          <w:tcPr>
            <w:tcW w:w="10680" w:type="dxa"/>
            <w:vAlign w:val="bottom"/>
          </w:tcPr>
          <w:p>
            <w:pPr>
              <w:ind w:left="460"/>
              <w:spacing w:after="0"/>
              <w:rPr>
                <w:sz w:val="20"/>
                <w:szCs w:val="20"/>
                <w:color w:val="auto"/>
              </w:rPr>
            </w:pPr>
            <w:r>
              <w:rPr>
                <w:rFonts w:ascii="Arial" w:cs="Arial" w:eastAsia="Arial" w:hAnsi="Arial"/>
                <w:sz w:val="18"/>
                <w:szCs w:val="18"/>
                <w:color w:val="auto"/>
                <w:w w:val="93"/>
              </w:rPr>
              <w:t>Indenture dated September 10, 1997 by and between the Company and The Bank of New York Mellon Trust Company, N.A. (the current</w:t>
            </w:r>
          </w:p>
        </w:tc>
      </w:tr>
      <w:tr>
        <w:trPr>
          <w:trHeight w:val="216"/>
        </w:trPr>
        <w:tc>
          <w:tcPr>
            <w:tcW w:w="700" w:type="dxa"/>
            <w:vAlign w:val="bottom"/>
          </w:tcPr>
          <w:p>
            <w:pPr>
              <w:spacing w:after="0"/>
              <w:rPr>
                <w:sz w:val="18"/>
                <w:szCs w:val="18"/>
                <w:color w:val="auto"/>
              </w:rPr>
            </w:pPr>
          </w:p>
        </w:tc>
        <w:tc>
          <w:tcPr>
            <w:tcW w:w="10680" w:type="dxa"/>
            <w:vAlign w:val="bottom"/>
          </w:tcPr>
          <w:p>
            <w:pPr>
              <w:ind w:left="460"/>
              <w:spacing w:after="0"/>
              <w:rPr>
                <w:sz w:val="20"/>
                <w:szCs w:val="20"/>
                <w:color w:val="auto"/>
              </w:rPr>
            </w:pPr>
            <w:r>
              <w:rPr>
                <w:rFonts w:ascii="Arial" w:cs="Arial" w:eastAsia="Arial" w:hAnsi="Arial"/>
                <w:sz w:val="18"/>
                <w:szCs w:val="18"/>
                <w:color w:val="auto"/>
                <w:w w:val="93"/>
              </w:rPr>
              <w:t>successor to Texas Commerce Bank National Association), as Trustee, relating to senior debt securities of the Company (incorporated by</w:t>
            </w:r>
          </w:p>
        </w:tc>
      </w:tr>
      <w:tr>
        <w:trPr>
          <w:trHeight w:val="222"/>
        </w:trPr>
        <w:tc>
          <w:tcPr>
            <w:tcW w:w="700" w:type="dxa"/>
            <w:vAlign w:val="bottom"/>
          </w:tcPr>
          <w:p>
            <w:pPr>
              <w:spacing w:after="0"/>
              <w:rPr>
                <w:sz w:val="19"/>
                <w:szCs w:val="19"/>
                <w:color w:val="auto"/>
              </w:rPr>
            </w:pPr>
          </w:p>
        </w:tc>
        <w:tc>
          <w:tcPr>
            <w:tcW w:w="10680" w:type="dxa"/>
            <w:vAlign w:val="bottom"/>
          </w:tcPr>
          <w:p>
            <w:pPr>
              <w:ind w:left="460"/>
              <w:spacing w:after="0"/>
              <w:rPr>
                <w:sz w:val="20"/>
                <w:szCs w:val="20"/>
                <w:color w:val="auto"/>
              </w:rPr>
            </w:pPr>
            <w:r>
              <w:rPr>
                <w:rFonts w:ascii="Arial" w:cs="Arial" w:eastAsia="Arial" w:hAnsi="Arial"/>
                <w:sz w:val="18"/>
                <w:szCs w:val="18"/>
                <w:color w:val="auto"/>
              </w:rPr>
              <w:t>reference to Exhibit 4.1 to Current Report on Form 8-K filed September 24, 1997).</w:t>
            </w:r>
          </w:p>
        </w:tc>
      </w:tr>
      <w:tr>
        <w:trPr>
          <w:trHeight w:val="365"/>
        </w:trPr>
        <w:tc>
          <w:tcPr>
            <w:tcW w:w="700" w:type="dxa"/>
            <w:vAlign w:val="bottom"/>
          </w:tcPr>
          <w:p>
            <w:pPr>
              <w:spacing w:after="0"/>
              <w:rPr>
                <w:sz w:val="24"/>
                <w:szCs w:val="24"/>
                <w:color w:val="auto"/>
              </w:rPr>
            </w:pPr>
          </w:p>
        </w:tc>
        <w:tc>
          <w:tcPr>
            <w:tcW w:w="10680" w:type="dxa"/>
            <w:vAlign w:val="bottom"/>
          </w:tcPr>
          <w:p>
            <w:pPr>
              <w:ind w:left="49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40" w:top="274" w:right="279" w:bottom="1440" w:gutter="0" w:footer="0" w:header="0"/>
        </w:sectPr>
      </w:pPr>
    </w:p>
    <w:bookmarkStart w:id="2" w:name="page3"/>
    <w:bookmarkEnd w:id="2"/>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r>
        <w:rPr>
          <w:sz w:val="20"/>
          <w:szCs w:val="20"/>
          <w:color w:val="auto"/>
        </w:rPr>
        <w:tab/>
      </w:r>
      <w:r>
        <w:rPr>
          <w:rFonts w:ascii="Arial" w:cs="Arial" w:eastAsia="Arial" w:hAnsi="Arial"/>
          <w:sz w:val="16"/>
          <w:szCs w:val="16"/>
          <w:color w:val="auto"/>
        </w:rPr>
        <w:t>Form of Officers’ Certificate delivered pursuant to Section 3.01 of the Indenture establishing the terms and form of the Notes.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Note (included in Exhibit 4.2 above).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Guarantee Agreement by WM Holdings in favor of the holders of Waste Management, Inc.’s 2.90% Senior Notes due 2022.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Baker Botts L.L.P.</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388"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WASTE MANAGEMENT, INC.</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 September 11, 2012</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r>
        <w:trPr>
          <w:trHeight w:val="378"/>
        </w:trPr>
        <w:tc>
          <w:tcPr>
            <w:tcW w:w="3760" w:type="dxa"/>
            <w:vAlign w:val="bottom"/>
          </w:tcPr>
          <w:p>
            <w:pPr>
              <w:spacing w:after="0"/>
              <w:rPr>
                <w:sz w:val="24"/>
                <w:szCs w:val="24"/>
                <w:color w:val="auto"/>
              </w:rPr>
            </w:pPr>
          </w:p>
        </w:tc>
        <w:tc>
          <w:tcPr>
            <w:tcW w:w="2420" w:type="dxa"/>
            <w:vAlign w:val="bottom"/>
          </w:tcPr>
          <w:p>
            <w:pPr>
              <w:jc w:val="right"/>
              <w:ind w:right="332"/>
              <w:spacing w:after="0"/>
              <w:rPr>
                <w:sz w:val="20"/>
                <w:szCs w:val="20"/>
                <w:color w:val="auto"/>
              </w:rPr>
            </w:pPr>
            <w:r>
              <w:rPr>
                <w:rFonts w:ascii="Arial" w:cs="Arial" w:eastAsia="Arial" w:hAnsi="Arial"/>
                <w:sz w:val="18"/>
                <w:szCs w:val="18"/>
                <w:color w:val="auto"/>
              </w:rPr>
              <w:t>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40" w:type="dxa"/>
            <w:vAlign w:val="bottom"/>
          </w:tcPr>
          <w:p>
            <w:pPr>
              <w:ind w:left="326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70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9840" w:type="dxa"/>
            <w:vAlign w:val="bottom"/>
            <w:shd w:val="clear" w:color="auto" w:fill="000000"/>
          </w:tcPr>
          <w:p>
            <w:pPr>
              <w:spacing w:after="0"/>
              <w:rPr>
                <w:sz w:val="2"/>
                <w:szCs w:val="2"/>
                <w:color w:val="auto"/>
              </w:rPr>
            </w:pP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Underwriting Agreement dated September 5, 2012 by and among the Company, WM Holdings and Barclays Capital Inc., BNP Paribas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1"/>
              </w:rPr>
              <w:t>Securities Corp., and Merrill Lynch, Pierce, Fenner &amp; Smith Incorporated as representatives of the several Underwriters named therein.</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0"/>
              </w:rPr>
              <w:t>Indenture dated September 10, 1997 by and between the Company and The Bank of New York Mellon Trust Company, N.A. (the current</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89"/>
              </w:rPr>
              <w:t>successor to Texas Commerce Bank National Association), as Trustee, relating to senior debt securities of the Company (incorporated by</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reference to Exhibit 4.1 to Current Report on Form 8-K filed September 24, 1997).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9"/>
              </w:rPr>
              <w:t>Form of Officers’ Certificate delivered pursuant to Section 3.01 of the Indenture establishing the terms and form of the Notes.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Form of Note (included in Exhibit 4.2 above).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3"/>
              </w:rPr>
              <w:t>Form of Guarantee Agreement by WM Holdings in favor of the holders of Waste Management, Inc.’s 2.90% Senior Notes due 2022.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Opinion of Baker Botts L.L.P.</w:t>
            </w:r>
          </w:p>
        </w:tc>
      </w:tr>
      <w:tr>
        <w:trPr>
          <w:trHeight w:val="365"/>
        </w:trPr>
        <w:tc>
          <w:tcPr>
            <w:tcW w:w="720" w:type="dxa"/>
            <w:vAlign w:val="bottom"/>
          </w:tcPr>
          <w:p>
            <w:pPr>
              <w:spacing w:after="0"/>
              <w:rPr>
                <w:sz w:val="24"/>
                <w:szCs w:val="24"/>
                <w:color w:val="auto"/>
              </w:rPr>
            </w:pPr>
          </w:p>
        </w:tc>
        <w:tc>
          <w:tcPr>
            <w:tcW w:w="10700" w:type="dxa"/>
            <w:vAlign w:val="bottom"/>
            <w:gridSpan w:val="2"/>
          </w:tcPr>
          <w:p>
            <w:pPr>
              <w:ind w:left="496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27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2.900% Senior Notes due 2022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5,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II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BNP Paribas Securities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the principal amounts of its securities identified in Schedule I hereto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 New York Mellon Trust Company, N.A. (as the current successor to the initial trustee, Texas Commerce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a guarantee (the “</w:t>
      </w: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w:t>
      </w:r>
    </w:p>
    <w:p>
      <w:pPr>
        <w:sectPr>
          <w:pgSz w:w="11900" w:h="16838" w:orient="portrait"/>
          <w:cols w:equalWidth="0" w:num="1">
            <w:col w:w="11420"/>
          </w:cols>
          <w:pgMar w:left="240" w:top="125" w:right="23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132" w:lineRule="exact"/>
        <w:rPr>
          <w:sz w:val="20"/>
          <w:szCs w:val="20"/>
          <w:color w:val="auto"/>
        </w:rPr>
      </w:pPr>
    </w:p>
    <w:p>
      <w:pPr>
        <w:ind w:right="100" w:firstLine="464"/>
        <w:spacing w:after="0" w:line="268" w:lineRule="auto"/>
        <w:tabs>
          <w:tab w:leader="none" w:pos="6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50" w:lineRule="exact"/>
        <w:rPr>
          <w:rFonts w:ascii="Arial" w:cs="Arial" w:eastAsia="Arial" w:hAnsi="Arial"/>
          <w:sz w:val="18"/>
          <w:szCs w:val="18"/>
          <w:color w:val="auto"/>
        </w:rPr>
      </w:pPr>
    </w:p>
    <w:p>
      <w:pPr>
        <w:ind w:left="460" w:right="40" w:firstLine="443"/>
        <w:spacing w:after="0" w:line="288"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333-162059) on Form S-3, including a related base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38" w:lineRule="exact"/>
        <w:rPr>
          <w:rFonts w:ascii="Arial" w:cs="Arial" w:eastAsia="Arial" w:hAnsi="Arial"/>
          <w:sz w:val="16"/>
          <w:szCs w:val="16"/>
          <w:color w:val="auto"/>
        </w:rPr>
      </w:pPr>
    </w:p>
    <w:p>
      <w:pPr>
        <w:ind w:left="460" w:firstLine="443"/>
        <w:spacing w:after="0" w:line="288" w:lineRule="auto"/>
        <w:tabs>
          <w:tab w:leader="none" w:pos="1147" w:val="left"/>
        </w:tabs>
        <w:numPr>
          <w:ilvl w:val="1"/>
          <w:numId w:val="2"/>
        </w:numPr>
        <w:rPr>
          <w:rFonts w:ascii="Arial" w:cs="Arial" w:eastAsia="Arial" w:hAnsi="Arial"/>
          <w:sz w:val="16"/>
          <w:szCs w:val="16"/>
          <w:color w:val="auto"/>
        </w:rPr>
      </w:pPr>
      <w:r>
        <w:rPr>
          <w:rFonts w:ascii="Arial" w:cs="Arial" w:eastAsia="Arial" w:hAnsi="Arial"/>
          <w:sz w:val="16"/>
          <w:szCs w:val="16"/>
          <w:color w:val="auto"/>
        </w:rPr>
        <w:t>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7" w:name="page8"/>
    <w:bookmarkEnd w:id="7"/>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35" w:lineRule="exact"/>
        <w:rPr>
          <w:sz w:val="20"/>
          <w:szCs w:val="20"/>
          <w:color w:val="auto"/>
        </w:rPr>
      </w:pPr>
    </w:p>
    <w:p>
      <w:pPr>
        <w:ind w:right="20" w:firstLine="443"/>
        <w:spacing w:after="0" w:line="253" w:lineRule="auto"/>
        <w:tabs>
          <w:tab w:leader="none" w:pos="677"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Company makes no representation and warranty with respect to any statements or omissions made in reliance upon and in</w:t>
      </w:r>
      <w:r>
        <w:rPr>
          <w:rFonts w:ascii="Arial" w:cs="Arial" w:eastAsia="Arial" w:hAnsi="Arial"/>
          <w:sz w:val="18"/>
          <w:szCs w:val="18"/>
          <w:i w:val="1"/>
          <w:iCs w:val="1"/>
          <w:color w:val="auto"/>
        </w:rPr>
        <w:t xml:space="preserve"> </w:t>
      </w:r>
      <w:r>
        <w:rPr>
          <w:rFonts w:ascii="Arial" w:cs="Arial" w:eastAsia="Arial" w:hAnsi="Arial"/>
          <w:sz w:val="18"/>
          <w:szCs w:val="18"/>
          <w:color w:val="auto"/>
        </w:rPr>
        <w:t>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66" w:lineRule="exact"/>
        <w:rPr>
          <w:rFonts w:ascii="Arial" w:cs="Arial" w:eastAsia="Arial" w:hAnsi="Arial"/>
          <w:sz w:val="18"/>
          <w:szCs w:val="18"/>
          <w:color w:val="auto"/>
        </w:rPr>
      </w:pPr>
    </w:p>
    <w:p>
      <w:pPr>
        <w:ind w:firstLine="443"/>
        <w:spacing w:after="0" w:line="283" w:lineRule="auto"/>
        <w:tabs>
          <w:tab w:leader="none" w:pos="687"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other than (i) any document not constituting a prospectus pursuant to Section 2(a)(10)(a) of the Act or Rule 134 under the Act, (ii) the Preliminary Prospectus, (iii) the Final Prospectus,</w:t>
      </w:r>
    </w:p>
    <w:p>
      <w:pPr>
        <w:spacing w:after="0" w:line="2" w:lineRule="exact"/>
        <w:rPr>
          <w:rFonts w:ascii="Arial" w:cs="Arial" w:eastAsia="Arial" w:hAnsi="Arial"/>
          <w:sz w:val="16"/>
          <w:szCs w:val="16"/>
          <w:color w:val="auto"/>
        </w:rPr>
      </w:pPr>
    </w:p>
    <w:p>
      <w:pPr>
        <w:ind w:right="120" w:firstLine="4"/>
        <w:spacing w:after="0" w:line="287" w:lineRule="auto"/>
        <w:tabs>
          <w:tab w:leader="none" w:pos="29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8" w:name="page9"/>
    <w:bookmarkEnd w:id="8"/>
    <w:p>
      <w:pPr>
        <w:ind w:firstLine="443"/>
        <w:spacing w:after="0" w:line="289"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37" w:lineRule="exact"/>
        <w:rPr>
          <w:rFonts w:ascii="Arial" w:cs="Arial" w:eastAsia="Arial" w:hAnsi="Arial"/>
          <w:sz w:val="16"/>
          <w:szCs w:val="16"/>
          <w:color w:val="auto"/>
        </w:rPr>
      </w:pPr>
    </w:p>
    <w:p>
      <w:pPr>
        <w:ind w:right="120" w:firstLine="443"/>
        <w:spacing w:after="0" w:line="291" w:lineRule="auto"/>
        <w:tabs>
          <w:tab w:leader="none" w:pos="65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39" w:lineRule="exact"/>
        <w:rPr>
          <w:rFonts w:ascii="Arial" w:cs="Arial" w:eastAsia="Arial" w:hAnsi="Arial"/>
          <w:sz w:val="16"/>
          <w:szCs w:val="16"/>
          <w:color w:val="auto"/>
        </w:rPr>
      </w:pPr>
    </w:p>
    <w:p>
      <w:pPr>
        <w:ind w:right="60" w:firstLine="443"/>
        <w:spacing w:after="0" w:line="290"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37" w:lineRule="exact"/>
        <w:rPr>
          <w:rFonts w:ascii="Arial" w:cs="Arial" w:eastAsia="Arial" w:hAnsi="Arial"/>
          <w:sz w:val="16"/>
          <w:szCs w:val="16"/>
          <w:color w:val="auto"/>
        </w:rPr>
      </w:pPr>
    </w:p>
    <w:p>
      <w:pPr>
        <w:ind w:right="120" w:firstLine="443"/>
        <w:spacing w:after="0" w:line="291"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9" w:name="page10"/>
    <w:bookmarkEnd w:id="9"/>
    <w:p>
      <w:pPr>
        <w:ind w:firstLine="443"/>
        <w:spacing w:after="0" w:line="291"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ind w:right="140" w:firstLine="443"/>
        <w:spacing w:after="0" w:line="255"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61" w:lineRule="exact"/>
        <w:rPr>
          <w:rFonts w:ascii="Arial" w:cs="Arial" w:eastAsia="Arial" w:hAnsi="Arial"/>
          <w:sz w:val="18"/>
          <w:szCs w:val="18"/>
          <w:color w:val="auto"/>
        </w:rPr>
      </w:pPr>
    </w:p>
    <w:p>
      <w:pPr>
        <w:ind w:right="80" w:firstLine="443"/>
        <w:spacing w:after="0" w:line="290"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the Company’s “significant subsidiaries” (as such term is defined in Regulation S-X under the Exchange Act) (the “</w:t>
      </w:r>
      <w:r>
        <w:rPr>
          <w:rFonts w:ascii="Arial" w:cs="Arial" w:eastAsia="Arial" w:hAnsi="Arial"/>
          <w:sz w:val="16"/>
          <w:szCs w:val="16"/>
          <w:u w:val="single" w:color="auto"/>
          <w:color w:val="auto"/>
        </w:rPr>
        <w:t>Subsidiaries</w:t>
      </w:r>
      <w:r>
        <w:rPr>
          <w:rFonts w:ascii="Arial" w:cs="Arial" w:eastAsia="Arial" w:hAnsi="Arial"/>
          <w:sz w:val="16"/>
          <w:szCs w:val="16"/>
          <w:color w:val="auto"/>
        </w:rPr>
        <w:t>”) is included in the list of subsidiaries on Exhibit 21.1 of the Annual Report on Form 10-K for the year ended December 31, 2011,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37" w:lineRule="exact"/>
        <w:rPr>
          <w:rFonts w:ascii="Arial" w:cs="Arial" w:eastAsia="Arial" w:hAnsi="Arial"/>
          <w:sz w:val="16"/>
          <w:szCs w:val="16"/>
          <w:color w:val="auto"/>
        </w:rPr>
      </w:pPr>
    </w:p>
    <w:p>
      <w:pPr>
        <w:ind w:right="40" w:firstLine="443"/>
        <w:spacing w:after="0" w:line="253"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0" w:name="page11"/>
    <w:bookmarkEnd w:id="10"/>
    <w:p>
      <w:pPr>
        <w:ind w:left="740" w:hanging="29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and validly authorized, executed and delivered by the Company and Holdings.</w:t>
      </w:r>
    </w:p>
    <w:p>
      <w:pPr>
        <w:spacing w:after="0" w:line="90" w:lineRule="exact"/>
        <w:rPr>
          <w:rFonts w:ascii="Arial" w:cs="Arial" w:eastAsia="Arial" w:hAnsi="Arial"/>
          <w:sz w:val="18"/>
          <w:szCs w:val="18"/>
          <w:color w:val="auto"/>
        </w:rPr>
      </w:pPr>
    </w:p>
    <w:p>
      <w:pPr>
        <w:ind w:firstLine="443"/>
        <w:spacing w:after="0" w:line="28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46" w:lineRule="exact"/>
        <w:rPr>
          <w:rFonts w:ascii="Arial" w:cs="Arial" w:eastAsia="Arial" w:hAnsi="Arial"/>
          <w:sz w:val="16"/>
          <w:szCs w:val="16"/>
          <w:color w:val="auto"/>
        </w:rPr>
      </w:pPr>
    </w:p>
    <w:p>
      <w:pPr>
        <w:ind w:right="40" w:firstLine="443"/>
        <w:spacing w:after="0" w:line="312" w:lineRule="auto"/>
        <w:tabs>
          <w:tab w:leader="none" w:pos="687" w:val="left"/>
        </w:tabs>
        <w:numPr>
          <w:ilvl w:val="0"/>
          <w:numId w:val="7"/>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24" w:lineRule="exact"/>
        <w:rPr>
          <w:rFonts w:ascii="Arial" w:cs="Arial" w:eastAsia="Arial" w:hAnsi="Arial"/>
          <w:sz w:val="15"/>
          <w:szCs w:val="15"/>
          <w:color w:val="auto"/>
        </w:rPr>
      </w:pPr>
    </w:p>
    <w:p>
      <w:pPr>
        <w:ind w:right="140" w:firstLine="443"/>
        <w:spacing w:after="0" w:line="290"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1" w:name="page12"/>
    <w:bookmarkEnd w:id="11"/>
    <w:p>
      <w:pPr>
        <w:ind w:right="20" w:firstLine="443"/>
        <w:spacing w:after="0" w:line="294"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34" w:lineRule="exact"/>
        <w:rPr>
          <w:rFonts w:ascii="Arial" w:cs="Arial" w:eastAsia="Arial" w:hAnsi="Arial"/>
          <w:sz w:val="16"/>
          <w:szCs w:val="16"/>
          <w:color w:val="auto"/>
        </w:rPr>
      </w:pPr>
    </w:p>
    <w:p>
      <w:pPr>
        <w:jc w:val="both"/>
        <w:ind w:right="80" w:firstLine="443"/>
        <w:spacing w:after="0" w:line="259"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59" w:lineRule="exact"/>
        <w:rPr>
          <w:rFonts w:ascii="Arial" w:cs="Arial" w:eastAsia="Arial" w:hAnsi="Arial"/>
          <w:sz w:val="18"/>
          <w:szCs w:val="18"/>
          <w:color w:val="auto"/>
        </w:rPr>
      </w:pPr>
    </w:p>
    <w:p>
      <w:pPr>
        <w:ind w:right="40" w:firstLine="443"/>
        <w:spacing w:after="0" w:line="255" w:lineRule="auto"/>
        <w:tabs>
          <w:tab w:leader="none" w:pos="667"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61" w:lineRule="exact"/>
        <w:rPr>
          <w:rFonts w:ascii="Arial" w:cs="Arial" w:eastAsia="Arial" w:hAnsi="Arial"/>
          <w:sz w:val="18"/>
          <w:szCs w:val="18"/>
          <w:color w:val="auto"/>
        </w:rPr>
      </w:pPr>
    </w:p>
    <w:p>
      <w:pPr>
        <w:jc w:val="both"/>
        <w:ind w:right="120" w:firstLine="443"/>
        <w:spacing w:after="0" w:line="259"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59" w:lineRule="exact"/>
        <w:rPr>
          <w:rFonts w:ascii="Arial" w:cs="Arial" w:eastAsia="Arial" w:hAnsi="Arial"/>
          <w:sz w:val="18"/>
          <w:szCs w:val="18"/>
          <w:color w:val="auto"/>
        </w:rPr>
      </w:pPr>
    </w:p>
    <w:p>
      <w:pPr>
        <w:ind w:right="60" w:firstLine="443"/>
        <w:spacing w:after="0" w:line="298"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31" w:lineRule="exact"/>
        <w:rPr>
          <w:rFonts w:ascii="Arial" w:cs="Arial" w:eastAsia="Arial" w:hAnsi="Arial"/>
          <w:sz w:val="16"/>
          <w:szCs w:val="16"/>
          <w:color w:val="auto"/>
        </w:rPr>
      </w:pPr>
    </w:p>
    <w:p>
      <w:pPr>
        <w:ind w:firstLine="443"/>
        <w:spacing w:after="0" w:line="254" w:lineRule="auto"/>
        <w:tabs>
          <w:tab w:leader="none" w:pos="687"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2" w:name="page13"/>
    <w:bookmarkEnd w:id="12"/>
    <w:p>
      <w:pPr>
        <w:jc w:val="both"/>
        <w:ind w:right="90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ind w:right="40" w:firstLine="443"/>
        <w:spacing w:after="0" w:line="294" w:lineRule="auto"/>
        <w:tabs>
          <w:tab w:leader="none" w:pos="72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34" w:lineRule="exact"/>
        <w:rPr>
          <w:rFonts w:ascii="Arial" w:cs="Arial" w:eastAsia="Arial" w:hAnsi="Arial"/>
          <w:sz w:val="16"/>
          <w:szCs w:val="16"/>
          <w:color w:val="auto"/>
        </w:rPr>
      </w:pPr>
    </w:p>
    <w:p>
      <w:pPr>
        <w:jc w:val="both"/>
        <w:ind w:right="100" w:firstLine="443"/>
        <w:spacing w:after="0" w:line="298"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Ernst &amp; Young LLP, who have audited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31" w:lineRule="exact"/>
        <w:rPr>
          <w:rFonts w:ascii="Arial" w:cs="Arial" w:eastAsia="Arial" w:hAnsi="Arial"/>
          <w:sz w:val="16"/>
          <w:szCs w:val="16"/>
          <w:color w:val="auto"/>
        </w:rPr>
      </w:pPr>
    </w:p>
    <w:p>
      <w:pPr>
        <w:ind w:right="80" w:firstLine="443"/>
        <w:spacing w:after="0" w:line="253"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66" w:lineRule="exact"/>
        <w:rPr>
          <w:rFonts w:ascii="Arial" w:cs="Arial" w:eastAsia="Arial" w:hAnsi="Arial"/>
          <w:sz w:val="18"/>
          <w:szCs w:val="18"/>
          <w:color w:val="auto"/>
        </w:rPr>
      </w:pPr>
    </w:p>
    <w:p>
      <w:pPr>
        <w:ind w:firstLine="443"/>
        <w:spacing w:after="0" w:line="256" w:lineRule="auto"/>
        <w:tabs>
          <w:tab w:leader="none" w:pos="67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62" w:lineRule="exact"/>
        <w:rPr>
          <w:sz w:val="20"/>
          <w:szCs w:val="20"/>
          <w:color w:val="auto"/>
        </w:rPr>
      </w:pPr>
    </w:p>
    <w:p>
      <w:pPr>
        <w:ind w:right="40" w:firstLine="443"/>
        <w:spacing w:after="0" w:line="306" w:lineRule="auto"/>
        <w:tabs>
          <w:tab w:leader="none" w:pos="7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are in full force and effect; (iii) the Company and its Subsidiaries are in compliance with the terms of such policies and instruments; (iv) 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37" w:lineRule="exact"/>
        <w:rPr>
          <w:sz w:val="20"/>
          <w:szCs w:val="20"/>
          <w:color w:val="auto"/>
        </w:rPr>
      </w:pPr>
    </w:p>
    <w:p>
      <w:pPr>
        <w:ind w:right="80" w:firstLine="443"/>
        <w:spacing w:after="0" w:line="298" w:lineRule="auto"/>
        <w:tabs>
          <w:tab w:leader="none" w:pos="775"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31" w:lineRule="exact"/>
        <w:rPr>
          <w:rFonts w:ascii="Arial" w:cs="Arial" w:eastAsia="Arial" w:hAnsi="Arial"/>
          <w:sz w:val="16"/>
          <w:szCs w:val="16"/>
          <w:color w:val="auto"/>
        </w:rPr>
      </w:pPr>
    </w:p>
    <w:p>
      <w:pPr>
        <w:ind w:right="40" w:firstLine="443"/>
        <w:spacing w:after="0" w:line="291" w:lineRule="auto"/>
        <w:tabs>
          <w:tab w:leader="none" w:pos="75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39" w:lineRule="exact"/>
        <w:rPr>
          <w:rFonts w:ascii="Arial" w:cs="Arial" w:eastAsia="Arial" w:hAnsi="Arial"/>
          <w:sz w:val="16"/>
          <w:szCs w:val="16"/>
          <w:color w:val="auto"/>
        </w:rPr>
      </w:pPr>
    </w:p>
    <w:p>
      <w:pPr>
        <w:ind w:left="780" w:hanging="337"/>
        <w:spacing w:after="0"/>
        <w:tabs>
          <w:tab w:leader="none" w:pos="7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38" w:lineRule="exact"/>
        <w:rPr>
          <w:rFonts w:ascii="Arial" w:cs="Arial" w:eastAsia="Arial" w:hAnsi="Arial"/>
          <w:sz w:val="16"/>
          <w:szCs w:val="16"/>
          <w:color w:val="auto"/>
        </w:rPr>
      </w:pPr>
    </w:p>
    <w:p>
      <w:pPr>
        <w:ind w:right="160" w:firstLine="4"/>
        <w:spacing w:after="0" w:line="281"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right="80" w:firstLine="4"/>
        <w:spacing w:after="0" w:line="323" w:lineRule="auto"/>
        <w:tabs>
          <w:tab w:leader="none" w:pos="30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14" w:name="page15"/>
    <w:bookmarkEnd w:id="14"/>
    <w:p>
      <w:pPr>
        <w:ind w:right="140" w:firstLine="443"/>
        <w:spacing w:after="0" w:line="306" w:lineRule="auto"/>
        <w:tabs>
          <w:tab w:leader="none" w:pos="755"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25" w:lineRule="exact"/>
        <w:rPr>
          <w:rFonts w:ascii="Arial" w:cs="Arial" w:eastAsia="Arial" w:hAnsi="Arial"/>
          <w:sz w:val="16"/>
          <w:szCs w:val="16"/>
          <w:color w:val="auto"/>
        </w:rPr>
      </w:pPr>
    </w:p>
    <w:p>
      <w:pPr>
        <w:ind w:firstLine="443"/>
        <w:spacing w:after="0" w:line="286" w:lineRule="auto"/>
        <w:tabs>
          <w:tab w:leader="none" w:pos="71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46" w:lineRule="exact"/>
        <w:rPr>
          <w:rFonts w:ascii="Arial" w:cs="Arial" w:eastAsia="Arial" w:hAnsi="Arial"/>
          <w:sz w:val="16"/>
          <w:szCs w:val="16"/>
          <w:color w:val="auto"/>
        </w:rPr>
      </w:pPr>
    </w:p>
    <w:p>
      <w:pPr>
        <w:ind w:firstLine="443"/>
        <w:spacing w:after="0" w:line="290"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37" w:lineRule="exact"/>
        <w:rPr>
          <w:rFonts w:ascii="Arial" w:cs="Arial" w:eastAsia="Arial" w:hAnsi="Arial"/>
          <w:sz w:val="16"/>
          <w:szCs w:val="16"/>
          <w:color w:val="auto"/>
        </w:rPr>
      </w:pPr>
    </w:p>
    <w:p>
      <w:pPr>
        <w:ind w:firstLine="443"/>
        <w:spacing w:after="0" w:line="290"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5" w:name="page16"/>
    <w:bookmarkEnd w:id="15"/>
    <w:p>
      <w:pPr>
        <w:ind w:left="700" w:hanging="257"/>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holders of securities of the Company or Holdings have rights to the registration of such securities under the Registration Statement.</w:t>
      </w:r>
    </w:p>
    <w:p>
      <w:pPr>
        <w:spacing w:after="0" w:line="113" w:lineRule="exact"/>
        <w:rPr>
          <w:rFonts w:ascii="Arial" w:cs="Arial" w:eastAsia="Arial" w:hAnsi="Arial"/>
          <w:sz w:val="16"/>
          <w:szCs w:val="16"/>
          <w:color w:val="auto"/>
        </w:rPr>
      </w:pPr>
    </w:p>
    <w:p>
      <w:pPr>
        <w:jc w:val="both"/>
        <w:ind w:firstLine="443"/>
        <w:spacing w:after="0" w:line="255" w:lineRule="auto"/>
        <w:tabs>
          <w:tab w:leader="none" w:pos="6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61" w:lineRule="exact"/>
        <w:rPr>
          <w:rFonts w:ascii="Arial" w:cs="Arial" w:eastAsia="Arial" w:hAnsi="Arial"/>
          <w:sz w:val="18"/>
          <w:szCs w:val="18"/>
          <w:color w:val="auto"/>
        </w:rPr>
      </w:pPr>
    </w:p>
    <w:p>
      <w:pPr>
        <w:ind w:right="40" w:firstLine="443"/>
        <w:spacing w:after="0" w:line="289" w:lineRule="auto"/>
        <w:tabs>
          <w:tab w:leader="none" w:pos="7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2011 and the Quarterly Reports on Form 10-Q for the quarterly periods ended March 31, 2012 and June 30, 2012 were being prepared; (ii) have been evaluated for effectiveness as of the end of the periods covered by the Company’s Annual Report on Form 10-K for the year ended December 31, 2011 and the Quarterly Reports on Form 10-Q for the quarterly periods ended March 31, 2012 and June 30, 2012 pursuant to Rule 13a-15 of the Exchange Act; and (iii) are effective to ensure that the Company is able to collect, process and disclose the information required to be disclosed in reports filed with the Commission within required time periods.</w:t>
      </w:r>
    </w:p>
    <w:p>
      <w:pPr>
        <w:spacing w:after="0" w:line="37" w:lineRule="exact"/>
        <w:rPr>
          <w:rFonts w:ascii="Arial" w:cs="Arial" w:eastAsia="Arial" w:hAnsi="Arial"/>
          <w:sz w:val="16"/>
          <w:szCs w:val="16"/>
          <w:color w:val="auto"/>
        </w:rPr>
      </w:pPr>
    </w:p>
    <w:p>
      <w:pPr>
        <w:ind w:firstLine="443"/>
        <w:spacing w:after="0" w:line="291" w:lineRule="auto"/>
        <w:tabs>
          <w:tab w:leader="none" w:pos="697"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as of the end of the periods covered by the Annual Report on Form 10-K for the year ended December 31, 2011 and the Quarterly Reports on Form 10-Q for the quarterly periods ended March 31, 2012 and June 30, 2012,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39" w:lineRule="exact"/>
        <w:rPr>
          <w:rFonts w:ascii="Arial" w:cs="Arial" w:eastAsia="Arial" w:hAnsi="Arial"/>
          <w:sz w:val="16"/>
          <w:szCs w:val="16"/>
          <w:color w:val="auto"/>
        </w:rPr>
      </w:pPr>
    </w:p>
    <w:p>
      <w:pPr>
        <w:ind w:right="20" w:firstLine="443"/>
        <w:spacing w:after="0" w:line="254" w:lineRule="auto"/>
        <w:tabs>
          <w:tab w:leader="none" w:pos="8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6" w:name="page17"/>
    <w:bookmarkEnd w:id="16"/>
    <w:p>
      <w:pPr>
        <w:ind w:right="520" w:firstLine="443"/>
        <w:spacing w:after="0" w:line="268" w:lineRule="auto"/>
        <w:tabs>
          <w:tab w:leader="none" w:pos="775"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December 31, 2011, there have been no significant changes in internal controls or in other factors that could significantly affect the Company’s internal controls over financial reporting.</w:t>
      </w:r>
    </w:p>
    <w:p>
      <w:pPr>
        <w:spacing w:after="0" w:line="50" w:lineRule="exact"/>
        <w:rPr>
          <w:rFonts w:ascii="Arial" w:cs="Arial" w:eastAsia="Arial" w:hAnsi="Arial"/>
          <w:sz w:val="18"/>
          <w:szCs w:val="18"/>
          <w:color w:val="auto"/>
        </w:rPr>
      </w:pPr>
    </w:p>
    <w:p>
      <w:pPr>
        <w:ind w:right="120" w:firstLine="443"/>
        <w:spacing w:after="0" w:line="268" w:lineRule="auto"/>
        <w:tabs>
          <w:tab w:leader="none" w:pos="7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50" w:lineRule="exact"/>
        <w:rPr>
          <w:rFonts w:ascii="Arial" w:cs="Arial" w:eastAsia="Arial" w:hAnsi="Arial"/>
          <w:sz w:val="18"/>
          <w:szCs w:val="18"/>
          <w:color w:val="auto"/>
        </w:rPr>
      </w:pPr>
    </w:p>
    <w:p>
      <w:pPr>
        <w:ind w:right="280" w:firstLine="443"/>
        <w:spacing w:after="0" w:line="268" w:lineRule="auto"/>
        <w:tabs>
          <w:tab w:leader="none" w:pos="7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50" w:lineRule="exact"/>
        <w:rPr>
          <w:rFonts w:ascii="Arial" w:cs="Arial" w:eastAsia="Arial" w:hAnsi="Arial"/>
          <w:sz w:val="18"/>
          <w:szCs w:val="18"/>
          <w:color w:val="auto"/>
        </w:rPr>
      </w:pPr>
    </w:p>
    <w:p>
      <w:pPr>
        <w:ind w:firstLine="443"/>
        <w:spacing w:after="0" w:line="289" w:lineRule="auto"/>
        <w:tabs>
          <w:tab w:leader="none" w:pos="7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37" w:lineRule="exact"/>
        <w:rPr>
          <w:rFonts w:ascii="Arial" w:cs="Arial" w:eastAsia="Arial" w:hAnsi="Arial"/>
          <w:sz w:val="16"/>
          <w:szCs w:val="16"/>
          <w:color w:val="auto"/>
        </w:rPr>
      </w:pPr>
    </w:p>
    <w:p>
      <w:pPr>
        <w:ind w:right="120" w:firstLine="443"/>
        <w:spacing w:after="0" w:line="294" w:lineRule="auto"/>
        <w:tabs>
          <w:tab w:leader="none" w:pos="7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34" w:lineRule="exact"/>
        <w:rPr>
          <w:rFonts w:ascii="Arial" w:cs="Arial" w:eastAsia="Arial" w:hAnsi="Arial"/>
          <w:sz w:val="16"/>
          <w:szCs w:val="16"/>
          <w:color w:val="auto"/>
        </w:rPr>
      </w:pPr>
    </w:p>
    <w:p>
      <w:pPr>
        <w:ind w:right="100" w:firstLine="443"/>
        <w:spacing w:after="0" w:line="291" w:lineRule="auto"/>
        <w:tabs>
          <w:tab w:leader="none" w:pos="7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7" w:name="page18"/>
    <w:bookmarkEnd w:id="17"/>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40" w:lineRule="exact"/>
        <w:rPr>
          <w:sz w:val="20"/>
          <w:szCs w:val="20"/>
          <w:color w:val="auto"/>
        </w:rPr>
      </w:pPr>
    </w:p>
    <w:p>
      <w:pPr>
        <w:jc w:val="both"/>
        <w:ind w:right="220" w:firstLine="464"/>
        <w:spacing w:after="0" w:line="256"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Company agrees to sell to each Underwriter, and each Underwriter agrees, severally and not jointly, to purchase from the Company, at a purchase price of 99.031% of the principal amount of the 2.900% Senior Notes due 2022 plus accrued interest, if any, from September 12, 2012 to the Closing Date, the principal amount of the Notes set forth opposite such Underwriter’s name in Schedule II hereto.</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firstLine="464"/>
        <w:spacing w:after="0" w:line="290"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6"/>
          <w:szCs w:val="16"/>
          <w:u w:val="single" w:color="auto"/>
          <w:color w:val="auto"/>
        </w:rPr>
        <w:t>Closing Date</w:t>
      </w:r>
      <w:r>
        <w:rPr>
          <w:rFonts w:ascii="Arial" w:cs="Arial" w:eastAsia="Arial" w:hAnsi="Arial"/>
          <w:sz w:val="16"/>
          <w:szCs w:val="16"/>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18" w:lineRule="exact"/>
        <w:rPr>
          <w:rFonts w:ascii="Arial" w:cs="Arial" w:eastAsia="Arial" w:hAnsi="Arial"/>
          <w:sz w:val="16"/>
          <w:szCs w:val="16"/>
          <w:color w:val="auto"/>
        </w:rPr>
      </w:pPr>
    </w:p>
    <w:p>
      <w:pPr>
        <w:ind w:right="84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4" w:right="239" w:bottom="1440" w:gutter="0" w:footer="0" w:header="0"/>
        </w:sectPr>
      </w:pPr>
    </w:p>
    <w:bookmarkStart w:id="18" w:name="page19"/>
    <w:bookmarkEnd w:id="18"/>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 </w:t>
      </w: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90" w:lineRule="exact"/>
        <w:rPr>
          <w:sz w:val="20"/>
          <w:szCs w:val="20"/>
          <w:color w:val="auto"/>
        </w:rPr>
      </w:pPr>
    </w:p>
    <w:p>
      <w:pPr>
        <w:ind w:firstLine="220"/>
        <w:spacing w:after="0" w:line="252" w:lineRule="auto"/>
        <w:tabs>
          <w:tab w:leader="none" w:pos="4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69" w:lineRule="exact"/>
        <w:rPr>
          <w:rFonts w:ascii="Arial" w:cs="Arial" w:eastAsia="Arial" w:hAnsi="Arial"/>
          <w:sz w:val="18"/>
          <w:szCs w:val="18"/>
          <w:color w:val="auto"/>
        </w:rPr>
      </w:pPr>
    </w:p>
    <w:p>
      <w:pPr>
        <w:ind w:right="60" w:firstLine="220"/>
        <w:spacing w:after="0" w:line="290" w:lineRule="auto"/>
        <w:tabs>
          <w:tab w:leader="none" w:pos="47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37" w:lineRule="exact"/>
        <w:rPr>
          <w:rFonts w:ascii="Arial" w:cs="Arial" w:eastAsia="Arial" w:hAnsi="Arial"/>
          <w:sz w:val="16"/>
          <w:szCs w:val="16"/>
          <w:color w:val="auto"/>
        </w:rPr>
      </w:pPr>
    </w:p>
    <w:p>
      <w:pPr>
        <w:ind w:firstLine="220"/>
        <w:spacing w:after="0" w:line="288" w:lineRule="auto"/>
        <w:tabs>
          <w:tab w:leader="none" w:pos="4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w:t>
      </w:r>
    </w:p>
    <w:p>
      <w:pPr>
        <w:spacing w:after="0" w:line="10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480" w:top="280" w:right="259" w:bottom="1440" w:gutter="0" w:footer="0" w:header="0"/>
        </w:sectPr>
      </w:pPr>
    </w:p>
    <w:bookmarkStart w:id="19" w:name="page20"/>
    <w:bookmarkEnd w:id="19"/>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4" w:lineRule="exact"/>
        <w:rPr>
          <w:sz w:val="20"/>
          <w:szCs w:val="20"/>
          <w:color w:val="auto"/>
        </w:rPr>
      </w:pPr>
    </w:p>
    <w:p>
      <w:pPr>
        <w:ind w:firstLine="443"/>
        <w:spacing w:after="0" w:line="253"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66" w:lineRule="exact"/>
        <w:rPr>
          <w:rFonts w:ascii="Arial" w:cs="Arial" w:eastAsia="Arial" w:hAnsi="Arial"/>
          <w:sz w:val="18"/>
          <w:szCs w:val="18"/>
          <w:color w:val="auto"/>
        </w:rPr>
      </w:pPr>
    </w:p>
    <w:p>
      <w:pPr>
        <w:ind w:right="20" w:firstLine="443"/>
        <w:spacing w:after="0" w:line="289" w:lineRule="auto"/>
        <w:tabs>
          <w:tab w:leader="none" w:pos="6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37" w:lineRule="exact"/>
        <w:rPr>
          <w:rFonts w:ascii="Arial" w:cs="Arial" w:eastAsia="Arial" w:hAnsi="Arial"/>
          <w:sz w:val="16"/>
          <w:szCs w:val="16"/>
          <w:color w:val="auto"/>
        </w:rPr>
      </w:pPr>
    </w:p>
    <w:p>
      <w:pPr>
        <w:ind w:right="380" w:firstLine="443"/>
        <w:spacing w:after="0" w:line="332" w:lineRule="auto"/>
        <w:tabs>
          <w:tab w:leader="none" w:pos="6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4" w:lineRule="exact"/>
        <w:rPr>
          <w:rFonts w:ascii="Arial" w:cs="Arial" w:eastAsia="Arial" w:hAnsi="Arial"/>
          <w:sz w:val="16"/>
          <w:szCs w:val="16"/>
          <w:color w:val="auto"/>
        </w:rPr>
      </w:pPr>
    </w:p>
    <w:p>
      <w:pPr>
        <w:ind w:right="240" w:firstLine="443"/>
        <w:spacing w:after="0" w:line="294"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0" w:name="page21"/>
    <w:bookmarkEnd w:id="20"/>
    <w:p>
      <w:pPr>
        <w:ind w:firstLine="443"/>
        <w:spacing w:after="0" w:line="294" w:lineRule="auto"/>
        <w:tabs>
          <w:tab w:leader="none" w:pos="687"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34" w:lineRule="exact"/>
        <w:rPr>
          <w:rFonts w:ascii="Arial" w:cs="Arial" w:eastAsia="Arial" w:hAnsi="Arial"/>
          <w:sz w:val="16"/>
          <w:szCs w:val="16"/>
          <w:color w:val="auto"/>
        </w:rPr>
      </w:pPr>
    </w:p>
    <w:p>
      <w:pPr>
        <w:ind w:right="100" w:firstLine="443"/>
        <w:spacing w:after="0" w:line="290" w:lineRule="auto"/>
        <w:tabs>
          <w:tab w:leader="none" w:pos="64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October 5, 2012.</w:t>
      </w:r>
    </w:p>
    <w:p>
      <w:pPr>
        <w:spacing w:after="0" w:line="37" w:lineRule="exact"/>
        <w:rPr>
          <w:rFonts w:ascii="Arial" w:cs="Arial" w:eastAsia="Arial" w:hAnsi="Arial"/>
          <w:sz w:val="16"/>
          <w:szCs w:val="16"/>
          <w:color w:val="auto"/>
        </w:rPr>
      </w:pPr>
    </w:p>
    <w:p>
      <w:pPr>
        <w:ind w:right="60" w:firstLine="443"/>
        <w:spacing w:after="0" w:line="259" w:lineRule="auto"/>
        <w:tabs>
          <w:tab w:leader="none" w:pos="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right="180" w:firstLine="443"/>
        <w:spacing w:after="0" w:line="268" w:lineRule="auto"/>
        <w:tabs>
          <w:tab w:leader="none" w:pos="68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w:t>
      </w:r>
    </w:p>
    <w:p>
      <w:pPr>
        <w:spacing w:after="0" w:line="38" w:lineRule="exact"/>
        <w:rPr>
          <w:rFonts w:ascii="Arial" w:cs="Arial" w:eastAsia="Arial" w:hAnsi="Arial"/>
          <w:sz w:val="16"/>
          <w:szCs w:val="16"/>
          <w:color w:val="auto"/>
        </w:rPr>
      </w:pPr>
    </w:p>
    <w:p>
      <w:pPr>
        <w:ind w:right="40" w:firstLine="4"/>
        <w:spacing w:after="0" w:line="300" w:lineRule="auto"/>
        <w:tabs>
          <w:tab w:leader="none" w:pos="307"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w:t>
      </w:r>
    </w:p>
    <w:p>
      <w:pPr>
        <w:spacing w:after="0" w:line="2" w:lineRule="exact"/>
        <w:rPr>
          <w:rFonts w:ascii="Arial" w:cs="Arial" w:eastAsia="Arial" w:hAnsi="Arial"/>
          <w:sz w:val="15"/>
          <w:szCs w:val="15"/>
          <w:color w:val="auto"/>
        </w:rPr>
      </w:pPr>
    </w:p>
    <w:p>
      <w:pPr>
        <w:ind w:right="100"/>
        <w:spacing w:after="0" w:line="261" w:lineRule="auto"/>
        <w:rPr>
          <w:rFonts w:ascii="Arial" w:cs="Arial" w:eastAsia="Arial" w:hAnsi="Arial"/>
          <w:sz w:val="15"/>
          <w:szCs w:val="15"/>
          <w:color w:val="auto"/>
        </w:rPr>
      </w:pPr>
      <w:r>
        <w:rPr>
          <w:rFonts w:ascii="Arial" w:cs="Arial" w:eastAsia="Arial" w:hAnsi="Arial"/>
          <w:sz w:val="18"/>
          <w:szCs w:val="18"/>
          <w:color w:val="auto"/>
        </w:rPr>
        <w:t>(i) or (iii), an “</w:t>
      </w:r>
      <w:r>
        <w:rPr>
          <w:rFonts w:ascii="Arial" w:cs="Arial" w:eastAsia="Arial" w:hAnsi="Arial"/>
          <w:sz w:val="18"/>
          <w:szCs w:val="18"/>
          <w:u w:val="single" w:color="auto"/>
          <w:color w:val="auto"/>
        </w:rPr>
        <w:t>Underwriter Free 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12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700" w:top="280" w:right="339" w:bottom="1440" w:gutter="0" w:footer="0" w:header="0"/>
        </w:sectPr>
      </w:pPr>
    </w:p>
    <w:bookmarkStart w:id="21" w:name="page22"/>
    <w:bookmarkEnd w:id="21"/>
    <w:p>
      <w:pPr>
        <w:ind w:left="440" w:right="60" w:firstLine="443"/>
        <w:spacing w:after="0" w:line="268" w:lineRule="auto"/>
        <w:tabs>
          <w:tab w:leader="none" w:pos="1127"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not subject to any pending proceeding under Section 8A of the Act with respect to the offering (and will promptly notify the Company if any such proceeding against it is initiated during the Prospectus Delivery Period).</w:t>
      </w:r>
    </w:p>
    <w:p>
      <w:pPr>
        <w:spacing w:after="0" w:line="131" w:lineRule="exact"/>
        <w:rPr>
          <w:rFonts w:ascii="Arial" w:cs="Arial" w:eastAsia="Arial" w:hAnsi="Arial"/>
          <w:sz w:val="18"/>
          <w:szCs w:val="18"/>
          <w:color w:val="auto"/>
        </w:rPr>
      </w:pPr>
    </w:p>
    <w:p>
      <w:pPr>
        <w:ind w:left="-20" w:right="140" w:firstLine="464"/>
        <w:spacing w:after="0" w:line="256" w:lineRule="auto"/>
        <w:tabs>
          <w:tab w:leader="none" w:pos="61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62" w:lineRule="exact"/>
        <w:rPr>
          <w:rFonts w:ascii="Arial" w:cs="Arial" w:eastAsia="Arial" w:hAnsi="Arial"/>
          <w:sz w:val="18"/>
          <w:szCs w:val="18"/>
          <w:color w:val="auto"/>
        </w:rPr>
      </w:pPr>
    </w:p>
    <w:p>
      <w:pPr>
        <w:ind w:left="1120" w:hanging="237"/>
        <w:spacing w:after="0"/>
        <w:tabs>
          <w:tab w:leader="none" w:pos="11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the filing of the Final Prospectus, or any supplement thereto, is required pursuant to Rule 424(b), the Final Prospectus, and any such</w:t>
      </w:r>
    </w:p>
    <w:p>
      <w:pPr>
        <w:spacing w:after="0" w:line="38" w:lineRule="exact"/>
        <w:rPr>
          <w:rFonts w:ascii="Arial" w:cs="Arial" w:eastAsia="Arial" w:hAnsi="Arial"/>
          <w:sz w:val="16"/>
          <w:szCs w:val="16"/>
          <w:color w:val="auto"/>
        </w:rPr>
      </w:pPr>
    </w:p>
    <w:p>
      <w:pPr>
        <w:ind w:left="440" w:right="20"/>
        <w:spacing w:after="0" w:line="253" w:lineRule="auto"/>
        <w:rPr>
          <w:rFonts w:ascii="Arial" w:cs="Arial" w:eastAsia="Arial" w:hAnsi="Arial"/>
          <w:sz w:val="16"/>
          <w:szCs w:val="16"/>
          <w:color w:val="auto"/>
        </w:rPr>
      </w:pPr>
      <w:r>
        <w:rPr>
          <w:rFonts w:ascii="Arial" w:cs="Arial" w:eastAsia="Arial" w:hAnsi="Arial"/>
          <w:sz w:val="18"/>
          <w:szCs w:val="18"/>
          <w:color w:val="auto"/>
        </w:rPr>
        <w:t>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64" w:lineRule="exact"/>
        <w:rPr>
          <w:rFonts w:ascii="Arial" w:cs="Arial" w:eastAsia="Arial" w:hAnsi="Arial"/>
          <w:sz w:val="16"/>
          <w:szCs w:val="16"/>
          <w:color w:val="auto"/>
        </w:rPr>
      </w:pPr>
    </w:p>
    <w:p>
      <w:pPr>
        <w:ind w:left="440" w:right="1020" w:firstLine="443"/>
        <w:spacing w:after="0" w:line="332" w:lineRule="auto"/>
        <w:tabs>
          <w:tab w:leader="none" w:pos="1127"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4" w:lineRule="exact"/>
        <w:rPr>
          <w:rFonts w:ascii="Arial" w:cs="Arial" w:eastAsia="Arial" w:hAnsi="Arial"/>
          <w:sz w:val="16"/>
          <w:szCs w:val="16"/>
          <w:color w:val="auto"/>
        </w:rPr>
      </w:pPr>
    </w:p>
    <w:p>
      <w:pPr>
        <w:ind w:left="900" w:right="20" w:firstLine="421"/>
        <w:spacing w:after="0" w:line="256" w:lineRule="auto"/>
        <w:tabs>
          <w:tab w:leader="none" w:pos="1529"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62" w:lineRule="exact"/>
        <w:rPr>
          <w:rFonts w:ascii="Arial" w:cs="Arial" w:eastAsia="Arial" w:hAnsi="Arial"/>
          <w:sz w:val="18"/>
          <w:szCs w:val="18"/>
          <w:color w:val="auto"/>
        </w:rPr>
      </w:pPr>
    </w:p>
    <w:p>
      <w:pPr>
        <w:ind w:left="1580" w:hanging="259"/>
        <w:spacing w:after="0"/>
        <w:tabs>
          <w:tab w:leader="none" w:pos="15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90" w:lineRule="exact"/>
        <w:rPr>
          <w:rFonts w:ascii="Arial" w:cs="Arial" w:eastAsia="Arial" w:hAnsi="Arial"/>
          <w:sz w:val="18"/>
          <w:szCs w:val="18"/>
          <w:color w:val="auto"/>
        </w:rPr>
      </w:pPr>
    </w:p>
    <w:p>
      <w:pPr>
        <w:ind w:left="900" w:firstLine="421"/>
        <w:spacing w:after="0" w:line="294" w:lineRule="auto"/>
        <w:tabs>
          <w:tab w:leader="none" w:pos="1627" w:val="left"/>
        </w:tabs>
        <w:numPr>
          <w:ilvl w:val="2"/>
          <w:numId w:val="25"/>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80" w:right="259" w:bottom="1440" w:gutter="0" w:footer="0" w:header="0"/>
        </w:sectPr>
      </w:pPr>
    </w:p>
    <w:bookmarkStart w:id="22" w:name="page23"/>
    <w:bookmarkEnd w:id="22"/>
    <w:p>
      <w:pPr>
        <w:ind w:left="-280" w:right="20" w:firstLine="421"/>
        <w:spacing w:after="0" w:line="290" w:lineRule="auto"/>
        <w:tabs>
          <w:tab w:leader="none" w:pos="437"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global certificate representing the Notes is in a form authorized by the Indenture, the Notes have been duly authorized by the Company and, assuming the global certificate representing the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37" w:lineRule="exact"/>
        <w:rPr>
          <w:rFonts w:ascii="Arial" w:cs="Arial" w:eastAsia="Arial" w:hAnsi="Arial"/>
          <w:sz w:val="16"/>
          <w:szCs w:val="16"/>
          <w:color w:val="auto"/>
        </w:rPr>
      </w:pPr>
    </w:p>
    <w:p>
      <w:pPr>
        <w:ind w:left="-280" w:firstLine="421"/>
        <w:spacing w:after="0" w:line="289" w:lineRule="auto"/>
        <w:tabs>
          <w:tab w:leader="none" w:pos="3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Guarantee Agreement has been duly authorized, executed and delivered by Holdings and, assuming the global certificate representing the Notes has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37" w:lineRule="exact"/>
        <w:rPr>
          <w:rFonts w:ascii="Arial" w:cs="Arial" w:eastAsia="Arial" w:hAnsi="Arial"/>
          <w:sz w:val="16"/>
          <w:szCs w:val="16"/>
          <w:color w:val="auto"/>
        </w:rPr>
      </w:pPr>
    </w:p>
    <w:p>
      <w:pPr>
        <w:ind w:left="440" w:hanging="299"/>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90" w:lineRule="exact"/>
        <w:rPr>
          <w:rFonts w:ascii="Arial" w:cs="Arial" w:eastAsia="Arial" w:hAnsi="Arial"/>
          <w:sz w:val="18"/>
          <w:szCs w:val="18"/>
          <w:color w:val="auto"/>
        </w:rPr>
      </w:pPr>
    </w:p>
    <w:p>
      <w:pPr>
        <w:ind w:left="-280" w:right="860" w:firstLine="421"/>
        <w:spacing w:after="0" w:line="268" w:lineRule="auto"/>
        <w:tabs>
          <w:tab w:leader="none" w:pos="4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50" w:lineRule="exact"/>
        <w:rPr>
          <w:rFonts w:ascii="Arial" w:cs="Arial" w:eastAsia="Arial" w:hAnsi="Arial"/>
          <w:sz w:val="18"/>
          <w:szCs w:val="18"/>
          <w:color w:val="auto"/>
        </w:rPr>
      </w:pPr>
    </w:p>
    <w:p>
      <w:pPr>
        <w:ind w:left="-280" w:right="20" w:firstLine="421"/>
        <w:spacing w:after="0" w:line="256" w:lineRule="auto"/>
        <w:tabs>
          <w:tab w:leader="none" w:pos="5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3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00"/>
          </w:cols>
          <w:pgMar w:left="1440" w:top="280" w:right="259" w:bottom="1440" w:gutter="0" w:footer="0" w:header="0"/>
        </w:sectPr>
      </w:pPr>
    </w:p>
    <w:bookmarkStart w:id="23" w:name="page24"/>
    <w:bookmarkEnd w:id="23"/>
    <w:p>
      <w:pPr>
        <w:ind w:left="460" w:right="220" w:firstLine="421"/>
        <w:spacing w:after="0" w:line="306" w:lineRule="auto"/>
        <w:tabs>
          <w:tab w:leader="none" w:pos="1177"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25" w:lineRule="exact"/>
        <w:rPr>
          <w:rFonts w:ascii="Arial" w:cs="Arial" w:eastAsia="Arial" w:hAnsi="Arial"/>
          <w:sz w:val="16"/>
          <w:szCs w:val="16"/>
          <w:color w:val="auto"/>
        </w:rPr>
      </w:pPr>
    </w:p>
    <w:p>
      <w:pPr>
        <w:ind w:left="460" w:right="20" w:firstLine="421"/>
        <w:spacing w:after="0" w:line="291" w:lineRule="auto"/>
        <w:tabs>
          <w:tab w:leader="none" w:pos="11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any indenture, mortgage or other agreement or instrument to which the Company or its subsidiaries is a party or by which they or any of their property is bound that is filed as an exhibit to the Registration Statement or to any of the documents incorporated by reference in the Registration Statement, the Time of Sale Information and the Final Prospectus, or any existing applicable laws, rule or regulation (excluding any state securities or state or federal anti-fraud law, rule or regulation); and</w:t>
      </w:r>
    </w:p>
    <w:p>
      <w:pPr>
        <w:spacing w:after="0" w:line="39" w:lineRule="exact"/>
        <w:rPr>
          <w:rFonts w:ascii="Arial" w:cs="Arial" w:eastAsia="Arial" w:hAnsi="Arial"/>
          <w:sz w:val="16"/>
          <w:szCs w:val="16"/>
          <w:color w:val="auto"/>
        </w:rPr>
      </w:pPr>
    </w:p>
    <w:p>
      <w:pPr>
        <w:ind w:left="460" w:right="180" w:firstLine="421"/>
        <w:spacing w:after="0" w:line="268" w:lineRule="auto"/>
        <w:tabs>
          <w:tab w:leader="none" w:pos="11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51" w:lineRule="exact"/>
        <w:rPr>
          <w:sz w:val="20"/>
          <w:szCs w:val="20"/>
          <w:color w:val="auto"/>
        </w:rPr>
      </w:pPr>
    </w:p>
    <w:p>
      <w:pPr>
        <w:ind w:firstLine="438"/>
        <w:spacing w:after="0" w:line="301" w:lineRule="auto"/>
        <w:rPr>
          <w:sz w:val="20"/>
          <w:szCs w:val="20"/>
          <w:color w:val="auto"/>
        </w:rPr>
      </w:pPr>
      <w:r>
        <w:rPr>
          <w:rFonts w:ascii="Arial" w:cs="Arial" w:eastAsia="Arial" w:hAnsi="Arial"/>
          <w:sz w:val="15"/>
          <w:szCs w:val="15"/>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 (vii) above), subject to the foregoing and on the basis of the information such counsel gained in the course of performing the services referred to above, such counsel shall advise that</w:t>
      </w:r>
    </w:p>
    <w:p>
      <w:pPr>
        <w:spacing w:after="0" w:line="4" w:lineRule="exact"/>
        <w:rPr>
          <w:sz w:val="20"/>
          <w:szCs w:val="20"/>
          <w:color w:val="auto"/>
        </w:rPr>
      </w:pPr>
    </w:p>
    <w:p>
      <w:pPr>
        <w:jc w:val="both"/>
        <w:ind w:right="20" w:firstLine="4"/>
        <w:spacing w:after="0" w:line="254" w:lineRule="auto"/>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Statement, as of the latest Effective Date, the Time of Sale Information, as of the Time of Sale, and the Final Prospectus, as of its date and the date hereof, appear on their face to be appropriately responsive in all material respects to the requirements of the Act and the rules and regulations of the Commission thereunder; and (b) nothing has come to such counsel’s attention that caused such counsel to believe that (1) the Registration Statement, as of the latest Effective Date, contained an untrue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a material fact or omitted to state a material fact required to be stated therein or necessary to make the statements therein not misleading;</w:t>
      </w:r>
    </w:p>
    <w:p>
      <w:pPr>
        <w:spacing w:after="0" w:line="38" w:lineRule="exact"/>
        <w:rPr>
          <w:sz w:val="20"/>
          <w:szCs w:val="20"/>
          <w:color w:val="auto"/>
        </w:rPr>
      </w:pPr>
    </w:p>
    <w:p>
      <w:pPr>
        <w:ind w:firstLine="4"/>
        <w:spacing w:after="0" w:line="287"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provided that in each case such counsel need not express any belief with respect to (x) the financial statements and schedules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43" w:lineRule="exact"/>
        <w:rPr>
          <w:sz w:val="20"/>
          <w:szCs w:val="20"/>
          <w:color w:val="auto"/>
        </w:rPr>
      </w:pPr>
    </w:p>
    <w:p>
      <w:pPr>
        <w:jc w:val="both"/>
        <w:ind w:right="240" w:firstLine="438"/>
        <w:spacing w:after="0" w:line="303" w:lineRule="auto"/>
        <w:rPr>
          <w:sz w:val="20"/>
          <w:szCs w:val="20"/>
          <w:color w:val="auto"/>
        </w:rPr>
      </w:pPr>
      <w:r>
        <w:rPr>
          <w:rFonts w:ascii="Arial" w:cs="Arial" w:eastAsia="Arial" w:hAnsi="Arial"/>
          <w:sz w:val="15"/>
          <w:szCs w:val="15"/>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 of responsible officers of the Company and public officials. References to the Final Prospectus in this paragraph</w:t>
      </w:r>
    </w:p>
    <w:p>
      <w:pPr>
        <w:spacing w:after="0" w:line="1" w:lineRule="exact"/>
        <w:rPr>
          <w:sz w:val="20"/>
          <w:szCs w:val="20"/>
          <w:color w:val="auto"/>
        </w:rPr>
      </w:pPr>
    </w:p>
    <w:p>
      <w:pPr>
        <w:ind w:left="260" w:hanging="256"/>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 any supplements thereto at the Closing Date.</w:t>
      </w:r>
    </w:p>
    <w:p>
      <w:pPr>
        <w:spacing w:after="0" w:line="83" w:lineRule="exact"/>
        <w:rPr>
          <w:rFonts w:ascii="Arial" w:cs="Arial" w:eastAsia="Arial" w:hAnsi="Arial"/>
          <w:sz w:val="18"/>
          <w:szCs w:val="18"/>
          <w:color w:val="auto"/>
        </w:rPr>
      </w:pPr>
    </w:p>
    <w:p>
      <w:pPr>
        <w:ind w:right="160" w:firstLine="443"/>
        <w:spacing w:after="0" w:line="268" w:lineRule="auto"/>
        <w:tabs>
          <w:tab w:leader="none" w:pos="677" w:val="left"/>
        </w:tabs>
        <w:numPr>
          <w:ilvl w:val="1"/>
          <w:numId w:val="30"/>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50" w:lineRule="exact"/>
        <w:rPr>
          <w:rFonts w:ascii="Arial" w:cs="Arial" w:eastAsia="Arial" w:hAnsi="Arial"/>
          <w:sz w:val="18"/>
          <w:szCs w:val="18"/>
          <w:color w:val="auto"/>
        </w:rPr>
      </w:pPr>
    </w:p>
    <w:p>
      <w:pPr>
        <w:ind w:left="460" w:right="180" w:firstLine="421"/>
        <w:spacing w:after="0" w:line="289" w:lineRule="auto"/>
        <w:tabs>
          <w:tab w:leader="none" w:pos="1089" w:val="left"/>
        </w:tabs>
        <w:numPr>
          <w:ilvl w:val="2"/>
          <w:numId w:val="30"/>
        </w:numPr>
        <w:rPr>
          <w:rFonts w:ascii="Arial" w:cs="Arial" w:eastAsia="Arial" w:hAnsi="Arial"/>
          <w:sz w:val="16"/>
          <w:szCs w:val="16"/>
          <w:color w:val="auto"/>
        </w:rPr>
      </w:pPr>
      <w:r>
        <w:rPr>
          <w:rFonts w:ascii="Arial" w:cs="Arial" w:eastAsia="Arial" w:hAnsi="Arial"/>
          <w:sz w:val="16"/>
          <w:szCs w:val="16"/>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37" w:lineRule="exact"/>
        <w:rPr>
          <w:rFonts w:ascii="Arial" w:cs="Arial" w:eastAsia="Arial" w:hAnsi="Arial"/>
          <w:sz w:val="16"/>
          <w:szCs w:val="16"/>
          <w:color w:val="auto"/>
        </w:rPr>
      </w:pPr>
    </w:p>
    <w:p>
      <w:pPr>
        <w:jc w:val="both"/>
        <w:ind w:left="460" w:right="160" w:firstLine="421"/>
        <w:spacing w:after="0" w:line="306" w:lineRule="auto"/>
        <w:tabs>
          <w:tab w:leader="none" w:pos="1138"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Time of Sale Information and the Final Prospectus (other than the financial statements, related schedules and other financial data included therein or omitted therefrom, as to which such counsel need express no opinion, and except to the extent that any statement therein is modified or superseded in the Time of</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25" w:name="page26"/>
    <w:bookmarkEnd w:id="25"/>
    <w:p>
      <w:pPr>
        <w:jc w:val="both"/>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59" w:lineRule="exact"/>
        <w:rPr>
          <w:sz w:val="20"/>
          <w:szCs w:val="20"/>
          <w:color w:val="auto"/>
        </w:rPr>
      </w:pPr>
    </w:p>
    <w:p>
      <w:pPr>
        <w:ind w:left="460" w:firstLine="421"/>
        <w:spacing w:after="0" w:line="298" w:lineRule="auto"/>
        <w:tabs>
          <w:tab w:leader="none" w:pos="118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31" w:lineRule="exact"/>
        <w:rPr>
          <w:rFonts w:ascii="Arial" w:cs="Arial" w:eastAsia="Arial" w:hAnsi="Arial"/>
          <w:sz w:val="16"/>
          <w:szCs w:val="16"/>
          <w:color w:val="auto"/>
        </w:rPr>
      </w:pPr>
    </w:p>
    <w:p>
      <w:pPr>
        <w:ind w:left="460" w:right="180" w:firstLine="421"/>
        <w:spacing w:after="0" w:line="298" w:lineRule="auto"/>
        <w:tabs>
          <w:tab w:leader="none" w:pos="11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31" w:lineRule="exact"/>
        <w:rPr>
          <w:rFonts w:ascii="Arial" w:cs="Arial" w:eastAsia="Arial" w:hAnsi="Arial"/>
          <w:sz w:val="16"/>
          <w:szCs w:val="16"/>
          <w:color w:val="auto"/>
        </w:rPr>
      </w:pPr>
    </w:p>
    <w:p>
      <w:pPr>
        <w:ind w:left="460" w:right="200" w:firstLine="421"/>
        <w:spacing w:after="0" w:line="268" w:lineRule="auto"/>
        <w:tabs>
          <w:tab w:leader="none" w:pos="11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50" w:lineRule="exact"/>
        <w:rPr>
          <w:rFonts w:ascii="Arial" w:cs="Arial" w:eastAsia="Arial" w:hAnsi="Arial"/>
          <w:sz w:val="18"/>
          <w:szCs w:val="18"/>
          <w:color w:val="auto"/>
        </w:rPr>
      </w:pPr>
    </w:p>
    <w:p>
      <w:pPr>
        <w:ind w:left="460" w:right="100" w:firstLine="421"/>
        <w:spacing w:after="0" w:line="289" w:lineRule="auto"/>
        <w:tabs>
          <w:tab w:leader="none" w:pos="11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execution and delivery of this Agreement, the Notes, the Guarantee Agreement and the execution and performance of the Indenture (the “</w:t>
      </w:r>
      <w:r>
        <w:rPr>
          <w:rFonts w:ascii="Arial" w:cs="Arial" w:eastAsia="Arial" w:hAnsi="Arial"/>
          <w:sz w:val="16"/>
          <w:szCs w:val="16"/>
          <w:u w:val="single" w:color="auto"/>
          <w:color w:val="auto"/>
        </w:rPr>
        <w:t>Operative Agreements</w:t>
      </w:r>
      <w:r>
        <w:rPr>
          <w:rFonts w:ascii="Arial" w:cs="Arial" w:eastAsia="Arial" w:hAnsi="Arial"/>
          <w:sz w:val="16"/>
          <w:szCs w:val="16"/>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37" w:lineRule="exact"/>
        <w:rPr>
          <w:rFonts w:ascii="Arial" w:cs="Arial" w:eastAsia="Arial" w:hAnsi="Arial"/>
          <w:sz w:val="16"/>
          <w:szCs w:val="16"/>
          <w:color w:val="auto"/>
        </w:rPr>
      </w:pPr>
    </w:p>
    <w:p>
      <w:pPr>
        <w:ind w:right="100" w:firstLine="443"/>
        <w:spacing w:after="0" w:line="323" w:lineRule="auto"/>
        <w:tabs>
          <w:tab w:leader="none" w:pos="68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8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26" w:name="page27"/>
    <w:bookmarkEnd w:id="26"/>
    <w:p>
      <w:pPr>
        <w:jc w:val="both"/>
        <w:ind w:right="180" w:firstLine="443"/>
        <w:spacing w:after="0" w:line="298" w:lineRule="auto"/>
        <w:tabs>
          <w:tab w:leader="none" w:pos="677"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31" w:lineRule="exact"/>
        <w:rPr>
          <w:rFonts w:ascii="Arial" w:cs="Arial" w:eastAsia="Arial" w:hAnsi="Arial"/>
          <w:sz w:val="16"/>
          <w:szCs w:val="16"/>
          <w:color w:val="auto"/>
        </w:rPr>
      </w:pPr>
    </w:p>
    <w:p>
      <w:pPr>
        <w:ind w:left="460" w:right="40" w:firstLine="421"/>
        <w:spacing w:after="0" w:line="268" w:lineRule="auto"/>
        <w:tabs>
          <w:tab w:leader="none" w:pos="10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50" w:lineRule="exact"/>
        <w:rPr>
          <w:rFonts w:ascii="Arial" w:cs="Arial" w:eastAsia="Arial" w:hAnsi="Arial"/>
          <w:sz w:val="18"/>
          <w:szCs w:val="18"/>
          <w:color w:val="auto"/>
        </w:rPr>
      </w:pPr>
    </w:p>
    <w:p>
      <w:pPr>
        <w:ind w:left="460" w:right="360" w:firstLine="421"/>
        <w:spacing w:after="0" w:line="259" w:lineRule="auto"/>
        <w:tabs>
          <w:tab w:leader="none" w:pos="113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59" w:lineRule="exact"/>
        <w:rPr>
          <w:rFonts w:ascii="Arial" w:cs="Arial" w:eastAsia="Arial" w:hAnsi="Arial"/>
          <w:sz w:val="18"/>
          <w:szCs w:val="18"/>
          <w:color w:val="auto"/>
        </w:rPr>
      </w:pPr>
    </w:p>
    <w:p>
      <w:pPr>
        <w:ind w:left="460" w:right="200" w:firstLine="421"/>
        <w:spacing w:after="0" w:line="268" w:lineRule="auto"/>
        <w:tabs>
          <w:tab w:leader="none" w:pos="1187"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50" w:lineRule="exact"/>
        <w:rPr>
          <w:rFonts w:ascii="Arial" w:cs="Arial" w:eastAsia="Arial" w:hAnsi="Arial"/>
          <w:sz w:val="18"/>
          <w:szCs w:val="18"/>
          <w:color w:val="auto"/>
        </w:rPr>
      </w:pPr>
    </w:p>
    <w:p>
      <w:pPr>
        <w:ind w:left="460" w:right="80" w:firstLine="421"/>
        <w:spacing w:after="0" w:line="255" w:lineRule="auto"/>
        <w:tabs>
          <w:tab w:leader="none" w:pos="1177" w:val="left"/>
        </w:tabs>
        <w:numPr>
          <w:ilvl w:val="1"/>
          <w:numId w:val="33"/>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61" w:lineRule="exact"/>
        <w:rPr>
          <w:rFonts w:ascii="Arial" w:cs="Arial" w:eastAsia="Arial" w:hAnsi="Arial"/>
          <w:sz w:val="18"/>
          <w:szCs w:val="18"/>
          <w:color w:val="auto"/>
        </w:rPr>
      </w:pPr>
    </w:p>
    <w:p>
      <w:pPr>
        <w:ind w:firstLine="443"/>
        <w:spacing w:after="0" w:line="255" w:lineRule="auto"/>
        <w:tabs>
          <w:tab w:leader="none" w:pos="65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61" w:lineRule="exact"/>
        <w:rPr>
          <w:rFonts w:ascii="Arial" w:cs="Arial" w:eastAsia="Arial" w:hAnsi="Arial"/>
          <w:sz w:val="18"/>
          <w:szCs w:val="18"/>
          <w:color w:val="auto"/>
        </w:rPr>
      </w:pPr>
    </w:p>
    <w:p>
      <w:pPr>
        <w:ind w:left="460" w:right="120" w:firstLine="421"/>
        <w:spacing w:after="0" w:line="306" w:lineRule="auto"/>
        <w:tabs>
          <w:tab w:leader="none" w:pos="1089"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700" w:top="280" w:right="279" w:bottom="1440" w:gutter="0" w:footer="0" w:header="0"/>
        </w:sectPr>
      </w:pPr>
    </w:p>
    <w:bookmarkStart w:id="27" w:name="page28"/>
    <w:bookmarkEnd w:id="27"/>
    <w:p>
      <w:pPr>
        <w:ind w:left="460" w:right="60" w:firstLine="421"/>
        <w:spacing w:after="0" w:line="259" w:lineRule="auto"/>
        <w:tabs>
          <w:tab w:leader="none" w:pos="1138"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w:t>
      </w:r>
    </w:p>
    <w:p>
      <w:pPr>
        <w:spacing w:after="0" w:line="59" w:lineRule="exact"/>
        <w:rPr>
          <w:rFonts w:ascii="Arial" w:cs="Arial" w:eastAsia="Arial" w:hAnsi="Arial"/>
          <w:sz w:val="18"/>
          <w:szCs w:val="18"/>
          <w:color w:val="auto"/>
        </w:rPr>
      </w:pPr>
    </w:p>
    <w:p>
      <w:pPr>
        <w:ind w:left="460" w:firstLine="421"/>
        <w:spacing w:after="0" w:line="289" w:lineRule="auto"/>
        <w:tabs>
          <w:tab w:leader="none" w:pos="11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2011 and the Quarterly Reports on Form 10-Q for the quarterly periods ended March 31, 2012 and June 30, 2012,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37" w:lineRule="exact"/>
        <w:rPr>
          <w:rFonts w:ascii="Arial" w:cs="Arial" w:eastAsia="Arial" w:hAnsi="Arial"/>
          <w:sz w:val="16"/>
          <w:szCs w:val="16"/>
          <w:color w:val="auto"/>
        </w:rPr>
      </w:pPr>
    </w:p>
    <w:p>
      <w:pPr>
        <w:ind w:left="460" w:firstLine="421"/>
        <w:spacing w:after="0" w:line="291" w:lineRule="auto"/>
        <w:tabs>
          <w:tab w:leader="none" w:pos="11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they have inquired of certain officials of the Company who have responsibility for financial and accounting matters as to whether: (A) at each of August 31, 2012 and September 7, 2012 there was any change in the capital stock, increase in indebtedness or any decreases in consolidated net current assets or in total equity of the Company as compared with the amounts shown on the June 30, 2012 unaudited condensed consolidated balance sheet incorporated by reference in the Registration Statement; or (B) for the periods from July 1, 2012 to August 31, 2012 and from July 1, 2012 to September 7, 2012, there were any decreases, as compared with the corresponding period in the preceding year, in consolidated operating revenues or in the total or per-share amounts of net income attributable to the Company.</w:t>
      </w:r>
    </w:p>
    <w:p>
      <w:pPr>
        <w:spacing w:after="0" w:line="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51" w:lineRule="exact"/>
        <w:rPr>
          <w:sz w:val="20"/>
          <w:szCs w:val="20"/>
          <w:color w:val="auto"/>
        </w:rPr>
      </w:pPr>
    </w:p>
    <w:p>
      <w:pPr>
        <w:ind w:left="700" w:hanging="257"/>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Subsequent to the Time of Sale or, if earlier, the dates as of which information is given in the Registration Statement (exclusive of any</w:t>
      </w:r>
    </w:p>
    <w:p>
      <w:pPr>
        <w:spacing w:after="0" w:line="38" w:lineRule="exact"/>
        <w:rPr>
          <w:rFonts w:ascii="Arial" w:cs="Arial" w:eastAsia="Arial" w:hAnsi="Arial"/>
          <w:sz w:val="16"/>
          <w:szCs w:val="16"/>
          <w:color w:val="auto"/>
        </w:rPr>
      </w:pPr>
    </w:p>
    <w:p>
      <w:pPr>
        <w:ind w:right="100"/>
        <w:spacing w:after="0" w:line="323" w:lineRule="auto"/>
        <w:rPr>
          <w:rFonts w:ascii="Arial" w:cs="Arial" w:eastAsia="Arial" w:hAnsi="Arial"/>
          <w:sz w:val="16"/>
          <w:szCs w:val="16"/>
          <w:color w:val="auto"/>
        </w:rPr>
      </w:pPr>
      <w:r>
        <w:rPr>
          <w:rFonts w:ascii="Arial" w:cs="Arial" w:eastAsia="Arial" w:hAnsi="Arial"/>
          <w:sz w:val="16"/>
          <w:szCs w:val="16"/>
          <w:color w:val="auto"/>
        </w:rPr>
        <w:t>amendment thereof) and the Time of Sale Information and the Final Prospectus (exclusive of any amendment or supplement thereto), there shall not have been (i) any change or decrease specified in the letter or letters referred to in paragraph (f) of this Section 7 or (ii) any change, or any</w:t>
      </w:r>
    </w:p>
    <w:p>
      <w:pPr>
        <w:spacing w:after="0" w:line="7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700" w:top="280" w:right="319" w:bottom="1440" w:gutter="0" w:footer="0" w:header="0"/>
        </w:sectPr>
      </w:pPr>
    </w:p>
    <w:bookmarkStart w:id="28" w:name="page29"/>
    <w:bookmarkEnd w:id="28"/>
    <w:p>
      <w:pPr>
        <w:jc w:val="both"/>
        <w:ind w:left="460" w:right="1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w:t>
      </w:r>
    </w:p>
    <w:p>
      <w:pPr>
        <w:spacing w:after="0" w:line="1" w:lineRule="exact"/>
        <w:rPr>
          <w:sz w:val="20"/>
          <w:szCs w:val="20"/>
          <w:color w:val="auto"/>
        </w:rPr>
      </w:pPr>
    </w:p>
    <w:p>
      <w:pPr>
        <w:jc w:val="both"/>
        <w:ind w:left="460" w:firstLine="4"/>
        <w:spacing w:after="0" w:line="255" w:lineRule="auto"/>
        <w:tabs>
          <w:tab w:leader="none" w:pos="6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63"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1"/>
          <w:numId w:val="36"/>
        </w:numPr>
        <w:rPr>
          <w:rFonts w:ascii="Arial" w:cs="Arial" w:eastAsia="Arial" w:hAnsi="Arial"/>
          <w:sz w:val="16"/>
          <w:szCs w:val="16"/>
          <w:color w:val="auto"/>
        </w:rPr>
      </w:pPr>
      <w:r>
        <w:rPr>
          <w:rFonts w:ascii="Arial" w:cs="Arial" w:eastAsia="Arial" w:hAnsi="Arial"/>
          <w:sz w:val="16"/>
          <w:szCs w:val="16"/>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25" w:lineRule="exact"/>
        <w:rPr>
          <w:rFonts w:ascii="Arial" w:cs="Arial" w:eastAsia="Arial" w:hAnsi="Arial"/>
          <w:sz w:val="16"/>
          <w:szCs w:val="16"/>
          <w:color w:val="auto"/>
        </w:rPr>
      </w:pPr>
    </w:p>
    <w:p>
      <w:pPr>
        <w:ind w:left="460" w:right="560" w:firstLine="443"/>
        <w:spacing w:after="0" w:line="268" w:lineRule="auto"/>
        <w:tabs>
          <w:tab w:leader="none" w:pos="1108"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32" w:lineRule="exact"/>
        <w:rPr>
          <w:sz w:val="20"/>
          <w:szCs w:val="20"/>
          <w:color w:val="auto"/>
        </w:rPr>
      </w:pPr>
    </w:p>
    <w:p>
      <w:pPr>
        <w:jc w:val="both"/>
        <w:ind w:right="60" w:firstLine="464"/>
        <w:spacing w:after="0" w:line="291" w:lineRule="auto"/>
        <w:tabs>
          <w:tab w:leader="none" w:pos="632"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9" w:name="page30"/>
    <w:bookmarkEnd w:id="29"/>
    <w:p>
      <w:pPr>
        <w:ind w:left="640" w:hanging="176"/>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and Contribution</w:t>
      </w:r>
      <w:r>
        <w:rPr>
          <w:rFonts w:ascii="Arial" w:cs="Arial" w:eastAsia="Arial" w:hAnsi="Arial"/>
          <w:sz w:val="16"/>
          <w:szCs w:val="16"/>
          <w:color w:val="auto"/>
        </w:rPr>
        <w:t>. (a) Each of the Company and Holdings, jointly and severally, agrees to indemnify and hold harmless each</w:t>
      </w:r>
    </w:p>
    <w:p>
      <w:pPr>
        <w:spacing w:after="0" w:line="38"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22" w:lineRule="exact"/>
        <w:rPr>
          <w:rFonts w:ascii="Arial" w:cs="Arial" w:eastAsia="Arial" w:hAnsi="Arial"/>
          <w:sz w:val="16"/>
          <w:szCs w:val="16"/>
          <w:color w:val="auto"/>
        </w:rPr>
      </w:pPr>
    </w:p>
    <w:p>
      <w:pPr>
        <w:ind w:firstLine="921"/>
        <w:spacing w:after="0" w:line="287" w:lineRule="auto"/>
        <w:tabs>
          <w:tab w:leader="none" w:pos="11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6"/>
          <w:szCs w:val="16"/>
          <w:u w:val="single" w:color="auto"/>
          <w:color w:val="auto"/>
        </w:rPr>
        <w:t>Foregoing Indemnity</w:t>
      </w:r>
      <w:r>
        <w:rPr>
          <w:rFonts w:ascii="Arial" w:cs="Arial" w:eastAsia="Arial" w:hAnsi="Arial"/>
          <w:sz w:val="16"/>
          <w:szCs w:val="16"/>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w:t>
      </w:r>
    </w:p>
    <w:p>
      <w:pPr>
        <w:spacing w:after="0" w:line="122" w:lineRule="exact"/>
        <w:rPr>
          <w:rFonts w:ascii="Arial" w:cs="Arial" w:eastAsia="Arial" w:hAnsi="Arial"/>
          <w:sz w:val="16"/>
          <w:szCs w:val="16"/>
          <w:color w:val="auto"/>
        </w:rPr>
      </w:pPr>
    </w:p>
    <w:p>
      <w:pPr>
        <w:ind w:right="80" w:firstLine="921"/>
        <w:spacing w:after="0" w:line="306"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34"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to the extent it did not otherwise learn of such action and such failure results in the forfeiture by the indemnifying party of substantial rights and defenses and</w:t>
      </w:r>
    </w:p>
    <w:p>
      <w:pPr>
        <w:spacing w:after="0" w:line="38"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will not, in any event, relieve the indemnifying party from any obligations to any indemnified party other than the indemnification obligation provided in</w:t>
      </w:r>
    </w:p>
    <w:p>
      <w:pPr>
        <w:spacing w:after="0" w:line="32" w:lineRule="exact"/>
        <w:rPr>
          <w:rFonts w:ascii="Arial" w:cs="Arial" w:eastAsia="Arial" w:hAnsi="Arial"/>
          <w:sz w:val="16"/>
          <w:szCs w:val="16"/>
          <w:color w:val="auto"/>
        </w:rPr>
      </w:pPr>
    </w:p>
    <w:p>
      <w:pPr>
        <w:ind w:right="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w:t>
      </w:r>
    </w:p>
    <w:p>
      <w:pPr>
        <w:spacing w:after="0" w:line="7" w:lineRule="exact"/>
        <w:rPr>
          <w:rFonts w:ascii="Arial" w:cs="Arial" w:eastAsia="Arial" w:hAnsi="Arial"/>
          <w:sz w:val="16"/>
          <w:szCs w:val="16"/>
          <w:color w:val="auto"/>
        </w:rPr>
      </w:pPr>
    </w:p>
    <w:p>
      <w:pPr>
        <w:ind w:firstLine="8"/>
        <w:spacing w:after="0" w:line="252" w:lineRule="auto"/>
        <w:tabs>
          <w:tab w:leader="none" w:pos="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48" w:lineRule="exact"/>
        <w:rPr>
          <w:rFonts w:ascii="Arial" w:cs="Arial" w:eastAsia="Arial" w:hAnsi="Arial"/>
          <w:sz w:val="18"/>
          <w:szCs w:val="18"/>
          <w:color w:val="auto"/>
        </w:rPr>
      </w:pPr>
    </w:p>
    <w:p>
      <w:pPr>
        <w:ind w:right="20" w:firstLine="921"/>
        <w:spacing w:after="0" w:line="288" w:lineRule="auto"/>
        <w:tabs>
          <w:tab w:leader="none" w:pos="1162"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31" w:name="page32"/>
    <w:bookmarkEnd w:id="3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126" w:lineRule="exact"/>
        <w:rPr>
          <w:sz w:val="20"/>
          <w:szCs w:val="20"/>
          <w:color w:val="auto"/>
        </w:rPr>
      </w:pPr>
    </w:p>
    <w:p>
      <w:pPr>
        <w:ind w:firstLine="464"/>
        <w:spacing w:after="0" w:line="286" w:lineRule="auto"/>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2" w:name="page33"/>
    <w:bookmarkEnd w:id="32"/>
    <w:p>
      <w:pPr>
        <w:ind w:left="-20" w:right="120" w:firstLine="464"/>
        <w:spacing w:after="0" w:line="288" w:lineRule="auto"/>
        <w:tabs>
          <w:tab w:leader="none" w:pos="69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19" w:lineRule="exact"/>
        <w:rPr>
          <w:rFonts w:ascii="Arial" w:cs="Arial" w:eastAsia="Arial" w:hAnsi="Arial"/>
          <w:sz w:val="16"/>
          <w:szCs w:val="16"/>
          <w:color w:val="auto"/>
        </w:rPr>
      </w:pPr>
    </w:p>
    <w:p>
      <w:pPr>
        <w:ind w:left="-20" w:firstLine="464"/>
        <w:spacing w:after="0" w:line="255"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42" w:lineRule="exact"/>
        <w:rPr>
          <w:rFonts w:ascii="Arial" w:cs="Arial" w:eastAsia="Arial" w:hAnsi="Arial"/>
          <w:sz w:val="18"/>
          <w:szCs w:val="18"/>
          <w:color w:val="auto"/>
        </w:rPr>
      </w:pPr>
    </w:p>
    <w:p>
      <w:pPr>
        <w:ind w:left="-20" w:right="80" w:firstLine="464"/>
        <w:spacing w:after="0" w:line="291"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(1) Barclays Capital Inc., 745 Seventh Avenue, New York, New York 10019, Attention: Syndicate Registration (fax no. (646) 834-8133); (2) BNP Paribas Securities Corp., 787 Seventh Avenue, New York, New York 10019, Attention: Syndicate Desk (fax no: (917) 472-4745); and (3) Merrill Lynch, Pierce, Fenner &amp; Smith Incorporated, 50 Rockefeller Plaza, NY1-050-12-01, New York, New York 10020, Attention: High Grade Transaction Management/Legal (fax no: (646) 855-5958); or, if sent to the Company or Holdings, will be mailed, delivered or telefaxed to Waste Management, Inc., Attn: General Counsel (fax no.: 713-209-9710) and confirmed to it at 1001 Fannin, Suite 4000, Houston, Texas 77002, Attention: Legal Department.</w:t>
      </w:r>
    </w:p>
    <w:p>
      <w:pPr>
        <w:spacing w:after="0" w:line="120" w:lineRule="exact"/>
        <w:rPr>
          <w:rFonts w:ascii="Arial" w:cs="Arial" w:eastAsia="Arial" w:hAnsi="Arial"/>
          <w:sz w:val="16"/>
          <w:szCs w:val="16"/>
          <w:color w:val="auto"/>
        </w:rPr>
      </w:pPr>
    </w:p>
    <w:p>
      <w:pPr>
        <w:ind w:left="-20" w:right="680" w:firstLine="464"/>
        <w:spacing w:after="0" w:line="370" w:lineRule="auto"/>
        <w:tabs>
          <w:tab w:leader="none" w:pos="700"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Successors</w:t>
      </w:r>
      <w:r>
        <w:rPr>
          <w:rFonts w:ascii="Arial" w:cs="Arial" w:eastAsia="Arial" w:hAnsi="Arial"/>
          <w:sz w:val="15"/>
          <w:szCs w:val="15"/>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62" w:lineRule="exact"/>
        <w:rPr>
          <w:rFonts w:ascii="Arial" w:cs="Arial" w:eastAsia="Arial" w:hAnsi="Arial"/>
          <w:sz w:val="15"/>
          <w:szCs w:val="15"/>
          <w:color w:val="auto"/>
        </w:rPr>
      </w:pPr>
    </w:p>
    <w:p>
      <w:pPr>
        <w:ind w:left="-20" w:right="20" w:firstLine="464"/>
        <w:spacing w:after="0" w:line="26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334" w:right="259" w:bottom="1440" w:gutter="0" w:footer="0" w:header="0"/>
        </w:sectPr>
      </w:pPr>
    </w:p>
    <w:bookmarkStart w:id="33" w:name="page34"/>
    <w:bookmarkEnd w:id="33"/>
    <w:p>
      <w:pPr>
        <w:ind w:left="-20" w:right="360" w:firstLine="464"/>
        <w:spacing w:after="0" w:line="268"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90" w:lineRule="exact"/>
        <w:rPr>
          <w:sz w:val="20"/>
          <w:szCs w:val="20"/>
          <w:color w:val="auto"/>
        </w:rPr>
      </w:pPr>
    </w:p>
    <w:p>
      <w:pPr>
        <w:ind w:left="440" w:right="20" w:firstLine="438"/>
        <w:spacing w:after="0" w:line="268" w:lineRule="auto"/>
        <w:rPr>
          <w:sz w:val="20"/>
          <w:szCs w:val="20"/>
          <w:color w:val="auto"/>
        </w:rPr>
      </w:pPr>
      <w:r>
        <w:rPr>
          <w:rFonts w:ascii="Arial" w:cs="Arial" w:eastAsia="Arial" w:hAnsi="Arial"/>
          <w:sz w:val="18"/>
          <w:szCs w:val="18"/>
          <w:color w:val="auto"/>
        </w:rPr>
        <w:t>“affiliate” shall mean a person that directly, or indirectly through one or more intermediaries, controls or is controlled by, or is under common control with, the person specified.</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“Base Prospectus” shall mean the prospectus referred to in Section 1(a) above contained in the Registration Statement at the Effective Date.</w:t>
      </w:r>
    </w:p>
    <w:p>
      <w:pPr>
        <w:spacing w:after="0" w:line="113" w:lineRule="exact"/>
        <w:rPr>
          <w:sz w:val="20"/>
          <w:szCs w:val="20"/>
          <w:color w:val="auto"/>
        </w:rPr>
      </w:pPr>
    </w:p>
    <w:p>
      <w:pPr>
        <w:ind w:left="440" w:right="140" w:firstLine="438"/>
        <w:spacing w:after="0" w:line="268"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90" w:lineRule="exact"/>
        <w:rPr>
          <w:sz w:val="20"/>
          <w:szCs w:val="20"/>
          <w:color w:val="auto"/>
        </w:rPr>
      </w:pPr>
    </w:p>
    <w:p>
      <w:pPr>
        <w:ind w:left="440" w:right="140" w:firstLine="438"/>
        <w:spacing w:after="0" w:line="33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4" w:lineRule="exact"/>
        <w:rPr>
          <w:sz w:val="20"/>
          <w:szCs w:val="20"/>
          <w:color w:val="auto"/>
        </w:rPr>
      </w:pPr>
    </w:p>
    <w:p>
      <w:pPr>
        <w:ind w:left="440" w:right="620" w:firstLine="438"/>
        <w:spacing w:after="0" w:line="268"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51" w:lineRule="exact"/>
        <w:rPr>
          <w:sz w:val="20"/>
          <w:szCs w:val="20"/>
          <w:color w:val="auto"/>
        </w:rPr>
      </w:pPr>
    </w:p>
    <w:p>
      <w:pPr>
        <w:ind w:left="440" w:right="80" w:firstLine="438"/>
        <w:spacing w:after="0" w:line="268"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90" w:lineRule="exact"/>
        <w:rPr>
          <w:sz w:val="20"/>
          <w:szCs w:val="20"/>
          <w:color w:val="auto"/>
        </w:rPr>
      </w:pPr>
    </w:p>
    <w:p>
      <w:pPr>
        <w:ind w:left="440" w:firstLine="438"/>
        <w:spacing w:after="0" w:line="268"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September 5, 2012 that was filed with the Commission pursuant to Rule 424(b) prior to the Time of Sale, together with the Basic Prospectus.</w:t>
      </w:r>
    </w:p>
    <w:p>
      <w:pPr>
        <w:spacing w:after="0" w:line="51" w:lineRule="exact"/>
        <w:rPr>
          <w:sz w:val="20"/>
          <w:szCs w:val="20"/>
          <w:color w:val="auto"/>
        </w:rPr>
      </w:pPr>
    </w:p>
    <w:p>
      <w:pPr>
        <w:ind w:left="440" w:right="60" w:firstLine="438"/>
        <w:spacing w:after="0" w:line="259"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60" w:top="334" w:right="239" w:bottom="1440" w:gutter="0" w:footer="0" w:header="0"/>
        </w:sectPr>
      </w:pPr>
    </w:p>
    <w:bookmarkStart w:id="34" w:name="page35"/>
    <w:bookmarkEnd w:id="34"/>
    <w:p>
      <w:pPr>
        <w:ind w:left="380" w:right="140"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90" w:lineRule="exact"/>
        <w:rPr>
          <w:sz w:val="20"/>
          <w:szCs w:val="20"/>
          <w:color w:val="auto"/>
        </w:rPr>
      </w:pPr>
    </w:p>
    <w:p>
      <w:pPr>
        <w:ind w:left="380" w:firstLine="438"/>
        <w:spacing w:after="0" w:line="259"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59" w:lineRule="exact"/>
        <w:rPr>
          <w:sz w:val="20"/>
          <w:szCs w:val="20"/>
          <w:color w:val="auto"/>
        </w:rPr>
      </w:pPr>
    </w:p>
    <w:p>
      <w:pPr>
        <w:ind w:left="380" w:right="160" w:firstLine="438"/>
        <w:spacing w:after="0" w:line="268"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above.</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“Time of Sale” shall mean 2:45 P.M. New York time on September 5, 2012, the time when sales of the Securities were first made.</w:t>
      </w:r>
    </w:p>
    <w:p>
      <w:pPr>
        <w:spacing w:after="0" w:line="90" w:lineRule="exact"/>
        <w:rPr>
          <w:sz w:val="20"/>
          <w:szCs w:val="20"/>
          <w:color w:val="auto"/>
        </w:rPr>
      </w:pPr>
    </w:p>
    <w:p>
      <w:pPr>
        <w:ind w:left="380" w:right="520" w:firstLine="438"/>
        <w:spacing w:after="0" w:line="268"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132" w:lineRule="exact"/>
        <w:rPr>
          <w:sz w:val="20"/>
          <w:szCs w:val="20"/>
          <w:color w:val="auto"/>
        </w:rPr>
      </w:pPr>
    </w:p>
    <w:p>
      <w:pPr>
        <w:ind w:left="-80" w:right="680" w:firstLine="464"/>
        <w:spacing w:after="0" w:line="306"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06" w:lineRule="exact"/>
        <w:rPr>
          <w:rFonts w:ascii="Arial" w:cs="Arial" w:eastAsia="Arial" w:hAnsi="Arial"/>
          <w:sz w:val="16"/>
          <w:szCs w:val="16"/>
          <w:color w:val="auto"/>
        </w:rPr>
      </w:pPr>
    </w:p>
    <w:p>
      <w:pPr>
        <w:ind w:left="-80" w:right="60" w:firstLine="464"/>
        <w:spacing w:after="0" w:line="306" w:lineRule="auto"/>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80"/>
          </w:cols>
          <w:pgMar w:left="320" w:top="280" w:right="299" w:bottom="1440" w:gutter="0" w:footer="0" w:header="0"/>
        </w:sectPr>
      </w:pPr>
    </w:p>
    <w:bookmarkStart w:id="35" w:name="page36"/>
    <w:bookmarkEnd w:id="3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&amp; Treasurer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&amp; Treasurer</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Underwriting Agreement (I)</w:t>
      </w:r>
    </w:p>
    <w:p>
      <w:pPr>
        <w:sectPr>
          <w:pgSz w:w="11900" w:h="16838" w:orient="portrait"/>
          <w:cols w:equalWidth="0" w:num="1">
            <w:col w:w="11420"/>
          </w:cols>
          <w:pgMar w:left="240" w:top="33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 accepted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the date first set forth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BARCLAYS CAPITAL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Pamela Kendall</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Pamela Kendall</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BNP PARIBAS SECURITIES CORP.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Turner</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Jim Turner</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2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MERRILL LYNCH, PIERCE, FENNER &amp; SMITH</w:t>
            </w:r>
          </w:p>
        </w:tc>
      </w:tr>
      <w:tr>
        <w:trPr>
          <w:trHeight w:val="222"/>
        </w:trPr>
        <w:tc>
          <w:tcPr>
            <w:tcW w:w="7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INCORPORATED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Laurie Campbell</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Laurie Campbell</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 if 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II to the foregoing Agreement.</w:t>
      </w:r>
    </w:p>
    <w:p>
      <w:pPr>
        <w:spacing w:after="0" w:line="327" w:lineRule="exact"/>
        <w:rPr>
          <w:sz w:val="20"/>
          <w:szCs w:val="20"/>
          <w:color w:val="auto"/>
        </w:rPr>
      </w:pPr>
    </w:p>
    <w:p>
      <w:pPr>
        <w:jc w:val="right"/>
        <w:ind w:right="2839"/>
        <w:spacing w:after="0"/>
        <w:rPr>
          <w:sz w:val="20"/>
          <w:szCs w:val="20"/>
          <w:color w:val="auto"/>
        </w:rPr>
      </w:pPr>
      <w:r>
        <w:rPr>
          <w:rFonts w:ascii="Arial" w:cs="Arial" w:eastAsia="Arial" w:hAnsi="Arial"/>
          <w:sz w:val="18"/>
          <w:szCs w:val="18"/>
          <w:i w:val="1"/>
          <w:iCs w:val="1"/>
          <w:color w:val="auto"/>
        </w:rPr>
        <w:t>Signature Page to Underwriting Agreement (II)</w:t>
      </w:r>
    </w:p>
    <w:p>
      <w:pPr>
        <w:sectPr>
          <w:pgSz w:w="11900" w:h="16838" w:orient="portrait"/>
          <w:cols w:equalWidth="0" w:num="1">
            <w:col w:w="10219"/>
          </w:cols>
          <w:pgMar w:left="240" w:top="274"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September 5, 2012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September 5, 2012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333-162059</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Final Pricing Term Sheet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2.900% Senior Notes due 2022</w:t>
      </w:r>
    </w:p>
    <w:p>
      <w:pPr>
        <w:sectPr>
          <w:pgSz w:w="11900" w:h="16838" w:orient="portrait"/>
          <w:cols w:equalWidth="0" w:num="1">
            <w:col w:w="11420"/>
          </w:cols>
          <w:pgMar w:left="240" w:top="328" w:right="2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Waste Management, Inc.</w:t>
      </w:r>
    </w:p>
    <w:p>
      <w:pPr>
        <w:spacing w:after="0" w:line="15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Guarantor: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Waste Management Holdings, Inc.</w:t>
      </w:r>
    </w:p>
    <w:p>
      <w:pPr>
        <w:spacing w:after="0" w:line="15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$500,000,000</w:t>
      </w:r>
    </w:p>
    <w:p>
      <w:pPr>
        <w:spacing w:after="0" w:line="151"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September 15, 2022</w:t>
      </w:r>
    </w:p>
    <w:p>
      <w:pPr>
        <w:spacing w:after="0" w:line="151"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2.900%</w:t>
      </w:r>
    </w:p>
    <w:p>
      <w:pPr>
        <w:spacing w:after="0" w:line="151"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99.681% of face amount</w:t>
      </w:r>
    </w:p>
    <w:p>
      <w:pPr>
        <w:spacing w:after="0" w:line="151"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Underwriting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0.65%</w:t>
      </w:r>
    </w:p>
    <w:p>
      <w:pPr>
        <w:spacing w:after="0" w:line="151"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1.625% due August 15, 2022</w:t>
      </w:r>
    </w:p>
    <w:p>
      <w:pPr>
        <w:spacing w:after="0" w:line="15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1.35%</w:t>
      </w:r>
    </w:p>
    <w:p>
      <w:pPr>
        <w:spacing w:after="0" w:line="15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100-11,1.587%</w:t>
      </w:r>
    </w:p>
    <w:p>
      <w:pPr>
        <w:spacing w:after="0" w:line="152" w:lineRule="exact"/>
        <w:rPr>
          <w:sz w:val="20"/>
          <w:szCs w:val="20"/>
          <w:color w:val="auto"/>
        </w:rPr>
      </w:pPr>
    </w:p>
    <w:p>
      <w:pPr>
        <w:sectPr>
          <w:pgSz w:w="11900" w:h="16838" w:orient="portrait"/>
          <w:cols w:equalWidth="0" w:num="2">
            <w:col w:w="2640" w:space="70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2.937%</w:t>
      </w:r>
    </w:p>
    <w:p>
      <w:pPr>
        <w:spacing w:after="0" w:line="151"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Semi-annually on March 15 and September 15, commencing on March 15, 2013.</w:t>
      </w:r>
    </w:p>
    <w:p>
      <w:pPr>
        <w:spacing w:after="0" w:line="15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Provisions:</w:t>
      </w:r>
    </w:p>
    <w:p>
      <w:pPr>
        <w:spacing w:after="0" w:line="20" w:lineRule="exact"/>
        <w:rPr>
          <w:sz w:val="20"/>
          <w:szCs w:val="20"/>
          <w:color w:val="auto"/>
        </w:rPr>
      </w:pPr>
      <w:r>
        <w:rPr>
          <w:sz w:val="20"/>
          <w:szCs w:val="20"/>
          <w:color w:val="auto"/>
        </w:rPr>
        <w:br w:type="column"/>
      </w:r>
    </w:p>
    <w:p>
      <w:pPr>
        <w:ind w:right="60"/>
        <w:spacing w:after="0" w:line="294" w:lineRule="auto"/>
        <w:rPr>
          <w:sz w:val="20"/>
          <w:szCs w:val="20"/>
          <w:color w:val="auto"/>
        </w:rPr>
      </w:pPr>
      <w:r>
        <w:rPr>
          <w:rFonts w:ascii="Arial" w:cs="Arial" w:eastAsia="Arial" w:hAnsi="Arial"/>
          <w:sz w:val="16"/>
          <w:szCs w:val="16"/>
          <w:color w:val="auto"/>
        </w:rPr>
        <w:t>Redeemable at any time prior to June 15, 2022 (three months prior to the maturity date), in whole or from time to time in part, at the option of the Company, at a make whole redemption price using the applicable Treasury rate plus 20 basis points (as defined and described in further detail in the Prospectus Supplement). Redeemable on or after June 15, 2022 (three months prior to the maturity date), in whole or from time to time in part, at the option of the Company, at a price of 100% plus accrued interest.</w:t>
      </w:r>
    </w:p>
    <w:p>
      <w:pPr>
        <w:spacing w:after="0" w:line="6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T+5; September 12, 2012</w:t>
      </w:r>
    </w:p>
    <w:p>
      <w:pPr>
        <w:spacing w:after="0" w:line="152" w:lineRule="exact"/>
        <w:rPr>
          <w:sz w:val="20"/>
          <w:szCs w:val="20"/>
          <w:color w:val="auto"/>
        </w:rPr>
      </w:pPr>
    </w:p>
    <w:p>
      <w:pPr>
        <w:sectPr>
          <w:pgSz w:w="11900" w:h="16838" w:orient="portrait"/>
          <w:cols w:equalWidth="0" w:num="2">
            <w:col w:w="2620" w:space="720"/>
            <w:col w:w="8080"/>
          </w:cols>
          <w:pgMar w:left="240" w:top="3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94106LAY5</w:t>
      </w:r>
    </w:p>
    <w:p>
      <w:pPr>
        <w:sectPr>
          <w:pgSz w:w="11900" w:h="16838" w:orient="portrait"/>
          <w:cols w:equalWidth="0" w:num="2">
            <w:col w:w="2620" w:space="720"/>
            <w:col w:w="8080"/>
          </w:cols>
          <w:pgMar w:left="240" w:top="328" w:right="239" w:bottom="1440" w:gutter="0" w:footer="0" w:header="0"/>
          <w:type w:val="continuous"/>
        </w:sectPr>
      </w:pPr>
    </w:p>
    <w:bookmarkStart w:id="38" w:name="page39"/>
    <w:bookmarkEnd w:id="38"/>
    <w:p>
      <w:pPr>
        <w:spacing w:after="0" w:line="332" w:lineRule="auto"/>
        <w:rPr>
          <w:sz w:val="20"/>
          <w:szCs w:val="20"/>
          <w:color w:val="auto"/>
        </w:rPr>
      </w:pPr>
      <w:r>
        <w:rPr>
          <w:rFonts w:ascii="Arial" w:cs="Arial" w:eastAsia="Arial" w:hAnsi="Arial"/>
          <w:sz w:val="16"/>
          <w:szCs w:val="16"/>
          <w:color w:val="auto"/>
        </w:rPr>
        <w:t>Joint Book-Running and 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-219710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w:t>
      </w:r>
    </w:p>
    <w:p>
      <w:pPr>
        <w:spacing w:after="0" w:line="124" w:lineRule="exact"/>
        <w:rPr>
          <w:sz w:val="20"/>
          <w:szCs w:val="20"/>
          <w:color w:val="auto"/>
        </w:rPr>
      </w:pPr>
    </w:p>
    <w:p>
      <w:pPr>
        <w:sectPr>
          <w:pgSz w:w="11900" w:h="16838" w:orient="portrait"/>
          <w:cols w:equalWidth="0" w:num="2">
            <w:col w:w="1740" w:space="560"/>
            <w:col w:w="9100"/>
          </w:cols>
          <w:pgMar w:left="240" w:top="280" w:right="259" w:bottom="1440" w:gutter="0" w:footer="0" w:header="0"/>
        </w:sectPr>
      </w:pPr>
    </w:p>
    <w:p>
      <w:pPr>
        <w:spacing w:after="0"/>
        <w:rPr>
          <w:sz w:val="20"/>
          <w:szCs w:val="20"/>
          <w:color w:val="auto"/>
        </w:rPr>
      </w:pPr>
      <w:r>
        <w:rPr>
          <w:rFonts w:ascii="Arial" w:cs="Arial" w:eastAsia="Arial" w:hAnsi="Arial"/>
          <w:sz w:val="15"/>
          <w:szCs w:val="15"/>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U.S. Bancorp Investments, Inc.</w:t>
      </w:r>
    </w:p>
    <w:p>
      <w:pPr>
        <w:spacing w:after="0" w:line="200" w:lineRule="exact"/>
        <w:rPr>
          <w:sz w:val="20"/>
          <w:szCs w:val="20"/>
          <w:color w:val="auto"/>
        </w:rPr>
      </w:pPr>
    </w:p>
    <w:p>
      <w:pPr>
        <w:sectPr>
          <w:pgSz w:w="11900" w:h="16838" w:orient="portrait"/>
          <w:cols w:equalWidth="0" w:num="2">
            <w:col w:w="1580" w:space="720"/>
            <w:col w:w="9100"/>
          </w:cols>
          <w:pgMar w:left="240" w:top="280" w:right="259" w:bottom="1440" w:gutter="0" w:footer="0" w:header="0"/>
          <w:type w:val="continuous"/>
        </w:sectPr>
      </w:pPr>
    </w:p>
    <w:p>
      <w:pPr>
        <w:spacing w:after="0" w:line="1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(888) 603-5847 or by emailing barclaysprospectus@broadridge.com; (2) BNP Paribas Securities Corp. toll-free at</w:t>
      </w:r>
    </w:p>
    <w:p>
      <w:pPr>
        <w:spacing w:after="0" w:line="2" w:lineRule="exact"/>
        <w:rPr>
          <w:sz w:val="20"/>
          <w:szCs w:val="20"/>
          <w:color w:val="auto"/>
        </w:rPr>
      </w:pPr>
    </w:p>
    <w:p>
      <w:pPr>
        <w:jc w:val="both"/>
        <w:ind w:right="120" w:firstLine="8"/>
        <w:spacing w:after="0" w:line="302"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854-5674; or (3) Merrill Lynch, Pierce, Fenner &amp; Smith Incorporated toll-free at (800) 294-1322. Any disclaimers or other notices that may appear below are not applicable to this communication and should be disregarded. Such disclaimers were automatically generated as a result of this communication being sent via email or another communication system.</w:t>
      </w:r>
    </w:p>
    <w:p>
      <w:pPr>
        <w:sectPr>
          <w:pgSz w:w="11900" w:h="16838" w:orient="portrait"/>
          <w:cols w:equalWidth="0" w:num="1">
            <w:col w:w="11400"/>
          </w:cols>
          <w:pgMar w:left="240" w:top="280" w:right="25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0" w:type="dxa"/>
            <w:vAlign w:val="bottom"/>
          </w:tcPr>
          <w:p>
            <w:pPr>
              <w:ind w:left="2480"/>
              <w:spacing w:after="0"/>
              <w:rPr>
                <w:sz w:val="20"/>
                <w:szCs w:val="20"/>
                <w:color w:val="auto"/>
              </w:rPr>
            </w:pPr>
            <w:r>
              <w:rPr>
                <w:rFonts w:ascii="Arial" w:cs="Arial" w:eastAsia="Arial" w:hAnsi="Arial"/>
                <w:sz w:val="18"/>
                <w:szCs w:val="18"/>
                <w:b w:val="1"/>
                <w:bCs w:val="1"/>
                <w:color w:val="auto"/>
              </w:rPr>
              <w:t>SCHEDULE II</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Representatives</w:t>
            </w:r>
          </w:p>
        </w:tc>
        <w:tc>
          <w:tcPr>
            <w:tcW w:w="72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460" w:type="dxa"/>
            <w:vAlign w:val="bottom"/>
            <w:gridSpan w:val="4"/>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4"/>
          </w:tcPr>
          <w:p>
            <w:pPr>
              <w:ind w:left="92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72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72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to be Purchased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$ 125,000,000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125,000 000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125,000 000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Co.LLC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$ 500,000,000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219"/>
          </w:cols>
          <w:pgMar w:left="240" w:top="32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 w:name="page41"/>
    <w:bookmarkEnd w:id="40"/>
    <w:p>
      <w:pPr>
        <w:ind w:lef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right"/>
        <w:ind w:right="3139"/>
        <w:spacing w:after="0"/>
        <w:rPr>
          <w:sz w:val="20"/>
          <w:szCs w:val="20"/>
          <w:color w:val="auto"/>
        </w:rPr>
      </w:pPr>
      <w:r>
        <w:rPr>
          <w:rFonts w:ascii="Arial" w:cs="Arial" w:eastAsia="Arial" w:hAnsi="Arial"/>
          <w:sz w:val="18"/>
          <w:szCs w:val="18"/>
          <w:b w:val="1"/>
          <w:bCs w:val="1"/>
          <w:color w:val="auto"/>
        </w:rPr>
        <w:t>FREE WRITING PROSPECTUSES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Final Pricing Term Sheet, substantially in the form of Schedule I attached to this Agreement.</w:t>
      </w:r>
    </w:p>
    <w:p>
      <w:pPr>
        <w:sectPr>
          <w:pgSz w:w="11900" w:h="16838" w:orient="portrait"/>
          <w:cols w:equalWidth="0" w:num="1">
            <w:col w:w="10219"/>
          </w:cols>
          <w:pgMar w:left="240" w:top="490"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 Certificate Delivered Pursuant to</w:t>
      </w:r>
    </w:p>
    <w:p>
      <w:pPr>
        <w:jc w:val="center"/>
        <w:spacing w:after="0"/>
        <w:rPr>
          <w:sz w:val="20"/>
          <w:szCs w:val="20"/>
          <w:color w:val="auto"/>
        </w:rPr>
      </w:pPr>
      <w:r>
        <w:rPr>
          <w:rFonts w:ascii="Arial" w:cs="Arial" w:eastAsia="Arial" w:hAnsi="Arial"/>
          <w:sz w:val="22"/>
          <w:szCs w:val="22"/>
          <w:b w:val="1"/>
          <w:bCs w:val="1"/>
          <w:color w:val="auto"/>
        </w:rPr>
        <w:t>Section 301 of the Indenture dated as of September 10, 1997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the Vice President and Treasurer, and the Corporate Secretary of Waste Management, Inc. (the “Company”), hereby certify that:</w:t>
      </w:r>
    </w:p>
    <w:p>
      <w:pPr>
        <w:spacing w:after="0" w:line="113" w:lineRule="exact"/>
        <w:rPr>
          <w:sz w:val="20"/>
          <w:szCs w:val="20"/>
          <w:color w:val="auto"/>
        </w:rPr>
      </w:pPr>
    </w:p>
    <w:p>
      <w:pPr>
        <w:ind w:right="20" w:firstLine="464"/>
        <w:spacing w:after="0" w:line="298"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September 12, 2012 (the “Order”) for the authentication and delivery by the Trustee of $500,000,000 aggregate principal amount of 2.90% Notes due 2022 (the “Notes”).</w:t>
      </w:r>
    </w:p>
    <w:p>
      <w:pPr>
        <w:spacing w:after="0" w:line="31" w:lineRule="exact"/>
        <w:rPr>
          <w:rFonts w:ascii="Arial" w:cs="Arial" w:eastAsia="Arial" w:hAnsi="Arial"/>
          <w:sz w:val="16"/>
          <w:szCs w:val="16"/>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90" w:lineRule="exact"/>
        <w:rPr>
          <w:rFonts w:ascii="Arial" w:cs="Arial" w:eastAsia="Arial" w:hAnsi="Arial"/>
          <w:sz w:val="18"/>
          <w:szCs w:val="18"/>
          <w:color w:val="auto"/>
        </w:rPr>
      </w:pPr>
    </w:p>
    <w:p>
      <w:pPr>
        <w:ind w:right="38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4" w:lineRule="exact"/>
        <w:rPr>
          <w:rFonts w:ascii="Arial" w:cs="Arial" w:eastAsia="Arial" w:hAnsi="Arial"/>
          <w:sz w:val="16"/>
          <w:szCs w:val="16"/>
          <w:color w:val="auto"/>
        </w:rPr>
      </w:pPr>
    </w:p>
    <w:p>
      <w:pPr>
        <w:ind w:left="640" w:hanging="176"/>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examined the covenants, conditions and provisions of the Indenture relating thereto.</w:t>
      </w:r>
    </w:p>
    <w:p>
      <w:pPr>
        <w:spacing w:after="0" w:line="113" w:lineRule="exact"/>
        <w:rPr>
          <w:rFonts w:ascii="Arial" w:cs="Arial" w:eastAsia="Arial" w:hAnsi="Arial"/>
          <w:sz w:val="16"/>
          <w:szCs w:val="16"/>
          <w:color w:val="auto"/>
        </w:rPr>
      </w:pPr>
    </w:p>
    <w:p>
      <w:pPr>
        <w:ind w:right="38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4" w:lineRule="exact"/>
        <w:rPr>
          <w:rFonts w:ascii="Arial" w:cs="Arial" w:eastAsia="Arial" w:hAnsi="Arial"/>
          <w:sz w:val="16"/>
          <w:szCs w:val="16"/>
          <w:color w:val="auto"/>
        </w:rPr>
      </w:pPr>
    </w:p>
    <w:p>
      <w:pPr>
        <w:ind w:right="260" w:firstLine="464"/>
        <w:spacing w:after="0" w:line="268"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$500,000,000 aggregate principal amount of the Notes have been complied with, and such Notes may be delivered in accordance with the Order as provided in the Indenture.</w:t>
      </w:r>
    </w:p>
    <w:p>
      <w:pPr>
        <w:spacing w:after="0" w:line="50" w:lineRule="exact"/>
        <w:rPr>
          <w:rFonts w:ascii="Arial" w:cs="Arial" w:eastAsia="Arial" w:hAnsi="Arial"/>
          <w:sz w:val="18"/>
          <w:szCs w:val="18"/>
          <w:color w:val="auto"/>
        </w:rPr>
      </w:pPr>
    </w:p>
    <w:p>
      <w:pPr>
        <w:ind w:right="60" w:firstLine="464"/>
        <w:spacing w:after="0" w:line="259"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Officers’ Certificate have been approved by officers of the Company as duly authorized by resolutions of the Board of Directors of the Company as of August 20, 2009 and such resolutions, copies of which are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are in full force and effect as of the date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WASTE MANAGEMENT, INC.</w:t>
      </w:r>
    </w:p>
    <w:p>
      <w:pPr>
        <w:jc w:val="center"/>
        <w:spacing w:after="0" w:line="221" w:lineRule="auto"/>
        <w:rPr>
          <w:sz w:val="20"/>
          <w:szCs w:val="20"/>
          <w:color w:val="auto"/>
        </w:rPr>
      </w:pPr>
      <w:r>
        <w:rPr>
          <w:rFonts w:ascii="Arial" w:cs="Arial" w:eastAsia="Arial" w:hAnsi="Arial"/>
          <w:sz w:val="14"/>
          <w:szCs w:val="14"/>
          <w:color w:val="auto"/>
        </w:rPr>
        <w:t>Officers’ Certificate Delivered Pursuant to</w:t>
      </w:r>
    </w:p>
    <w:p>
      <w:pPr>
        <w:jc w:val="center"/>
        <w:spacing w:after="0"/>
        <w:rPr>
          <w:sz w:val="20"/>
          <w:szCs w:val="20"/>
          <w:color w:val="auto"/>
        </w:rPr>
      </w:pPr>
      <w:r>
        <w:rPr>
          <w:rFonts w:ascii="Arial" w:cs="Arial" w:eastAsia="Arial" w:hAnsi="Arial"/>
          <w:sz w:val="14"/>
          <w:szCs w:val="14"/>
          <w:color w:val="auto"/>
        </w:rPr>
        <w:t>Section 301 of the Indenture dated as of September 10, 1997</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hereunto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431165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328930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Corporate Secretary</w:t>
      </w:r>
    </w:p>
    <w:p>
      <w:pPr>
        <w:spacing w:after="0" w:line="338" w:lineRule="exact"/>
        <w:rPr>
          <w:sz w:val="20"/>
          <w:szCs w:val="20"/>
          <w:color w:val="auto"/>
        </w:rPr>
      </w:pPr>
    </w:p>
    <w:p>
      <w:pPr>
        <w:jc w:val="center"/>
        <w:ind w:right="-740"/>
        <w:spacing w:after="0"/>
        <w:rPr>
          <w:sz w:val="20"/>
          <w:szCs w:val="20"/>
          <w:color w:val="auto"/>
        </w:rPr>
      </w:pPr>
      <w:r>
        <w:rPr>
          <w:rFonts w:ascii="Arial" w:cs="Arial" w:eastAsia="Arial" w:hAnsi="Arial"/>
          <w:sz w:val="14"/>
          <w:szCs w:val="14"/>
          <w:color w:val="auto"/>
        </w:rPr>
        <w:t>WASTE MANAGEMENT, INC.</w:t>
      </w:r>
    </w:p>
    <w:p>
      <w:pPr>
        <w:jc w:val="center"/>
        <w:ind w:right="-740"/>
        <w:spacing w:after="0" w:line="221" w:lineRule="auto"/>
        <w:rPr>
          <w:sz w:val="20"/>
          <w:szCs w:val="20"/>
          <w:color w:val="auto"/>
        </w:rPr>
      </w:pPr>
      <w:r>
        <w:rPr>
          <w:rFonts w:ascii="Arial" w:cs="Arial" w:eastAsia="Arial" w:hAnsi="Arial"/>
          <w:sz w:val="14"/>
          <w:szCs w:val="14"/>
          <w:color w:val="auto"/>
        </w:rPr>
        <w:t>Officers’ Certificate Delivered Pursuant to</w:t>
      </w:r>
    </w:p>
    <w:p>
      <w:pPr>
        <w:jc w:val="center"/>
        <w:ind w:right="-740"/>
        <w:spacing w:after="0"/>
        <w:rPr>
          <w:sz w:val="20"/>
          <w:szCs w:val="20"/>
          <w:color w:val="auto"/>
        </w:rPr>
      </w:pPr>
      <w:r>
        <w:rPr>
          <w:rFonts w:ascii="Arial" w:cs="Arial" w:eastAsia="Arial" w:hAnsi="Arial"/>
          <w:sz w:val="14"/>
          <w:szCs w:val="14"/>
          <w:color w:val="auto"/>
        </w:rPr>
        <w:t>Section 301 of the Indenture dated as of September 10, 1997</w:t>
      </w:r>
    </w:p>
    <w:p>
      <w:pPr>
        <w:sectPr>
          <w:pgSz w:w="11900" w:h="16838" w:orient="portrait"/>
          <w:cols w:equalWidth="0" w:num="1">
            <w:col w:w="9759"/>
          </w:cols>
          <w:pgMar w:left="700" w:top="280"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authority granted by the Board of Directors of the Company on August 20, 2009 and the Sole Director of Waste Management Holdings, Inc. on September 4, 2012,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35"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the series of Securities shall be “2.90% Senior Notes due 2022”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$500,000,000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September 15, 2022.</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Note shall bear interest from September 12, 2012 at the fixed rate of 2.90% per annum; the Interest Payment Dates on which such interest shall be payable shall be March 15 and September 15, of each year, commencing March 15, 2013,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31"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ectPr>
          <w:pgSz w:w="11900" w:h="16838" w:orient="portrait"/>
          <w:cols w:equalWidth="0" w:num="1">
            <w:col w:w="11420"/>
          </w:cols>
          <w:pgMar w:left="240" w:top="280" w:right="239" w:bottom="1440" w:gutter="0" w:footer="0" w:header="0"/>
        </w:sectPr>
      </w:pPr>
    </w:p>
    <w:bookmarkStart w:id="44" w:name="page45"/>
    <w:bookmarkEnd w:id="44"/>
    <w:p>
      <w:pPr>
        <w:ind w:left="452" w:right="20" w:hanging="452"/>
        <w:spacing w:after="0" w:line="256"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62" w:lineRule="exact"/>
        <w:rPr>
          <w:rFonts w:ascii="Arial" w:cs="Arial" w:eastAsia="Arial" w:hAnsi="Arial"/>
          <w:sz w:val="18"/>
          <w:szCs w:val="18"/>
          <w:color w:val="auto"/>
        </w:rPr>
      </w:pPr>
    </w:p>
    <w:p>
      <w:pPr>
        <w:ind w:left="452" w:hanging="452"/>
        <w:spacing w:after="0" w:line="289" w:lineRule="auto"/>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Before June 15, 2022, the Notes will be redeemable and repayable, at the option of the Company, at any time in whole, or from time to time in part, at a Redemption Price equal to the greater of (i) 100% of the principal amount of the Notes to be redeemed or (ii) the sum of the present values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360-day year consisting of twelve 30-day months) at the applicable Treasury Yield (as defined in the Notes) plus 20 basis points; plus, in either case, accrued interest to the Redemption Date. On or after June 15, 2022, the Notes will be redeemable and repayable, at the option of the Company, at any time in whole, or from time to time in part, at a Redemption Price equal to 100% of the principal amount of the Notes to be redeemed plus accrued interest on the Notes to be redeemed to the Redemption Date.</w:t>
      </w:r>
    </w:p>
    <w:p>
      <w:pPr>
        <w:spacing w:after="0" w:line="37" w:lineRule="exact"/>
        <w:rPr>
          <w:rFonts w:ascii="Arial" w:cs="Arial" w:eastAsia="Arial" w:hAnsi="Arial"/>
          <w:sz w:val="16"/>
          <w:szCs w:val="16"/>
          <w:color w:val="auto"/>
        </w:rPr>
      </w:pPr>
    </w:p>
    <w:p>
      <w:pPr>
        <w:ind w:left="452" w:right="780"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50"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90" w:lineRule="exact"/>
        <w:rPr>
          <w:rFonts w:ascii="Arial" w:cs="Arial" w:eastAsia="Arial" w:hAnsi="Arial"/>
          <w:sz w:val="18"/>
          <w:szCs w:val="18"/>
          <w:color w:val="auto"/>
        </w:rPr>
      </w:pPr>
    </w:p>
    <w:p>
      <w:pPr>
        <w:ind w:left="452" w:right="120" w:hanging="452"/>
        <w:spacing w:after="0" w:line="298" w:lineRule="auto"/>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 owned subsidiary, Waste Management Holdings, Inc., pursuant to the terms and conditions of a Guarantee Agreement dated September 12, 2012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ectPr>
          <w:pgSz w:w="11900" w:h="16838" w:orient="portrait"/>
          <w:cols w:equalWidth="0" w:num="1">
            <w:col w:w="11412"/>
          </w:cols>
          <w:pgMar w:left="248" w:top="28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Note)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BOOK-ENTRY SECURITY</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420"/>
          </w:cols>
          <w:pgMar w:left="240" w:top="274" w:right="2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RGN-1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140" w:lineRule="exact"/>
        <w:rPr>
          <w:sz w:val="20"/>
          <w:szCs w:val="20"/>
          <w:color w:val="auto"/>
        </w:rPr>
      </w:pPr>
    </w:p>
    <w:p>
      <w:pPr>
        <w:sectPr>
          <w:pgSz w:w="11900" w:h="16838" w:orient="portrait"/>
          <w:cols w:equalWidth="0" w:num="2">
            <w:col w:w="9440" w:space="720"/>
            <w:col w:w="1260"/>
          </w:cols>
          <w:pgMar w:left="240" w:top="274" w:right="23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WASTE MANAGEMENT, INC.</w:t>
      </w:r>
    </w:p>
    <w:p>
      <w:pPr>
        <w:spacing w:after="0" w:line="20" w:lineRule="exact"/>
        <w:rPr>
          <w:sz w:val="20"/>
          <w:szCs w:val="20"/>
          <w:color w:val="auto"/>
        </w:rPr>
      </w:pPr>
      <w:r>
        <w:rPr>
          <w:sz w:val="20"/>
          <w:szCs w:val="20"/>
          <w:color w:val="auto"/>
        </w:rPr>
        <w:br w:type="column"/>
      </w:r>
    </w:p>
    <w:p>
      <w:pPr>
        <w:jc w:val="right"/>
        <w:spacing w:after="0" w:line="259" w:lineRule="auto"/>
        <w:rPr>
          <w:sz w:val="20"/>
          <w:szCs w:val="20"/>
          <w:color w:val="auto"/>
        </w:rPr>
      </w:pPr>
      <w:r>
        <w:rPr>
          <w:rFonts w:ascii="Arial" w:cs="Arial" w:eastAsia="Arial" w:hAnsi="Arial"/>
          <w:sz w:val="18"/>
          <w:szCs w:val="18"/>
          <w:color w:val="auto"/>
        </w:rPr>
        <w:t>U.S. $500,000,000, which may be decreased by the Schedule of Exchanges of Definitive Security attached hereto</w:t>
      </w:r>
    </w:p>
    <w:p>
      <w:pPr>
        <w:spacing w:after="0" w:line="86" w:lineRule="exact"/>
        <w:rPr>
          <w:sz w:val="20"/>
          <w:szCs w:val="20"/>
          <w:color w:val="auto"/>
        </w:rPr>
      </w:pPr>
    </w:p>
    <w:p>
      <w:pPr>
        <w:sectPr>
          <w:pgSz w:w="11900" w:h="16838" w:orient="portrait"/>
          <w:cols w:equalWidth="0" w:num="2">
            <w:col w:w="7660" w:space="160"/>
            <w:col w:w="3600"/>
          </w:cols>
          <w:pgMar w:left="240" w:top="274" w:right="239" w:bottom="1440" w:gutter="0" w:footer="0" w:header="0"/>
          <w:type w:val="continuous"/>
        </w:sectPr>
      </w:pPr>
    </w:p>
    <w:p>
      <w:pPr>
        <w:ind w:left="5120"/>
        <w:spacing w:after="0"/>
        <w:rPr>
          <w:sz w:val="20"/>
          <w:szCs w:val="20"/>
          <w:color w:val="auto"/>
        </w:rPr>
      </w:pPr>
      <w:r>
        <w:rPr>
          <w:rFonts w:ascii="Arial" w:cs="Arial" w:eastAsia="Arial" w:hAnsi="Arial"/>
          <w:sz w:val="18"/>
          <w:szCs w:val="18"/>
          <w:color w:val="auto"/>
        </w:rPr>
        <w:t>2.90% SENIOR NOTES DUE 2022</w:t>
      </w:r>
    </w:p>
    <w:p>
      <w:pPr>
        <w:spacing w:after="0" w:line="117" w:lineRule="exact"/>
        <w:rPr>
          <w:sz w:val="20"/>
          <w:szCs w:val="20"/>
          <w:color w:val="auto"/>
        </w:rPr>
      </w:pPr>
    </w:p>
    <w:p>
      <w:pPr>
        <w:ind w:left="10000"/>
        <w:spacing w:after="0"/>
        <w:rPr>
          <w:sz w:val="20"/>
          <w:szCs w:val="20"/>
          <w:color w:val="auto"/>
        </w:rPr>
      </w:pPr>
      <w:r>
        <w:rPr>
          <w:rFonts w:ascii="Arial" w:cs="Arial" w:eastAsia="Arial" w:hAnsi="Arial"/>
          <w:sz w:val="16"/>
          <w:szCs w:val="16"/>
          <w:color w:val="auto"/>
        </w:rPr>
        <w:t>CUSIP 94106LAY5</w:t>
      </w:r>
    </w:p>
    <w:p>
      <w:pPr>
        <w:sectPr>
          <w:pgSz w:w="11900" w:h="16838" w:orient="portrait"/>
          <w:cols w:equalWidth="0" w:num="1">
            <w:col w:w="11420"/>
          </w:cols>
          <w:pgMar w:left="240" w:top="274" w:right="239" w:bottom="1440" w:gutter="0" w:footer="0" w:header="0"/>
          <w:type w:val="continuous"/>
        </w:sectPr>
      </w:pP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Five Hundred Million ($500,000,000) U.S. dollars, or such lesser principal sum as is shown on the attached Schedule of Exchanges of Definitive Security, on September 15, 2022 in such coin or currency of the United States of America as at the time of payment shall be legal tender for the payment of public and private debts, and to pay interest at an annual rate of 2.90% payable on March 15 and September 15 of each year, to the person in whose name this</w:t>
      </w:r>
    </w:p>
    <w:p>
      <w:pPr>
        <w:sectPr>
          <w:pgSz w:w="11900" w:h="16838" w:orient="portrait"/>
          <w:cols w:equalWidth="0" w:num="1">
            <w:col w:w="11420"/>
          </w:cols>
          <w:pgMar w:left="240" w:top="274" w:right="239" w:bottom="1440" w:gutter="0" w:footer="0" w:header="0"/>
          <w:type w:val="continuous"/>
        </w:sectPr>
      </w:pPr>
    </w:p>
    <w:bookmarkStart w:id="46" w:name="page47"/>
    <w:bookmarkEnd w:id="46"/>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is registered at the close of business on the record date for such interest, which shall be the preceding March 1 or September 1, respectively, payable commencing March 15, 2013, with interest consisting of interest accrued from September 12, 2012.</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Security is issued in respect of a series of Securities of an initial aggregate of U.S. $500,000,000 in principal amount designated as the 2.90% Senior Notes due 2022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ectPr>
          <w:pgSz w:w="11900" w:h="16838" w:orient="portrait"/>
          <w:cols w:equalWidth="0" w:num="1">
            <w:col w:w="11400"/>
          </w:cols>
          <w:pgMar w:left="240" w:top="280" w:right="259" w:bottom="1440" w:gutter="0" w:footer="0" w:header="0"/>
        </w:sectPr>
      </w:pPr>
    </w:p>
    <w:bookmarkStart w:id="47" w:name="page48"/>
    <w:bookmarkEnd w:id="47"/>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Security shall not be valid or become obligatory for any purpose until the Certificate of Authentication hereon shall have been manually signed by the Trustee under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Dated: September 12, 2012</w:t>
            </w: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WASTE MANAGEMENT, INC.,</w:t>
            </w:r>
          </w:p>
        </w:tc>
      </w:tr>
      <w:tr>
        <w:trPr>
          <w:trHeight w:val="222"/>
        </w:trPr>
        <w:tc>
          <w:tcPr>
            <w:tcW w:w="3920" w:type="dxa"/>
            <w:vAlign w:val="bottom"/>
          </w:tcPr>
          <w:p>
            <w:pPr>
              <w:spacing w:after="0"/>
              <w:rPr>
                <w:sz w:val="19"/>
                <w:szCs w:val="19"/>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a Delaware corporation</w:t>
            </w:r>
          </w:p>
        </w:tc>
      </w:tr>
      <w:tr>
        <w:trPr>
          <w:trHeight w:val="447"/>
        </w:trPr>
        <w:tc>
          <w:tcPr>
            <w:tcW w:w="3920" w:type="dxa"/>
            <w:vAlign w:val="bottom"/>
          </w:tcPr>
          <w:p>
            <w:pPr>
              <w:spacing w:after="0"/>
              <w:rPr>
                <w:sz w:val="24"/>
                <w:szCs w:val="24"/>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By:</w:t>
            </w:r>
          </w:p>
        </w:tc>
      </w:tr>
      <w:tr>
        <w:trPr>
          <w:trHeight w:val="202"/>
        </w:trPr>
        <w:tc>
          <w:tcPr>
            <w:tcW w:w="3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Devina A. Rankin</w:t>
            </w:r>
          </w:p>
        </w:tc>
      </w:tr>
      <w:tr>
        <w:trPr>
          <w:trHeight w:val="222"/>
        </w:trPr>
        <w:tc>
          <w:tcPr>
            <w:tcW w:w="3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r>
        <w:trPr>
          <w:trHeight w:val="540"/>
        </w:trPr>
        <w:tc>
          <w:tcPr>
            <w:tcW w:w="3920" w:type="dxa"/>
            <w:vAlign w:val="bottom"/>
          </w:tcPr>
          <w:p>
            <w:pPr>
              <w:spacing w:after="0"/>
              <w:rPr>
                <w:sz w:val="24"/>
                <w:szCs w:val="24"/>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Attest:</w:t>
            </w:r>
          </w:p>
        </w:tc>
      </w:tr>
      <w:tr>
        <w:trPr>
          <w:trHeight w:val="433"/>
        </w:trPr>
        <w:tc>
          <w:tcPr>
            <w:tcW w:w="3920" w:type="dxa"/>
            <w:vAlign w:val="bottom"/>
          </w:tcPr>
          <w:p>
            <w:pPr>
              <w:spacing w:after="0"/>
              <w:rPr>
                <w:sz w:val="24"/>
                <w:szCs w:val="24"/>
                <w:color w:val="auto"/>
              </w:rPr>
            </w:pPr>
          </w:p>
        </w:tc>
        <w:tc>
          <w:tcPr>
            <w:tcW w:w="7500" w:type="dxa"/>
            <w:vAlign w:val="bottom"/>
            <w:gridSpan w:val="2"/>
          </w:tcPr>
          <w:p>
            <w:pPr>
              <w:ind w:left="2000"/>
              <w:spacing w:after="0"/>
              <w:rPr>
                <w:sz w:val="20"/>
                <w:szCs w:val="20"/>
                <w:color w:val="auto"/>
              </w:rPr>
            </w:pPr>
            <w:r>
              <w:rPr>
                <w:rFonts w:ascii="Arial" w:cs="Arial" w:eastAsia="Arial" w:hAnsi="Arial"/>
                <w:sz w:val="18"/>
                <w:szCs w:val="18"/>
                <w:color w:val="auto"/>
              </w:rPr>
              <w:t>By:</w:t>
            </w:r>
          </w:p>
        </w:tc>
      </w:tr>
      <w:tr>
        <w:trPr>
          <w:trHeight w:val="202"/>
        </w:trPr>
        <w:tc>
          <w:tcPr>
            <w:tcW w:w="3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Linda J. Smith</w:t>
            </w:r>
          </w:p>
        </w:tc>
      </w:tr>
      <w:tr>
        <w:trPr>
          <w:trHeight w:val="222"/>
        </w:trPr>
        <w:tc>
          <w:tcPr>
            <w:tcW w:w="3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Date of Authentication: September 12, 2012</w:t>
            </w:r>
          </w:p>
        </w:tc>
        <w:tc>
          <w:tcPr>
            <w:tcW w:w="6900" w:type="dxa"/>
            <w:vAlign w:val="bottom"/>
            <w:gridSpan w:val="2"/>
          </w:tcPr>
          <w:p>
            <w:pPr>
              <w:ind w:left="1400"/>
              <w:spacing w:after="0"/>
              <w:rPr>
                <w:sz w:val="20"/>
                <w:szCs w:val="20"/>
                <w:color w:val="auto"/>
              </w:rPr>
            </w:pPr>
            <w:r>
              <w:rPr>
                <w:rFonts w:ascii="Arial" w:cs="Arial" w:eastAsia="Arial" w:hAnsi="Arial"/>
                <w:sz w:val="18"/>
                <w:szCs w:val="18"/>
                <w:color w:val="auto"/>
              </w:rPr>
              <w:t>The Bank of New York Mellon Trust</w:t>
            </w:r>
          </w:p>
        </w:tc>
      </w:tr>
      <w:tr>
        <w:trPr>
          <w:trHeight w:val="222"/>
        </w:trPr>
        <w:tc>
          <w:tcPr>
            <w:tcW w:w="4520" w:type="dxa"/>
            <w:vAlign w:val="bottom"/>
          </w:tcPr>
          <w:p>
            <w:pPr>
              <w:spacing w:after="0"/>
              <w:rPr>
                <w:sz w:val="19"/>
                <w:szCs w:val="19"/>
                <w:color w:val="auto"/>
              </w:rPr>
            </w:pPr>
          </w:p>
        </w:tc>
        <w:tc>
          <w:tcPr>
            <w:tcW w:w="6900" w:type="dxa"/>
            <w:vAlign w:val="bottom"/>
            <w:gridSpan w:val="2"/>
          </w:tcPr>
          <w:p>
            <w:pPr>
              <w:ind w:left="1400"/>
              <w:spacing w:after="0"/>
              <w:rPr>
                <w:sz w:val="20"/>
                <w:szCs w:val="20"/>
                <w:color w:val="auto"/>
              </w:rPr>
            </w:pPr>
            <w:r>
              <w:rPr>
                <w:rFonts w:ascii="Arial" w:cs="Arial" w:eastAsia="Arial" w:hAnsi="Arial"/>
                <w:sz w:val="18"/>
                <w:szCs w:val="18"/>
                <w:color w:val="auto"/>
              </w:rPr>
              <w:t>Company N.A., as Trustee</w:t>
            </w:r>
          </w:p>
        </w:tc>
      </w:tr>
      <w:tr>
        <w:trPr>
          <w:trHeight w:val="447"/>
        </w:trPr>
        <w:tc>
          <w:tcPr>
            <w:tcW w:w="4520" w:type="dxa"/>
            <w:vAlign w:val="bottom"/>
          </w:tcPr>
          <w:p>
            <w:pPr>
              <w:spacing w:after="0"/>
              <w:rPr>
                <w:sz w:val="24"/>
                <w:szCs w:val="24"/>
                <w:color w:val="auto"/>
              </w:rPr>
            </w:pPr>
          </w:p>
        </w:tc>
        <w:tc>
          <w:tcPr>
            <w:tcW w:w="6900" w:type="dxa"/>
            <w:vAlign w:val="bottom"/>
            <w:gridSpan w:val="2"/>
          </w:tcPr>
          <w:p>
            <w:pPr>
              <w:ind w:left="1400"/>
              <w:spacing w:after="0"/>
              <w:rPr>
                <w:sz w:val="20"/>
                <w:szCs w:val="20"/>
                <w:color w:val="auto"/>
              </w:rPr>
            </w:pPr>
            <w:r>
              <w:rPr>
                <w:rFonts w:ascii="Arial" w:cs="Arial" w:eastAsia="Arial" w:hAnsi="Arial"/>
                <w:sz w:val="18"/>
                <w:szCs w:val="18"/>
                <w:color w:val="auto"/>
              </w:rPr>
              <w:t>By:</w:t>
            </w:r>
          </w:p>
        </w:tc>
      </w:tr>
      <w:tr>
        <w:trPr>
          <w:trHeight w:val="202"/>
        </w:trPr>
        <w:tc>
          <w:tcPr>
            <w:tcW w:w="4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Julie Hoffman-Ramos</w:t>
            </w:r>
          </w:p>
        </w:tc>
      </w:tr>
      <w:tr>
        <w:trPr>
          <w:trHeight w:val="222"/>
        </w:trPr>
        <w:tc>
          <w:tcPr>
            <w:tcW w:w="4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BOOK-ENTRY SECURITY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2.90% SENIOR NOTES DUE 2022</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2.90% Senior Notes due 2022 of the Company, in initial aggregate principal amount of $500,000,000 (the “Securities”).</w:t>
      </w:r>
    </w:p>
    <w:p>
      <w:pPr>
        <w:spacing w:after="0" w:line="269" w:lineRule="exact"/>
        <w:rPr>
          <w:sz w:val="20"/>
          <w:szCs w:val="20"/>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promises to pay interest on the principal amount of this Security at the rate of 2.90% per annum.</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will pay interest semi-annually on March 15 and September 15 of each year (each an “Interest Payment Date”), commencing March 15, 2013. Interest on the Securities will accrue from the most recent date to which interest has been paid or, if no interest has been paid on the Securities, from September 12, 2012.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2.90% per annum, in each case to the extent lawful.</w:t>
      </w:r>
    </w:p>
    <w:p>
      <w:pPr>
        <w:spacing w:after="0" w:line="237" w:lineRule="exact"/>
        <w:rPr>
          <w:sz w:val="20"/>
          <w:szCs w:val="20"/>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ectPr>
          <w:pgSz w:w="11900" w:h="16838" w:orient="portrait"/>
          <w:cols w:equalWidth="0" w:num="1">
            <w:col w:w="11420"/>
          </w:cols>
          <w:pgMar w:left="240" w:top="280" w:right="239" w:bottom="1440" w:gutter="0" w:footer="0" w:header="0"/>
        </w:sectPr>
      </w:pPr>
    </w:p>
    <w:bookmarkStart w:id="49" w:name="page50"/>
    <w:bookmarkEnd w:id="49"/>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64" w:lineRule="exact"/>
        <w:rPr>
          <w:sz w:val="20"/>
          <w:szCs w:val="20"/>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262"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is one of a duly authorized issue of Debt Securities of the Company issued and to be issued in one or more series under the Indenture.</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20, 2009 (the “Resolutions”) and the written consent of the Sole Director of Waste Management Holdings, Inc. on September 4, 2012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$500,000,000.</w:t>
      </w:r>
    </w:p>
    <w:p>
      <w:pPr>
        <w:spacing w:after="0" w:line="240"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Before June 15, 2022, the Securities will be redeemable and repayable,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20 basis points; plus, in either case, accrued interest to the Redemption Date.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or after June 15, 2022, the Securities will be redeemable and repayable, at the option of the Company, at any time in whole, or from time to time in part, at a Redemption Price equal to 100% of the principal amount of the Securities to be redeemed plus accrued interest on the Securities to be redeemed to the Redemption Date.</w:t>
      </w:r>
    </w:p>
    <w:p>
      <w:pPr>
        <w:sectPr>
          <w:pgSz w:w="11900" w:h="16838" w:orient="portrait"/>
          <w:cols w:equalWidth="0" w:num="1">
            <w:col w:w="11400"/>
          </w:cols>
          <w:pgMar w:left="240" w:top="280" w:right="259" w:bottom="1440" w:gutter="0" w:footer="0" w:header="0"/>
        </w:sectPr>
      </w:pPr>
    </w:p>
    <w:bookmarkStart w:id="50" w:name="page51"/>
    <w:bookmarkEnd w:id="50"/>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“Independent Investment Banker” means any of Barclays Capital Inc., BNP Paribas Securities Corp. and Merrill Lynch, Pierce, Fenner &amp; Smith Incorporated (and their respective successors), or, if all such firms are unwilling or unable to select the applicable Comparable Treasury Issue, an independent investment banking institution of national standing appointed by the Trustee and reasonably acceptable to the Company.</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“Reference Treasury Dealer” means (i) each of Barclays Capital Inc., BNP Paribas Securities Corp. and Merrill Lynch, Pierce, Fenner &amp; Smith Incorporated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ectPr>
          <w:pgSz w:w="11900" w:h="16838" w:orient="portrait"/>
          <w:cols w:equalWidth="0" w:num="1">
            <w:col w:w="11380"/>
          </w:cols>
          <w:pgMar w:left="240" w:top="280" w:right="279" w:bottom="1440" w:gutter="0" w:footer="0" w:header="0"/>
        </w:sectPr>
      </w:pPr>
    </w:p>
    <w:bookmarkStart w:id="51" w:name="page52"/>
    <w:bookmarkEnd w:id="51"/>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part in a minimum principal amount of $2,000, or any integral multiple of $1,000 in excess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93"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90"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ectPr>
          <w:pgSz w:w="11900" w:h="16838" w:orient="portrait"/>
          <w:cols w:equalWidth="0" w:num="1">
            <w:col w:w="11420"/>
          </w:cols>
          <w:pgMar w:left="240" w:top="280" w:right="239" w:bottom="1440" w:gutter="0" w:footer="0" w:header="0"/>
        </w:sectPr>
      </w:pPr>
    </w:p>
    <w:bookmarkStart w:id="52" w:name="page53"/>
    <w:bookmarkEnd w:id="52"/>
    <w:p>
      <w:pPr>
        <w:ind w:left="660" w:right="4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or cause to be delivered to the Trustee the Securities properly accepted together with an Officers’ Certificate stating the aggregate principal amount of Securities or portions of Securities being repurchased.</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ectPr>
          <w:pgSz w:w="11900" w:h="16838" w:orient="portrait"/>
          <w:cols w:equalWidth="0" w:num="1">
            <w:col w:w="11400"/>
          </w:cols>
          <w:pgMar w:left="240" w:top="280" w:right="259" w:bottom="1440" w:gutter="0" w:footer="0" w:header="0"/>
        </w:sectPr>
      </w:pPr>
    </w:p>
    <w:bookmarkStart w:id="53" w:name="page54"/>
    <w:bookmarkEnd w:id="53"/>
    <w:p>
      <w:pPr>
        <w:ind w:right="4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spacing w:after="0" w:line="1" w:lineRule="exact"/>
        <w:rPr>
          <w:sz w:val="20"/>
          <w:szCs w:val="20"/>
          <w:color w:val="auto"/>
        </w:rPr>
      </w:pPr>
    </w:p>
    <w:p>
      <w:pPr>
        <w:ind w:right="60" w:firstLine="8"/>
        <w:spacing w:after="0" w:line="255" w:lineRule="auto"/>
        <w:tabs>
          <w:tab w:leader="none" w:pos="2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and its successors.</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our Board of Directors) as a replacement agency for Fitch, Moody’s or S&amp;P, or all of them, as the case may be.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ectPr>
          <w:pgSz w:w="11900" w:h="16838" w:orient="portrait"/>
          <w:cols w:equalWidth="0" w:num="1">
            <w:col w:w="11400"/>
          </w:cols>
          <w:pgMar w:left="240" w:top="280" w:right="259" w:bottom="1440" w:gutter="0" w:footer="0" w:header="0"/>
        </w:sectPr>
      </w:pPr>
    </w:p>
    <w:bookmarkStart w:id="54" w:name="page55"/>
    <w:bookmarkEnd w:id="54"/>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254"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228"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93"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242" w:lineRule="exact"/>
        <w:rPr>
          <w:sz w:val="20"/>
          <w:szCs w:val="20"/>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w:t>
      </w:r>
    </w:p>
    <w:p>
      <w:pPr>
        <w:sectPr>
          <w:pgSz w:w="11900" w:h="16838" w:orient="portrait"/>
          <w:cols w:equalWidth="0" w:num="1">
            <w:col w:w="11420"/>
          </w:cols>
          <w:pgMar w:left="240" w:top="280" w:right="239" w:bottom="1440" w:gutter="0" w:footer="0" w:header="0"/>
        </w:sectPr>
      </w:pPr>
    </w:p>
    <w:bookmarkStart w:id="55" w:name="page56"/>
    <w:bookmarkEnd w:id="5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64"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9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316" w:lineRule="exact"/>
        <w:rPr>
          <w:sz w:val="20"/>
          <w:szCs w:val="20"/>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90"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207" w:lineRule="exact"/>
        <w:rPr>
          <w:sz w:val="20"/>
          <w:szCs w:val="20"/>
          <w:color w:val="auto"/>
        </w:rPr>
      </w:pPr>
    </w:p>
    <w:p>
      <w:pPr>
        <w:ind w:left="1480" w:hanging="567"/>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262" w:lineRule="exact"/>
        <w:rPr>
          <w:sz w:val="20"/>
          <w:szCs w:val="20"/>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62" w:lineRule="exact"/>
        <w:rPr>
          <w:sz w:val="20"/>
          <w:szCs w:val="20"/>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w:t>
      </w:r>
    </w:p>
    <w:p>
      <w:pPr>
        <w:sectPr>
          <w:pgSz w:w="11900" w:h="16838" w:orient="portrait"/>
          <w:cols w:equalWidth="0" w:num="1">
            <w:col w:w="11420"/>
          </w:cols>
          <w:pgMar w:left="240" w:top="280" w:right="239" w:bottom="1440" w:gutter="0" w:footer="0" w:header="0"/>
        </w:sectPr>
      </w:pPr>
    </w:p>
    <w:bookmarkStart w:id="56" w:name="page57"/>
    <w:bookmarkEnd w:id="56"/>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262"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93" w:lineRule="exact"/>
        <w:rPr>
          <w:sz w:val="20"/>
          <w:szCs w:val="20"/>
          <w:color w:val="auto"/>
        </w:rPr>
      </w:pPr>
    </w:p>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Agreement dated September 12, 2012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ectPr>
          <w:pgSz w:w="11900" w:h="16838" w:orient="portrait"/>
          <w:cols w:equalWidth="0" w:num="1">
            <w:col w:w="11380"/>
          </w:cols>
          <w:pgMar w:left="240" w:top="280" w:right="279" w:bottom="1440" w:gutter="0" w:footer="0" w:header="0"/>
        </w:sectPr>
      </w:pPr>
    </w:p>
    <w:bookmarkStart w:id="57" w:name="page58"/>
    <w:bookmarkEnd w:id="57"/>
    <w:p>
      <w:pPr>
        <w:ind w:left="460" w:right="3460" w:firstLine="3009"/>
        <w:spacing w:after="0" w:line="51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DEFINITIVE SECURITY The following exchanges of a part of this Book-Entry Security for definitive Securities have been made:</w:t>
      </w:r>
    </w:p>
    <w:tbl>
      <w:tblPr>
        <w:tblLayout w:type="fixed"/>
        <w:tblInd w:w="0" w:type="dxa"/>
        <w:tblCellMar>
          <w:top w:w="0" w:type="dxa"/>
          <w:left w:w="0" w:type="dxa"/>
          <w:bottom w:w="0" w:type="dxa"/>
          <w:right w:w="0" w:type="dxa"/>
        </w:tblCellMar>
      </w:tblPr>
      <w:tr>
        <w:trPr>
          <w:trHeight w:val="150"/>
        </w:trPr>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9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4"/>
              </w:rPr>
              <w:t>Amount of decrease in</w:t>
            </w:r>
          </w:p>
        </w:tc>
        <w:tc>
          <w:tcPr>
            <w:tcW w:w="26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Amount of increase in</w:t>
            </w:r>
          </w:p>
        </w:tc>
        <w:tc>
          <w:tcPr>
            <w:tcW w:w="1900" w:type="dxa"/>
            <w:vAlign w:val="bottom"/>
            <w:gridSpan w:val="2"/>
          </w:tcPr>
          <w:p>
            <w:pPr>
              <w:jc w:val="center"/>
              <w:ind w:right="480"/>
              <w:spacing w:after="0" w:line="150" w:lineRule="exact"/>
              <w:rPr>
                <w:sz w:val="20"/>
                <w:szCs w:val="20"/>
                <w:color w:val="auto"/>
              </w:rPr>
            </w:pPr>
            <w:r>
              <w:rPr>
                <w:rFonts w:ascii="Arial" w:cs="Arial" w:eastAsia="Arial" w:hAnsi="Arial"/>
                <w:sz w:val="14"/>
                <w:szCs w:val="14"/>
                <w:b w:val="1"/>
                <w:bCs w:val="1"/>
                <w:color w:val="auto"/>
                <w:w w:val="87"/>
              </w:rPr>
              <w:t>Principal Amount of this</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2600" w:type="dxa"/>
            <w:vAlign w:val="bottom"/>
            <w:gridSpan w:val="2"/>
            <w:vMerge w:val="continue"/>
          </w:tcPr>
          <w:p>
            <w:pPr>
              <w:spacing w:after="0"/>
              <w:rPr>
                <w:sz w:val="11"/>
                <w:szCs w:val="11"/>
                <w:color w:val="auto"/>
              </w:rPr>
            </w:pPr>
          </w:p>
        </w:tc>
        <w:tc>
          <w:tcPr>
            <w:tcW w:w="19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Book-Entry Security</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Signature of authorized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Principal Amount of this</w:t>
            </w:r>
          </w:p>
        </w:tc>
        <w:tc>
          <w:tcPr>
            <w:tcW w:w="2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Principal Amount of this</w:t>
            </w: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following such decrease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officer of Trustee or</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52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Book-Entry Security</w:t>
            </w:r>
          </w:p>
        </w:tc>
        <w:tc>
          <w:tcPr>
            <w:tcW w:w="84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Book-Entry Security</w:t>
            </w:r>
          </w:p>
        </w:tc>
        <w:tc>
          <w:tcPr>
            <w:tcW w:w="38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(or increase)</w:t>
            </w:r>
          </w:p>
        </w:tc>
        <w:tc>
          <w:tcPr>
            <w:tcW w:w="4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Security Custodian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1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22, 2006, Waste Management, Inc. (the “Company”) filed with the Securities Exchange Commission (the “SEC”) an automatic</w:t>
      </w:r>
      <w:r>
        <w:rPr>
          <w:rFonts w:ascii="Arial" w:cs="Arial" w:eastAsia="Arial" w:hAnsi="Arial"/>
          <w:sz w:val="18"/>
          <w:szCs w:val="18"/>
          <w:b w:val="1"/>
          <w:bCs w:val="1"/>
          <w:color w:val="auto"/>
        </w:rPr>
        <w:t xml:space="preserve"> </w:t>
      </w:r>
      <w:r>
        <w:rPr>
          <w:rFonts w:ascii="Arial" w:cs="Arial" w:eastAsia="Arial" w:hAnsi="Arial"/>
          <w:sz w:val="18"/>
          <w:szCs w:val="18"/>
          <w:color w:val="auto"/>
        </w:rPr>
        <w:t>shelf registration statement on Form S-3, File No. 333-137526 (the “Automatic Shelf”), which registered the offer and sale by the Company from time to time of common stock; senior and subordinated debt securities; preferred stock; warrants; units; and guarantees by Waste Management Holdings, Inc., a wholly-owned subsidiary of the Company (“WMHI”), with respect to debt securities, in one or more classes or series in amounts as may be determined at the time of any offering; and</w:t>
      </w:r>
    </w:p>
    <w:p>
      <w:pPr>
        <w:spacing w:after="0" w:line="13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rules and regulations promulgated by SEC, the Automatic Shelf expires, by its terms, on September 22, 2009, three years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of the Automatic Shelf; and</w:t>
      </w:r>
    </w:p>
    <w:p>
      <w:pPr>
        <w:spacing w:after="0" w:line="120"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new automatic shelf registration statement on Form S-3 in</w:t>
      </w:r>
      <w:r>
        <w:rPr>
          <w:rFonts w:ascii="Arial" w:cs="Arial" w:eastAsia="Arial" w:hAnsi="Arial"/>
          <w:sz w:val="18"/>
          <w:szCs w:val="18"/>
          <w:b w:val="1"/>
          <w:bCs w:val="1"/>
          <w:color w:val="auto"/>
        </w:rPr>
        <w:t xml:space="preserve"> </w:t>
      </w:r>
      <w:r>
        <w:rPr>
          <w:rFonts w:ascii="Arial" w:cs="Arial" w:eastAsia="Arial" w:hAnsi="Arial"/>
          <w:sz w:val="18"/>
          <w:szCs w:val="18"/>
          <w:color w:val="auto"/>
        </w:rPr>
        <w:t>order to facilitate any future offerings of securities by the Company or any selling security holders.</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“New Automatic Shelf”), pursuant to the Securities Act of 1933, as amended, and the rules and regulations promulgated thereunder (the “Securities Act”), which New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w:t>
      </w:r>
    </w:p>
    <w:p>
      <w:pPr>
        <w:spacing w:after="0" w:line="112"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(as established pursuant to these resolutions) be, and they hereby are, authorized, in their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subject to any limitations set forth in these resolutions, to cause the Company to offer and sell up to an aggregate of $3,000,000,000 of Securities without further approval of the Board of Directors;</w:t>
      </w:r>
    </w:p>
    <w:p>
      <w:pPr>
        <w:spacing w:after="0" w:line="132" w:lineRule="exact"/>
        <w:rPr>
          <w:sz w:val="20"/>
          <w:szCs w:val="20"/>
          <w:color w:val="auto"/>
        </w:rPr>
      </w:pPr>
    </w:p>
    <w:p>
      <w:pPr>
        <w:ind w:right="80" w:firstLine="456"/>
        <w:spacing w:after="0" w:line="320" w:lineRule="auto"/>
        <w:rPr>
          <w:sz w:val="20"/>
          <w:szCs w:val="20"/>
          <w:color w:val="auto"/>
        </w:rPr>
      </w:pPr>
      <w:r>
        <w:rPr>
          <w:rFonts w:ascii="Arial" w:cs="Arial" w:eastAsia="Arial" w:hAnsi="Arial"/>
          <w:sz w:val="15"/>
          <w:szCs w:val="15"/>
          <w:b w:val="1"/>
          <w:bCs w:val="1"/>
          <w:color w:val="auto"/>
        </w:rPr>
        <w:t>RESOLVED FURTHER</w:t>
      </w:r>
      <w:r>
        <w:rPr>
          <w:rFonts w:ascii="Arial" w:cs="Arial" w:eastAsia="Arial" w:hAnsi="Arial"/>
          <w:sz w:val="15"/>
          <w:szCs w:val="15"/>
          <w:color w:val="auto"/>
        </w:rPr>
        <w:t>, that the proper officers and the authorized employees (as established pursuant to these resolutions) be, and each of them hereby</w:t>
      </w:r>
      <w:r>
        <w:rPr>
          <w:rFonts w:ascii="Arial" w:cs="Arial" w:eastAsia="Arial" w:hAnsi="Arial"/>
          <w:sz w:val="15"/>
          <w:szCs w:val="15"/>
          <w:b w:val="1"/>
          <w:bCs w:val="1"/>
          <w:color w:val="auto"/>
        </w:rPr>
        <w:t xml:space="preserve"> </w:t>
      </w:r>
      <w:r>
        <w:rPr>
          <w:rFonts w:ascii="Arial" w:cs="Arial" w:eastAsia="Arial" w:hAnsi="Arial"/>
          <w:sz w:val="15"/>
          <w:szCs w:val="15"/>
          <w:color w:val="auto"/>
        </w:rPr>
        <w:t>is, authorized, in the name and on behalf of the Company, to execute and cause to be filed with the SEC any and all amendments (including, without limitation, post-effective amendments) or supplements to the New Automatic Shelf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ectPr>
          <w:pgSz w:w="11900" w:h="16838" w:orient="portrait"/>
          <w:cols w:equalWidth="0" w:num="1">
            <w:col w:w="11420"/>
          </w:cols>
          <w:pgMar w:left="240" w:top="280" w:right="239" w:bottom="1440" w:gutter="0" w:footer="0" w:header="0"/>
        </w:sectPr>
      </w:pPr>
    </w:p>
    <w:bookmarkStart w:id="59" w:name="page60"/>
    <w:bookmarkEnd w:id="59"/>
    <w:p>
      <w:pPr>
        <w:jc w:val="both"/>
        <w:ind w:right="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New Automatic Shelf and any and all amendments and supplements thereto, with all powers incident to such appointment;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14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1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 referred to above, it shall not be necessary for any of the proper officers to approve any individual agreement pursuant to which Securities are to be sold if the form thereof has previously been approved as provided in this resolution;</w:t>
      </w:r>
    </w:p>
    <w:p>
      <w:pPr>
        <w:sectPr>
          <w:pgSz w:w="11900" w:h="16838" w:orient="portrait"/>
          <w:cols w:equalWidth="0" w:num="1">
            <w:col w:w="11420"/>
          </w:cols>
          <w:pgMar w:left="240" w:top="274" w:right="239" w:bottom="1440" w:gutter="0" w:footer="0" w:header="0"/>
        </w:sectPr>
      </w:pPr>
    </w:p>
    <w:bookmarkStart w:id="60" w:name="page61"/>
    <w:bookmarkEnd w:id="60"/>
    <w:p>
      <w:pPr>
        <w:ind w:right="20" w:firstLine="456"/>
        <w:spacing w:after="0" w:line="30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5"/>
          <w:szCs w:val="15"/>
          <w:color w:val="auto"/>
        </w:rPr>
        <w:t>, that any of the proper officers be, and each of them hereby is, authorized, at any time and from time to time, on behalf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 to determine, within any limits that may be set by the Board of Directors, the number of shares of Common Stock, preferred stock or other equity securities to be offered and sold by the Company pursuant to the New Automatic Shelf, including any shares underlying warrants or convertible Debt Securities,</w:t>
      </w:r>
    </w:p>
    <w:p>
      <w:pPr>
        <w:spacing w:after="0" w:line="1" w:lineRule="exact"/>
        <w:rPr>
          <w:sz w:val="20"/>
          <w:szCs w:val="20"/>
          <w:color w:val="auto"/>
        </w:rPr>
      </w:pPr>
    </w:p>
    <w:p>
      <w:pPr>
        <w:jc w:val="both"/>
        <w:ind w:right="60" w:firstLine="8"/>
        <w:spacing w:after="0" w:line="302" w:lineRule="auto"/>
        <w:tabs>
          <w:tab w:leader="none" w:pos="25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New Automatic Shelf and the applicable purchase agreement, which action could be taken or which things could be done by the Board of Directors of the Company;</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13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108"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97"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9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ectPr>
          <w:pgSz w:w="11900" w:h="16838" w:orient="portrait"/>
          <w:cols w:equalWidth="0" w:num="1">
            <w:col w:w="11300"/>
          </w:cols>
          <w:pgMar w:left="240" w:top="274" w:right="359" w:bottom="1440" w:gutter="0" w:footer="0" w:header="0"/>
        </w:sectPr>
      </w:pPr>
    </w:p>
    <w:bookmarkStart w:id="61" w:name="page62"/>
    <w:bookmarkEnd w:id="61"/>
    <w:p>
      <w:pPr>
        <w:ind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6"/>
          <w:szCs w:val="16"/>
          <w:color w:val="auto"/>
        </w:rPr>
        <w:t>, that the proper officers be, and each of them hereby is, authorized, subject to and in accordance with the Company’s indentures</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11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115"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be, and each of them hereby is, authorized, in the name and on behalf of the Company,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0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the New Automatic Shelf and any indenture, purchase agreement,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or authorized employee may deem necessary or appropriate;</w:t>
      </w:r>
    </w:p>
    <w:p>
      <w:pPr>
        <w:sectPr>
          <w:pgSz w:w="11900" w:h="16838" w:orient="portrait"/>
          <w:cols w:equalWidth="0" w:num="1">
            <w:col w:w="11420"/>
          </w:cols>
          <w:pgMar w:left="240" w:top="274" w:right="239" w:bottom="1440" w:gutter="0" w:footer="0" w:header="0"/>
        </w:sectPr>
      </w:pPr>
    </w:p>
    <w:bookmarkStart w:id="62" w:name="page63"/>
    <w:bookmarkEnd w:id="62"/>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Chief Accounting Officer and the Treasurer of the Company and the term “authorized employees” shall mean either or both of the Vice President and Assistant General Counsel — Corporate and Securities and the Senior Counsel — Corporate &amp; Securities of the Company;</w:t>
      </w:r>
    </w:p>
    <w:p>
      <w:pPr>
        <w:spacing w:after="0" w:line="97" w:lineRule="exact"/>
        <w:rPr>
          <w:sz w:val="20"/>
          <w:szCs w:val="20"/>
          <w:color w:val="auto"/>
        </w:rPr>
      </w:pPr>
    </w:p>
    <w:p>
      <w:pPr>
        <w:jc w:val="both"/>
        <w:ind w:right="60" w:firstLine="456"/>
        <w:spacing w:after="0" w:line="301"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form of any additional resolutions required in connection with the foregoing resolutions be and hereby is approved and</w:t>
      </w:r>
      <w:r>
        <w:rPr>
          <w:rFonts w:ascii="Arial" w:cs="Arial" w:eastAsia="Arial" w:hAnsi="Arial"/>
          <w:sz w:val="16"/>
          <w:szCs w:val="16"/>
          <w:b w:val="1"/>
          <w:bCs w:val="1"/>
          <w:color w:val="auto"/>
        </w:rPr>
        <w:t xml:space="preserve"> </w:t>
      </w:r>
      <w:r>
        <w:rPr>
          <w:rFonts w:ascii="Arial" w:cs="Arial" w:eastAsia="Arial" w:hAnsi="Arial"/>
          <w:sz w:val="16"/>
          <w:szCs w:val="16"/>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10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officer of the Company is hereby authorized and directed to make, provide, execute, and deliver any and all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ectPr>
          <w:pgSz w:w="11900" w:h="16838" w:orient="portrait"/>
          <w:cols w:equalWidth="0" w:num="1">
            <w:col w:w="11400"/>
          </w:cols>
          <w:pgMar w:left="240" w:top="274"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4.4</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GUARANTEE</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WASTE MANAGEMENT HOLDINGS, INC.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(formerly known as Waste Management, Inc.)</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Favor of The Bank of New York Mellon Trust Company, N.A., as Trustee for the Holders of Certain Debt Securities of</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WASTE MANAGEMENT, INC.</w:t>
      </w:r>
    </w:p>
    <w:p>
      <w:pPr>
        <w:spacing w:after="0" w:line="9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$500,000,000</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2.90% Senior Notes due 2022</w:t>
      </w:r>
    </w:p>
    <w:p>
      <w:pPr>
        <w:spacing w:after="0" w:line="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September 12, 2012</w:t>
      </w:r>
    </w:p>
    <w:p>
      <w:pPr>
        <w:sectPr>
          <w:pgSz w:w="11900" w:h="16838" w:orient="portrait"/>
          <w:cols w:equalWidth="0" w:num="1">
            <w:col w:w="10220"/>
          </w:cols>
          <w:pgMar w:left="1440" w:top="125" w:right="239" w:bottom="1440" w:gutter="0" w:footer="0" w:header="0"/>
        </w:sectPr>
      </w:pPr>
    </w:p>
    <w:bookmarkStart w:id="64" w:name="page65"/>
    <w:bookmarkEnd w:id="6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 dated as of September 12, 2012 (as amended from time to time, this “Guarantee”), made by Waste Management Holdings, Inc. (formerly known as Waste Management, Inc.), a Delaware corporation (the “Guarantor”), in favor of The Bank of New York Mellon Trust Company, N.A., as trustee for the holders of the $500 million 2.90% Senior Notes due 2022 (the “Debt Securities”) of Waste Management, Inc. (formerly known as USA Waste Services, Inc.), a Delaware corporation (the “Issuer”).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p>
    <w:p>
      <w:pPr>
        <w:spacing w:after="0" w:line="90" w:lineRule="exact"/>
        <w:rPr>
          <w:sz w:val="20"/>
          <w:szCs w:val="20"/>
          <w:color w:val="auto"/>
        </w:rPr>
      </w:pPr>
    </w:p>
    <w:p>
      <w:pPr>
        <w:ind w:right="20" w:firstLine="921"/>
        <w:spacing w:after="0" w:line="255"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w:t>
      </w:r>
    </w:p>
    <w:p>
      <w:pPr>
        <w:spacing w:after="0" w:line="61" w:lineRule="exact"/>
        <w:rPr>
          <w:rFonts w:ascii="Arial" w:cs="Arial" w:eastAsia="Arial" w:hAnsi="Arial"/>
          <w:sz w:val="18"/>
          <w:szCs w:val="18"/>
          <w:color w:val="auto"/>
        </w:rPr>
      </w:pPr>
    </w:p>
    <w:p>
      <w:pPr>
        <w:ind w:right="160" w:firstLine="921"/>
        <w:spacing w:after="0" w:line="291" w:lineRule="auto"/>
        <w:tabs>
          <w:tab w:leader="none" w:pos="116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20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xml:space="preserv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26" w:lineRule="exact"/>
        <w:rPr>
          <w:sz w:val="20"/>
          <w:szCs w:val="20"/>
          <w:color w:val="auto"/>
        </w:rPr>
      </w:pPr>
    </w:p>
    <w:p>
      <w:pPr>
        <w:ind w:left="1120" w:hanging="217"/>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2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ectPr>
          <w:pgSz w:w="11900" w:h="16838" w:orient="portrait"/>
          <w:cols w:equalWidth="0" w:num="1">
            <w:col w:w="11420"/>
          </w:cols>
          <w:pgMar w:left="240" w:top="280" w:right="239" w:bottom="1440" w:gutter="0" w:footer="0" w:header="0"/>
        </w:sectPr>
      </w:pPr>
    </w:p>
    <w:bookmarkStart w:id="65" w:name="page66"/>
    <w:bookmarkEnd w:id="6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(iv) any other circumstance which might otherwise constitute a defense available to, or a discharge of, the Issuer or a guarantor.</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p>
    <w:p>
      <w:pPr>
        <w:spacing w:after="0" w:line="90" w:lineRule="exact"/>
        <w:rPr>
          <w:sz w:val="20"/>
          <w:szCs w:val="20"/>
          <w:color w:val="auto"/>
        </w:rPr>
      </w:pPr>
    </w:p>
    <w:p>
      <w:pPr>
        <w:jc w:val="both"/>
        <w:ind w:firstLine="921"/>
        <w:spacing w:after="0" w:line="259" w:lineRule="auto"/>
        <w:tabs>
          <w:tab w:leader="none" w:pos="115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40" w:lineRule="exact"/>
        <w:rPr>
          <w:rFonts w:ascii="Arial" w:cs="Arial" w:eastAsia="Arial" w:hAnsi="Arial"/>
          <w:sz w:val="18"/>
          <w:szCs w:val="18"/>
          <w:color w:val="auto"/>
        </w:rPr>
      </w:pPr>
    </w:p>
    <w:p>
      <w:pPr>
        <w:ind w:right="180" w:firstLine="921"/>
        <w:spacing w:after="0" w:line="306" w:lineRule="auto"/>
        <w:tabs>
          <w:tab w:leader="none" w:pos="1162"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xml:space="preserve"> .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Amended and Restated Revolving Credit Agreement dated May 9, 2011, by and among the Issuer, the Guarantor (as guarantor), Bank of America, N.A., as administrative agent, J.P. Morgan Securities LLC, Merrill Lynch, Pierce, Fenner &amp; Smith Incorporated and Barclays Capital,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ectPr>
          <w:pgSz w:w="11900" w:h="16838" w:orient="portrait"/>
          <w:cols w:equalWidth="0" w:num="1">
            <w:col w:w="11360"/>
          </w:cols>
          <w:pgMar w:left="240" w:top="280" w:right="299" w:bottom="1440" w:gutter="0" w:footer="0" w:header="0"/>
        </w:sectPr>
      </w:pPr>
    </w:p>
    <w:bookmarkStart w:id="66" w:name="page67"/>
    <w:bookmarkEnd w:id="66"/>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Devina A. Rankin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Treasurer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Controller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Guarantee</w:t>
      </w:r>
    </w:p>
    <w:p>
      <w:pPr>
        <w:sectPr>
          <w:pgSz w:w="11900" w:h="16838" w:orient="portrait"/>
          <w:cols w:equalWidth="0" w:num="1">
            <w:col w:w="11420"/>
          </w:cols>
          <w:pgMar w:left="240" w:top="2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5102860" cy="9607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0286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Waste Management, Inc., a Delaware corporation (the “Company”), and Waste Management Holdings, Inc., a Delaware corporation (“Holdings”), have engaged us to render the opinions expressed below in connection with the Company’s proposed issuance of $500,000,000 aggregate principal amount of 2.90% Senior Notes due 2022 (the “Notes”) and the issuance of the related guarantee of the Notes by Holdings (the “Guarantee”), as contemplated by the Registration Statement on Form S-3 (Registration No. 333-162059)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2009 and prospectus supplement dated September 5, 2012 relating to the Notes (collectively, the “Prospectus”) have been filed with the Commission pursuant to Rule 424(b) under the Act.</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and Holdings entered into an Underwriting Agreement (the “Underwriting Agreement”), dated September 5, 2012, with Barclays Capital Inc., BNP Paribas Securities Corp. and Merrill Lynch, Pierce, Fenner &amp; Smith Incorporated,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the current successor to Texas Commerce Bank National Association, as trustee (the “Trustee”).</w:t>
      </w:r>
    </w:p>
    <w:p>
      <w:pPr>
        <w:spacing w:after="0" w:line="1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Bylaws of Holdings, each as amended to date; (iii) the Indenture; (iv) the Officers’ Certificate delivered pursuant to Section 301 of the Indenture; (v) the Guarantee to be entered into by Holdings in favor of the holders of the Notes concurrently with the issuance of the Notes under the Indenture (the “Guarantee Agreement”); (vi) the Underwriting Agreement; (vii) the Registration Statement and the Prospectus; and (viii) originals, or copies certified or otherwise identified, of corporate records of the Company and Holdings,</w:t>
      </w:r>
    </w:p>
    <w:p>
      <w:pPr>
        <w:sectPr>
          <w:pgSz w:w="11900" w:h="16838" w:orient="portrait"/>
          <w:cols w:equalWidth="0" w:num="1">
            <w:col w:w="11420"/>
          </w:cols>
          <w:pgMar w:left="240" w:top="125" w:right="239" w:bottom="1440" w:gutter="0" w:footer="0" w:header="0"/>
        </w:sectPr>
      </w:pPr>
    </w:p>
    <w:bookmarkStart w:id="68" w:name="page69"/>
    <w:bookmarkEnd w:id="68"/>
    <w:p>
      <w:pPr>
        <w:spacing w:after="0"/>
        <w:tabs>
          <w:tab w:leader="none" w:pos="568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115760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163195"/>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- 2 -</w:t>
      </w:r>
      <w:r>
        <w:rPr>
          <w:sz w:val="20"/>
          <w:szCs w:val="20"/>
          <w:color w:val="auto"/>
        </w:rPr>
        <w:tab/>
      </w:r>
      <w:r>
        <w:rPr>
          <w:rFonts w:ascii="Arial" w:cs="Arial" w:eastAsia="Arial" w:hAnsi="Arial"/>
          <w:sz w:val="15"/>
          <w:szCs w:val="15"/>
          <w:color w:val="auto"/>
        </w:rPr>
        <w:t>September 11, 2012</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insolvency, fraudulent transfer, reorganization, moratorium or other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2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Baker Botts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KBR/JAR/SS/JRP</w:t>
      </w:r>
    </w:p>
    <w:sectPr>
      <w:pgSz w:w="11900" w:h="16838" w:orient="portrait"/>
      <w:cols w:equalWidth="0" w:num="1">
        <w:col w:w="11420"/>
      </w:cols>
      <w:pgMar w:left="240" w:top="7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lvl w:ilvl="1">
      <w:lvlJc w:val="left"/>
      <w:lvlText w:val="(%2)"/>
      <w:numFmt w:val="lowerLetter"/>
      <w:start w:val="1"/>
    </w:lvl>
  </w:abstractNum>
  <w:abstractNum w:abstractNumId="2">
    <w:nsid w:val="5C482A97"/>
    <w:multiLevelType w:val="hybridMultilevel"/>
    <w:lvl w:ilvl="0">
      <w:lvlJc w:val="left"/>
      <w:lvlText w:val="%1"/>
      <w:numFmt w:val="lowerRoman"/>
      <w:start w:val="1"/>
    </w:lvl>
    <w:lvl w:ilvl="1">
      <w:lvlJc w:val="left"/>
      <w:lvlText w:val="(%2)"/>
      <w:numFmt w:val="lowerLetter"/>
      <w:start w:val="3"/>
    </w:lvl>
  </w:abstractNum>
  <w:abstractNum w:abstractNumId="3">
    <w:nsid w:val="2463B9EA"/>
    <w:multiLevelType w:val="hybridMultilevel"/>
    <w:lvl w:ilvl="0">
      <w:lvlJc w:val="left"/>
      <w:lvlText w:val="(%1)"/>
      <w:numFmt w:val="lowerRoman"/>
      <w:start w:val="4"/>
    </w:lvl>
    <w:lvl w:ilvl="1">
      <w:lvlJc w:val="left"/>
      <w:lvlText w:val="%2"/>
      <w:numFmt w:val="lowerLetter"/>
      <w:start w:val="1"/>
    </w:lvl>
  </w:abstractNum>
  <w:abstractNum w:abstractNumId="4">
    <w:nsid w:val="5E884ADC"/>
    <w:multiLevelType w:val="hybridMultilevel"/>
    <w:lvl w:ilvl="0">
      <w:lvlJc w:val="left"/>
      <w:lvlText w:val="(%1)"/>
      <w:numFmt w:val="lowerLetter"/>
      <w:start w:val="5"/>
    </w:lvl>
  </w:abstractNum>
  <w:abstractNum w:abstractNumId="5">
    <w:nsid w:val="51EAD36B"/>
    <w:multiLevelType w:val="hybridMultilevel"/>
    <w:lvl w:ilvl="0">
      <w:lvlJc w:val="left"/>
      <w:lvlText w:val="(%1)"/>
      <w:numFmt w:val="lowerLetter"/>
      <w:start w:val="9"/>
    </w:lvl>
  </w:abstractNum>
  <w:abstractNum w:abstractNumId="6">
    <w:nsid w:val="2D517796"/>
    <w:multiLevelType w:val="hybridMultilevel"/>
    <w:lvl w:ilvl="0">
      <w:lvlJc w:val="left"/>
      <w:lvlText w:val="(%1)"/>
      <w:numFmt w:val="lowerLetter"/>
      <w:start w:val="13"/>
    </w:lvl>
  </w:abstractNum>
  <w:abstractNum w:abstractNumId="7">
    <w:nsid w:val="580BD78F"/>
    <w:multiLevelType w:val="hybridMultilevel"/>
    <w:lvl w:ilvl="0">
      <w:lvlJc w:val="left"/>
      <w:lvlText w:val="(%1)"/>
      <w:numFmt w:val="lowerLetter"/>
      <w:start w:val="17"/>
    </w:lvl>
  </w:abstractNum>
  <w:abstractNum w:abstractNumId="8">
    <w:nsid w:val="153EA438"/>
    <w:multiLevelType w:val="hybridMultilevel"/>
    <w:lvl w:ilvl="0">
      <w:lvlJc w:val="left"/>
      <w:lvlText w:val="(%1)"/>
      <w:numFmt w:val="lowerLetter"/>
      <w:start w:val="23"/>
    </w:lvl>
  </w:abstractNum>
  <w:abstractNum w:abstractNumId="9">
    <w:nsid w:val="3855585C"/>
    <w:multiLevelType w:val="hybridMultilevel"/>
    <w:lvl w:ilvl="0">
      <w:lvlJc w:val="left"/>
      <w:lvlText w:val="(%1)"/>
      <w:numFmt w:val="lowerLetter"/>
      <w:start w:val="27"/>
    </w:lvl>
  </w:abstractNum>
  <w:abstractNum w:abstractNumId="10">
    <w:nsid w:val="70A64E2A"/>
    <w:multiLevelType w:val="hybridMultilevel"/>
    <w:lvl w:ilvl="0">
      <w:lvlJc w:val="left"/>
      <w:lvlText w:val="%1"/>
      <w:numFmt w:val="lowerLetter"/>
      <w:start w:val="1"/>
    </w:lvl>
    <w:lvl w:ilvl="1">
      <w:lvlJc w:val="left"/>
      <w:lvlText w:val="(%2)"/>
      <w:numFmt w:val="lowerLetter"/>
      <w:start w:val="28"/>
    </w:lvl>
  </w:abstractNum>
  <w:abstractNum w:abstractNumId="11">
    <w:nsid w:val="6A2342EC"/>
    <w:multiLevelType w:val="hybridMultilevel"/>
    <w:lvl w:ilvl="0">
      <w:lvlJc w:val="left"/>
      <w:lvlText w:val="(%1)"/>
      <w:numFmt w:val="lowerLetter"/>
      <w:start w:val="9"/>
    </w:lvl>
    <w:lvl w:ilvl="1">
      <w:lvlJc w:val="left"/>
      <w:lvlText w:val="%2"/>
      <w:numFmt w:val="lowerLetter"/>
      <w:start w:val="1"/>
    </w:lvl>
  </w:abstractNum>
  <w:abstractNum w:abstractNumId="12">
    <w:nsid w:val="2A487CB0"/>
    <w:multiLevelType w:val="hybridMultilevel"/>
    <w:lvl w:ilvl="0">
      <w:lvlJc w:val="left"/>
      <w:lvlText w:val="(%1)"/>
      <w:numFmt w:val="lowerLetter"/>
      <w:start w:val="61"/>
    </w:lvl>
    <w:lvl w:ilvl="1">
      <w:lvlJc w:val="left"/>
      <w:lvlText w:val="%2"/>
      <w:numFmt w:val="lowerLetter"/>
      <w:start w:val="1"/>
    </w:lvl>
  </w:abstractNum>
  <w:abstractNum w:abstractNumId="13">
    <w:nsid w:val="1D4ED43B"/>
    <w:multiLevelType w:val="hybridMultilevel"/>
    <w:lvl w:ilvl="0">
      <w:lvlJc w:val="left"/>
      <w:lvlText w:val="(%1)"/>
      <w:numFmt w:val="lowerLetter"/>
      <w:start w:val="31"/>
    </w:lvl>
  </w:abstractNum>
  <w:abstractNum w:abstractNumId="14">
    <w:nsid w:val="725A06FB"/>
    <w:multiLevelType w:val="hybridMultilevel"/>
    <w:lvl w:ilvl="0">
      <w:lvlJc w:val="left"/>
      <w:lvlText w:val="(%1)"/>
      <w:numFmt w:val="lowerLetter"/>
      <w:start w:val="35"/>
    </w:lvl>
  </w:abstractNum>
  <w:abstractNum w:abstractNumId="15">
    <w:nsid w:val="2CD89A32"/>
    <w:multiLevelType w:val="hybridMultilevel"/>
    <w:lvl w:ilvl="0">
      <w:lvlJc w:val="left"/>
      <w:lvlText w:val="(%1)"/>
      <w:numFmt w:val="lowerLetter"/>
      <w:start w:val="40"/>
    </w:lvl>
  </w:abstractNum>
  <w:abstractNum w:abstractNumId="16">
    <w:nsid w:val="57E4CCAF"/>
    <w:multiLevelType w:val="hybridMultilevel"/>
    <w:lvl w:ilvl="0">
      <w:lvlJc w:val="left"/>
      <w:lvlText w:val="%1."/>
      <w:numFmt w:val="decimal"/>
      <w:start w:val="2"/>
    </w:lvl>
  </w:abstractNum>
  <w:abstractNum w:abstractNumId="17">
    <w:nsid w:val="7A6D8D3C"/>
    <w:multiLevelType w:val="hybridMultilevel"/>
    <w:lvl w:ilvl="0">
      <w:lvlJc w:val="left"/>
      <w:lvlText w:val="%1."/>
      <w:numFmt w:val="decimal"/>
      <w:start w:val="3"/>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lowerLetter"/>
      <w:start w:val="4"/>
    </w:lvl>
  </w:abstractNum>
  <w:abstractNum w:abstractNumId="20">
    <w:nsid w:val="6DE91B18"/>
    <w:multiLevelType w:val="hybridMultilevel"/>
    <w:lvl w:ilvl="0">
      <w:lvlJc w:val="left"/>
      <w:lvlText w:val="%1"/>
      <w:numFmt w:val="decimal"/>
      <w:start w:val="1"/>
    </w:lvl>
    <w:lvl w:ilvl="1">
      <w:lvlJc w:val="left"/>
      <w:lvlText w:val="(%2)"/>
      <w:numFmt w:val="lowerLetter"/>
      <w:start w:val="8"/>
    </w:lvl>
  </w:abstractNum>
  <w:abstractNum w:abstractNumId="21">
    <w:nsid w:val="38437FDB"/>
    <w:multiLevelType w:val="hybridMultilevel"/>
    <w:lvl w:ilvl="0">
      <w:lvlJc w:val="left"/>
      <w:lvlText w:val="%1."/>
      <w:numFmt w:val="decimal"/>
      <w:start w:val="6"/>
    </w:lvl>
    <w:lvl w:ilvl="1">
      <w:lvlJc w:val="left"/>
      <w:lvlText w:val="(%2)"/>
      <w:numFmt w:val="lowerLetter"/>
      <w:start w:val="1"/>
    </w:lvl>
  </w:abstractNum>
  <w:abstractNum w:abstractNumId="22">
    <w:nsid w:val="7644A45C"/>
    <w:multiLevelType w:val="hybridMultilevel"/>
    <w:lvl w:ilvl="0">
      <w:lvlJc w:val="left"/>
      <w:lvlText w:val="%1"/>
      <w:numFmt w:val="decimal"/>
      <w:start w:val="405"/>
    </w:lvl>
    <w:lvl w:ilvl="1">
      <w:lvlJc w:val="left"/>
      <w:lvlText w:val="%2"/>
      <w:numFmt w:val="lowerLetter"/>
      <w:start w:val="1"/>
    </w:lvl>
  </w:abstractNum>
  <w:abstractNum w:abstractNumId="23">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
    <w:nsid w:val="684A48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579478FE"/>
    <w:multiLevelType w:val="hybridMultilevel"/>
    <w:lvl w:ilvl="0">
      <w:lvlJc w:val="left"/>
      <w:lvlText w:val="(%1)"/>
      <w:numFmt w:val="lowerRoman"/>
      <w:start w:val="4"/>
    </w:lvl>
  </w:abstractNum>
  <w:abstractNum w:abstractNumId="26">
    <w:nsid w:val="749ABB43"/>
    <w:multiLevelType w:val="hybridMultilevel"/>
    <w:lvl w:ilvl="0">
      <w:lvlJc w:val="left"/>
      <w:lvlText w:val="(%1)"/>
      <w:numFmt w:val="lowerRoman"/>
      <w:start w:val="9"/>
    </w:lvl>
  </w:abstractNum>
  <w:abstractNum w:abstractNumId="27">
    <w:nsid w:val="3DC240FB"/>
    <w:multiLevelType w:val="hybridMultilevel"/>
    <w:lvl w:ilvl="0">
      <w:lvlJc w:val="left"/>
      <w:lvlText w:val="(%1)"/>
      <w:numFmt w:val="lowerLetter"/>
      <w:start w:val="1"/>
    </w:lvl>
  </w:abstractNum>
  <w:abstractNum w:abstractNumId="28">
    <w:nsid w:val="1BA026FA"/>
    <w:multiLevelType w:val="hybridMultilevel"/>
    <w:lvl w:ilvl="0">
      <w:lvlJc w:val="left"/>
      <w:lvlText w:val="(%1)"/>
      <w:numFmt w:val="decimal"/>
      <w:start w:val="2"/>
    </w:lvl>
  </w:abstractNum>
  <w:abstractNum w:abstractNumId="29">
    <w:nsid w:val="79A1DEAA"/>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30">
    <w:nsid w:val="75C6C33A"/>
    <w:multiLevelType w:val="hybridMultilevel"/>
    <w:lvl w:ilvl="0">
      <w:lvlJc w:val="left"/>
      <w:lvlText w:val="%1"/>
      <w:numFmt w:val="lowerLetter"/>
      <w:start w:val="1"/>
    </w:lvl>
    <w:lvl w:ilvl="1">
      <w:lvlJc w:val="left"/>
      <w:lvlText w:val="(%2)"/>
      <w:numFmt w:val="lowerRoman"/>
      <w:start w:val="3"/>
    </w:lvl>
  </w:abstractNum>
  <w:abstractNum w:abstractNumId="31">
    <w:nsid w:val="12E685FB"/>
    <w:multiLevelType w:val="hybridMultilevel"/>
    <w:lvl w:ilvl="0">
      <w:lvlJc w:val="left"/>
      <w:lvlText w:val="(%1)"/>
      <w:numFmt w:val="lowerLetter"/>
      <w:start w:val="4"/>
    </w:lvl>
    <w:lvl w:ilvl="1">
      <w:lvlJc w:val="left"/>
      <w:lvlText w:val="%2"/>
      <w:numFmt w:val="lowerRoman"/>
      <w:start w:val="1"/>
    </w:lvl>
  </w:abstractNum>
  <w:abstractNum w:abstractNumId="32">
    <w:nsid w:val="70C6A529"/>
    <w:multiLevelType w:val="hybridMultilevel"/>
    <w:lvl w:ilvl="0">
      <w:lvlJc w:val="left"/>
      <w:lvlText w:val="(%1)"/>
      <w:numFmt w:val="lowerLetter"/>
      <w:start w:val="5"/>
    </w:lvl>
    <w:lvl w:ilvl="1">
      <w:lvlJc w:val="left"/>
      <w:lvlText w:val="(%2)"/>
      <w:numFmt w:val="lowerRoman"/>
      <w:start w:val="1"/>
    </w:lvl>
  </w:abstractNum>
  <w:abstractNum w:abstractNumId="33">
    <w:nsid w:val="520EEDD1"/>
    <w:multiLevelType w:val="hybridMultilevel"/>
    <w:lvl w:ilvl="0">
      <w:lvlJc w:val="left"/>
      <w:lvlText w:val="(%1)"/>
      <w:numFmt w:val="lowerRoman"/>
      <w:start w:val="2"/>
    </w:lvl>
  </w:abstractNum>
  <w:abstractNum w:abstractNumId="34">
    <w:nsid w:val="374A3FE6"/>
    <w:multiLevelType w:val="hybridMultilevel"/>
    <w:lvl w:ilvl="0">
      <w:lvlJc w:val="left"/>
      <w:lvlText w:val="(%1)"/>
      <w:numFmt w:val="lowerLetter"/>
      <w:start w:val="7"/>
    </w:lvl>
  </w:abstractNum>
  <w:abstractNum w:abstractNumId="35">
    <w:nsid w:val="4F4EF005"/>
    <w:multiLevelType w:val="hybridMultilevel"/>
    <w:lvl w:ilvl="0">
      <w:lvlJc w:val="left"/>
      <w:lvlText w:val="(%1)"/>
      <w:numFmt w:val="lowerLetter"/>
      <w:start w:val="9"/>
    </w:lvl>
    <w:lvl w:ilvl="1">
      <w:lvlJc w:val="left"/>
      <w:lvlText w:val="(%2)"/>
      <w:numFmt w:val="lowerLetter"/>
      <w:start w:val="8"/>
    </w:lvl>
  </w:abstractNum>
  <w:abstractNum w:abstractNumId="36">
    <w:nsid w:val="23F9C13C"/>
    <w:multiLevelType w:val="hybridMultilevel"/>
    <w:lvl w:ilvl="0">
      <w:lvlJc w:val="left"/>
      <w:lvlText w:val="%1."/>
      <w:numFmt w:val="decimal"/>
      <w:start w:val="8"/>
    </w:lvl>
  </w:abstractNum>
  <w:abstractNum w:abstractNumId="37">
    <w:nsid w:val="649BB77C"/>
    <w:multiLevelType w:val="hybridMultilevel"/>
    <w:lvl w:ilvl="0">
      <w:lvlJc w:val="left"/>
      <w:lvlText w:val="%1."/>
      <w:numFmt w:val="decimal"/>
      <w:start w:val="9"/>
    </w:lvl>
    <w:lvl w:ilvl="1">
      <w:lvlJc w:val="left"/>
      <w:lvlText w:val="(%2)"/>
      <w:numFmt w:val="lowerLetter"/>
      <w:start w:val="2"/>
    </w:lvl>
  </w:abstractNum>
  <w:abstractNum w:abstractNumId="38">
    <w:nsid w:val="275AC794"/>
    <w:multiLevelType w:val="hybridMultilevel"/>
    <w:lvl w:ilvl="0">
      <w:lvlJc w:val="left"/>
      <w:lvlText w:val="(%1)"/>
      <w:numFmt w:val="lowerLetter"/>
      <w:start w:val="35"/>
    </w:lvl>
    <w:lvl w:ilvl="1">
      <w:lvlJc w:val="left"/>
      <w:lvlText w:val="%2"/>
      <w:numFmt w:val="lowerLetter"/>
      <w:start w:val="1"/>
    </w:lvl>
  </w:abstractNum>
  <w:abstractNum w:abstractNumId="39">
    <w:nsid w:val="39386575"/>
    <w:multiLevelType w:val="hybridMultilevel"/>
    <w:lvl w:ilvl="0">
      <w:lvlJc w:val="left"/>
      <w:lvlText w:val="(%1)"/>
      <w:numFmt w:val="lowerLetter"/>
      <w:start w:val="9"/>
    </w:lvl>
    <w:lvl w:ilvl="1">
      <w:lvlJc w:val="left"/>
      <w:lvlText w:val="(%2)"/>
      <w:numFmt w:val="lowerLetter"/>
      <w:start w:val="4"/>
    </w:lvl>
  </w:abstractNum>
  <w:abstractNum w:abstractNumId="40">
    <w:nsid w:val="1CF10FD8"/>
    <w:multiLevelType w:val="hybridMultilevel"/>
    <w:lvl w:ilvl="0">
      <w:lvlJc w:val="left"/>
      <w:lvlText w:val="%1."/>
      <w:numFmt w:val="decimal"/>
      <w:start w:val="10"/>
    </w:lvl>
  </w:abstractNum>
  <w:abstractNum w:abstractNumId="41">
    <w:nsid w:val="180115BE"/>
    <w:multiLevelType w:val="hybridMultilevel"/>
    <w:lvl w:ilvl="0">
      <w:lvlJc w:val="left"/>
      <w:lvlText w:val="%1."/>
      <w:numFmt w:val="decimal"/>
      <w:start w:val="11"/>
    </w:lvl>
  </w:abstractNum>
  <w:abstractNum w:abstractNumId="42">
    <w:nsid w:val="235BA861"/>
    <w:multiLevelType w:val="hybridMultilevel"/>
    <w:lvl w:ilvl="0">
      <w:lvlJc w:val="left"/>
      <w:lvlText w:val="%1."/>
      <w:numFmt w:val="decimal"/>
      <w:start w:val="16"/>
    </w:lvl>
  </w:abstractNum>
  <w:abstractNum w:abstractNumId="43">
    <w:nsid w:val="47398C89"/>
    <w:multiLevelType w:val="hybridMultilevel"/>
    <w:lvl w:ilvl="0">
      <w:lvlJc w:val="left"/>
      <w:lvlText w:val="%1."/>
      <w:numFmt w:val="decimal"/>
      <w:start w:val="19"/>
    </w:lvl>
  </w:abstractNum>
  <w:abstractNum w:abstractNumId="44">
    <w:nsid w:val="354FE9F9"/>
    <w:multiLevelType w:val="hybridMultilevel"/>
    <w:lvl w:ilvl="0">
      <w:lvlJc w:val="left"/>
      <w:lvlText w:val="(%1)"/>
      <w:numFmt w:val="decimal"/>
      <w:start w:val="800"/>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8"/>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2"/>
    </w:lvl>
  </w:abstractNum>
  <w:abstractNum w:abstractNumId="50">
    <w:nsid w:val="61574095"/>
    <w:multiLevelType w:val="hybridMultilevel"/>
    <w:lvl w:ilvl="0">
      <w:lvlJc w:val="left"/>
      <w:lvlText w:val="%1."/>
      <w:numFmt w:val="decimal"/>
      <w:start w:val="3"/>
    </w:lvl>
  </w:abstractNum>
  <w:abstractNum w:abstractNumId="51">
    <w:nsid w:val="7E0C57B1"/>
    <w:multiLevelType w:val="hybridMultilevel"/>
    <w:lvl w:ilvl="0">
      <w:lvlJc w:val="left"/>
      <w:lvlText w:val="%1."/>
      <w:numFmt w:val="decimal"/>
      <w:start w:val="4"/>
    </w:lvl>
  </w:abstractNum>
  <w:abstractNum w:abstractNumId="52">
    <w:nsid w:val="77AE35EB"/>
    <w:multiLevelType w:val="hybridMultilevel"/>
    <w:lvl w:ilvl="0">
      <w:lvlJc w:val="left"/>
      <w:lvlText w:val="%1."/>
      <w:numFmt w:val="decimal"/>
      <w:start w:val="5"/>
    </w:lvl>
  </w:abstractNum>
  <w:abstractNum w:abstractNumId="53">
    <w:nsid w:val="579BE4F1"/>
    <w:multiLevelType w:val="hybridMultilevel"/>
    <w:lvl w:ilvl="0">
      <w:lvlJc w:val="left"/>
      <w:lvlText w:val="%1."/>
      <w:numFmt w:val="decimal"/>
      <w:start w:val="6"/>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upperLetter"/>
      <w:start w:val="2"/>
    </w:lvl>
  </w:abstractNum>
  <w:abstractNum w:abstractNumId="57">
    <w:nsid w:val="25A70BF7"/>
    <w:multiLevelType w:val="hybridMultilevel"/>
    <w:lvl w:ilvl="0">
      <w:lvlJc w:val="left"/>
      <w:lvlText w:val="%1."/>
      <w:numFmt w:val="decimal"/>
      <w:start w:val="7"/>
    </w:lvl>
  </w:abstractNum>
  <w:abstractNum w:abstractNumId="58">
    <w:nsid w:val="1DBABF00"/>
    <w:multiLevelType w:val="hybridMultilevel"/>
    <w:lvl w:ilvl="0">
      <w:lvlJc w:val="left"/>
      <w:lvlText w:val="%1."/>
      <w:numFmt w:val="decimal"/>
      <w:start w:val="8"/>
    </w:lvl>
  </w:abstractNum>
  <w:abstractNum w:abstractNumId="59">
    <w:nsid w:val="4AD084E9"/>
    <w:multiLevelType w:val="hybridMultilevel"/>
    <w:lvl w:ilvl="0">
      <w:lvlJc w:val="left"/>
      <w:lvlText w:val="%1."/>
      <w:numFmt w:val="decimal"/>
      <w:start w:val="9"/>
    </w:lvl>
  </w:abstractNum>
  <w:abstractNum w:abstractNumId="60">
    <w:nsid w:val="1F48EAA1"/>
    <w:multiLevelType w:val="hybridMultilevel"/>
    <w:lvl w:ilvl="0">
      <w:lvlJc w:val="left"/>
      <w:lvlText w:val="%1."/>
      <w:numFmt w:val="decimal"/>
      <w:start w:val="10"/>
    </w:lvl>
  </w:abstractNum>
  <w:abstractNum w:abstractNumId="61">
    <w:nsid w:val="1381823A"/>
    <w:multiLevelType w:val="hybridMultilevel"/>
    <w:lvl w:ilvl="0">
      <w:lvlJc w:val="left"/>
      <w:lvlText w:val="%1."/>
      <w:numFmt w:val="decimal"/>
      <w:start w:val="11"/>
    </w:lvl>
  </w:abstractNum>
  <w:abstractNum w:abstractNumId="62">
    <w:nsid w:val="5DB70AE5"/>
    <w:multiLevelType w:val="hybridMultilevel"/>
    <w:lvl w:ilvl="0">
      <w:lvlJc w:val="left"/>
      <w:lvlText w:val="%1."/>
      <w:numFmt w:val="decimal"/>
      <w:start w:val="12"/>
    </w:lvl>
  </w:abstractNum>
  <w:abstractNum w:abstractNumId="63">
    <w:nsid w:val="100F8FCA"/>
    <w:multiLevelType w:val="hybridMultilevel"/>
    <w:lvl w:ilvl="0">
      <w:lvlJc w:val="left"/>
      <w:lvlText w:val="%1."/>
      <w:numFmt w:val="decimal"/>
      <w:start w:val="13"/>
    </w:lvl>
  </w:abstractNum>
  <w:abstractNum w:abstractNumId="64">
    <w:nsid w:val="6590700B"/>
    <w:multiLevelType w:val="hybridMultilevel"/>
    <w:lvl w:ilvl="0">
      <w:lvlJc w:val="left"/>
      <w:lvlText w:val="%1."/>
      <w:numFmt w:val="decimal"/>
      <w:start w:val="14"/>
    </w:lvl>
  </w:abstractNum>
  <w:abstractNum w:abstractNumId="65">
    <w:nsid w:val="15014ACB"/>
    <w:multiLevelType w:val="hybridMultilevel"/>
    <w:lvl w:ilvl="0">
      <w:lvlJc w:val="left"/>
      <w:lvlText w:val="%1."/>
      <w:numFmt w:val="decimal"/>
      <w:start w:val="15"/>
    </w:lvl>
  </w:abstractNum>
  <w:abstractNum w:abstractNumId="66">
    <w:nsid w:val="5F5E7FD0"/>
    <w:multiLevelType w:val="hybridMultilevel"/>
    <w:lvl w:ilvl="0">
      <w:lvlJc w:val="left"/>
      <w:lvlText w:val="%1."/>
      <w:numFmt w:val="decimal"/>
      <w:start w:val="16"/>
    </w:lvl>
  </w:abstractNum>
  <w:abstractNum w:abstractNumId="67">
    <w:nsid w:val="98A3148"/>
    <w:multiLevelType w:val="hybridMultilevel"/>
    <w:lvl w:ilvl="0">
      <w:lvlJc w:val="left"/>
      <w:lvlText w:val="%1."/>
      <w:numFmt w:val="decimal"/>
      <w:start w:val="17"/>
    </w:lvl>
  </w:abstractNum>
  <w:abstractNum w:abstractNumId="68">
    <w:nsid w:val="799D0247"/>
    <w:multiLevelType w:val="hybridMultilevel"/>
    <w:lvl w:ilvl="0">
      <w:lvlJc w:val="left"/>
      <w:lvlText w:val="%1."/>
      <w:numFmt w:val="decimal"/>
      <w:start w:val="18"/>
    </w:lvl>
  </w:abstractNum>
  <w:abstractNum w:abstractNumId="69">
    <w:nsid w:val="6B94764"/>
    <w:multiLevelType w:val="hybridMultilevel"/>
    <w:lvl w:ilvl="0">
      <w:lvlJc w:val="left"/>
      <w:lvlText w:val="(%1)"/>
      <w:numFmt w:val="lowerRoman"/>
      <w:start w:val="2"/>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2019-12-09T10:25:28Z</dcterms:created>
  <dcterms:modified xsi:type="dcterms:W3CDTF">2019-12-09T10:25:28Z</dcterms:modified>
</cp:coreProperties>
</file>