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193040</wp:posOffset>
            </wp:positionV>
            <wp:extent cx="632841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28410" cy="5911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820" w:right="920"/>
        <w:spacing w:after="0" w:line="264" w:lineRule="auto"/>
        <w:rPr>
          <w:sz w:val="20"/>
          <w:szCs w:val="20"/>
          <w:color w:val="auto"/>
        </w:rPr>
      </w:pPr>
      <w:r>
        <w:rPr>
          <w:rFonts w:ascii="Arial" w:cs="Arial" w:eastAsia="Arial" w:hAnsi="Arial"/>
          <w:sz w:val="18"/>
          <w:szCs w:val="18"/>
          <w:color w:val="E8112D"/>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353"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Registration No. 333-162059</w:t>
      </w:r>
    </w:p>
    <w:p>
      <w:pPr>
        <w:spacing w:after="0" w:line="11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E8112D"/>
        </w:rPr>
        <w:t>SUBJECT TO COMPLETION, DATED NOVEMBER 12, 2009</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324" w:lineRule="exact"/>
        <w:rPr>
          <w:sz w:val="20"/>
          <w:szCs w:val="20"/>
          <w:color w:val="auto"/>
        </w:rPr>
      </w:pPr>
    </w:p>
    <w:p>
      <w:pPr>
        <w:jc w:val="center"/>
        <w:ind w:right="42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97790</wp:posOffset>
            </wp:positionV>
            <wp:extent cx="126936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 Senior Notes due 2039</w:t>
      </w:r>
    </w:p>
    <w:p>
      <w:pPr>
        <w:sectPr>
          <w:pgSz w:w="11900" w:h="16838" w:orient="portrait"/>
          <w:cols w:equalWidth="0" w:num="1">
            <w:col w:w="11420"/>
          </w:cols>
          <w:pgMar w:left="240" w:top="122" w:right="239" w:bottom="1440" w:gutter="0" w:footer="0" w:header="0"/>
        </w:sectPr>
      </w:pPr>
    </w:p>
    <w:p>
      <w:pPr>
        <w:spacing w:after="0" w:line="14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We are offering $ payable on and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hanging="110"/>
        <w:spacing w:after="0" w:line="308" w:lineRule="auto"/>
        <w:rPr>
          <w:sz w:val="20"/>
          <w:szCs w:val="20"/>
          <w:color w:val="auto"/>
        </w:rPr>
      </w:pPr>
      <w:r>
        <w:rPr>
          <w:rFonts w:ascii="Arial" w:cs="Arial" w:eastAsia="Arial" w:hAnsi="Arial"/>
          <w:sz w:val="18"/>
          <w:szCs w:val="18"/>
          <w:color w:val="auto"/>
        </w:rPr>
        <w:t>of our</w:t>
      </w:r>
      <w:r>
        <w:rPr>
          <w:sz w:val="20"/>
          <w:szCs w:val="20"/>
          <w:color w:val="auto"/>
        </w:rPr>
        <w:t xml:space="preserve"> </w:t>
      </w:r>
      <w:r>
        <w:rPr>
          <w:rFonts w:ascii="Arial" w:cs="Arial" w:eastAsia="Arial" w:hAnsi="Arial"/>
          <w:sz w:val="17"/>
          <w:szCs w:val="17"/>
          <w:color w:val="auto"/>
        </w:rPr>
        <w:t>% senior notes due 2039. Interest on the notes will accrue from November of each year, beginning , 2010. The notes will mature on , 2039.</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 2009 and will be</w:t>
      </w:r>
    </w:p>
    <w:p>
      <w:pPr>
        <w:spacing w:after="0" w:line="369" w:lineRule="exact"/>
        <w:rPr>
          <w:sz w:val="20"/>
          <w:szCs w:val="20"/>
          <w:color w:val="auto"/>
        </w:rPr>
      </w:pPr>
    </w:p>
    <w:p>
      <w:pPr>
        <w:sectPr>
          <w:pgSz w:w="11900" w:h="16838" w:orient="portrait"/>
          <w:cols w:equalWidth="0" w:num="3">
            <w:col w:w="2340" w:space="380"/>
            <w:col w:w="5900" w:space="140"/>
            <w:col w:w="2660"/>
          </w:cols>
          <w:pgMar w:left="240" w:top="122" w:right="239" w:bottom="1440" w:gutter="0" w:footer="0" w:header="0"/>
          <w:type w:val="continuous"/>
        </w:sectPr>
      </w:pPr>
    </w:p>
    <w:p>
      <w:pPr>
        <w:jc w:val="both"/>
        <w:ind w:left="700" w:right="840" w:firstLine="397"/>
        <w:spacing w:after="0" w:line="286" w:lineRule="auto"/>
        <w:rPr>
          <w:sz w:val="20"/>
          <w:szCs w:val="20"/>
          <w:color w:val="auto"/>
        </w:rPr>
      </w:pPr>
      <w:r>
        <w:rPr>
          <w:rFonts w:ascii="Arial" w:cs="Arial" w:eastAsia="Arial" w:hAnsi="Arial"/>
          <w:sz w:val="17"/>
          <w:szCs w:val="17"/>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71" w:lineRule="exact"/>
        <w:rPr>
          <w:sz w:val="20"/>
          <w:szCs w:val="20"/>
          <w:color w:val="auto"/>
        </w:rPr>
      </w:pPr>
    </w:p>
    <w:p>
      <w:pPr>
        <w:ind w:left="700" w:right="800" w:firstLine="397"/>
        <w:spacing w:after="0" w:line="342" w:lineRule="auto"/>
        <w:rPr>
          <w:sz w:val="20"/>
          <w:szCs w:val="20"/>
          <w:color w:val="auto"/>
        </w:rPr>
      </w:pPr>
      <w:r>
        <w:rPr>
          <w:rFonts w:ascii="Arial" w:cs="Arial" w:eastAsia="Arial" w:hAnsi="Arial"/>
          <w:sz w:val="16"/>
          <w:szCs w:val="16"/>
          <w:color w:val="auto"/>
        </w:rPr>
        <w:t>We may redeem the notes, in whole or in part, at any time at the redemption prices described beginning on page S-15. If a change of control triggering event as described on page S-17 occurs, we may be required to offer to purchase the notes from holders.</w:t>
      </w:r>
    </w:p>
    <w:p>
      <w:pPr>
        <w:spacing w:after="0" w:line="16" w:lineRule="exact"/>
        <w:rPr>
          <w:sz w:val="20"/>
          <w:szCs w:val="20"/>
          <w:color w:val="auto"/>
        </w:rPr>
      </w:pPr>
    </w:p>
    <w:p>
      <w:pPr>
        <w:ind w:left="700" w:right="1360" w:firstLine="496"/>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S-4 of this prospectus supplement.</w:t>
      </w:r>
    </w:p>
    <w:p>
      <w:pPr>
        <w:spacing w:after="0" w:line="81"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Per Note</w:t>
            </w:r>
          </w:p>
        </w:tc>
        <w:tc>
          <w:tcPr>
            <w:tcW w:w="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r>
      <w:tr>
        <w:trPr>
          <w:trHeight w:val="20"/>
        </w:trPr>
        <w:tc>
          <w:tcPr>
            <w:tcW w:w="1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8"/>
                <w:szCs w:val="18"/>
                <w:color w:val="auto"/>
              </w:rPr>
              <w:t>Public Offering Price(1)</w:t>
            </w:r>
          </w:p>
        </w:tc>
        <w:tc>
          <w:tcPr>
            <w:tcW w:w="53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6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Proceeds to Us (excluding expenses)</w:t>
            </w:r>
          </w:p>
        </w:tc>
        <w:tc>
          <w:tcPr>
            <w:tcW w:w="6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r>
      <w:tr>
        <w:trPr>
          <w:trHeight w:val="122"/>
        </w:trPr>
        <w:tc>
          <w:tcPr>
            <w:tcW w:w="126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6220" w:type="dxa"/>
            <w:vAlign w:val="bottom"/>
            <w:gridSpan w:val="3"/>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277"/>
        </w:trPr>
        <w:tc>
          <w:tcPr>
            <w:tcW w:w="3060" w:type="dxa"/>
            <w:vAlign w:val="bottom"/>
            <w:gridSpan w:val="2"/>
          </w:tcPr>
          <w:p>
            <w:pPr>
              <w:spacing w:after="0"/>
              <w:rPr>
                <w:sz w:val="20"/>
                <w:szCs w:val="20"/>
                <w:color w:val="auto"/>
              </w:rPr>
            </w:pPr>
            <w:r>
              <w:rPr>
                <w:rFonts w:ascii="Arial" w:cs="Arial" w:eastAsia="Arial" w:hAnsi="Arial"/>
                <w:sz w:val="18"/>
                <w:szCs w:val="18"/>
                <w:color w:val="auto"/>
                <w:w w:val="93"/>
              </w:rPr>
              <w:t>(1) Plus accrued interest from November</w:t>
            </w:r>
          </w:p>
        </w:tc>
        <w:tc>
          <w:tcPr>
            <w:tcW w:w="6220" w:type="dxa"/>
            <w:vAlign w:val="bottom"/>
            <w:gridSpan w:val="3"/>
          </w:tcPr>
          <w:p>
            <w:pPr>
              <w:jc w:val="right"/>
              <w:ind w:right="3320"/>
              <w:spacing w:after="0"/>
              <w:rPr>
                <w:sz w:val="20"/>
                <w:szCs w:val="20"/>
                <w:color w:val="auto"/>
              </w:rPr>
            </w:pPr>
            <w:r>
              <w:rPr>
                <w:rFonts w:ascii="Arial" w:cs="Arial" w:eastAsia="Arial" w:hAnsi="Arial"/>
                <w:sz w:val="18"/>
                <w:szCs w:val="18"/>
                <w:color w:val="auto"/>
                <w:w w:val="92"/>
              </w:rPr>
              <w:t>, 2009 if delivery occurs after that date.</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0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31" w:lineRule="exact"/>
        <w:rPr>
          <w:sz w:val="20"/>
          <w:szCs w:val="20"/>
          <w:color w:val="auto"/>
        </w:rPr>
      </w:pPr>
    </w:p>
    <w:p>
      <w:pPr>
        <w:ind w:left="700" w:right="1380" w:firstLine="397"/>
        <w:spacing w:after="0" w:line="308" w:lineRule="auto"/>
        <w:rPr>
          <w:sz w:val="20"/>
          <w:szCs w:val="20"/>
          <w:color w:val="auto"/>
        </w:rPr>
      </w:pPr>
      <w:r>
        <w:rPr>
          <w:rFonts w:ascii="Arial" w:cs="Arial" w:eastAsia="Arial" w:hAnsi="Arial"/>
          <w:sz w:val="17"/>
          <w:szCs w:val="17"/>
          <w:color w:val="auto"/>
        </w:rPr>
        <w:t>The underwriters expect to deliver the notes to investors on or about November , 2009 only in book-entry form through the facilities of The Depository Trust Company and its participants, including Euroclear and Clearstream Banking.</w:t>
      </w: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Joint Book-Running and Joint Lead Managers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3060" w:type="dxa"/>
            <w:vAlign w:val="bottom"/>
          </w:tcPr>
          <w:p>
            <w:pPr>
              <w:ind w:left="700"/>
              <w:spacing w:after="0"/>
              <w:rPr>
                <w:sz w:val="20"/>
                <w:szCs w:val="20"/>
                <w:color w:val="auto"/>
              </w:rPr>
            </w:pPr>
            <w:r>
              <w:rPr>
                <w:rFonts w:ascii="Arial" w:cs="Arial" w:eastAsia="Arial" w:hAnsi="Arial"/>
                <w:sz w:val="29"/>
                <w:szCs w:val="29"/>
                <w:b w:val="1"/>
                <w:bCs w:val="1"/>
                <w:color w:val="auto"/>
              </w:rPr>
              <w:t>BNP PARIBAS</w:t>
            </w:r>
          </w:p>
        </w:tc>
        <w:tc>
          <w:tcPr>
            <w:tcW w:w="2700" w:type="dxa"/>
            <w:vAlign w:val="bottom"/>
          </w:tcPr>
          <w:p>
            <w:pPr>
              <w:ind w:left="460"/>
              <w:spacing w:after="0"/>
              <w:rPr>
                <w:sz w:val="20"/>
                <w:szCs w:val="20"/>
                <w:color w:val="auto"/>
              </w:rPr>
            </w:pPr>
            <w:r>
              <w:rPr>
                <w:rFonts w:ascii="Arial" w:cs="Arial" w:eastAsia="Arial" w:hAnsi="Arial"/>
                <w:sz w:val="29"/>
                <w:szCs w:val="29"/>
                <w:b w:val="1"/>
                <w:bCs w:val="1"/>
                <w:color w:val="auto"/>
              </w:rPr>
              <w:t>J.P. Morgan</w:t>
            </w:r>
          </w:p>
        </w:tc>
        <w:tc>
          <w:tcPr>
            <w:tcW w:w="5660" w:type="dxa"/>
            <w:vAlign w:val="bottom"/>
          </w:tcPr>
          <w:p>
            <w:pPr>
              <w:jc w:val="right"/>
              <w:ind w:right="683"/>
              <w:spacing w:after="0"/>
              <w:rPr>
                <w:sz w:val="20"/>
                <w:szCs w:val="20"/>
                <w:color w:val="auto"/>
              </w:rPr>
            </w:pPr>
            <w:r>
              <w:rPr>
                <w:rFonts w:ascii="Arial" w:cs="Arial" w:eastAsia="Arial" w:hAnsi="Arial"/>
                <w:sz w:val="29"/>
                <w:szCs w:val="29"/>
                <w:b w:val="1"/>
                <w:bCs w:val="1"/>
                <w:color w:val="auto"/>
                <w:w w:val="93"/>
              </w:rPr>
              <w:t>Scotia Capital  Wells Fargo Securities</w:t>
            </w:r>
          </w:p>
        </w:tc>
      </w:tr>
      <w:tr>
        <w:trPr>
          <w:trHeight w:val="279"/>
        </w:trPr>
        <w:tc>
          <w:tcPr>
            <w:tcW w:w="3060" w:type="dxa"/>
            <w:vAlign w:val="bottom"/>
          </w:tcPr>
          <w:p>
            <w:pPr>
              <w:spacing w:after="0"/>
              <w:rPr>
                <w:sz w:val="24"/>
                <w:szCs w:val="24"/>
                <w:color w:val="auto"/>
              </w:rPr>
            </w:pPr>
          </w:p>
        </w:tc>
        <w:tc>
          <w:tcPr>
            <w:tcW w:w="2700" w:type="dxa"/>
            <w:vAlign w:val="bottom"/>
          </w:tcPr>
          <w:p>
            <w:pPr>
              <w:ind w:left="1920"/>
              <w:spacing w:after="0"/>
              <w:rPr>
                <w:sz w:val="20"/>
                <w:szCs w:val="20"/>
                <w:color w:val="auto"/>
              </w:rPr>
            </w:pPr>
            <w:r>
              <w:rPr>
                <w:rFonts w:ascii="Arial" w:cs="Arial" w:eastAsia="Arial" w:hAnsi="Arial"/>
                <w:sz w:val="18"/>
                <w:szCs w:val="18"/>
                <w:color w:val="auto"/>
                <w:w w:val="91"/>
              </w:rPr>
              <w:t>November</w:t>
            </w:r>
          </w:p>
        </w:tc>
        <w:tc>
          <w:tcPr>
            <w:tcW w:w="5660" w:type="dxa"/>
            <w:vAlign w:val="bottom"/>
          </w:tcPr>
          <w:p>
            <w:pPr>
              <w:jc w:val="right"/>
              <w:ind w:right="4983"/>
              <w:spacing w:after="0"/>
              <w:rPr>
                <w:sz w:val="20"/>
                <w:szCs w:val="20"/>
                <w:color w:val="auto"/>
              </w:rPr>
            </w:pPr>
            <w:r>
              <w:rPr>
                <w:rFonts w:ascii="Arial" w:cs="Arial" w:eastAsia="Arial" w:hAnsi="Arial"/>
                <w:sz w:val="18"/>
                <w:szCs w:val="18"/>
                <w:color w:val="auto"/>
              </w:rPr>
              <w:t>, 2009</w:t>
            </w:r>
          </w:p>
        </w:tc>
      </w:tr>
      <w:tr>
        <w:trPr>
          <w:trHeight w:val="226"/>
        </w:trPr>
        <w:tc>
          <w:tcPr>
            <w:tcW w:w="30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700" w:right="840" w:firstLine="397"/>
        <w:spacing w:after="0" w:line="271" w:lineRule="auto"/>
        <w:rPr>
          <w:sz w:val="20"/>
          <w:szCs w:val="20"/>
          <w:color w:val="auto"/>
        </w:rPr>
      </w:pPr>
      <w:r>
        <w:rPr>
          <w:rFonts w:ascii="Arial" w:cs="Arial" w:eastAsia="Arial" w:hAnsi="Arial"/>
          <w:sz w:val="17"/>
          <w:szCs w:val="17"/>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authorized anyone to provide you with additional or different information. We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operations and prospects may have changed since those dates.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800" w:type="dxa"/>
            <w:vAlign w:val="bottom"/>
          </w:tcPr>
          <w:p>
            <w:pPr>
              <w:spacing w:after="0"/>
              <w:rPr>
                <w:sz w:val="24"/>
                <w:szCs w:val="24"/>
                <w:color w:val="auto"/>
              </w:rPr>
            </w:pPr>
          </w:p>
        </w:tc>
      </w:tr>
      <w:tr>
        <w:trPr>
          <w:trHeight w:val="249"/>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7"/>
              </w:rPr>
              <w:t>Prospectus Supplement</w:t>
            </w:r>
          </w:p>
        </w:tc>
        <w:tc>
          <w:tcPr>
            <w:tcW w:w="800" w:type="dxa"/>
            <w:vAlign w:val="bottom"/>
          </w:tcPr>
          <w:p>
            <w:pPr>
              <w:spacing w:after="0"/>
              <w:rPr>
                <w:sz w:val="21"/>
                <w:szCs w:val="21"/>
                <w:color w:val="auto"/>
              </w:rPr>
            </w:pPr>
          </w:p>
        </w:tc>
      </w:tr>
      <w:tr>
        <w:trPr>
          <w:trHeight w:val="190"/>
        </w:trPr>
        <w:tc>
          <w:tcPr>
            <w:tcW w:w="70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3100" w:type="dxa"/>
            <w:vAlign w:val="bottom"/>
            <w:gridSpan w:val="7"/>
          </w:tcPr>
          <w:p>
            <w:pPr>
              <w:spacing w:after="0"/>
              <w:rPr>
                <w:sz w:val="16"/>
                <w:szCs w:val="16"/>
                <w:color w:val="auto"/>
              </w:rPr>
            </w:pPr>
          </w:p>
        </w:tc>
        <w:tc>
          <w:tcPr>
            <w:tcW w:w="5620" w:type="dxa"/>
            <w:vAlign w:val="bottom"/>
          </w:tcPr>
          <w:p>
            <w:pPr>
              <w:spacing w:after="0"/>
              <w:rPr>
                <w:sz w:val="16"/>
                <w:szCs w:val="16"/>
                <w:color w:val="auto"/>
              </w:rPr>
            </w:pPr>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S-1</w:t>
            </w:r>
          </w:p>
        </w:tc>
        <w:tc>
          <w:tcPr>
            <w:tcW w:w="800" w:type="dxa"/>
            <w:vAlign w:val="bottom"/>
          </w:tcPr>
          <w:p>
            <w:pPr>
              <w:spacing w:after="0"/>
              <w:rPr>
                <w:sz w:val="16"/>
                <w:szCs w:val="16"/>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2900" w:type="dxa"/>
            <w:vAlign w:val="bottom"/>
            <w:gridSpan w:val="6"/>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Capitalization</w:t>
              </w:r>
            </w:hyperlink>
          </w:p>
        </w:tc>
        <w:tc>
          <w:tcPr>
            <w:tcW w:w="140" w:type="dxa"/>
            <w:vAlign w:val="bottom"/>
            <w:tcBorders>
              <w:top w:val="single" w:sz="8" w:color="0000EE"/>
            </w:tcBorders>
          </w:tcPr>
          <w:p>
            <w:pPr>
              <w:spacing w:after="0"/>
              <w:rPr>
                <w:sz w:val="17"/>
                <w:szCs w:val="17"/>
                <w:color w:val="auto"/>
              </w:rPr>
            </w:pPr>
          </w:p>
        </w:tc>
        <w:tc>
          <w:tcPr>
            <w:tcW w:w="2640" w:type="dxa"/>
            <w:vAlign w:val="bottom"/>
            <w:gridSpan w:val="2"/>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Description of Notes</w:t>
              </w:r>
            </w:hyperlink>
          </w:p>
        </w:tc>
        <w:tc>
          <w:tcPr>
            <w:tcW w:w="23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Underwriting</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S-25</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Legal Matters</w:t>
              </w:r>
            </w:hyperlink>
          </w:p>
        </w:tc>
        <w:tc>
          <w:tcPr>
            <w:tcW w:w="2800" w:type="dxa"/>
            <w:vAlign w:val="bottom"/>
            <w:gridSpan w:val="4"/>
          </w:tcPr>
          <w:p>
            <w:pPr>
              <w:spacing w:after="0"/>
              <w:rPr>
                <w:sz w:val="17"/>
                <w:szCs w:val="17"/>
                <w:color w:val="auto"/>
              </w:rPr>
            </w:pPr>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00" w:type="dxa"/>
            <w:vAlign w:val="bottom"/>
            <w:gridSpan w:val="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56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S-27</w:t>
            </w:r>
          </w:p>
        </w:tc>
        <w:tc>
          <w:tcPr>
            <w:tcW w:w="800" w:type="dxa"/>
            <w:vAlign w:val="bottom"/>
          </w:tcPr>
          <w:p>
            <w:pPr>
              <w:spacing w:after="0"/>
              <w:rPr>
                <w:sz w:val="17"/>
                <w:szCs w:val="17"/>
                <w:color w:val="auto"/>
              </w:rPr>
            </w:pPr>
          </w:p>
        </w:tc>
      </w:tr>
      <w:tr>
        <w:trPr>
          <w:trHeight w:val="384"/>
        </w:trPr>
        <w:tc>
          <w:tcPr>
            <w:tcW w:w="70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120" w:type="dxa"/>
            <w:vAlign w:val="bottom"/>
            <w:gridSpan w:val="2"/>
          </w:tcPr>
          <w:p>
            <w:pPr>
              <w:jc w:val="center"/>
              <w:ind w:right="3712"/>
              <w:spacing w:after="0"/>
              <w:rPr>
                <w:sz w:val="20"/>
                <w:szCs w:val="20"/>
                <w:color w:val="auto"/>
              </w:rPr>
            </w:pPr>
            <w:r>
              <w:rPr>
                <w:rFonts w:ascii="Arial" w:cs="Arial" w:eastAsia="Arial" w:hAnsi="Arial"/>
                <w:sz w:val="18"/>
                <w:szCs w:val="18"/>
                <w:b w:val="1"/>
                <w:bCs w:val="1"/>
                <w:color w:val="auto"/>
                <w:w w:val="85"/>
              </w:rPr>
              <w:t>Prospectus</w:t>
            </w:r>
          </w:p>
        </w:tc>
        <w:tc>
          <w:tcPr>
            <w:tcW w:w="80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Forward-Looking Statements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About This Prospectus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w w:val="95"/>
              </w:rPr>
              <w:t>Incorporation of Certain Documents by Reference</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Where You Can Find More Information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The Company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Risk Factors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Ratio of Earnings to Fixed Charges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the Debt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Guarantees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Capital Stock</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Description of Other Securities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Plan of Distribution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Selling Securityholders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Legal Matters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auto"/>
              </w:rPr>
              <w:t>Experts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0"/>
                <w:szCs w:val="20"/>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5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00" w:firstLine="397"/>
        <w:spacing w:after="0" w:line="257"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94" w:lineRule="exact"/>
        <w:rPr>
          <w:sz w:val="20"/>
          <w:szCs w:val="20"/>
          <w:color w:val="auto"/>
        </w:rPr>
      </w:pPr>
    </w:p>
    <w:p>
      <w:pPr>
        <w:ind w:left="920" w:firstLine="397"/>
        <w:spacing w:after="0" w:line="277"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subsidiaries, taken as a whole, unless the context clearly indicates otherwise.</w:t>
      </w:r>
    </w:p>
    <w:p>
      <w:pPr>
        <w:spacing w:after="0" w:line="288"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left="92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offices are located at 1001 Fannin Street, Suite 4000, Houston, Texas 77002. Our telephone number at that address is</w:t>
      </w:r>
    </w:p>
    <w:p>
      <w:pPr>
        <w:spacing w:after="0" w:line="46" w:lineRule="exact"/>
        <w:rPr>
          <w:sz w:val="20"/>
          <w:szCs w:val="20"/>
          <w:color w:val="auto"/>
        </w:rPr>
      </w:pPr>
    </w:p>
    <w:p>
      <w:pPr>
        <w:ind w:left="920" w:right="200" w:firstLine="2"/>
        <w:spacing w:after="0" w:line="295" w:lineRule="auto"/>
        <w:tabs>
          <w:tab w:leader="none" w:pos="1355" w:val="left"/>
        </w:tabs>
        <w:numPr>
          <w:ilvl w:val="0"/>
          <w:numId w:val="1"/>
        </w:numPr>
        <w:rPr>
          <w:rFonts w:ascii="Arial" w:cs="Arial" w:eastAsia="Arial" w:hAnsi="Arial"/>
          <w:sz w:val="16"/>
          <w:szCs w:val="16"/>
          <w:color w:val="auto"/>
        </w:rPr>
      </w:pPr>
      <w:r>
        <w:rPr>
          <w:rFonts w:ascii="Arial" w:cs="Arial" w:eastAsia="Arial" w:hAnsi="Arial"/>
          <w:sz w:val="16"/>
          <w:szCs w:val="16"/>
          <w:color w:val="auto"/>
        </w:rPr>
        <w:t>512-6200. Our website address is http://www.wm.com. Our annual reports on Form 10-K, quarterly reports on Form 10-Q and current reports on Form 8-K are all available, free of charge, on our website as soon as practicable after we file them with the SEC. Information on our website is not generally incorporated by reference into this prospectus supplement and does not constitute a part of this prospectus supplement. Our common stock is traded on the New York Stock Exchange under the symbol “WM.”</w:t>
      </w:r>
    </w:p>
    <w:p>
      <w:pPr>
        <w:spacing w:after="0" w:line="279"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About Waste Management Holdings, Inc.</w:t>
      </w:r>
    </w:p>
    <w:p>
      <w:pPr>
        <w:spacing w:after="0" w:line="135" w:lineRule="exact"/>
        <w:rPr>
          <w:sz w:val="20"/>
          <w:szCs w:val="20"/>
          <w:color w:val="auto"/>
        </w:rPr>
      </w:pPr>
    </w:p>
    <w:p>
      <w:pPr>
        <w:jc w:val="both"/>
        <w:ind w:left="920" w:right="80" w:firstLine="397"/>
        <w:spacing w:after="0" w:line="264"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ectPr>
          <w:pgSz w:w="11900" w:h="16838" w:orient="portrait"/>
          <w:cols w:equalWidth="0" w:num="1">
            <w:col w:w="10800"/>
          </w:cols>
          <w:pgMar w:left="240" w:top="419"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9" w:right="8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Issuer</w:t>
            </w:r>
          </w:p>
        </w:tc>
        <w:tc>
          <w:tcPr>
            <w:tcW w:w="4160" w:type="dxa"/>
            <w:vAlign w:val="bottom"/>
            <w:gridSpan w:val="3"/>
          </w:tcPr>
          <w:p>
            <w:pPr>
              <w:ind w:left="960"/>
              <w:spacing w:after="0"/>
              <w:rPr>
                <w:sz w:val="20"/>
                <w:szCs w:val="20"/>
                <w:color w:val="auto"/>
              </w:rPr>
            </w:pPr>
            <w:r>
              <w:rPr>
                <w:rFonts w:ascii="Arial" w:cs="Arial" w:eastAsia="Arial" w:hAnsi="Arial"/>
                <w:sz w:val="18"/>
                <w:szCs w:val="18"/>
                <w:color w:val="auto"/>
              </w:rPr>
              <w:t>Waste Management, Inc.</w:t>
            </w:r>
          </w:p>
        </w:tc>
        <w:tc>
          <w:tcPr>
            <w:tcW w:w="2880" w:type="dxa"/>
            <w:vAlign w:val="bottom"/>
          </w:tcPr>
          <w:p>
            <w:pPr>
              <w:spacing w:after="0"/>
              <w:rPr>
                <w:sz w:val="20"/>
                <w:szCs w:val="20"/>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Securities Offered</w:t>
            </w:r>
          </w:p>
        </w:tc>
        <w:tc>
          <w:tcPr>
            <w:tcW w:w="1120" w:type="dxa"/>
            <w:vAlign w:val="bottom"/>
          </w:tcPr>
          <w:p>
            <w:pPr>
              <w:ind w:left="960"/>
              <w:spacing w:after="0"/>
              <w:rPr>
                <w:sz w:val="20"/>
                <w:szCs w:val="20"/>
                <w:color w:val="auto"/>
              </w:rPr>
            </w:pPr>
            <w:r>
              <w:rPr>
                <w:rFonts w:ascii="Arial" w:cs="Arial" w:eastAsia="Arial" w:hAnsi="Arial"/>
                <w:sz w:val="18"/>
                <w:szCs w:val="18"/>
                <w:color w:val="auto"/>
              </w:rPr>
              <w:t>$</w:t>
            </w: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w w:val="95"/>
              </w:rPr>
              <w:t>million aggregate principal amount of</w:t>
            </w:r>
          </w:p>
        </w:tc>
        <w:tc>
          <w:tcPr>
            <w:tcW w:w="2880" w:type="dxa"/>
            <w:vAlign w:val="bottom"/>
          </w:tcPr>
          <w:p>
            <w:pPr>
              <w:jc w:val="right"/>
              <w:ind w:right="850"/>
              <w:spacing w:after="0"/>
              <w:rPr>
                <w:sz w:val="20"/>
                <w:szCs w:val="20"/>
                <w:color w:val="auto"/>
              </w:rPr>
            </w:pPr>
            <w:r>
              <w:rPr>
                <w:rFonts w:ascii="Arial" w:cs="Arial" w:eastAsia="Arial" w:hAnsi="Arial"/>
                <w:sz w:val="18"/>
                <w:szCs w:val="18"/>
                <w:color w:val="auto"/>
                <w:w w:val="93"/>
              </w:rPr>
              <w:t>% Senior Notes due 2039</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Subsidiary Guarantee</w:t>
            </w: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1"/>
              </w:rPr>
              <w:t>WM Holdings will fully and unconditionally guarantee, on a senior unsecured basis,</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4"/>
              </w:rPr>
              <w:t>the full and prompt payment of the principal and any premium and interest on the</w:t>
            </w:r>
          </w:p>
        </w:tc>
      </w:tr>
      <w:tr>
        <w:trPr>
          <w:trHeight w:val="230"/>
        </w:trPr>
        <w:tc>
          <w:tcPr>
            <w:tcW w:w="2720" w:type="dxa"/>
            <w:vAlign w:val="bottom"/>
          </w:tcPr>
          <w:p>
            <w:pPr>
              <w:spacing w:after="0"/>
              <w:rPr>
                <w:sz w:val="20"/>
                <w:szCs w:val="20"/>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2"/>
              </w:rPr>
              <w:t>notes, when and as it becomes due and payable, whether at maturity or otherwise.</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Maturity Date</w:t>
            </w:r>
          </w:p>
        </w:tc>
        <w:tc>
          <w:tcPr>
            <w:tcW w:w="11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 2039</w:t>
            </w:r>
          </w:p>
        </w:tc>
        <w:tc>
          <w:tcPr>
            <w:tcW w:w="21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Interest Rate</w:t>
            </w:r>
          </w:p>
        </w:tc>
        <w:tc>
          <w:tcPr>
            <w:tcW w:w="11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w w:val="98"/>
              </w:rPr>
              <w:t>% per year</w:t>
            </w:r>
          </w:p>
        </w:tc>
        <w:tc>
          <w:tcPr>
            <w:tcW w:w="21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1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8"/>
                <w:szCs w:val="18"/>
                <w:color w:val="auto"/>
              </w:rPr>
              <w:t>and</w:t>
            </w:r>
          </w:p>
        </w:tc>
        <w:tc>
          <w:tcPr>
            <w:tcW w:w="2100" w:type="dxa"/>
            <w:vAlign w:val="bottom"/>
          </w:tcPr>
          <w:p>
            <w:pPr>
              <w:ind w:left="100"/>
              <w:spacing w:after="0"/>
              <w:rPr>
                <w:sz w:val="20"/>
                <w:szCs w:val="20"/>
                <w:color w:val="auto"/>
              </w:rPr>
            </w:pPr>
            <w:r>
              <w:rPr>
                <w:rFonts w:ascii="Arial" w:cs="Arial" w:eastAsia="Arial" w:hAnsi="Arial"/>
                <w:sz w:val="18"/>
                <w:szCs w:val="18"/>
                <w:color w:val="auto"/>
              </w:rPr>
              <w:t>of each year, beginning</w:t>
            </w:r>
          </w:p>
        </w:tc>
        <w:tc>
          <w:tcPr>
            <w:tcW w:w="2880" w:type="dxa"/>
            <w:vAlign w:val="bottom"/>
          </w:tcPr>
          <w:p>
            <w:pPr>
              <w:jc w:val="right"/>
              <w:ind w:right="2210"/>
              <w:spacing w:after="0"/>
              <w:rPr>
                <w:sz w:val="20"/>
                <w:szCs w:val="20"/>
                <w:color w:val="auto"/>
              </w:rPr>
            </w:pPr>
            <w:r>
              <w:rPr>
                <w:rFonts w:ascii="Arial" w:cs="Arial" w:eastAsia="Arial" w:hAnsi="Arial"/>
                <w:sz w:val="18"/>
                <w:szCs w:val="18"/>
                <w:color w:val="auto"/>
              </w:rPr>
              <w:t>, 2010</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Optional Redemption</w:t>
            </w: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3"/>
              </w:rPr>
              <w:t>We may elect to redeem and repay any or all of the notes at any time in minimum</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1"/>
              </w:rPr>
              <w:t>principal amounts of $2,000 or any integral multiple of $1,000 in excess thereof. We</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0"/>
              </w:rPr>
              <w:t>will pay an amount equal to the greater of 100% of the principal amount of the notes</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1"/>
              </w:rPr>
              <w:t>redeemed and repaid, or the sum of the present values of the remaining scheduled</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3"/>
              </w:rPr>
              <w:t>payments of principal and interest on the notes, as described on page S-15 of this</w:t>
            </w:r>
          </w:p>
        </w:tc>
      </w:tr>
      <w:tr>
        <w:trPr>
          <w:trHeight w:val="230"/>
        </w:trPr>
        <w:tc>
          <w:tcPr>
            <w:tcW w:w="2720" w:type="dxa"/>
            <w:vAlign w:val="bottom"/>
          </w:tcPr>
          <w:p>
            <w:pPr>
              <w:spacing w:after="0"/>
              <w:rPr>
                <w:sz w:val="20"/>
                <w:szCs w:val="20"/>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3"/>
              </w:rPr>
              <w:t>prospectus supplement. We will also pay accrued interest to the redemption date.</w:t>
            </w:r>
          </w:p>
        </w:tc>
      </w:tr>
      <w:tr>
        <w:trPr>
          <w:trHeight w:val="324"/>
        </w:trPr>
        <w:tc>
          <w:tcPr>
            <w:tcW w:w="2720" w:type="dxa"/>
            <w:vAlign w:val="bottom"/>
          </w:tcPr>
          <w:p>
            <w:pPr>
              <w:spacing w:after="0"/>
              <w:rPr>
                <w:sz w:val="24"/>
                <w:szCs w:val="24"/>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rPr>
              <w:t>Please read “Description of Notes — Optional Redemption.”</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1"/>
              </w:rPr>
              <w:t>If a change of control triggering event as described on page S-17 occurs, holders of</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89"/>
              </w:rPr>
              <w:t>the notes may require us to purchase all or a portion of such holders’ notes at a price</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3"/>
              </w:rPr>
              <w:t>equal to 101% of the principal amount, plus accrued interest, if any, to the date of</w:t>
            </w:r>
          </w:p>
        </w:tc>
      </w:tr>
      <w:tr>
        <w:trPr>
          <w:trHeight w:val="230"/>
        </w:trPr>
        <w:tc>
          <w:tcPr>
            <w:tcW w:w="2720" w:type="dxa"/>
            <w:vAlign w:val="bottom"/>
          </w:tcPr>
          <w:p>
            <w:pPr>
              <w:spacing w:after="0"/>
              <w:rPr>
                <w:sz w:val="20"/>
                <w:szCs w:val="20"/>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rPr>
              <w:t>purchase. See “Description of Notes — Change of Control Offer.”</w:t>
            </w: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Ranking</w:t>
            </w: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4"/>
              </w:rPr>
              <w:t>The notes and the guarantees will constitute the senior unsecured debt of Waste</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3"/>
              </w:rPr>
              <w:t>Management, Inc. and WM Holdings, respectively, and will rank equally with all of</w:t>
            </w:r>
          </w:p>
        </w:tc>
      </w:tr>
      <w:tr>
        <w:trPr>
          <w:trHeight w:val="216"/>
        </w:trPr>
        <w:tc>
          <w:tcPr>
            <w:tcW w:w="2720" w:type="dxa"/>
            <w:vAlign w:val="bottom"/>
          </w:tcPr>
          <w:p>
            <w:pPr>
              <w:spacing w:after="0"/>
              <w:rPr>
                <w:sz w:val="18"/>
                <w:szCs w:val="18"/>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rPr>
              <w:t>our and its other existing and future senior indebtedness from time to time</w:t>
            </w:r>
          </w:p>
        </w:tc>
      </w:tr>
      <w:tr>
        <w:trPr>
          <w:trHeight w:val="230"/>
        </w:trPr>
        <w:tc>
          <w:tcPr>
            <w:tcW w:w="2720" w:type="dxa"/>
            <w:vAlign w:val="bottom"/>
          </w:tcPr>
          <w:p>
            <w:pPr>
              <w:spacing w:after="0"/>
              <w:rPr>
                <w:sz w:val="20"/>
                <w:szCs w:val="20"/>
                <w:color w:val="auto"/>
              </w:rPr>
            </w:pPr>
          </w:p>
        </w:tc>
        <w:tc>
          <w:tcPr>
            <w:tcW w:w="2060" w:type="dxa"/>
            <w:vAlign w:val="bottom"/>
            <w:gridSpan w:val="2"/>
          </w:tcPr>
          <w:p>
            <w:pPr>
              <w:ind w:left="960"/>
              <w:spacing w:after="0"/>
              <w:rPr>
                <w:sz w:val="20"/>
                <w:szCs w:val="20"/>
                <w:color w:val="auto"/>
              </w:rPr>
            </w:pPr>
            <w:r>
              <w:rPr>
                <w:rFonts w:ascii="Arial" w:cs="Arial" w:eastAsia="Arial" w:hAnsi="Arial"/>
                <w:sz w:val="18"/>
                <w:szCs w:val="18"/>
                <w:color w:val="auto"/>
              </w:rPr>
              <w:t>outstanding.</w:t>
            </w:r>
          </w:p>
        </w:tc>
        <w:tc>
          <w:tcPr>
            <w:tcW w:w="210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Covenants</w:t>
            </w: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w w:val="94"/>
              </w:rPr>
              <w:t>We will issue the notes under an indenture containing covenants for your benefit.</w:t>
            </w:r>
          </w:p>
        </w:tc>
      </w:tr>
      <w:tr>
        <w:trPr>
          <w:trHeight w:val="230"/>
        </w:trPr>
        <w:tc>
          <w:tcPr>
            <w:tcW w:w="2720" w:type="dxa"/>
            <w:vAlign w:val="bottom"/>
          </w:tcPr>
          <w:p>
            <w:pPr>
              <w:spacing w:after="0"/>
              <w:rPr>
                <w:sz w:val="20"/>
                <w:szCs w:val="20"/>
                <w:color w:val="auto"/>
              </w:rPr>
            </w:pPr>
          </w:p>
        </w:tc>
        <w:tc>
          <w:tcPr>
            <w:tcW w:w="7040" w:type="dxa"/>
            <w:vAlign w:val="bottom"/>
            <w:gridSpan w:val="4"/>
          </w:tcPr>
          <w:p>
            <w:pPr>
              <w:ind w:left="960"/>
              <w:spacing w:after="0"/>
              <w:rPr>
                <w:sz w:val="20"/>
                <w:szCs w:val="20"/>
                <w:color w:val="auto"/>
              </w:rPr>
            </w:pPr>
            <w:r>
              <w:rPr>
                <w:rFonts w:ascii="Arial" w:cs="Arial" w:eastAsia="Arial" w:hAnsi="Arial"/>
                <w:sz w:val="18"/>
                <w:szCs w:val="18"/>
                <w:color w:val="auto"/>
              </w:rPr>
              <w:t>These covenants restrict our ability, with certain exceptions, to:</w:t>
            </w:r>
          </w:p>
        </w:tc>
      </w:tr>
    </w:tbl>
    <w:p>
      <w:pPr>
        <w:spacing w:after="0" w:line="94" w:lineRule="exact"/>
        <w:rPr>
          <w:sz w:val="20"/>
          <w:szCs w:val="20"/>
          <w:color w:val="auto"/>
        </w:rPr>
      </w:pPr>
    </w:p>
    <w:p>
      <w:pPr>
        <w:ind w:left="4700" w:hanging="104"/>
        <w:spacing w:after="0"/>
        <w:tabs>
          <w:tab w:leader="none" w:pos="4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4700" w:hanging="104"/>
        <w:spacing w:after="0"/>
        <w:tabs>
          <w:tab w:leader="none" w:pos="4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in sale and leaseback transactions; and</w:t>
      </w:r>
    </w:p>
    <w:p>
      <w:pPr>
        <w:spacing w:after="0" w:line="117" w:lineRule="exact"/>
        <w:rPr>
          <w:rFonts w:ascii="Arial" w:cs="Arial" w:eastAsia="Arial" w:hAnsi="Arial"/>
          <w:sz w:val="18"/>
          <w:szCs w:val="18"/>
          <w:color w:val="auto"/>
        </w:rPr>
      </w:pPr>
    </w:p>
    <w:p>
      <w:pPr>
        <w:ind w:left="4700" w:hanging="104"/>
        <w:spacing w:after="0"/>
        <w:tabs>
          <w:tab w:leader="none" w:pos="4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17" w:lineRule="exact"/>
        <w:rPr>
          <w:sz w:val="20"/>
          <w:szCs w:val="20"/>
          <w:color w:val="auto"/>
        </w:rPr>
      </w:pPr>
    </w:p>
    <w:p>
      <w:pPr>
        <w:ind w:left="4600" w:hanging="3672"/>
        <w:spacing w:after="0" w:line="291" w:lineRule="auto"/>
        <w:tabs>
          <w:tab w:leader="none" w:pos="45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expect the net proceeds from the offering of the notes to be $ million, after deducting underwriting discounts and commissions and estimated expenses of the offering that we will pay. A portion of the net proceeds will be used to fund an equity investment and other acquisitions and investments and all remaining proceeds will be used for general corporate purposes, including additions to working capital, capital expenditures and the funding of other potential acquisitions and investments in businesses. For more details, see “Use of Proceeds.”</w:t>
      </w:r>
    </w:p>
    <w:p>
      <w:pPr>
        <w:sectPr>
          <w:pgSz w:w="11900" w:h="16838" w:orient="portrait"/>
          <w:cols w:equalWidth="0" w:num="1">
            <w:col w:w="10740"/>
          </w:cols>
          <w:pgMar w:left="240" w:top="419"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Trustee</w:t>
      </w:r>
      <w:r>
        <w:rPr>
          <w:sz w:val="20"/>
          <w:szCs w:val="20"/>
          <w:color w:val="auto"/>
        </w:rPr>
        <w:tab/>
      </w:r>
      <w:r>
        <w:rPr>
          <w:rFonts w:ascii="Arial" w:cs="Arial" w:eastAsia="Arial" w:hAnsi="Arial"/>
          <w:sz w:val="18"/>
          <w:szCs w:val="18"/>
          <w:color w:val="auto"/>
        </w:rPr>
        <w:t>The Bank of New York Mellon Trust Company, N.A.</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color w:val="auto"/>
        </w:rPr>
        <w:t>Additional Issues</w:t>
      </w:r>
      <w:r>
        <w:rPr>
          <w:sz w:val="20"/>
          <w:szCs w:val="20"/>
          <w:color w:val="auto"/>
        </w:rPr>
        <w:tab/>
      </w:r>
      <w:r>
        <w:rPr>
          <w:rFonts w:ascii="Arial" w:cs="Arial" w:eastAsia="Arial" w:hAnsi="Arial"/>
          <w:sz w:val="16"/>
          <w:szCs w:val="16"/>
          <w:color w:val="auto"/>
        </w:rPr>
        <w:t>We may, without the consent of the holders, create and issue additional notes ranking</w:t>
      </w:r>
    </w:p>
    <w:p>
      <w:pPr>
        <w:spacing w:after="0" w:line="23" w:lineRule="exact"/>
        <w:rPr>
          <w:sz w:val="20"/>
          <w:szCs w:val="20"/>
          <w:color w:val="auto"/>
        </w:rPr>
      </w:pPr>
    </w:p>
    <w:p>
      <w:pPr>
        <w:ind w:left="4600" w:right="40"/>
        <w:spacing w:after="0" w:line="261" w:lineRule="auto"/>
        <w:rPr>
          <w:sz w:val="20"/>
          <w:szCs w:val="20"/>
          <w:color w:val="auto"/>
        </w:rPr>
      </w:pPr>
      <w:r>
        <w:rPr>
          <w:rFonts w:ascii="Arial" w:cs="Arial" w:eastAsia="Arial" w:hAnsi="Arial"/>
          <w:sz w:val="18"/>
          <w:szCs w:val="18"/>
          <w:color w:val="auto"/>
        </w:rPr>
        <w:t>equally and ratably with the notes in all respects, so that such additional notes shall be considered and form a single series with the notes.</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1"/>
              </w:rPr>
              <w:t>Years Ended December 31,</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760" w:type="dxa"/>
            <w:vAlign w:val="bottom"/>
          </w:tcPr>
          <w:p>
            <w:pPr>
              <w:spacing w:after="0"/>
              <w:rPr>
                <w:sz w:val="12"/>
                <w:szCs w:val="12"/>
                <w:color w:val="auto"/>
              </w:rPr>
            </w:pPr>
          </w:p>
        </w:tc>
        <w:tc>
          <w:tcPr>
            <w:tcW w:w="13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6"/>
              </w:rPr>
              <w:t>September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80" w:type="dxa"/>
            <w:vAlign w:val="bottom"/>
          </w:tcPr>
          <w:p>
            <w:pPr>
              <w:spacing w:after="0"/>
              <w:rPr>
                <w:sz w:val="12"/>
                <w:szCs w:val="12"/>
                <w:color w:val="auto"/>
              </w:rPr>
            </w:pPr>
          </w:p>
        </w:tc>
      </w:tr>
      <w:tr>
        <w:trPr>
          <w:trHeight w:val="264"/>
        </w:trPr>
        <w:tc>
          <w:tcPr>
            <w:tcW w:w="47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720" w:type="dxa"/>
            <w:vAlign w:val="bottom"/>
            <w:gridSpan w:val="2"/>
          </w:tcPr>
          <w:p>
            <w:pPr>
              <w:ind w:left="1140"/>
              <w:spacing w:after="0"/>
              <w:rPr>
                <w:sz w:val="20"/>
                <w:szCs w:val="20"/>
                <w:color w:val="auto"/>
              </w:rPr>
            </w:pPr>
            <w:r>
              <w:rPr>
                <w:rFonts w:ascii="Arial" w:cs="Arial" w:eastAsia="Arial" w:hAnsi="Arial"/>
                <w:sz w:val="18"/>
                <w:szCs w:val="18"/>
                <w:color w:val="auto"/>
              </w:rPr>
              <w:t>4.1x</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3.2x</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w w:val="88"/>
              </w:rPr>
              <w:t>3.5x</w:t>
            </w:r>
          </w:p>
        </w:tc>
      </w:tr>
      <w:tr>
        <w:trPr>
          <w:trHeight w:val="20"/>
        </w:trPr>
        <w:tc>
          <w:tcPr>
            <w:tcW w:w="47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920" w:firstLine="397"/>
        <w:spacing w:after="0" w:line="279" w:lineRule="auto"/>
        <w:rPr>
          <w:sz w:val="20"/>
          <w:szCs w:val="20"/>
          <w:color w:val="auto"/>
        </w:rPr>
      </w:pPr>
      <w:r>
        <w:rPr>
          <w:rFonts w:ascii="Arial" w:cs="Arial" w:eastAsia="Arial" w:hAnsi="Arial"/>
          <w:sz w:val="17"/>
          <w:szCs w:val="17"/>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total interest, whether expensed or capitalized, and the portion of our operating lease rental expense that represents an interest factor.</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i w:val="1"/>
          <w:iCs w:val="1"/>
          <w:color w:val="auto"/>
        </w:rPr>
        <w:t>You should carefully consider the risks described below, the other information set forth in this prospectus supplement, the accompanying prospectus, any free writing prospectus prepared by or on behalf of us and the documents incorporated by reference before making an investment decision in the notes. Additional risks and uncertainties not presently known to us, or that we currently deem immaterial, may also materially impair our business operations. The events discussed in the risk factors below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the Notes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131" w:lineRule="exact"/>
        <w:rPr>
          <w:sz w:val="20"/>
          <w:szCs w:val="20"/>
          <w:color w:val="auto"/>
        </w:rPr>
      </w:pPr>
    </w:p>
    <w:p>
      <w:pPr>
        <w:ind w:left="700" w:right="40" w:firstLine="397"/>
        <w:spacing w:after="0" w:line="290" w:lineRule="auto"/>
        <w:rPr>
          <w:sz w:val="20"/>
          <w:szCs w:val="20"/>
          <w:color w:val="auto"/>
        </w:rPr>
      </w:pPr>
      <w:r>
        <w:rPr>
          <w:rFonts w:ascii="Arial" w:cs="Arial" w:eastAsia="Arial" w:hAnsi="Arial"/>
          <w:sz w:val="16"/>
          <w:szCs w:val="16"/>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The ability of our subsidiaries to make distributions to us is also, and will continue to be, restricted by, among other limitations, applicable provisions of the laws of national or state governments and contractual provisions. As of September 30, 2009, our operating subsidiaries had $3.21 billion of indebtedness, excluding inter-company loans. Any inability to pay amounts to us, whether by reason of financial difficulties or other restrictions, could have a material adverse effect on our ability to service and repay our debt, including the notes.</w:t>
      </w:r>
    </w:p>
    <w:p>
      <w:pPr>
        <w:spacing w:after="0" w:line="180"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6" w:lineRule="exact"/>
        <w:rPr>
          <w:sz w:val="20"/>
          <w:szCs w:val="20"/>
          <w:color w:val="auto"/>
        </w:rPr>
      </w:pPr>
    </w:p>
    <w:p>
      <w:pPr>
        <w:ind w:left="700" w:right="240" w:firstLine="397"/>
        <w:spacing w:after="0" w:line="259" w:lineRule="auto"/>
        <w:rPr>
          <w:sz w:val="20"/>
          <w:szCs w:val="20"/>
          <w:color w:val="auto"/>
        </w:rPr>
      </w:pPr>
      <w:r>
        <w:rPr>
          <w:rFonts w:ascii="Arial" w:cs="Arial" w:eastAsia="Arial" w:hAnsi="Arial"/>
          <w:sz w:val="18"/>
          <w:szCs w:val="18"/>
          <w:color w:val="auto"/>
        </w:rPr>
        <w:t>We have substantial indebtedness. At September 30, 2009, our ratio of total debt to total capitalization was 55.8% and our total consolidated indebtedness was $8.25 billion. In addition, as of September 30, 2009, we had approximately $1.6 billion letters of credit outstanding under our $2.4 billion revolving credit facility. Our level of indebtedness and the covenants contained in the agreements governing our debt could have important consequences, including:</w:t>
      </w:r>
    </w:p>
    <w:p>
      <w:pPr>
        <w:spacing w:after="0" w:line="92" w:lineRule="exact"/>
        <w:rPr>
          <w:sz w:val="20"/>
          <w:szCs w:val="20"/>
          <w:color w:val="auto"/>
        </w:rPr>
      </w:pPr>
    </w:p>
    <w:p>
      <w:pPr>
        <w:ind w:left="1300" w:right="2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62" w:lineRule="exact"/>
        <w:rPr>
          <w:rFonts w:ascii="Arial" w:cs="Arial" w:eastAsia="Arial" w:hAnsi="Arial"/>
          <w:sz w:val="18"/>
          <w:szCs w:val="18"/>
          <w:color w:val="auto"/>
        </w:rPr>
      </w:pPr>
    </w:p>
    <w:p>
      <w:pPr>
        <w:ind w:left="1300" w:right="18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62" w:lineRule="exact"/>
        <w:rPr>
          <w:rFonts w:ascii="Arial" w:cs="Arial" w:eastAsia="Arial" w:hAnsi="Arial"/>
          <w:sz w:val="18"/>
          <w:szCs w:val="18"/>
          <w:color w:val="auto"/>
        </w:rPr>
      </w:pPr>
    </w:p>
    <w:p>
      <w:pPr>
        <w:ind w:left="1300" w:right="300" w:hanging="202"/>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5" w:lineRule="exact"/>
        <w:rPr>
          <w:rFonts w:ascii="Arial" w:cs="Arial" w:eastAsia="Arial" w:hAnsi="Arial"/>
          <w:sz w:val="16"/>
          <w:szCs w:val="16"/>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28% of our total debt was at variable interest rates as of September 30, 2009.</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$2.4 billion revolving credit facility requires us to maintain specified ratios of total debt to consolidated EBITDA and consolidated EBIT to interest expense (each as defined in our revolving credit facility), as of September 30, 2009 and after giving effect to the offering of the notes, we have the ability to</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342" w:lineRule="auto"/>
        <w:rPr>
          <w:sz w:val="20"/>
          <w:szCs w:val="20"/>
          <w:color w:val="auto"/>
        </w:rPr>
      </w:pPr>
      <w:r>
        <w:rPr>
          <w:rFonts w:ascii="Arial" w:cs="Arial" w:eastAsia="Arial" w:hAnsi="Arial"/>
          <w:sz w:val="16"/>
          <w:szCs w:val="16"/>
          <w:color w:val="auto"/>
        </w:rPr>
        <w:t>incur substantial additional indebtedness while remaining in compliance with these ratios. Our incurrence of significant additional indebtedness would exacerbate the negative consequences mentioned above, and could adversely affect our ability to repay the notes.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in order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91"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92"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131"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or quotation of the notes on any dealer quotation system.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94" w:lineRule="exact"/>
        <w:rPr>
          <w:sz w:val="20"/>
          <w:szCs w:val="20"/>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General economic conditions can adversely affect our revenues and our operating margins.</w:t>
      </w:r>
    </w:p>
    <w:p>
      <w:pPr>
        <w:spacing w:after="0" w:line="131" w:lineRule="exact"/>
        <w:rPr>
          <w:sz w:val="20"/>
          <w:szCs w:val="20"/>
          <w:color w:val="auto"/>
        </w:rPr>
      </w:pPr>
    </w:p>
    <w:p>
      <w:pPr>
        <w:ind w:left="700" w:right="120" w:firstLine="397"/>
        <w:spacing w:after="0" w:line="289" w:lineRule="auto"/>
        <w:rPr>
          <w:sz w:val="20"/>
          <w:szCs w:val="20"/>
          <w:color w:val="auto"/>
        </w:rPr>
      </w:pPr>
      <w:r>
        <w:rPr>
          <w:rFonts w:ascii="Arial" w:cs="Arial" w:eastAsia="Arial" w:hAnsi="Arial"/>
          <w:sz w:val="16"/>
          <w:szCs w:val="16"/>
          <w:color w:val="auto"/>
        </w:rPr>
        <w:t>Our business is affected by changes in national and general economic factors that are outside of our control, including consumer confidence, interest rates and access to capital markets. Although our services are of an essential nature, a weak economy generally results in decreases in volumes of waste generated, which decreases our revenues. Additionally, consumer uncertainty and the loss of consumer confidence may limit the number or amount of services requested by customers and our ability to increase customers’ pricing. During weak economic conditions we may also be adversely impacted by customers’ inability to pay us in a timely manner, if at all, due to their financial difficulties, which could include bankruptcies. Economic conditions over the last twelve months have negatively affected business and consumer spending generally. If our customers do not have access to capital, we do not expect that our volumes will improve or that we will increase new business. Additionally, if we are unable to access credit on favorable terms, our growth, development and capital spending plans may be adversely affected.</w:t>
      </w:r>
    </w:p>
    <w:p>
      <w:pPr>
        <w:spacing w:after="0" w:line="180" w:lineRule="exact"/>
        <w:rPr>
          <w:sz w:val="20"/>
          <w:szCs w:val="20"/>
          <w:color w:val="auto"/>
        </w:rPr>
      </w:pPr>
    </w:p>
    <w:p>
      <w:pPr>
        <w:ind w:left="900" w:right="640"/>
        <w:spacing w:after="0" w:line="277" w:lineRule="auto"/>
        <w:rPr>
          <w:sz w:val="20"/>
          <w:szCs w:val="20"/>
          <w:color w:val="auto"/>
        </w:rPr>
      </w:pPr>
      <w:r>
        <w:rPr>
          <w:rFonts w:ascii="Arial" w:cs="Arial" w:eastAsia="Arial" w:hAnsi="Arial"/>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encounter intense competition from governmental, quasi-governmental and private sources in all aspects of our operations. In North America, the industry consists of two national waste management companies, regional companies and local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w:t>
      </w:r>
    </w:p>
    <w:p>
      <w:pPr>
        <w:spacing w:after="0" w:line="84"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In addition, competitors may reduce their prices to expand sales volume or to win competitively bid contracts. When this happens, we may roll-back prices or offer lower pricing to attract or retain our customers, resulting in a negative impact to our revenue growth from yield on base business.</w:t>
      </w:r>
    </w:p>
    <w:p>
      <w:pPr>
        <w:spacing w:after="0" w:line="195" w:lineRule="exact"/>
        <w:rPr>
          <w:sz w:val="20"/>
          <w:szCs w:val="20"/>
          <w:color w:val="auto"/>
        </w:rPr>
      </w:pPr>
    </w:p>
    <w:p>
      <w:pPr>
        <w:ind w:left="900" w:right="380"/>
        <w:spacing w:after="0" w:line="277" w:lineRule="auto"/>
        <w:rPr>
          <w:sz w:val="20"/>
          <w:szCs w:val="20"/>
          <w:color w:val="auto"/>
        </w:rPr>
      </w:pPr>
      <w:r>
        <w:rPr>
          <w:rFonts w:ascii="Arial" w:cs="Arial" w:eastAsia="Arial" w:hAnsi="Arial"/>
          <w:sz w:val="18"/>
          <w:szCs w:val="18"/>
          <w:b w:val="1"/>
          <w:bCs w:val="1"/>
          <w:i w:val="1"/>
          <w:iCs w:val="1"/>
          <w:color w:val="auto"/>
        </w:rPr>
        <w:t>If we do not successfully manage our costs, or do not successfully implement our plans and strategies to improve margins, our income from operations could be lower than expected.</w:t>
      </w:r>
    </w:p>
    <w:p>
      <w:pPr>
        <w:spacing w:after="0" w:line="76"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In recent years, we have implemented several profit improvement initiatives aimed at lowering our costs and enhancing our revenues. We have implemented price increases and environmental fees, both of which have increased our internal revenue growth, and we have continued our fuel surcharge program to offset fuel costs. The loss of volumes as a result of price increases may negatively affect our cash flows or results of operations. 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 If we are not able to fully or successfully implement our plans and strategies for any reason, many of which are out of our control, we may not see the expected improvements in our income from operations or our operating margins.</w:t>
      </w:r>
    </w:p>
    <w:p>
      <w:pPr>
        <w:spacing w:after="0" w:line="192" w:lineRule="exact"/>
        <w:rPr>
          <w:sz w:val="20"/>
          <w:szCs w:val="20"/>
          <w:color w:val="auto"/>
        </w:rPr>
      </w:pPr>
    </w:p>
    <w:p>
      <w:pPr>
        <w:ind w:left="900" w:right="200"/>
        <w:spacing w:after="0" w:line="277" w:lineRule="auto"/>
        <w:rPr>
          <w:sz w:val="20"/>
          <w:szCs w:val="20"/>
          <w:color w:val="auto"/>
        </w:rPr>
      </w:pPr>
      <w:r>
        <w:rPr>
          <w:rFonts w:ascii="Arial" w:cs="Arial" w:eastAsia="Arial" w:hAnsi="Arial"/>
          <w:sz w:val="18"/>
          <w:szCs w:val="18"/>
          <w:b w:val="1"/>
          <w:bCs w:val="1"/>
          <w:i w:val="1"/>
          <w:iCs w:val="1"/>
          <w:color w:val="auto"/>
        </w:rPr>
        <w:t>The seasonal nature of our business causes our quarterly results to fluctuate, and prior performance is not necessarily indicative of our future results.</w:t>
      </w:r>
    </w:p>
    <w:p>
      <w:pPr>
        <w:spacing w:after="0" w:line="76"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such as the hurricanes generally experienced by our Southern group, actually increase our revenues in the areas affected. However, for several reasons, including significant start-up costs, such revenue often generates earnings at comparatively lower</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5" w:lineRule="auto"/>
        <w:rPr>
          <w:sz w:val="20"/>
          <w:szCs w:val="20"/>
          <w:color w:val="auto"/>
        </w:rPr>
      </w:pPr>
      <w:r>
        <w:rPr>
          <w:rFonts w:ascii="Arial" w:cs="Arial" w:eastAsia="Arial" w:hAnsi="Arial"/>
          <w:sz w:val="18"/>
          <w:szCs w:val="18"/>
          <w:color w:val="auto"/>
        </w:rPr>
        <w:t>margins. Certain weather conditions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 to-energy facilities. For these and other reasons, operating results in any interim period are not necessarily indicative of operating results for an entire year, and operating results for any historical period are not necessarily indicative of operating results for a future period.</w:t>
      </w:r>
    </w:p>
    <w:p>
      <w:pPr>
        <w:spacing w:after="0" w:line="207" w:lineRule="exact"/>
        <w:rPr>
          <w:sz w:val="20"/>
          <w:szCs w:val="20"/>
          <w:color w:val="auto"/>
        </w:rPr>
      </w:pPr>
    </w:p>
    <w:p>
      <w:pPr>
        <w:ind w:left="900" w:right="60"/>
        <w:spacing w:after="0" w:line="277" w:lineRule="auto"/>
        <w:rPr>
          <w:sz w:val="20"/>
          <w:szCs w:val="20"/>
          <w:color w:val="auto"/>
        </w:rPr>
      </w:pPr>
      <w:r>
        <w:rPr>
          <w:rFonts w:ascii="Arial" w:cs="Arial" w:eastAsia="Arial" w:hAnsi="Arial"/>
          <w:sz w:val="18"/>
          <w:szCs w:val="18"/>
          <w:b w:val="1"/>
          <w:bCs w:val="1"/>
          <w:i w:val="1"/>
          <w:iCs w:val="1"/>
          <w:color w:val="auto"/>
        </w:rPr>
        <w:t>We cannot predict with certainty the extent of future costs under environmental, health and safety laws, and cannot guarantee that they will not be material.</w:t>
      </w:r>
    </w:p>
    <w:p>
      <w:pPr>
        <w:spacing w:after="0" w:line="76"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We could be liable if our operations cause environmental damage to our properties or to the property of other landowners, particularly as a result of the contamination of air, drinking water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70" w:lineRule="exact"/>
        <w:rPr>
          <w:sz w:val="20"/>
          <w:szCs w:val="20"/>
          <w:color w:val="auto"/>
        </w:rPr>
      </w:pPr>
    </w:p>
    <w:p>
      <w:pPr>
        <w:ind w:left="700" w:right="640" w:firstLine="397"/>
        <w:spacing w:after="0" w:line="342" w:lineRule="auto"/>
        <w:rPr>
          <w:sz w:val="20"/>
          <w:szCs w:val="20"/>
          <w:color w:val="auto"/>
        </w:rPr>
      </w:pPr>
      <w:r>
        <w:rPr>
          <w:rFonts w:ascii="Arial" w:cs="Arial" w:eastAsia="Arial" w:hAnsi="Arial"/>
          <w:sz w:val="16"/>
          <w:szCs w:val="16"/>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9" w:lineRule="exact"/>
        <w:rPr>
          <w:sz w:val="20"/>
          <w:szCs w:val="20"/>
          <w:color w:val="auto"/>
        </w:rPr>
      </w:pPr>
    </w:p>
    <w:p>
      <w:pPr>
        <w:ind w:left="1300" w:right="540" w:hanging="202"/>
        <w:spacing w:after="0" w:line="308"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38" w:lineRule="exact"/>
        <w:rPr>
          <w:rFonts w:ascii="Arial" w:cs="Arial" w:eastAsia="Arial" w:hAnsi="Arial"/>
          <w:sz w:val="17"/>
          <w:szCs w:val="17"/>
          <w:color w:val="auto"/>
        </w:rPr>
      </w:pPr>
    </w:p>
    <w:p>
      <w:pPr>
        <w:ind w:left="1300" w:hanging="202"/>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communities and 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87"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95"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b w:val="1"/>
          <w:bCs w:val="1"/>
          <w:i w:val="1"/>
          <w:iCs w:val="1"/>
          <w:color w:val="auto"/>
        </w:rPr>
        <w:t>The waste industry is subject to extensive government regulation, and existing or future regulations may restrict our operations, increase our costs of operations or require us to make additional capital expenditures.</w:t>
      </w:r>
    </w:p>
    <w:p>
      <w:pPr>
        <w:spacing w:after="0" w:line="76"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Stringent government regulations at the federal, state, provincial,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77"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limitations on siting and constructing new waste disposal, transfer or processing facilities or expanding existing facilities;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regulations or levies on collection and disposal prices, rates and volumes;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waste or certain categories of waste;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mandates regarding the disposal of solid waste, including requirements to recycle rather than landfill certain waste streams.</w:t>
      </w: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87"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79" w:lineRule="exact"/>
        <w:rPr>
          <w:sz w:val="20"/>
          <w:szCs w:val="20"/>
          <w:color w:val="auto"/>
        </w:rPr>
      </w:pPr>
    </w:p>
    <w:p>
      <w:pPr>
        <w:ind w:left="900" w:right="160"/>
        <w:spacing w:after="0" w:line="277" w:lineRule="auto"/>
        <w:rPr>
          <w:sz w:val="20"/>
          <w:szCs w:val="20"/>
          <w:color w:val="auto"/>
        </w:rPr>
      </w:pPr>
      <w:r>
        <w:rPr>
          <w:rFonts w:ascii="Arial" w:cs="Arial" w:eastAsia="Arial" w:hAnsi="Arial"/>
          <w:sz w:val="18"/>
          <w:szCs w:val="18"/>
          <w:b w:val="1"/>
          <w:bCs w:val="1"/>
          <w:i w:val="1"/>
          <w:iCs w:val="1"/>
          <w:color w:val="auto"/>
        </w:rPr>
        <w:t>The adoption of climate change legislation or regulations restricting emissions of “greenhouse gases” could increase our costs to operate.</w:t>
      </w:r>
    </w:p>
    <w:p>
      <w:pPr>
        <w:spacing w:after="0" w:line="76" w:lineRule="exact"/>
        <w:rPr>
          <w:sz w:val="20"/>
          <w:szCs w:val="20"/>
          <w:color w:val="auto"/>
        </w:rPr>
      </w:pPr>
    </w:p>
    <w:p>
      <w:pPr>
        <w:ind w:left="700" w:right="120" w:firstLine="397"/>
        <w:spacing w:after="0" w:line="289" w:lineRule="auto"/>
        <w:rPr>
          <w:sz w:val="20"/>
          <w:szCs w:val="20"/>
          <w:color w:val="auto"/>
        </w:rPr>
      </w:pPr>
      <w:r>
        <w:rPr>
          <w:rFonts w:ascii="Arial" w:cs="Arial" w:eastAsia="Arial" w:hAnsi="Arial"/>
          <w:sz w:val="16"/>
          <w:szCs w:val="16"/>
          <w:color w:val="auto"/>
        </w:rPr>
        <w:t>Environmental advocacy groups and regulatory agencies in the United States have been focusing considerable attention on the emissions of carbon dioxide, methane and other “greenhouse gases” and their potential role in climate change. The adoption of laws and regulations to implement controls of greenhouse gases, including the imposition of fees or taxes, could adversely affect our collection and disposal operations. Congress is currently working on legislation to control and reduce emissions of greenhouse gases in the United States, which includes establishing cap-and-trade programs. Additionally, the EPA recently announced proposed regulations to control emissions of greenhouse gases from stationary sources, including municipal solid waste landfills, and several states have already begun taking actions to reduce future emissions of greenhouse gases. Depending on the form of legislation and regulations that are ultimately enacted, our operating expenses could increase and some of our operations could be less profitable, as we may be required to take any number of actions, including the purchase of emission allowances or installation of additional pollution control technology.</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Significant shortages in fuel supply or increases in fuel prices will increase our operating expenses.</w:t>
      </w:r>
    </w:p>
    <w:p>
      <w:pPr>
        <w:spacing w:after="0" w:line="131"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The price and supply of fuel are unpredictable, and can fluctuate significantly based on international, political and economic circumstances, as well as other factors outside our control, such as actions by the Organization of the Petroleum Exporting Countries, or OPEC, and other oil and gas producers, regional production patterns, weather conditions and environmental concerns. We saw average quarterly diesel fuel prices increase by 50% in the third quarter of 2008 as compared to the third quarter of 2007 and decrease by 40% in the third quarter of 2009 as compared to the third quarter 2008. We need fuel to run our collection and transfer trucks and equipment used in our landfill operations. Supply shortages could substantially increase our operating expenses. Additionally, as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 through of the increased costs. We may initiate other programs or means to guard against the rising costs of fuel, although there can be no assurances that we will be able to do so or that such programs will be successful. Regardless of any offsetting surcharge programs, the increased operating costs will decrease our operating margins.</w:t>
      </w:r>
    </w:p>
    <w:p>
      <w:pPr>
        <w:spacing w:after="0" w:line="186" w:lineRule="exact"/>
        <w:rPr>
          <w:sz w:val="20"/>
          <w:szCs w:val="20"/>
          <w:color w:val="auto"/>
        </w:rPr>
      </w:pPr>
    </w:p>
    <w:p>
      <w:pPr>
        <w:ind w:left="900" w:right="240"/>
        <w:spacing w:after="0" w:line="381" w:lineRule="auto"/>
        <w:rPr>
          <w:sz w:val="20"/>
          <w:szCs w:val="20"/>
          <w:color w:val="auto"/>
        </w:rPr>
      </w:pPr>
      <w:r>
        <w:rPr>
          <w:rFonts w:ascii="Arial" w:cs="Arial" w:eastAsia="Arial" w:hAnsi="Arial"/>
          <w:sz w:val="15"/>
          <w:szCs w:val="15"/>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6"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 required levels. We face the risk of incurring additional costs for environmental damage if our insurance coverage is ultimately inadequate to cover those damages. We also carry a broad range of insurance coverages that are customary for a company our size. We use these programs to mitigate risk of loss, thereby allowing us to manage our self-insurance exposure associated with claims. The inability of our insurers to meet their commitments in a timely manner and the effect of significant claims or litigation against insurance companies may subject us to additional risks.</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To the extent our insurers were unable to meet their obligations, or our own obligations for claims were more than we estimated, there could be a material adverse effect to our financial results.</w:t>
      </w:r>
    </w:p>
    <w:p>
      <w:pPr>
        <w:spacing w:after="0" w:line="76"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In addition, to fulfill our financial assurance obligations with respect to environmental closure and post-closure obligations, we generally obtain letters of credit or surety bonds, rely on insurance, including captive insurance, fund trust and escrow accounts or rely upon parent company financial guarantees. We currently have in place all financial assurance instruments necessary for our operations. We do not anticipate any unmanageable difficulty in obtaining financial assurance instruments in the future, although general economic factors may adversely affect the cost of our current financial assurance instruments.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 obtain, and any requirements to use cash to support our obligations would negatively impact our liquidity and capital resources and could affect our ability to meet our obligations as they become due.</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6"/>
          <w:szCs w:val="16"/>
          <w:b w:val="1"/>
          <w:bCs w:val="1"/>
          <w:i w:val="1"/>
          <w:iCs w:val="1"/>
          <w:color w:val="auto"/>
        </w:rPr>
        <w:t>We may record material charges against our earnings due to any number of events that could cause impairments to our assets.</w:t>
      </w:r>
    </w:p>
    <w:p>
      <w:pPr>
        <w:spacing w:after="0" w:line="154" w:lineRule="exact"/>
        <w:rPr>
          <w:sz w:val="20"/>
          <w:szCs w:val="20"/>
          <w:color w:val="auto"/>
        </w:rPr>
      </w:pPr>
    </w:p>
    <w:p>
      <w:pPr>
        <w:ind w:left="700" w:right="180" w:firstLine="397"/>
        <w:spacing w:after="0" w:line="254" w:lineRule="auto"/>
        <w:rPr>
          <w:sz w:val="20"/>
          <w:szCs w:val="20"/>
          <w:color w:val="auto"/>
        </w:rPr>
      </w:pPr>
      <w:r>
        <w:rPr>
          <w:rFonts w:ascii="Arial" w:cs="Arial" w:eastAsia="Arial" w:hAnsi="Arial"/>
          <w:sz w:val="18"/>
          <w:szCs w:val="18"/>
          <w:color w:val="auto"/>
        </w:rPr>
        <w:t>In accordance with generally accepted accounting principles,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If we determine a development or expansion project is impaired, we will charge against earnings any unamortized capitalized expenditures and advances relating to such facility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w:t>
      </w:r>
    </w:p>
    <w:p>
      <w:pPr>
        <w:spacing w:after="0" w:line="98"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We may be required to incur charges against earnings if we determine that events such as those described cause impairments. Any such charges could have a material adverse effect on our results of operations.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Our revenues will fluctuate based on changes in commodity prices.</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known as OCC, and old newsprint, or ONP. The fluctuations in the market prices or demand for these commodities can affect our operating income and cash flows. In the fourth quarter of 2008, the monthly market prices for OCC and ONP fell by 79% and 72%, respectively, from their high points within the year. The decline in market prices for commodities resulted in a year-over-year decrease in revenue of $482 million for the nine months ended September 30, 2009. Additionally, our recycling operations offer rebates to suppliers. Therefore, even if we experience higher revenues based on increased market prices for commodities, the rebates we pay will also increase and in some circumstances, the rebates may have floors even as market prices decrease, which could eliminate any expected profit margins.</w:t>
      </w:r>
    </w:p>
    <w:p>
      <w:pPr>
        <w:spacing w:after="0" w:line="87"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Additionally, there may be significant price fluctuations in the price of methane gas, electricity and other energy related products that are marketed and sold by our landfill gas recovery, waste-to-energy and independent power production plant operations. The marketing and sales of energy related products by our landfill gas and waste-to-energy operations have historically been pursuant to long-term sales agreements and market volatility has not caused our quarterly results to fluctuate significantly. However, many of our waste-to-energy longer-term agreements have recently expired and our revenues have been adversely affected as the electricity prices we charge without the benefit of long-term agreements are tied to natural gas prices. For the nine months ended September 30, 2009, we experienced a $58 million decline in revenues as</w:t>
      </w: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compared to the prior year period due to fluctuations in rates charged under our electricity sales, due to lower natural gas prices.</w:t>
      </w:r>
    </w:p>
    <w:p>
      <w:pPr>
        <w:spacing w:after="0" w:line="239" w:lineRule="exact"/>
        <w:rPr>
          <w:sz w:val="20"/>
          <w:szCs w:val="20"/>
          <w:color w:val="auto"/>
        </w:rPr>
      </w:pPr>
    </w:p>
    <w:p>
      <w:pPr>
        <w:ind w:left="900" w:right="540"/>
        <w:spacing w:after="0" w:line="277" w:lineRule="auto"/>
        <w:rPr>
          <w:sz w:val="20"/>
          <w:szCs w:val="20"/>
          <w:color w:val="auto"/>
        </w:rPr>
      </w:pPr>
      <w:r>
        <w:rPr>
          <w:rFonts w:ascii="Arial" w:cs="Arial" w:eastAsia="Arial" w:hAnsi="Arial"/>
          <w:sz w:val="18"/>
          <w:szCs w:val="18"/>
          <w:b w:val="1"/>
          <w:bCs w:val="1"/>
          <w:i w:val="1"/>
          <w:iCs w:val="1"/>
          <w:color w:val="auto"/>
        </w:rPr>
        <w:t>The development and acceptance of alternatives to landfill disposal and waste-to-energy facilities could reduce our ability to operate at full capacity.</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customers are increasingly using alternatives to landfill and waste-to-energy disposal, such as recycling and composting. In addition, some state and local governments mandate recycling and waste reduction at the source and prohibit the disposal of certain types of waste, such as yard waste, at landfills or waste-to-energy facilities. Although such mandates are a useful tool to protect our environment, these developments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07"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i w:val="1"/>
          <w:iCs w:val="1"/>
          <w:color w:val="auto"/>
        </w:rPr>
        <w:t>Our operating expenses could increase as a result of labor unions organizing or changes in regulations related to labor unions.</w:t>
      </w:r>
    </w:p>
    <w:p>
      <w:pPr>
        <w:spacing w:after="0" w:line="154"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Labor unions constantly make attempts to organize our employees, and these efforts will likely continue in the future. Certain groups of our employees have already chosen to be represented by unions, and we have negotiated collective bargaining agreements with some of the groups. Additional groups of employees may seek union representation in the future, and, if successful, the negotiation of collective bargaining agreements could divert management attention and result in increased operating expenses and lower net income. Considerable attention has been focused on proposed legislation that could amend the National Labor Relations Act that would make it easier for unions to become recognized as the bargaining representatives for employees. Depending on the form of legislation, if any, that is ultimately enacted, it is reasonably possible that our operating expenses would increase as a result of the provisions of such legislation. If we are unable to negotiate acceptable collective bargaining agreements, or future legislation requires us to submit the terms of employment to binding arbitration in the event an agreement can not be reached in a timely manner, our operating expenses could increase significantly as a result of work stoppages, including strikes, or unfavorable terms in such agreements that result from arbitration. Any of these matters could adversely affect our financial condition, results of operations and cash flows.</w:t>
      </w:r>
    </w:p>
    <w:p>
      <w:pPr>
        <w:spacing w:after="0" w:line="186"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b w:val="1"/>
          <w:bCs w:val="1"/>
          <w:i w:val="1"/>
          <w:iCs w:val="1"/>
          <w:color w:val="auto"/>
        </w:rPr>
        <w:t>Currently pending or future litigation or governmental proceedings could result in material adverse consequences, including judgments or settlements.</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00" w:lineRule="exact"/>
        <w:rPr>
          <w:sz w:val="20"/>
          <w:szCs w:val="20"/>
          <w:color w:val="auto"/>
        </w:rPr>
      </w:pPr>
    </w:p>
    <w:p>
      <w:pPr>
        <w:ind w:left="900" w:right="58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technology in our operations and if our technology fails, our business could be adversely affected.</w:t>
      </w:r>
    </w:p>
    <w:p>
      <w:pPr>
        <w:spacing w:after="0" w:line="76"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may experience problems with either the operation of our current information technology systems or the development and deployment of new information technology systems that could adversely affect, or even temporarily disrupt, all or a portion of our operations until resolved. We encountered problems with the revenue management application that we had been piloting throughout 2007, resulting in the termination of the pilot, which has impeded our ability to realize improved operating margins as a result of a new system.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37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0"/>
        <w:spacing w:after="0" w:line="277" w:lineRule="auto"/>
        <w:rPr>
          <w:sz w:val="20"/>
          <w:szCs w:val="20"/>
          <w:color w:val="auto"/>
        </w:rPr>
      </w:pPr>
      <w:r>
        <w:rPr>
          <w:rFonts w:ascii="Arial" w:cs="Arial" w:eastAsia="Arial" w:hAnsi="Arial"/>
          <w:sz w:val="18"/>
          <w:szCs w:val="18"/>
          <w:b w:val="1"/>
          <w:bCs w:val="1"/>
          <w:i w:val="1"/>
          <w:iCs w:val="1"/>
          <w:color w:val="auto"/>
        </w:rPr>
        <w:t>We may experience adverse impacts on our reported results of operations as a result of adopting new accounting standards or interpretations.</w:t>
      </w:r>
    </w:p>
    <w:p>
      <w:pPr>
        <w:spacing w:after="0" w:line="76"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Our implementation of and compliance with changes in accounting rules, including new accounting rules and interpretations, could adversely affect our reported operating results or cause unanticipated fluctuations in our reported operating results in future periods.</w:t>
      </w:r>
    </w:p>
    <w:p>
      <w:pPr>
        <w:spacing w:after="0" w:line="137"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Unforeseen circumstances could result in a need for additional capital.</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We currently expect to meet our anticipated cash needs for capital expenditures, scheduled debt repayments, acquisitions and other cash expenditures with our cash flows from operations and the proceeds from the offering of the notes. Recent economic conditions have reduced our cash flows from operations. If the impact on our cash flows from operations continues and is significant, we may need to reduce capital expenditures, acquisition activity, dividend declarations or share repurchases unless we are able to incur additional indebtedness to either pay for these activities or refinance our scheduled debt maturities. We may also use our revolving credit facility to meet our cash needs, to the extent available. As of September 30, 2009, we had $768 million of capacity under our revolving credit facility.</w:t>
      </w:r>
    </w:p>
    <w:p>
      <w:pPr>
        <w:spacing w:after="0" w:line="95"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the event of a default under our credit facility,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the lenders party to those agreements, any such default would have a material adverse effect on our ability to continue operations.</w:t>
      </w:r>
    </w:p>
    <w:p>
      <w:pPr>
        <w:spacing w:after="0" w:line="28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We expect the net proceeds from the offering of the notes to be $ million, after deducting discounts and commissions to the underwriters and estimated expenses of the offering that we will pay. We intend to use a portion of the net proceeds to fund our purchase of a 40% equity investment in Shanghai Environment Group for approximately $140 million, which is subject to normal regulatory approval and is expected to be approved in early 2010. We are actively pursuing other acquisitions and investment opportunities in our waste-to-energy and solid waste businesses and expect to spend up to an additional $350 million over the next six months from the proceeds of this offering on such acquisitions and investments. All remaining proceeds will be used for general corporate purposes, including additions to working capital, capital expenditures and the funding of other potential acquisitions and investments in businesses. Pending application of the offering proceeds as described, we may temporarily invest the proceeds in short-term investments. To the extent that any of the acquisitions or investments described do not ultimately close, the related portion of the proceeds from the offering will be used for general corporate purposes, including additions to working capital, capital expenditures and the funding of other potential acquisitions and investments in businesses.</w:t>
      </w:r>
    </w:p>
    <w:p>
      <w:pPr>
        <w:spacing w:after="0" w:line="37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jc w:val="both"/>
        <w:ind w:left="700" w:right="100" w:firstLine="397"/>
        <w:spacing w:after="0" w:line="286" w:lineRule="auto"/>
        <w:rPr>
          <w:sz w:val="20"/>
          <w:szCs w:val="20"/>
          <w:color w:val="auto"/>
        </w:rPr>
      </w:pPr>
      <w:r>
        <w:rPr>
          <w:rFonts w:ascii="Arial" w:cs="Arial" w:eastAsia="Arial" w:hAnsi="Arial"/>
          <w:sz w:val="17"/>
          <w:szCs w:val="17"/>
          <w:color w:val="auto"/>
        </w:rPr>
        <w:t>The following table sets forth our consolidated cash and cash equivalents and consolidated capitalization as of September 30, 2009 and as adjusted to give effect to the offering of the notes prior to the application of any portion of the net proceeds to fund the particular equity investment described under “Use of Proceeds” or any other uses described therein.</w:t>
      </w:r>
    </w:p>
    <w:p>
      <w:pPr>
        <w:spacing w:after="0" w:line="71" w:lineRule="exact"/>
        <w:rPr>
          <w:sz w:val="20"/>
          <w:szCs w:val="20"/>
          <w:color w:val="auto"/>
        </w:rPr>
      </w:pPr>
    </w:p>
    <w:p>
      <w:pPr>
        <w:ind w:left="700" w:right="840" w:firstLine="397"/>
        <w:spacing w:after="0" w:line="264"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“Where You Can Find More Information.”</w:t>
      </w:r>
    </w:p>
    <w:p>
      <w:pPr>
        <w:spacing w:after="0" w:line="9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facility(b)</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Canadian credit facility (weighted average interest rate of 2.0% at September 30, 2009)(c)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 —</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4"/>
              </w:rPr>
              <w:t>Maturing through 2032, interest rates ranging from 5.0% to 7.75% (weighted average interest rate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ind w:left="340"/>
              <w:spacing w:after="0"/>
              <w:rPr>
                <w:sz w:val="20"/>
                <w:szCs w:val="20"/>
                <w:color w:val="auto"/>
              </w:rPr>
            </w:pPr>
            <w:r>
              <w:rPr>
                <w:rFonts w:ascii="Arial" w:cs="Arial" w:eastAsia="Arial" w:hAnsi="Arial"/>
                <w:sz w:val="18"/>
                <w:szCs w:val="18"/>
                <w:color w:val="auto"/>
              </w:rPr>
              <w:t>6.9% at September 30, 2009)</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 Senior Notes due 2039 offered hereby</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tcPr>
          <w:p>
            <w:pPr>
              <w:spacing w:after="0" w:line="201" w:lineRule="exact"/>
              <w:rPr>
                <w:sz w:val="20"/>
                <w:szCs w:val="20"/>
                <w:color w:val="auto"/>
              </w:rPr>
            </w:pPr>
            <w:r>
              <w:rPr>
                <w:rFonts w:ascii="Arial" w:cs="Arial" w:eastAsia="Arial" w:hAnsi="Arial"/>
                <w:sz w:val="18"/>
                <w:szCs w:val="18"/>
                <w:color w:val="auto"/>
                <w:w w:val="94"/>
              </w:rPr>
              <w:t>Tax-exempt bonds maturing through 2039, fixed and variable interest rates ranging from 0.2% to 7.4%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(weighted average interest rate of 3.6% at September 30, 2009)(d)</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Tax-exempt project bonds, principal payable in periodic installments, maturing through 2029, fixed and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variable interest rates ranging from 0.3% to 9.3% (weighted average interest rate of 4.4% at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September 30, 2009)(e)</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Capital leases and other, maturing through 2050, interest rates up to 12%</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Waste Management, Inc. Stockholders’ Equity:</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Common stock, $0.01 par value; 1,500,000,000 shares authorized; 630,282,461 shares issued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139,719,246 shares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(4,382)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160"/>
              <w:spacing w:after="0"/>
              <w:rPr>
                <w:sz w:val="20"/>
                <w:szCs w:val="20"/>
                <w:color w:val="auto"/>
              </w:rPr>
            </w:pPr>
            <w:r>
              <w:rPr>
                <w:rFonts w:ascii="Arial" w:cs="Arial" w:eastAsia="Arial" w:hAnsi="Arial"/>
                <w:sz w:val="18"/>
                <w:szCs w:val="18"/>
                <w:color w:val="auto"/>
              </w:rPr>
              <w:t>Total Waste Management, Inc. stockholders’ equity</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 and equity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14,767</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0" w:right="180" w:hanging="307"/>
        <w:spacing w:after="0" w:line="264"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as adjusted, reflects an increase of the entire net proceeds from this offering, prior to the application of any portion of such proceeds to fund the particular equity investment described in “Use of Proceeds” or any other use described therein.</w:t>
      </w:r>
    </w:p>
    <w:p>
      <w:pPr>
        <w:spacing w:after="0" w:line="19" w:lineRule="exact"/>
        <w:rPr>
          <w:rFonts w:ascii="Arial" w:cs="Arial" w:eastAsia="Arial" w:hAnsi="Arial"/>
          <w:sz w:val="18"/>
          <w:szCs w:val="18"/>
          <w:color w:val="auto"/>
        </w:rPr>
      </w:pPr>
    </w:p>
    <w:p>
      <w:pPr>
        <w:ind w:left="1000" w:hanging="30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party to a $2.4 billion revolving credit facility that matures on August 17, 2011.</w:t>
      </w:r>
    </w:p>
    <w:p>
      <w:pPr>
        <w:spacing w:after="0" w:line="200" w:lineRule="exact"/>
        <w:rPr>
          <w:sz w:val="20"/>
          <w:szCs w:val="20"/>
          <w:color w:val="auto"/>
        </w:rPr>
      </w:pPr>
    </w:p>
    <w:p>
      <w:pPr>
        <w:spacing w:after="0" w:line="2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00" w:right="54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Waste Management of Canada Corporation, our wholly owned subsidiary, is party to a Cdn $340 million credit facility with a maturity of November 2012 that is guaranteed by Waste Management, Inc. and WM Holdings.</w:t>
      </w:r>
    </w:p>
    <w:p>
      <w:pPr>
        <w:spacing w:after="0" w:line="8" w:lineRule="exact"/>
        <w:rPr>
          <w:rFonts w:ascii="Arial" w:cs="Arial" w:eastAsia="Arial" w:hAnsi="Arial"/>
          <w:sz w:val="18"/>
          <w:szCs w:val="18"/>
          <w:color w:val="auto"/>
        </w:rPr>
      </w:pPr>
    </w:p>
    <w:p>
      <w:pPr>
        <w:ind w:left="1000" w:hanging="307"/>
        <w:spacing w:after="0" w:line="286"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 w:lineRule="exact"/>
        <w:rPr>
          <w:rFonts w:ascii="Arial" w:cs="Arial" w:eastAsia="Arial" w:hAnsi="Arial"/>
          <w:sz w:val="17"/>
          <w:szCs w:val="17"/>
          <w:color w:val="auto"/>
        </w:rPr>
      </w:pPr>
    </w:p>
    <w:p>
      <w:pPr>
        <w:ind w:left="1000" w:right="240" w:hanging="307"/>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project bonds are used primarily by our Wheelabrator Group, which owns and operates waste-to-energy facilities and independent power production plants, to finance the development of the waste-to-energy facilities.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NOTES</w:t>
      </w:r>
    </w:p>
    <w:p>
      <w:pPr>
        <w:spacing w:after="0" w:line="135"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notes will be issued under and pursuant to an Indenture dated as of September 10, 1997, between us and The Bank of New York Mellon Trust Company, N.A. (the current successor to Texas Commerce Bank National Association), as Trustee. We will issue the notes pursuant to a resolution of our Board of Directors and accompanying officers’ certificate setting forth the specific terms applicable to the notes.</w:t>
      </w:r>
    </w:p>
    <w:p>
      <w:pPr>
        <w:spacing w:after="0" w:line="92"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form of which is available from us, for a complete description of our obligations and your rights.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w:t>
      </w:r>
    </w:p>
    <w:p>
      <w:pPr>
        <w:spacing w:after="0" w:line="131" w:lineRule="exact"/>
        <w:rPr>
          <w:sz w:val="20"/>
          <w:szCs w:val="20"/>
          <w:color w:val="auto"/>
        </w:rPr>
      </w:pPr>
    </w:p>
    <w:p>
      <w:pPr>
        <w:ind w:left="1300" w:hanging="202"/>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our general unsecured, senior obligations;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constitute a new series of debt securities issued under the Indenture and will be initially limited to an aggregate principal amount of $ million;</w:t>
      </w:r>
    </w:p>
    <w:p>
      <w:pPr>
        <w:spacing w:after="0" w:line="6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  mature on</w:t>
            </w:r>
          </w:p>
        </w:tc>
        <w:tc>
          <w:tcPr>
            <w:tcW w:w="720" w:type="dxa"/>
            <w:vAlign w:val="bottom"/>
          </w:tcPr>
          <w:p>
            <w:pPr>
              <w:jc w:val="right"/>
              <w:spacing w:after="0"/>
              <w:rPr>
                <w:sz w:val="20"/>
                <w:szCs w:val="20"/>
                <w:color w:val="auto"/>
              </w:rPr>
            </w:pPr>
            <w:r>
              <w:rPr>
                <w:rFonts w:ascii="Arial" w:cs="Arial" w:eastAsia="Arial" w:hAnsi="Arial"/>
                <w:sz w:val="18"/>
                <w:szCs w:val="18"/>
                <w:color w:val="auto"/>
              </w:rPr>
              <w:t>, 2039;</w:t>
            </w:r>
          </w:p>
        </w:tc>
      </w:tr>
    </w:tbl>
    <w:p>
      <w:pPr>
        <w:spacing w:after="0" w:line="94"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are unconditionally guaranteed by our wholly owned subsidiary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not be entitled to the benefit of any sinking fund;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minimum denominations of $2,000 and integral multiples of $1,000 in excess thereof; and</w:t>
      </w:r>
    </w:p>
    <w:p>
      <w:pPr>
        <w:spacing w:after="0" w:line="117" w:lineRule="exact"/>
        <w:rPr>
          <w:rFonts w:ascii="Arial" w:cs="Arial" w:eastAsia="Arial" w:hAnsi="Arial"/>
          <w:sz w:val="18"/>
          <w:szCs w:val="18"/>
          <w:color w:val="auto"/>
        </w:rPr>
      </w:pPr>
    </w:p>
    <w:p>
      <w:pPr>
        <w:jc w:val="both"/>
        <w:ind w:left="1300" w:right="100" w:hanging="202"/>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ectPr>
          <w:pgSz w:w="11900" w:h="16838" w:orient="portrait"/>
          <w:cols w:equalWidth="0" w:num="1">
            <w:col w:w="10620"/>
          </w:cols>
          <w:pgMar w:left="240" w:top="419" w:right="1039" w:bottom="1440" w:gutter="0" w:footer="0" w:header="0"/>
        </w:sectPr>
      </w:pPr>
    </w:p>
    <w:p>
      <w:pPr>
        <w:spacing w:after="0" w:line="131"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accrue on the notes at the rate of</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per annum;</w:t>
      </w:r>
    </w:p>
    <w:p>
      <w:pPr>
        <w:spacing w:after="0" w:line="139" w:lineRule="exact"/>
        <w:rPr>
          <w:sz w:val="20"/>
          <w:szCs w:val="20"/>
          <w:color w:val="auto"/>
        </w:rPr>
      </w:pPr>
    </w:p>
    <w:p>
      <w:pPr>
        <w:sectPr>
          <w:pgSz w:w="11900" w:h="16838" w:orient="portrait"/>
          <w:cols w:equalWidth="0" w:num="2">
            <w:col w:w="3640" w:space="220"/>
            <w:col w:w="676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accrue from November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2009 or the most recent interest payment date;</w:t>
      </w:r>
    </w:p>
    <w:p>
      <w:pPr>
        <w:spacing w:after="0" w:line="139" w:lineRule="exact"/>
        <w:rPr>
          <w:sz w:val="20"/>
          <w:szCs w:val="20"/>
          <w:color w:val="auto"/>
        </w:rPr>
      </w:pPr>
    </w:p>
    <w:p>
      <w:pPr>
        <w:sectPr>
          <w:pgSz w:w="11900" w:h="16838" w:orient="portrait"/>
          <w:cols w:equalWidth="0" w:num="2">
            <w:col w:w="2960" w:space="140"/>
            <w:col w:w="752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in cash semi-annually in arrears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2010;</w:t>
      </w:r>
    </w:p>
    <w:p>
      <w:pPr>
        <w:spacing w:after="0" w:line="139" w:lineRule="exact"/>
        <w:rPr>
          <w:sz w:val="20"/>
          <w:szCs w:val="20"/>
          <w:color w:val="auto"/>
        </w:rPr>
      </w:pPr>
    </w:p>
    <w:p>
      <w:pPr>
        <w:sectPr>
          <w:pgSz w:w="11900" w:h="16838" w:orient="portrait"/>
          <w:cols w:equalWidth="0" w:num="4">
            <w:col w:w="4640" w:space="480"/>
            <w:col w:w="260" w:space="500"/>
            <w:col w:w="1920" w:space="440"/>
            <w:col w:w="238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payable to holders of record on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immediately preceding the related interest payment dates; and</w:t>
      </w:r>
    </w:p>
    <w:p>
      <w:pPr>
        <w:spacing w:after="0" w:line="139" w:lineRule="exact"/>
        <w:rPr>
          <w:sz w:val="20"/>
          <w:szCs w:val="20"/>
          <w:color w:val="auto"/>
        </w:rPr>
      </w:pPr>
    </w:p>
    <w:p>
      <w:pPr>
        <w:sectPr>
          <w:pgSz w:w="11900" w:h="16838" w:orient="portrait"/>
          <w:cols w:equalWidth="0" w:num="3">
            <w:col w:w="4020" w:space="500"/>
            <w:col w:w="260" w:space="500"/>
            <w:col w:w="5340"/>
          </w:cols>
          <w:pgMar w:left="240" w:top="419" w:right="1039" w:bottom="1440" w:gutter="0" w:footer="0" w:header="0"/>
          <w:type w:val="continuous"/>
        </w:sect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be computed on the basis of a 360-day year consisting of twelve 30-day months.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Payment and Transfer</w:t>
      </w:r>
    </w:p>
    <w:p>
      <w:pPr>
        <w:spacing w:after="0" w:line="135" w:lineRule="exact"/>
        <w:rPr>
          <w:sz w:val="20"/>
          <w:szCs w:val="20"/>
          <w:color w:val="auto"/>
        </w:rPr>
      </w:pPr>
    </w:p>
    <w:p>
      <w:pPr>
        <w:ind w:left="700" w:right="260" w:firstLine="397"/>
        <w:spacing w:after="0" w:line="257"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on behalf (for the benefit) of The Bank of New York Mellon Trust Company, N.A., located at 101 Barclay Street, Floor 21 West, New York, New York 10286).</w:t>
      </w:r>
    </w:p>
    <w:p>
      <w:pPr>
        <w:spacing w:after="0" w:line="94" w:lineRule="exact"/>
        <w:rPr>
          <w:sz w:val="20"/>
          <w:szCs w:val="20"/>
          <w:color w:val="auto"/>
        </w:rPr>
      </w:pPr>
    </w:p>
    <w:p>
      <w:pPr>
        <w:ind w:left="700" w:right="100" w:firstLine="397"/>
        <w:spacing w:after="0" w:line="302"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on behalf (for the benefit) of The Bank of New York Mellon</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Trust Company, N.A., or by check mailed directly to registered holders at their registered addresses or by wire transfer to an account designated by a registered holder.</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notes will be redeemable and repayable, at our option, at any time in whole, or from time to time in part, at a price equal to the greater of:</w:t>
      </w:r>
    </w:p>
    <w:p>
      <w:pPr>
        <w:spacing w:after="0" w:line="76"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17" w:lineRule="exact"/>
        <w:rPr>
          <w:rFonts w:ascii="Arial" w:cs="Arial" w:eastAsia="Arial" w:hAnsi="Arial"/>
          <w:sz w:val="18"/>
          <w:szCs w:val="18"/>
          <w:color w:val="auto"/>
        </w:rPr>
      </w:pPr>
    </w:p>
    <w:p>
      <w:pPr>
        <w:ind w:left="1300" w:right="260" w:hanging="202"/>
        <w:spacing w:after="0" w:line="288"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 calculation of the redemption price) on the notes to be redeemed (exclusive of interest accrued to the date of redemption) discounted to the date of redemption on a semi-annual basis (assuming a 360-day year consisting of twelve 30-day months) at</w:t>
      </w:r>
    </w:p>
    <w:p>
      <w:pPr>
        <w:ind w:left="1300"/>
        <w:spacing w:after="0"/>
        <w:tabs>
          <w:tab w:leader="none" w:pos="4240" w:val="left"/>
        </w:tabs>
        <w:rPr>
          <w:sz w:val="20"/>
          <w:szCs w:val="20"/>
          <w:color w:val="auto"/>
        </w:rPr>
      </w:pPr>
      <w:r>
        <w:rPr>
          <w:rFonts w:ascii="Arial" w:cs="Arial" w:eastAsia="Arial" w:hAnsi="Arial"/>
          <w:sz w:val="18"/>
          <w:szCs w:val="18"/>
          <w:color w:val="auto"/>
        </w:rPr>
        <w:t>the applicable Treasury Yield plus</w:t>
      </w:r>
      <w:r>
        <w:rPr>
          <w:sz w:val="20"/>
          <w:szCs w:val="20"/>
          <w:color w:val="auto"/>
        </w:rPr>
        <w:tab/>
      </w:r>
      <w:r>
        <w:rPr>
          <w:rFonts w:ascii="Arial" w:cs="Arial" w:eastAsia="Arial" w:hAnsi="Arial"/>
          <w:sz w:val="16"/>
          <w:szCs w:val="16"/>
          <w:color w:val="auto"/>
        </w:rPr>
        <w:t>basis points;</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31" w:lineRule="exact"/>
        <w:rPr>
          <w:sz w:val="20"/>
          <w:szCs w:val="20"/>
          <w:color w:val="auto"/>
        </w:rPr>
      </w:pPr>
    </w:p>
    <w:p>
      <w:pPr>
        <w:ind w:left="700" w:right="60" w:firstLine="397"/>
        <w:spacing w:after="0" w:line="271" w:lineRule="auto"/>
        <w:rPr>
          <w:sz w:val="20"/>
          <w:szCs w:val="20"/>
          <w:color w:val="auto"/>
        </w:rPr>
      </w:pPr>
      <w:r>
        <w:rPr>
          <w:rFonts w:ascii="Arial" w:cs="Arial" w:eastAsia="Arial" w:hAnsi="Arial"/>
          <w:sz w:val="17"/>
          <w:szCs w:val="17"/>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84"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We are currently unaware of any circumstances under which we would redeem the notes.</w:t>
      </w:r>
    </w:p>
    <w:p>
      <w:pPr>
        <w:spacing w:after="0" w:line="9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131" w:lineRule="exact"/>
        <w:rPr>
          <w:sz w:val="20"/>
          <w:szCs w:val="20"/>
          <w:color w:val="auto"/>
        </w:rPr>
      </w:pPr>
    </w:p>
    <w:p>
      <w:pPr>
        <w:ind w:left="1080" w:right="20" w:firstLine="381"/>
        <w:spacing w:after="0" w:line="259"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92" w:lineRule="exact"/>
        <w:rPr>
          <w:sz w:val="20"/>
          <w:szCs w:val="20"/>
          <w:color w:val="auto"/>
        </w:rPr>
      </w:pPr>
    </w:p>
    <w:p>
      <w:pPr>
        <w:ind w:left="1080" w:right="100" w:firstLine="381"/>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an Independent Investment Banker as</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92" w:lineRule="exact"/>
        <w:rPr>
          <w:sz w:val="20"/>
          <w:szCs w:val="20"/>
          <w:color w:val="auto"/>
        </w:rPr>
      </w:pPr>
    </w:p>
    <w:p>
      <w:pPr>
        <w:ind w:left="1080" w:right="320" w:firstLine="381"/>
        <w:spacing w:after="0" w:line="277" w:lineRule="auto"/>
        <w:rPr>
          <w:sz w:val="20"/>
          <w:szCs w:val="20"/>
          <w:color w:val="auto"/>
        </w:rPr>
      </w:pPr>
      <w:r>
        <w:rPr>
          <w:rFonts w:ascii="Arial" w:cs="Arial" w:eastAsia="Arial" w:hAnsi="Arial"/>
          <w:sz w:val="18"/>
          <w:szCs w:val="18"/>
          <w:i w:val="1"/>
          <w:iCs w:val="1"/>
          <w:color w:val="auto"/>
        </w:rPr>
        <w:t xml:space="preserve">“Independent Investment Banker” </w:t>
      </w:r>
      <w:r>
        <w:rPr>
          <w:rFonts w:ascii="Arial" w:cs="Arial" w:eastAsia="Arial" w:hAnsi="Arial"/>
          <w:sz w:val="18"/>
          <w:szCs w:val="18"/>
          <w:color w:val="auto"/>
        </w:rPr>
        <w:t>means any of BNP Paribas Securities Corp., J.P. Morgan Securities, Inc., Scotia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(USA) Inc. and Wells Fargo Securities, LLC (and their respective successors), or, if all of</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700"/>
        <w:spacing w:after="0" w:line="277" w:lineRule="auto"/>
        <w:rPr>
          <w:sz w:val="20"/>
          <w:szCs w:val="20"/>
          <w:color w:val="auto"/>
        </w:rPr>
      </w:pPr>
      <w:r>
        <w:rPr>
          <w:rFonts w:ascii="Arial" w:cs="Arial" w:eastAsia="Arial" w:hAnsi="Arial"/>
          <w:sz w:val="18"/>
          <w:szCs w:val="18"/>
          <w:color w:val="auto"/>
        </w:rPr>
        <w:t>such firms are unwilling or unable to select the applicable Comparable Treasury Issue, an independent investment banking institution of national standing appointed by the Trustee and reasonably acceptable to us.</w:t>
      </w:r>
    </w:p>
    <w:p>
      <w:pPr>
        <w:spacing w:after="0" w:line="76" w:lineRule="exact"/>
        <w:rPr>
          <w:sz w:val="20"/>
          <w:szCs w:val="20"/>
          <w:color w:val="auto"/>
        </w:rPr>
      </w:pPr>
    </w:p>
    <w:p>
      <w:pPr>
        <w:ind w:left="1080" w:right="40" w:firstLine="381"/>
        <w:spacing w:after="0" w:line="272" w:lineRule="auto"/>
        <w:rPr>
          <w:sz w:val="20"/>
          <w:szCs w:val="20"/>
          <w:color w:val="auto"/>
        </w:rPr>
      </w:pPr>
      <w:r>
        <w:rPr>
          <w:rFonts w:ascii="Arial" w:cs="Arial" w:eastAsia="Arial" w:hAnsi="Arial"/>
          <w:sz w:val="17"/>
          <w:szCs w:val="17"/>
          <w:i w:val="1"/>
          <w:iCs w:val="1"/>
          <w:color w:val="auto"/>
        </w:rPr>
        <w:t xml:space="preserve">“Comparable Treasury Price” </w:t>
      </w:r>
      <w:r>
        <w:rPr>
          <w:rFonts w:ascii="Arial" w:cs="Arial" w:eastAsia="Arial" w:hAnsi="Arial"/>
          <w:sz w:val="17"/>
          <w:szCs w:val="17"/>
          <w:color w:val="auto"/>
        </w:rPr>
        <w:t>means, with respect to any redemption date, (a) the bid price for the Comparable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Issue (expressed as a percentage of its principal amount) at 4:00 p.m., New York City time, on the third business day preceding the redemption date, as set forth on “Telerate Page 500” (or such other page as may replace Telerate Page 500), or (b) if such page (or any successor page) is not displayed or does not contain such bid prices at such time (i) the average of the Reference Treasury Dealer Quotations obtained by 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83" w:lineRule="exact"/>
        <w:rPr>
          <w:sz w:val="20"/>
          <w:szCs w:val="20"/>
          <w:color w:val="auto"/>
        </w:rPr>
      </w:pPr>
    </w:p>
    <w:p>
      <w:pPr>
        <w:ind w:left="1080" w:right="60" w:firstLine="381"/>
        <w:spacing w:after="0" w:line="257" w:lineRule="auto"/>
        <w:rPr>
          <w:sz w:val="20"/>
          <w:szCs w:val="20"/>
          <w:color w:val="auto"/>
        </w:rPr>
      </w:pPr>
      <w:r>
        <w:rPr>
          <w:rFonts w:ascii="Arial" w:cs="Arial" w:eastAsia="Arial" w:hAnsi="Arial"/>
          <w:sz w:val="18"/>
          <w:szCs w:val="18"/>
          <w:i w:val="1"/>
          <w:iCs w:val="1"/>
          <w:color w:val="auto"/>
        </w:rPr>
        <w:t xml:space="preserve">“Reference Treasury Dealer” </w:t>
      </w:r>
      <w:r>
        <w:rPr>
          <w:rFonts w:ascii="Arial" w:cs="Arial" w:eastAsia="Arial" w:hAnsi="Arial"/>
          <w:sz w:val="18"/>
          <w:szCs w:val="18"/>
          <w:color w:val="auto"/>
        </w:rPr>
        <w:t>means (i) each of BNP Paribas Securities Corp., J.P. Morgan Securities Inc., a Primary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Dealer (as defined below) selected by Scotia Capital (USA) Inc., and a Primary Treasury Dealer (as defined below) selected by Wells Fargo Securities,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94" w:lineRule="exact"/>
        <w:rPr>
          <w:sz w:val="20"/>
          <w:szCs w:val="20"/>
          <w:color w:val="auto"/>
        </w:rPr>
      </w:pPr>
    </w:p>
    <w:p>
      <w:pPr>
        <w:ind w:left="1080" w:firstLine="381"/>
        <w:spacing w:after="0" w:line="279" w:lineRule="auto"/>
        <w:rPr>
          <w:sz w:val="20"/>
          <w:szCs w:val="20"/>
          <w:color w:val="auto"/>
        </w:rPr>
      </w:pPr>
      <w:r>
        <w:rPr>
          <w:rFonts w:ascii="Arial" w:cs="Arial" w:eastAsia="Arial" w:hAnsi="Arial"/>
          <w:sz w:val="17"/>
          <w:szCs w:val="17"/>
          <w:i w:val="1"/>
          <w:iCs w:val="1"/>
          <w:color w:val="auto"/>
        </w:rPr>
        <w:t xml:space="preserve">“Reference Treasury Dealer Quotations” </w:t>
      </w:r>
      <w:r>
        <w:rPr>
          <w:rFonts w:ascii="Arial" w:cs="Arial" w:eastAsia="Arial" w:hAnsi="Arial"/>
          <w:sz w:val="17"/>
          <w:szCs w:val="17"/>
          <w:color w:val="auto"/>
        </w:rPr>
        <w:t>means, with respect to each Reference Treasury Dealer and any redemption date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an average, 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77"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Defeasance</w:t>
      </w:r>
    </w:p>
    <w:p>
      <w:pPr>
        <w:spacing w:after="0" w:line="94"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Satisfaction and Discharge</w:t>
      </w:r>
    </w:p>
    <w:p>
      <w:pPr>
        <w:spacing w:after="0" w:line="94" w:lineRule="exact"/>
        <w:rPr>
          <w:sz w:val="20"/>
          <w:szCs w:val="20"/>
          <w:color w:val="auto"/>
        </w:rPr>
      </w:pPr>
    </w:p>
    <w:p>
      <w:pPr>
        <w:jc w:val="both"/>
        <w:ind w:left="700" w:right="340" w:firstLine="397"/>
        <w:spacing w:after="0" w:line="264"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60" w:lineRule="exact"/>
        <w:rPr>
          <w:sz w:val="20"/>
          <w:szCs w:val="20"/>
          <w:color w:val="auto"/>
        </w:rPr>
      </w:pPr>
    </w:p>
    <w:p>
      <w:pPr>
        <w:ind w:left="1720" w:hanging="249"/>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120" w:firstLine="372"/>
        <w:spacing w:after="0" w:line="312" w:lineRule="auto"/>
        <w:tabs>
          <w:tab w:leader="none" w:pos="209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1" w:lineRule="exact"/>
        <w:rPr>
          <w:rFonts w:ascii="Arial" w:cs="Arial" w:eastAsia="Arial" w:hAnsi="Arial"/>
          <w:sz w:val="16"/>
          <w:szCs w:val="16"/>
          <w:color w:val="auto"/>
        </w:rPr>
      </w:pPr>
    </w:p>
    <w:p>
      <w:pPr>
        <w:ind w:left="1480" w:right="100" w:firstLine="372"/>
        <w:spacing w:after="0" w:line="293" w:lineRule="auto"/>
        <w:tabs>
          <w:tab w:leader="none" w:pos="21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43" w:lineRule="exact"/>
        <w:rPr>
          <w:rFonts w:ascii="Arial" w:cs="Arial" w:eastAsia="Arial" w:hAnsi="Arial"/>
          <w:sz w:val="16"/>
          <w:szCs w:val="16"/>
          <w:color w:val="auto"/>
        </w:rPr>
      </w:pPr>
    </w:p>
    <w:p>
      <w:pPr>
        <w:ind w:left="1720" w:hanging="249"/>
        <w:spacing w:after="0"/>
        <w:tabs>
          <w:tab w:leader="none" w:pos="1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90" w:lineRule="exact"/>
        <w:rPr>
          <w:rFonts w:ascii="Arial" w:cs="Arial" w:eastAsia="Arial" w:hAnsi="Arial"/>
          <w:sz w:val="18"/>
          <w:szCs w:val="18"/>
          <w:color w:val="auto"/>
        </w:rPr>
      </w:pPr>
    </w:p>
    <w:p>
      <w:pPr>
        <w:ind w:left="1080" w:right="440" w:firstLine="391"/>
        <w:spacing w:after="0" w:line="308" w:lineRule="auto"/>
        <w:tabs>
          <w:tab w:leader="none" w:pos="17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2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Ranking</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76"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The Indenture does not limit the amount of debt securities that we may issue. From time to time, we may issue additional notes under the Indenture in separate series, each up to the aggregate amount authorized for such series, or we may reopen an existing series of notes under the Indenture by issuing further notes of the same series with substantially the same terms. See “— Further Issuances.”</w:t>
      </w:r>
    </w:p>
    <w:p>
      <w:pPr>
        <w:spacing w:after="0" w:line="52"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The notes will be structurally subordinated to all obligations of our operating subsidiaries, including claims of trade payables.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75" w:lineRule="exact"/>
        <w:rPr>
          <w:sz w:val="20"/>
          <w:szCs w:val="20"/>
          <w:color w:val="auto"/>
        </w:rPr>
      </w:pPr>
    </w:p>
    <w:p>
      <w:pPr>
        <w:ind w:left="700" w:right="400" w:firstLine="397"/>
        <w:spacing w:after="0" w:line="308" w:lineRule="auto"/>
        <w:rPr>
          <w:sz w:val="20"/>
          <w:szCs w:val="20"/>
          <w:color w:val="auto"/>
        </w:rPr>
      </w:pPr>
      <w:r>
        <w:rPr>
          <w:rFonts w:ascii="Arial" w:cs="Arial" w:eastAsia="Arial" w:hAnsi="Arial"/>
          <w:sz w:val="17"/>
          <w:szCs w:val="17"/>
          <w:color w:val="auto"/>
        </w:rPr>
        <w:t>As of September 30, 2009, our operating subsidiaries had $3.21 billion of indebtedness and WM Holdings had $637 million of indebtedness (excluding guarantees of $4.2 billion of our senior debt), in each case excluding intercompany loans.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Guarantee</w:t>
      </w:r>
    </w:p>
    <w:p>
      <w:pPr>
        <w:spacing w:after="0" w:line="135"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6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76"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Offer</w:t>
      </w:r>
    </w:p>
    <w:p>
      <w:pPr>
        <w:spacing w:after="0" w:line="135" w:lineRule="exact"/>
        <w:rPr>
          <w:sz w:val="20"/>
          <w:szCs w:val="20"/>
          <w:color w:val="auto"/>
        </w:rPr>
      </w:pPr>
    </w:p>
    <w:p>
      <w:pPr>
        <w:ind w:left="700" w:right="100" w:firstLine="397"/>
        <w:spacing w:after="0" w:line="297"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w:t>
      </w:r>
    </w:p>
    <w:p>
      <w:pPr>
        <w:spacing w:after="0" w:line="34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right of holders of record on the applicable record date to receive interest due on the next interest payment date.</w:t>
      </w:r>
    </w:p>
    <w:p>
      <w:pPr>
        <w:spacing w:after="0" w:line="131" w:lineRule="exact"/>
        <w:rPr>
          <w:sz w:val="20"/>
          <w:szCs w:val="20"/>
          <w:color w:val="auto"/>
        </w:rPr>
      </w:pPr>
    </w:p>
    <w:p>
      <w:pPr>
        <w:ind w:left="700" w:right="160" w:firstLine="397"/>
        <w:spacing w:after="0" w:line="272" w:lineRule="auto"/>
        <w:rPr>
          <w:sz w:val="20"/>
          <w:szCs w:val="20"/>
          <w:color w:val="auto"/>
        </w:rPr>
      </w:pPr>
      <w:r>
        <w:rPr>
          <w:rFonts w:ascii="Arial" w:cs="Arial" w:eastAsia="Arial" w:hAnsi="Arial"/>
          <w:sz w:val="17"/>
          <w:szCs w:val="17"/>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131"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accept for payment all notes or portions of notes properly tendered and not withdrawn pursuant to the change of control offer;</w:t>
      </w:r>
    </w:p>
    <w:p>
      <w:pPr>
        <w:spacing w:after="0" w:line="140" w:lineRule="exact"/>
        <w:rPr>
          <w:rFonts w:ascii="Arial" w:cs="Arial" w:eastAsia="Arial" w:hAnsi="Arial"/>
          <w:sz w:val="16"/>
          <w:szCs w:val="16"/>
          <w:color w:val="auto"/>
        </w:rPr>
      </w:pPr>
    </w:p>
    <w:p>
      <w:pPr>
        <w:ind w:left="1300" w:right="5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62"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131" w:lineRule="exact"/>
        <w:rPr>
          <w:sz w:val="20"/>
          <w:szCs w:val="20"/>
          <w:color w:val="auto"/>
        </w:rPr>
      </w:pPr>
    </w:p>
    <w:p>
      <w:pPr>
        <w:ind w:left="1080" w:right="20" w:firstLine="381"/>
        <w:spacing w:after="0" w:line="286" w:lineRule="auto"/>
        <w:rPr>
          <w:sz w:val="20"/>
          <w:szCs w:val="20"/>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means the occurrence of any of the following: (1) the direct or indirect sale, lease, transfer, conveyance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w:t>
      </w:r>
    </w:p>
    <w:p>
      <w:pPr>
        <w:spacing w:after="0" w:line="36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Directors are not continuing directors; or (5) the adoption of a plan relating to our liquidation or dissolution.</w:t>
      </w:r>
    </w:p>
    <w:p>
      <w:pPr>
        <w:spacing w:after="0" w:line="131" w:lineRule="exact"/>
        <w:rPr>
          <w:sz w:val="20"/>
          <w:szCs w:val="20"/>
          <w:color w:val="auto"/>
        </w:rPr>
      </w:pPr>
    </w:p>
    <w:p>
      <w:pPr>
        <w:ind w:left="1080" w:firstLine="381"/>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95"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131" w:lineRule="exact"/>
        <w:rPr>
          <w:sz w:val="20"/>
          <w:szCs w:val="20"/>
          <w:color w:val="auto"/>
        </w:rPr>
      </w:pPr>
    </w:p>
    <w:p>
      <w:pPr>
        <w:ind w:left="1080" w:right="20" w:firstLine="381"/>
        <w:spacing w:after="0" w:line="276" w:lineRule="auto"/>
        <w:rPr>
          <w:sz w:val="20"/>
          <w:szCs w:val="20"/>
          <w:color w:val="auto"/>
        </w:rPr>
      </w:pPr>
      <w:r>
        <w:rPr>
          <w:rFonts w:ascii="Arial" w:cs="Arial" w:eastAsia="Arial" w:hAnsi="Arial"/>
          <w:sz w:val="17"/>
          <w:szCs w:val="17"/>
          <w:i w:val="1"/>
          <w:iCs w:val="1"/>
          <w:color w:val="auto"/>
        </w:rPr>
        <w:t xml:space="preserve">“continuing directors” </w:t>
      </w:r>
      <w:r>
        <w:rPr>
          <w:rFonts w:ascii="Arial" w:cs="Arial" w:eastAsia="Arial" w:hAnsi="Arial"/>
          <w:sz w:val="17"/>
          <w:szCs w:val="17"/>
          <w:color w:val="auto"/>
        </w:rPr>
        <w:t>means, as of any date of determination, any member of our Board of Directors who (1) was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78"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131" w:lineRule="exact"/>
        <w:rPr>
          <w:sz w:val="20"/>
          <w:szCs w:val="20"/>
          <w:color w:val="auto"/>
        </w:rPr>
      </w:pPr>
    </w:p>
    <w:p>
      <w:pPr>
        <w:jc w:val="both"/>
        <w:ind w:left="1080" w:right="140" w:firstLine="381"/>
        <w:spacing w:after="0" w:line="264" w:lineRule="auto"/>
        <w:rPr>
          <w:sz w:val="20"/>
          <w:szCs w:val="20"/>
          <w:color w:val="auto"/>
        </w:rPr>
      </w:pPr>
      <w:r>
        <w:rPr>
          <w:rFonts w:ascii="Arial" w:cs="Arial" w:eastAsia="Arial" w:hAnsi="Arial"/>
          <w:sz w:val="18"/>
          <w:szCs w:val="18"/>
          <w:i w:val="1"/>
          <w:iCs w:val="1"/>
          <w:color w:val="auto"/>
        </w:rPr>
        <w:t xml:space="preserve">“investment grade rating” </w:t>
      </w:r>
      <w:r>
        <w:rPr>
          <w:rFonts w:ascii="Arial" w:cs="Arial" w:eastAsia="Arial" w:hAnsi="Arial"/>
          <w:sz w:val="18"/>
          <w:szCs w:val="18"/>
          <w:color w:val="auto"/>
        </w:rPr>
        <w:t>means a rating equal to or higher than BBB- (or the equivalent) by Fitch, Baa3 (or the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by Moody’s and BBB- (or the equivalent) by S&amp;P, and the equivalent investment grade credit rating from any replacement rating agency or rating agencies selected by us.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131" w:lineRule="exact"/>
        <w:rPr>
          <w:sz w:val="20"/>
          <w:szCs w:val="20"/>
          <w:color w:val="auto"/>
        </w:rPr>
      </w:pPr>
    </w:p>
    <w:p>
      <w:pPr>
        <w:ind w:left="1080" w:right="40" w:firstLine="381"/>
        <w:spacing w:after="0" w:line="302" w:lineRule="auto"/>
        <w:rPr>
          <w:sz w:val="20"/>
          <w:szCs w:val="20"/>
          <w:color w:val="auto"/>
        </w:rPr>
      </w:pPr>
      <w:r>
        <w:rPr>
          <w:rFonts w:ascii="Arial" w:cs="Arial" w:eastAsia="Arial" w:hAnsi="Arial"/>
          <w:sz w:val="16"/>
          <w:szCs w:val="16"/>
          <w:i w:val="1"/>
          <w:iCs w:val="1"/>
          <w:color w:val="auto"/>
        </w:rPr>
        <w:t xml:space="preserve">“rating agencies” </w:t>
      </w:r>
      <w:r>
        <w:rPr>
          <w:rFonts w:ascii="Arial" w:cs="Arial" w:eastAsia="Arial" w:hAnsi="Arial"/>
          <w:sz w:val="16"/>
          <w:szCs w:val="16"/>
          <w:color w:val="auto"/>
        </w:rPr>
        <w:t>means (1) each of Fitch, Moody’s and S&amp;P and (2) if any of Fitch, Moody’s or S&amp;P ceases to rate the notes</w:t>
      </w:r>
      <w:r>
        <w:rPr>
          <w:rFonts w:ascii="Arial" w:cs="Arial" w:eastAsia="Arial" w:hAnsi="Arial"/>
          <w:sz w:val="16"/>
          <w:szCs w:val="16"/>
          <w:i w:val="1"/>
          <w:iCs w:val="1"/>
          <w:color w:val="auto"/>
        </w:rPr>
        <w:t xml:space="preserve"> </w:t>
      </w:r>
      <w:r>
        <w:rPr>
          <w:rFonts w:ascii="Arial" w:cs="Arial" w:eastAsia="Arial" w:hAnsi="Arial"/>
          <w:sz w:val="16"/>
          <w:szCs w:val="16"/>
          <w:color w:val="auto"/>
        </w:rPr>
        <w:t>or fails to make a rating of the notes publicly available for reasons outside of our control, a “nationally recognized statistical rating organization” within the meaning of Rule 15c3-1(c)(2)(vi)(F) under the Exchange Act selected by us (as certified by a resolution of our Board of Directors) as a replacement agency for Fitch, Moody’s or S&amp;P, or all of them, as the case may be.</w:t>
      </w:r>
    </w:p>
    <w:p>
      <w:pPr>
        <w:spacing w:after="0" w:line="60" w:lineRule="exact"/>
        <w:rPr>
          <w:sz w:val="20"/>
          <w:szCs w:val="20"/>
          <w:color w:val="auto"/>
        </w:rPr>
      </w:pPr>
    </w:p>
    <w:p>
      <w:pPr>
        <w:ind w:left="1080" w:right="280" w:firstLine="381"/>
        <w:spacing w:after="0" w:line="297" w:lineRule="auto"/>
        <w:rPr>
          <w:sz w:val="20"/>
          <w:szCs w:val="20"/>
          <w:color w:val="auto"/>
        </w:rPr>
      </w:pPr>
      <w:r>
        <w:rPr>
          <w:rFonts w:ascii="Arial" w:cs="Arial" w:eastAsia="Arial" w:hAnsi="Arial"/>
          <w:sz w:val="16"/>
          <w:szCs w:val="16"/>
          <w:i w:val="1"/>
          <w:iCs w:val="1"/>
          <w:color w:val="auto"/>
        </w:rPr>
        <w:t xml:space="preserve">“rating event” </w:t>
      </w:r>
      <w:r>
        <w:rPr>
          <w:rFonts w:ascii="Arial" w:cs="Arial" w:eastAsia="Arial" w:hAnsi="Arial"/>
          <w:sz w:val="16"/>
          <w:szCs w:val="16"/>
          <w:color w:val="auto"/>
        </w:rPr>
        <w:t>means the rating on the notes is lowered by at least two of the three rating agencies and the notes are rated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64" w:lineRule="exact"/>
        <w:rPr>
          <w:sz w:val="20"/>
          <w:szCs w:val="20"/>
          <w:color w:val="auto"/>
        </w:rPr>
      </w:pPr>
    </w:p>
    <w:p>
      <w:pPr>
        <w:ind w:left="1480"/>
        <w:spacing w:after="0"/>
        <w:rPr>
          <w:sz w:val="20"/>
          <w:szCs w:val="20"/>
          <w:color w:val="auto"/>
        </w:rPr>
      </w:pPr>
      <w:r>
        <w:rPr>
          <w:rFonts w:ascii="Arial" w:cs="Arial" w:eastAsia="Arial" w:hAnsi="Arial"/>
          <w:sz w:val="17"/>
          <w:szCs w:val="17"/>
          <w:i w:val="1"/>
          <w:iCs w:val="1"/>
          <w:color w:val="auto"/>
        </w:rPr>
        <w:t xml:space="preserve">“S&amp;P” </w:t>
      </w:r>
      <w:r>
        <w:rPr>
          <w:rFonts w:ascii="Arial" w:cs="Arial" w:eastAsia="Arial" w:hAnsi="Arial"/>
          <w:sz w:val="17"/>
          <w:szCs w:val="17"/>
          <w:color w:val="auto"/>
        </w:rPr>
        <w:t>means Standard &amp; Poor’s Ratings Services, a division of The McGraw-Hill Companies, Inc., and its successors.</w:t>
      </w:r>
    </w:p>
    <w:p>
      <w:pPr>
        <w:spacing w:after="0" w:line="142" w:lineRule="exact"/>
        <w:rPr>
          <w:sz w:val="20"/>
          <w:szCs w:val="20"/>
          <w:color w:val="auto"/>
        </w:rPr>
      </w:pPr>
    </w:p>
    <w:p>
      <w:pPr>
        <w:ind w:left="1080" w:right="80" w:firstLine="381"/>
        <w:spacing w:after="0" w:line="264"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date, the capital stock of such person that is at the time entitled to vote generally in the election of the board of directors of such person.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Covenants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131"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Further Issuances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S.A.,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offered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99"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The notes in the form of one or more global notes will be registered in the name of DTC or a nominee of DTC. Where appropriate, links will be established among DTC, Euroclear and Clearstream to facilitate the initial issuance of any notes sold outside of the United States and cross-market transfers of the notes associated with secondary market trading. While the following information concerning DTC, Euroclear and Clearstream and their respective book-entry systems has been obtained from sources that we believe to be reliable, we take no responsibility for the accuracy of that information.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DTC</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has advised us and the underwriters as follows:</w:t>
      </w:r>
    </w:p>
    <w:p>
      <w:pPr>
        <w:spacing w:after="0" w:line="131" w:lineRule="exact"/>
        <w:rPr>
          <w:sz w:val="20"/>
          <w:szCs w:val="20"/>
          <w:color w:val="auto"/>
        </w:rPr>
      </w:pPr>
    </w:p>
    <w:p>
      <w:pPr>
        <w:ind w:left="1300" w:hanging="202"/>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78"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DTC holds securities for its participating organizations, referred to as “direct DTC participants,” and facilitates the clearance and settlement of securities transactions, such as transfers and pledges, in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720"/>
        <w:spacing w:after="0" w:line="277" w:lineRule="auto"/>
        <w:rPr>
          <w:sz w:val="20"/>
          <w:szCs w:val="20"/>
          <w:color w:val="auto"/>
        </w:rPr>
      </w:pPr>
      <w:r>
        <w:rPr>
          <w:rFonts w:ascii="Arial" w:cs="Arial" w:eastAsia="Arial" w:hAnsi="Arial"/>
          <w:sz w:val="18"/>
          <w:szCs w:val="18"/>
          <w:color w:val="auto"/>
        </w:rPr>
        <w:t>deposited securities, through electronic computerized book-entry changes in direct DTC participants’ accounts, thereby eliminating the need for physical movement of securities certificates.</w:t>
      </w:r>
    </w:p>
    <w:p>
      <w:pPr>
        <w:spacing w:after="0" w:line="76" w:lineRule="exact"/>
        <w:rPr>
          <w:sz w:val="20"/>
          <w:szCs w:val="20"/>
          <w:color w:val="auto"/>
        </w:rPr>
      </w:pPr>
    </w:p>
    <w:p>
      <w:pPr>
        <w:ind w:left="1300" w:right="20" w:hanging="202"/>
        <w:spacing w:after="0" w:line="279"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3" w:lineRule="exact"/>
        <w:rPr>
          <w:rFonts w:ascii="Arial" w:cs="Arial" w:eastAsia="Arial" w:hAnsi="Arial"/>
          <w:sz w:val="17"/>
          <w:szCs w:val="17"/>
          <w:color w:val="auto"/>
        </w:rPr>
      </w:pPr>
    </w:p>
    <w:p>
      <w:pPr>
        <w:ind w:left="1300" w:right="240" w:hanging="202"/>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rules applicable to DTC and its direct and indirect participants are on file with the Securities and Exchange Commission.</w:t>
      </w:r>
    </w:p>
    <w:p>
      <w:pPr>
        <w:spacing w:after="0" w:line="154" w:lineRule="exact"/>
        <w:rPr>
          <w:sz w:val="20"/>
          <w:szCs w:val="20"/>
          <w:color w:val="auto"/>
        </w:rPr>
      </w:pPr>
    </w:p>
    <w:p>
      <w:pPr>
        <w:ind w:left="700" w:right="40" w:firstLine="397"/>
        <w:spacing w:after="0" w:line="271" w:lineRule="auto"/>
        <w:rPr>
          <w:sz w:val="20"/>
          <w:szCs w:val="20"/>
          <w:color w:val="auto"/>
        </w:rPr>
      </w:pPr>
      <w:r>
        <w:rPr>
          <w:rFonts w:ascii="Arial" w:cs="Arial" w:eastAsia="Arial" w:hAnsi="Arial"/>
          <w:sz w:val="17"/>
          <w:szCs w:val="17"/>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84" w:lineRule="exact"/>
        <w:rPr>
          <w:sz w:val="20"/>
          <w:szCs w:val="20"/>
          <w:color w:val="auto"/>
        </w:rPr>
      </w:pPr>
    </w:p>
    <w:p>
      <w:pPr>
        <w:ind w:left="700" w:right="180" w:firstLine="397"/>
        <w:spacing w:after="0" w:line="273" w:lineRule="auto"/>
        <w:rPr>
          <w:sz w:val="20"/>
          <w:szCs w:val="20"/>
          <w:color w:val="auto"/>
        </w:rPr>
      </w:pPr>
      <w:r>
        <w:rPr>
          <w:rFonts w:ascii="Arial" w:cs="Arial" w:eastAsia="Arial" w:hAnsi="Arial"/>
          <w:sz w:val="17"/>
          <w:szCs w:val="17"/>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84"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87"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7"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77"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92" w:lineRule="exact"/>
        <w:rPr>
          <w:sz w:val="20"/>
          <w:szCs w:val="20"/>
          <w:color w:val="auto"/>
        </w:rPr>
      </w:pPr>
    </w:p>
    <w:p>
      <w:pPr>
        <w:ind w:left="700" w:right="660" w:firstLine="397"/>
        <w:spacing w:after="0" w:line="277" w:lineRule="auto"/>
        <w:rPr>
          <w:sz w:val="20"/>
          <w:szCs w:val="20"/>
          <w:color w:val="auto"/>
        </w:rPr>
      </w:pPr>
      <w:r>
        <w:rPr>
          <w:rFonts w:ascii="Arial" w:cs="Arial" w:eastAsia="Arial" w:hAnsi="Arial"/>
          <w:sz w:val="18"/>
          <w:szCs w:val="18"/>
          <w:color w:val="auto"/>
        </w:rPr>
        <w:t>All payments on the global notes will be made to Cede &amp; Co., or such other nominee as may be requested by an authorized representative of DTC. DTC’s practice is to credit direct DTC participants’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1" w:lineRule="auto"/>
        <w:rPr>
          <w:sz w:val="20"/>
          <w:szCs w:val="20"/>
          <w:color w:val="auto"/>
        </w:rPr>
      </w:pPr>
      <w:r>
        <w:rPr>
          <w:rFonts w:ascii="Arial" w:cs="Arial" w:eastAsia="Arial" w:hAnsi="Arial"/>
          <w:sz w:val="17"/>
          <w:szCs w:val="17"/>
          <w:color w:val="auto"/>
        </w:rPr>
        <w:t>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84"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60"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92" w:lineRule="exact"/>
        <w:rPr>
          <w:sz w:val="20"/>
          <w:szCs w:val="20"/>
          <w:color w:val="auto"/>
        </w:rPr>
      </w:pPr>
    </w:p>
    <w:p>
      <w:pPr>
        <w:ind w:left="700" w:right="440" w:firstLine="397"/>
        <w:spacing w:after="0" w:line="342" w:lineRule="auto"/>
        <w:rPr>
          <w:sz w:val="20"/>
          <w:szCs w:val="20"/>
          <w:color w:val="auto"/>
        </w:rPr>
      </w:pPr>
      <w:r>
        <w:rPr>
          <w:rFonts w:ascii="Arial" w:cs="Arial" w:eastAsia="Arial" w:hAnsi="Arial"/>
          <w:sz w:val="16"/>
          <w:szCs w:val="16"/>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Euroclear</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8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Euroclear Operator is a Belgian bank, which is regulated and examined by the Belgian Banking Commission and the National Bank of Belgium.</w:t>
      </w:r>
    </w:p>
    <w:p>
      <w:pPr>
        <w:spacing w:after="0" w:line="76"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92"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behalf of Euroclear participants and has no record of or relationship with persons holding securities through Euroclear participants.</w:t>
      </w:r>
    </w:p>
    <w:p>
      <w:pPr>
        <w:spacing w:after="0" w:line="142" w:lineRule="exact"/>
        <w:rPr>
          <w:sz w:val="20"/>
          <w:szCs w:val="20"/>
          <w:color w:val="auto"/>
        </w:rPr>
      </w:pPr>
    </w:p>
    <w:p>
      <w:pPr>
        <w:ind w:left="700" w:right="400" w:firstLine="397"/>
        <w:spacing w:after="0" w:line="342" w:lineRule="auto"/>
        <w:rPr>
          <w:sz w:val="20"/>
          <w:szCs w:val="20"/>
          <w:color w:val="auto"/>
        </w:rPr>
      </w:pPr>
      <w:r>
        <w:rPr>
          <w:rFonts w:ascii="Arial" w:cs="Arial" w:eastAsia="Arial" w:hAnsi="Arial"/>
          <w:sz w:val="16"/>
          <w:szCs w:val="16"/>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2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an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84" w:lineRule="exact"/>
        <w:rPr>
          <w:sz w:val="20"/>
          <w:szCs w:val="20"/>
          <w:color w:val="auto"/>
        </w:rPr>
      </w:pPr>
    </w:p>
    <w:p>
      <w:pPr>
        <w:ind w:left="700" w:right="1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When a Euroclear participant wishes to transfer the notes to a direct DTC participant, the seller will be required to send instructions to Euroclear through an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84"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Clearstream</w:t>
      </w:r>
    </w:p>
    <w:p>
      <w:pPr>
        <w:spacing w:after="0" w:line="135"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Clearstream was incorporated as a limited liability company under Luxembourg law. Clearstream is owned by Cedel International, société anonyme, and Deutsche Börse AG. The shareholders of these two entities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84"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36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84"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77"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84" w:lineRule="exact"/>
        <w:rPr>
          <w:sz w:val="20"/>
          <w:szCs w:val="20"/>
          <w:color w:val="auto"/>
        </w:rPr>
      </w:pPr>
    </w:p>
    <w:p>
      <w:pPr>
        <w:jc w:val="both"/>
        <w:ind w:left="700" w:right="80" w:firstLine="397"/>
        <w:spacing w:after="0" w:line="302" w:lineRule="auto"/>
        <w:rPr>
          <w:sz w:val="20"/>
          <w:szCs w:val="20"/>
          <w:color w:val="auto"/>
        </w:rPr>
      </w:pPr>
      <w:r>
        <w:rPr>
          <w:rFonts w:ascii="Arial" w:cs="Arial" w:eastAsia="Arial" w:hAnsi="Arial"/>
          <w:sz w:val="16"/>
          <w:szCs w:val="16"/>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3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80" w:firstLine="397"/>
        <w:spacing w:after="0" w:line="308" w:lineRule="auto"/>
        <w:rPr>
          <w:sz w:val="20"/>
          <w:szCs w:val="20"/>
          <w:color w:val="auto"/>
        </w:rPr>
      </w:pPr>
      <w:r>
        <w:rPr>
          <w:rFonts w:ascii="Arial" w:cs="Arial" w:eastAsia="Arial" w:hAnsi="Arial"/>
          <w:sz w:val="17"/>
          <w:szCs w:val="17"/>
          <w:color w:val="auto"/>
        </w:rPr>
        <w:t>BNP Paribas Securities Corp., J.P. Morgan Securities Inc., Scotia Capital (USA) Inc. and Wells Fargo Securities, LLC are acting as joint book-running and joint lead managers of the offering and as representatives of the underwriters named below.</w:t>
      </w:r>
    </w:p>
    <w:p>
      <w:pPr>
        <w:spacing w:after="0" w:line="52"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62"/>
        </w:trPr>
        <w:tc>
          <w:tcPr>
            <w:tcW w:w="5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4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5580" w:type="dxa"/>
            <w:vAlign w:val="bottom"/>
            <w:gridSpan w:val="3"/>
            <w:vMerge w:val="continue"/>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5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4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3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3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4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7"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concessions applicable to the notes.</w:t>
      </w:r>
    </w:p>
    <w:p>
      <w:pPr>
        <w:spacing w:after="0" w:line="94"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70" w:lineRule="exact"/>
        <w:rPr>
          <w:sz w:val="20"/>
          <w:szCs w:val="20"/>
          <w:color w:val="auto"/>
        </w:rPr>
      </w:pPr>
    </w:p>
    <w:p>
      <w:pPr>
        <w:ind w:left="700" w:right="440" w:firstLine="397"/>
        <w:spacing w:after="0" w:line="264"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estimate that our total expenses for this offering will be $650,000.</w:t>
      </w:r>
    </w:p>
    <w:p>
      <w:pPr>
        <w:spacing w:after="0" w:line="131"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29"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36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the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 (a) to legal entities which are authorized or regulated to operate in the financial markets or, if not so authorized or regulated, whose corporate purpose is solely to invest in securities; (b) to any legal entity which has two or more of (1) an average of at least 250 employees during the last financial year, (2) a total balance sheet of more than €43,000,000 and (3) an annual net turnover of more than €50,000,000, as shown in its last annual or consolidated accounts; (c) to fewer than 100 natural or legal persons (other than qualified investors as defined in the Prospective Directive) subject to obtaining the prior consent of the manager for any such offer; or (d) in any other circumstances which do not require the publication by us of a prospectus pursuant to Article 3 of the Prospectus Directive. For the purposes of this provision, the term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for notes, as the same may be varied in that Relevant Member State by any measure implementing the Prospectus Directive in that Relevant Member State and the term “Prospectus Directive” means Directive 2003/71/EC and includes any relevant implementing measure in each Relevant Member State.</w:t>
      </w:r>
    </w:p>
    <w:p>
      <w:pPr>
        <w:spacing w:after="0" w:line="78"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FMSA does not apply to us.</w:t>
      </w:r>
    </w:p>
    <w:p>
      <w:pPr>
        <w:spacing w:after="0" w:line="64"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and investment banking services for us, for which they have received or will receive customary fees and expense reimbursements.</w:t>
      </w: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2008 including the schedule appearing therein, and the effectiveness of Waste Management’s internal control over financial reporting as of December 31, 2008,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231775</wp:posOffset>
            </wp:positionV>
            <wp:extent cx="1380490" cy="47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049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19"/>
        <w:spacing w:after="0"/>
        <w:rPr>
          <w:sz w:val="20"/>
          <w:szCs w:val="20"/>
          <w:color w:val="auto"/>
        </w:rPr>
      </w:pPr>
      <w:r>
        <w:rPr>
          <w:rFonts w:ascii="Arial" w:cs="Arial" w:eastAsia="Arial" w:hAnsi="Arial"/>
          <w:sz w:val="43"/>
          <w:szCs w:val="43"/>
          <w:b w:val="1"/>
          <w:bCs w:val="1"/>
          <w:color w:val="auto"/>
        </w:rPr>
        <w:t>WASTE MANAGEMENT, INC.</w:t>
      </w:r>
    </w:p>
    <w:p>
      <w:pPr>
        <w:spacing w:after="0" w:line="147"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DEBT SECURITIES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COMMON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GUARANTEES</w:t>
      </w:r>
    </w:p>
    <w:p>
      <w:pPr>
        <w:spacing w:after="0" w:line="1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UNITS</w:t>
      </w:r>
    </w:p>
    <w:p>
      <w:pPr>
        <w:spacing w:after="0" w:line="112"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76" w:lineRule="exact"/>
        <w:rPr>
          <w:sz w:val="20"/>
          <w:szCs w:val="20"/>
          <w:color w:val="auto"/>
        </w:rPr>
      </w:pPr>
    </w:p>
    <w:p>
      <w:pPr>
        <w:jc w:val="both"/>
        <w:ind w:left="700" w:firstLine="397"/>
        <w:spacing w:after="0" w:line="264"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118" w:lineRule="exact"/>
        <w:rPr>
          <w:sz w:val="20"/>
          <w:szCs w:val="20"/>
          <w:color w:val="auto"/>
        </w:rPr>
      </w:pPr>
    </w:p>
    <w:p>
      <w:pPr>
        <w:jc w:val="both"/>
        <w:ind w:left="700" w:right="360" w:firstLine="496"/>
        <w:spacing w:after="0" w:line="301" w:lineRule="auto"/>
        <w:rPr>
          <w:sz w:val="20"/>
          <w:szCs w:val="20"/>
          <w:color w:val="auto"/>
        </w:rPr>
      </w:pPr>
      <w:r>
        <w:rPr>
          <w:rFonts w:ascii="Arial" w:cs="Arial" w:eastAsia="Arial" w:hAnsi="Arial"/>
          <w:sz w:val="19"/>
          <w:szCs w:val="19"/>
          <w:b w:val="1"/>
          <w:bCs w:val="1"/>
          <w:color w:val="auto"/>
        </w:rPr>
        <w:t>Investing in our securities involves risks. See “Risk Factors”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113030</wp:posOffset>
            </wp:positionV>
            <wp:extent cx="11322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87" w:lineRule="exact"/>
        <w:rPr>
          <w:sz w:val="20"/>
          <w:szCs w:val="20"/>
          <w:color w:val="auto"/>
        </w:rPr>
      </w:pPr>
    </w:p>
    <w:p>
      <w:pPr>
        <w:ind w:left="700" w:right="480" w:firstLine="397"/>
        <w:spacing w:after="0" w:line="342" w:lineRule="auto"/>
        <w:rPr>
          <w:sz w:val="20"/>
          <w:szCs w:val="20"/>
          <w:color w:val="auto"/>
        </w:rPr>
      </w:pPr>
      <w:r>
        <w:rPr>
          <w:rFonts w:ascii="Arial" w:cs="Arial" w:eastAsia="Arial" w:hAnsi="Arial"/>
          <w:sz w:val="16"/>
          <w:szCs w:val="16"/>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96520</wp:posOffset>
            </wp:positionV>
            <wp:extent cx="11322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This prospectus is dated September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1" w:name="page32"/>
    <w:bookmarkEnd w:id="31"/>
    <w:p>
      <w:pPr>
        <w:ind w:right="40" w:firstLine="397"/>
        <w:spacing w:after="0" w:line="261" w:lineRule="auto"/>
        <w:rPr>
          <w:sz w:val="20"/>
          <w:szCs w:val="20"/>
          <w:color w:val="auto"/>
        </w:rPr>
      </w:pPr>
      <w:r>
        <w:rPr>
          <w:rFonts w:ascii="Arial" w:cs="Arial" w:eastAsia="Arial" w:hAnsi="Arial"/>
          <w:sz w:val="18"/>
          <w:szCs w:val="18"/>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60" w:type="dxa"/>
            <w:vAlign w:val="bottom"/>
          </w:tcPr>
          <w:p>
            <w:pPr>
              <w:jc w:val="right"/>
              <w:ind w:right="3850"/>
              <w:spacing w:after="0"/>
              <w:rPr>
                <w:sz w:val="20"/>
                <w:szCs w:val="20"/>
                <w:color w:val="auto"/>
              </w:rPr>
            </w:pPr>
            <w:r>
              <w:rPr>
                <w:rFonts w:ascii="Arial" w:cs="Arial" w:eastAsia="Arial" w:hAnsi="Arial"/>
                <w:sz w:val="18"/>
                <w:szCs w:val="18"/>
                <w:b w:val="1"/>
                <w:bCs w:val="1"/>
                <w:color w:val="auto"/>
              </w:rPr>
              <w:t>TABLE OF CONTENTS</w:t>
            </w:r>
          </w:p>
        </w:tc>
      </w:tr>
      <w:tr>
        <w:trPr>
          <w:trHeight w:val="419"/>
        </w:trPr>
        <w:tc>
          <w:tcPr>
            <w:tcW w:w="38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About This Prospectus</w:t>
              </w:r>
            </w:hyperlink>
          </w:p>
        </w:tc>
        <w:tc>
          <w:tcPr>
            <w:tcW w:w="460" w:type="dxa"/>
            <w:vAlign w:val="bottom"/>
            <w:tcBorders>
              <w:top w:val="single" w:sz="8" w:color="0000EE"/>
            </w:tcBorders>
            <w:gridSpan w:val="4"/>
          </w:tcPr>
          <w:p>
            <w:pPr>
              <w:spacing w:after="0"/>
              <w:rPr>
                <w:sz w:val="17"/>
                <w:szCs w:val="17"/>
                <w:color w:val="auto"/>
              </w:rPr>
            </w:pPr>
          </w:p>
        </w:tc>
        <w:tc>
          <w:tcPr>
            <w:tcW w:w="1700" w:type="dxa"/>
            <w:vAlign w:val="bottom"/>
            <w:gridSpan w:val="6"/>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800" w:type="dxa"/>
            <w:vAlign w:val="bottom"/>
            <w:gridSpan w:val="17"/>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Incorporation of Certain Documents by Reference</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Where You Can Find More Information</w:t>
              </w:r>
            </w:hyperlink>
          </w:p>
        </w:tc>
        <w:tc>
          <w:tcPr>
            <w:tcW w:w="7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The Company</w:t>
              </w:r>
            </w:hyperlink>
          </w:p>
        </w:tc>
        <w:tc>
          <w:tcPr>
            <w:tcW w:w="2780" w:type="dxa"/>
            <w:vAlign w:val="bottom"/>
            <w:gridSpan w:val="13"/>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2900" w:type="dxa"/>
            <w:vAlign w:val="bottom"/>
            <w:gridSpan w:val="15"/>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Ratio of Earnings to Fixed Charges</w:t>
              </w:r>
            </w:hyperlink>
          </w:p>
        </w:tc>
        <w:tc>
          <w:tcPr>
            <w:tcW w:w="1260" w:type="dxa"/>
            <w:vAlign w:val="bottom"/>
            <w:gridSpan w:val="3"/>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Use of Proceeds</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the Debt Securities</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4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Guarantees</w:t>
              </w:r>
            </w:hyperlink>
          </w:p>
        </w:tc>
        <w:tc>
          <w:tcPr>
            <w:tcW w:w="1360" w:type="dxa"/>
            <w:vAlign w:val="bottom"/>
            <w:gridSpan w:val="4"/>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Capital Stock</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Other Securities</w:t>
              </w:r>
            </w:hyperlink>
          </w:p>
        </w:tc>
        <w:tc>
          <w:tcPr>
            <w:tcW w:w="1560" w:type="dxa"/>
            <w:vAlign w:val="bottom"/>
            <w:gridSpan w:val="5"/>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Selling Securityholders</w:t>
              </w:r>
            </w:hyperlink>
          </w:p>
        </w:tc>
        <w:tc>
          <w:tcPr>
            <w:tcW w:w="2120" w:type="dxa"/>
            <w:vAlign w:val="bottom"/>
            <w:gridSpan w:val="9"/>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Legal Matters</w:t>
              </w:r>
            </w:hyperlink>
          </w:p>
        </w:tc>
        <w:tc>
          <w:tcPr>
            <w:tcW w:w="2800" w:type="dxa"/>
            <w:vAlign w:val="bottom"/>
            <w:gridSpan w:val="14"/>
          </w:tcPr>
          <w:p>
            <w:pPr>
              <w:spacing w:after="0"/>
              <w:rPr>
                <w:sz w:val="17"/>
                <w:szCs w:val="17"/>
                <w:color w:val="auto"/>
              </w:rPr>
            </w:pPr>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800" w:type="dxa"/>
            <w:vAlign w:val="bottom"/>
            <w:gridSpan w:val="1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6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40" w:firstLine="397"/>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73" w:lineRule="exact"/>
        <w:rPr>
          <w:sz w:val="20"/>
          <w:szCs w:val="20"/>
          <w:color w:val="auto"/>
        </w:rPr>
      </w:pPr>
    </w:p>
    <w:p>
      <w:pPr>
        <w:ind w:right="80" w:firstLine="397"/>
        <w:spacing w:after="0" w:line="286"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96" w:lineRule="exact"/>
        <w:rPr>
          <w:sz w:val="20"/>
          <w:szCs w:val="20"/>
          <w:color w:val="auto"/>
        </w:rPr>
      </w:pPr>
    </w:p>
    <w:p>
      <w:pPr>
        <w:ind w:left="600" w:hanging="202"/>
        <w:spacing w:after="0" w:line="342"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73"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117"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7" w:lineRule="exact"/>
        <w:rPr>
          <w:rFonts w:ascii="Arial" w:cs="Arial" w:eastAsia="Arial" w:hAnsi="Arial"/>
          <w:sz w:val="17"/>
          <w:szCs w:val="17"/>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62" w:lineRule="exact"/>
        <w:rPr>
          <w:rFonts w:ascii="Arial" w:cs="Arial" w:eastAsia="Arial" w:hAnsi="Arial"/>
          <w:sz w:val="18"/>
          <w:szCs w:val="18"/>
          <w:color w:val="auto"/>
        </w:rPr>
      </w:pPr>
    </w:p>
    <w:p>
      <w:pPr>
        <w:jc w:val="both"/>
        <w:ind w:left="1300" w:right="280" w:hanging="202"/>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73"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1300" w:right="12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62" w:lineRule="exact"/>
        <w:rPr>
          <w:rFonts w:ascii="Arial" w:cs="Arial" w:eastAsia="Arial" w:hAnsi="Arial"/>
          <w:sz w:val="18"/>
          <w:szCs w:val="18"/>
          <w:color w:val="auto"/>
        </w:rPr>
      </w:pPr>
    </w:p>
    <w:p>
      <w:pPr>
        <w:ind w:left="1300" w:right="54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117" w:lineRule="exact"/>
        <w:rPr>
          <w:rFonts w:ascii="Arial" w:cs="Arial" w:eastAsia="Arial" w:hAnsi="Arial"/>
          <w:sz w:val="18"/>
          <w:szCs w:val="18"/>
          <w:color w:val="auto"/>
        </w:rPr>
      </w:pPr>
    </w:p>
    <w:p>
      <w:pPr>
        <w:ind w:left="1300" w:right="60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62" w:lineRule="exact"/>
        <w:rPr>
          <w:rFonts w:ascii="Arial" w:cs="Arial" w:eastAsia="Arial" w:hAnsi="Arial"/>
          <w:sz w:val="18"/>
          <w:szCs w:val="18"/>
          <w:color w:val="auto"/>
        </w:rPr>
      </w:pPr>
    </w:p>
    <w:p>
      <w:pPr>
        <w:ind w:left="1300" w:right="12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7"/>
          <w:szCs w:val="17"/>
          <w:color w:val="auto"/>
        </w:rPr>
      </w:pPr>
    </w:p>
    <w:p>
      <w:pPr>
        <w:ind w:left="1300" w:right="18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62" w:lineRule="exact"/>
        <w:rPr>
          <w:rFonts w:ascii="Arial" w:cs="Arial" w:eastAsia="Arial" w:hAnsi="Arial"/>
          <w:sz w:val="18"/>
          <w:szCs w:val="18"/>
          <w:color w:val="auto"/>
        </w:rPr>
      </w:pPr>
    </w:p>
    <w:p>
      <w:pPr>
        <w:ind w:left="1300" w:right="80" w:hanging="202"/>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87"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88"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types of securities that we or selling securityholders may offer and sell from time to time pursuant to this prospectus are:</w:t>
      </w:r>
    </w:p>
    <w:p>
      <w:pPr>
        <w:spacing w:after="0" w:line="264"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131"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87"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information about any securities exchanges or automated quotation systems on which the securities will be listed or traded.</w:t>
      </w:r>
    </w:p>
    <w:p>
      <w:pPr>
        <w:spacing w:after="0" w:line="154" w:lineRule="exact"/>
        <w:rPr>
          <w:sz w:val="20"/>
          <w:szCs w:val="20"/>
          <w:color w:val="auto"/>
        </w:rPr>
      </w:pPr>
    </w:p>
    <w:p>
      <w:pPr>
        <w:jc w:val="both"/>
        <w:ind w:left="700" w:right="240" w:firstLine="397"/>
        <w:spacing w:after="0" w:line="286" w:lineRule="auto"/>
        <w:rPr>
          <w:sz w:val="20"/>
          <w:szCs w:val="20"/>
          <w:color w:val="auto"/>
        </w:rPr>
      </w:pPr>
      <w:r>
        <w:rPr>
          <w:rFonts w:ascii="Arial" w:cs="Arial" w:eastAsia="Arial" w:hAnsi="Arial"/>
          <w:sz w:val="17"/>
          <w:szCs w:val="17"/>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71" w:lineRule="exact"/>
        <w:rPr>
          <w:sz w:val="20"/>
          <w:szCs w:val="20"/>
          <w:color w:val="auto"/>
        </w:rPr>
      </w:pPr>
    </w:p>
    <w:p>
      <w:pPr>
        <w:ind w:left="700" w:right="140" w:firstLine="397"/>
        <w:spacing w:after="0" w:line="28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w:t>
      </w:r>
    </w:p>
    <w:p>
      <w:pPr>
        <w:ind w:left="700" w:right="260" w:hanging="7"/>
        <w:spacing w:after="0" w:line="261" w:lineRule="auto"/>
        <w:tabs>
          <w:tab w:leader="none" w:pos="9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filings we make with the SEC that are incorporated by reference into this prospectus; or (iii) by any other method as may then be permitted under applicable law, rules or regulations.</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92" w:lineRule="exact"/>
        <w:rPr>
          <w:sz w:val="20"/>
          <w:szCs w:val="20"/>
          <w:color w:val="auto"/>
        </w:rPr>
      </w:pPr>
    </w:p>
    <w:p>
      <w:pPr>
        <w:ind w:left="700" w:right="120" w:firstLine="397"/>
        <w:spacing w:after="0" w:line="297" w:lineRule="auto"/>
        <w:rPr>
          <w:sz w:val="20"/>
          <w:szCs w:val="20"/>
          <w:color w:val="auto"/>
        </w:rPr>
      </w:pPr>
      <w:r>
        <w:rPr>
          <w:rFonts w:ascii="Arial" w:cs="Arial" w:eastAsia="Arial" w:hAnsi="Arial"/>
          <w:sz w:val="16"/>
          <w:szCs w:val="16"/>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205"/>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840" w:type="dxa"/>
            <w:vAlign w:val="bottom"/>
          </w:tcPr>
          <w:p>
            <w:pPr>
              <w:ind w:left="94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tcBorders>
              <w:lef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Annual Report on Form 10-K (including the portions of our proxy statement for our 2009 annual meeting of</w:t>
            </w:r>
          </w:p>
        </w:tc>
        <w:tc>
          <w:tcPr>
            <w:tcW w:w="1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Borders>
              <w:lef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17,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April 29,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30,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February 26,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February 27,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2,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12,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Description of our Common Stock on Form 8-B</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July 13, 1995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-1286510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 13(a),</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13(c), 14 or 15(d) of the Exchange Act from the date of this prospectus until all of the securities offered by this prospectus have been</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issued as described in this prospectus. These documents may include annual reports on Form 10-K, quarterly reports on Form 10-Q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current reports on Form 8-K, as well as proxy statements. We are not incorporating by reference any information furnished under</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items 2.02 or 7.01 (or corresponding information furnished under item 9.01 or included as an exhibit) in any past or future current report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Form 8-K that we may file with the SEC, unless otherwise specified in such current report.</w:t>
      </w:r>
    </w:p>
    <w:p>
      <w:pPr>
        <w:spacing w:after="0" w:line="116"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308"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www.wm.com</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also obtain information about us at the offices of the New York Stock Exchange, 20 Broad Street, New York, New York 10005.</w:t>
      </w:r>
    </w:p>
    <w:p>
      <w:pPr>
        <w:spacing w:after="0" w:line="64"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30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THE COMPANY</w:t>
      </w:r>
    </w:p>
    <w:p>
      <w:pPr>
        <w:spacing w:after="0" w:line="135"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84"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Our principal executive offices are located at 1001 Fannin Street, Suite 4000, Houston, Texas 77002 and our telephone number is (713) 512-6200.</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72"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12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100" w:type="dxa"/>
            <w:vAlign w:val="bottom"/>
          </w:tcPr>
          <w:p>
            <w:pPr>
              <w:spacing w:after="0"/>
              <w:rPr>
                <w:sz w:val="13"/>
                <w:szCs w:val="13"/>
                <w:color w:val="auto"/>
              </w:rPr>
            </w:pP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June 30, 2009</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3.9x</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4.5x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4.0x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3.5x</w:t>
            </w: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3.2x</w:t>
            </w:r>
          </w:p>
        </w:tc>
        <w:tc>
          <w:tcPr>
            <w:tcW w:w="420" w:type="dxa"/>
            <w:vAlign w:val="bottom"/>
          </w:tcPr>
          <w:p>
            <w:pPr>
              <w:jc w:val="right"/>
              <w:spacing w:after="0"/>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00" w:right="60" w:firstLine="397"/>
        <w:spacing w:after="0" w:line="264" w:lineRule="auto"/>
        <w:rPr>
          <w:sz w:val="20"/>
          <w:szCs w:val="20"/>
          <w:color w:val="auto"/>
        </w:rPr>
      </w:pPr>
      <w:r>
        <w:rPr>
          <w:rFonts w:ascii="Arial" w:cs="Arial" w:eastAsia="Arial" w:hAnsi="Arial"/>
          <w:sz w:val="18"/>
          <w:szCs w:val="18"/>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299"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277" w:lineRule="auto"/>
        <w:rPr>
          <w:sz w:val="20"/>
          <w:szCs w:val="20"/>
          <w:color w:val="auto"/>
        </w:rPr>
      </w:pPr>
      <w:r>
        <w:rPr>
          <w:rFonts w:ascii="Arial" w:cs="Arial" w:eastAsia="Arial" w:hAnsi="Arial"/>
          <w:sz w:val="18"/>
          <w:szCs w:val="18"/>
          <w:color w:val="auto"/>
        </w:rPr>
        <w:t>otherwise specified in the applicable prospectus supplement, we will not receive any proceeds from the sale of securities by selling securityholders.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THE DEBT SECURITIES</w:t>
      </w:r>
    </w:p>
    <w:p>
      <w:pPr>
        <w:spacing w:after="0" w:line="135" w:lineRule="exact"/>
        <w:rPr>
          <w:sz w:val="20"/>
          <w:szCs w:val="20"/>
          <w:color w:val="auto"/>
        </w:rPr>
      </w:pPr>
    </w:p>
    <w:p>
      <w:pPr>
        <w:ind w:left="700" w:right="140" w:firstLine="397"/>
        <w:spacing w:after="0" w:line="305" w:lineRule="auto"/>
        <w:rPr>
          <w:sz w:val="20"/>
          <w:szCs w:val="20"/>
          <w:color w:val="auto"/>
        </w:rPr>
      </w:pPr>
      <w:r>
        <w:rPr>
          <w:rFonts w:ascii="Arial" w:cs="Arial" w:eastAsia="Arial" w:hAnsi="Arial"/>
          <w:sz w:val="15"/>
          <w:szCs w:val="15"/>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w:t>
      </w:r>
    </w:p>
    <w:p>
      <w:pPr>
        <w:spacing w:after="0" w:line="2" w:lineRule="exact"/>
        <w:rPr>
          <w:sz w:val="20"/>
          <w:szCs w:val="20"/>
          <w:color w:val="auto"/>
        </w:rPr>
      </w:pPr>
    </w:p>
    <w:p>
      <w:pPr>
        <w:jc w:val="center"/>
        <w:ind w:right="-699"/>
        <w:spacing w:after="0"/>
        <w:rPr>
          <w:sz w:val="20"/>
          <w:szCs w:val="20"/>
          <w:color w:val="auto"/>
        </w:rPr>
      </w:pPr>
      <w:r>
        <w:rPr>
          <w:rFonts w:ascii="Arial" w:cs="Arial" w:eastAsia="Arial" w:hAnsi="Arial"/>
          <w:sz w:val="16"/>
          <w:szCs w:val="16"/>
          <w:color w:val="auto"/>
        </w:rPr>
        <w:t>Trust Company, N.A., as trustee. The indentures are substantially identical, except for provisions relating to subordination and covenants.</w:t>
      </w:r>
    </w:p>
    <w:p>
      <w:pPr>
        <w:spacing w:after="0" w:line="139" w:lineRule="exact"/>
        <w:rPr>
          <w:sz w:val="20"/>
          <w:szCs w:val="20"/>
          <w:color w:val="auto"/>
        </w:rPr>
      </w:pPr>
    </w:p>
    <w:p>
      <w:pPr>
        <w:ind w:left="700" w:right="180" w:firstLine="397"/>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135"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other unsecured debt or securities that we may issue. We may issue debt securities under the indentures from time to time in one or more series, each in an amount authorized prior to issuance.</w:t>
      </w:r>
    </w:p>
    <w:p>
      <w:pPr>
        <w:spacing w:after="0" w:line="87"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These terms will include some or all of the following:</w:t>
      </w:r>
    </w:p>
    <w:p>
      <w:pPr>
        <w:spacing w:after="0" w:line="76"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interest rate, the date from which interest will accrue, interest payment dates and record dates for interest payments;</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117"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28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portion of the principal amount of debt securities that will be payable if the maturity is accelerated, if other than the entire principal amount;</w:t>
      </w:r>
    </w:p>
    <w:p>
      <w:pPr>
        <w:spacing w:after="0" w:line="62"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terms for the conversion or exchange of the debt securities for other securities of Waste Management or any other entity;</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the subordinated indenture, any changes to the subordination provisions for the subordinated debt securities; and</w:t>
      </w:r>
    </w:p>
    <w:p>
      <w:pPr>
        <w:spacing w:after="0" w:line="140" w:lineRule="exact"/>
        <w:rPr>
          <w:rFonts w:ascii="Arial" w:cs="Arial" w:eastAsia="Arial" w:hAnsi="Arial"/>
          <w:sz w:val="16"/>
          <w:szCs w:val="16"/>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131"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2"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71"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indentures generally prohibit a consolidation or merger of Waste Management into</w:t>
      </w:r>
      <w:r>
        <w:rPr>
          <w:rFonts w:ascii="Arial" w:cs="Arial" w:eastAsia="Arial" w:hAnsi="Arial"/>
          <w:sz w:val="16"/>
          <w:szCs w:val="16"/>
          <w:i w:val="1"/>
          <w:iCs w:val="1"/>
          <w:color w:val="auto"/>
        </w:rPr>
        <w:t xml:space="preserve"> </w:t>
      </w:r>
      <w:r>
        <w:rPr>
          <w:rFonts w:ascii="Arial" w:cs="Arial" w:eastAsia="Arial" w:hAnsi="Arial"/>
          <w:sz w:val="16"/>
          <w:szCs w:val="16"/>
          <w:color w:val="auto"/>
        </w:rPr>
        <w:t>another person, or a lease, transfer or disposition of all or substantially all of our assets to another person unless:</w:t>
      </w:r>
    </w:p>
    <w:p>
      <w:pPr>
        <w:spacing w:after="0" w:line="29" w:lineRule="exact"/>
        <w:rPr>
          <w:sz w:val="20"/>
          <w:szCs w:val="20"/>
          <w:color w:val="auto"/>
        </w:rPr>
      </w:pPr>
    </w:p>
    <w:p>
      <w:pPr>
        <w:ind w:left="1300" w:right="6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76"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87"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 series of debt securities:</w:t>
      </w:r>
    </w:p>
    <w:p>
      <w:pPr>
        <w:spacing w:after="0" w:line="76" w:lineRule="exact"/>
        <w:rPr>
          <w:sz w:val="20"/>
          <w:szCs w:val="20"/>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117" w:lineRule="exact"/>
        <w:rPr>
          <w:rFonts w:ascii="Arial" w:cs="Arial" w:eastAsia="Arial" w:hAnsi="Arial"/>
          <w:sz w:val="18"/>
          <w:szCs w:val="18"/>
          <w:color w:val="auto"/>
        </w:rPr>
      </w:pPr>
    </w:p>
    <w:p>
      <w:pPr>
        <w:ind w:left="1300" w:right="60" w:hanging="202"/>
        <w:spacing w:after="0" w:line="25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80"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131"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117" w:lineRule="exact"/>
        <w:rPr>
          <w:rFonts w:ascii="Arial" w:cs="Arial" w:eastAsia="Arial" w:hAnsi="Arial"/>
          <w:sz w:val="18"/>
          <w:szCs w:val="18"/>
          <w:color w:val="auto"/>
        </w:rPr>
      </w:pPr>
    </w:p>
    <w:p>
      <w:pPr>
        <w:ind w:left="1300" w:right="44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31" w:lineRule="exact"/>
        <w:rPr>
          <w:sz w:val="20"/>
          <w:szCs w:val="20"/>
          <w:color w:val="auto"/>
        </w:rPr>
      </w:pPr>
    </w:p>
    <w:p>
      <w:pPr>
        <w:ind w:left="700" w:right="60" w:firstLine="397"/>
        <w:spacing w:after="0" w:line="308" w:lineRule="auto"/>
        <w:rPr>
          <w:sz w:val="20"/>
          <w:szCs w:val="20"/>
          <w:color w:val="auto"/>
        </w:rPr>
      </w:pPr>
      <w:r>
        <w:rPr>
          <w:rFonts w:ascii="Arial" w:cs="Arial" w:eastAsia="Arial" w:hAnsi="Arial"/>
          <w:sz w:val="17"/>
          <w:szCs w:val="17"/>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2"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131"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Modification and Waiver. </w:t>
      </w:r>
      <w:r>
        <w:rPr>
          <w:rFonts w:ascii="Arial" w:cs="Arial" w:eastAsia="Arial" w:hAnsi="Arial"/>
          <w:sz w:val="17"/>
          <w:szCs w:val="17"/>
          <w:color w:val="auto"/>
        </w:rPr>
        <w:t>Each indenture may be amended or supplemented if the majority in principal amount of the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8" w:lineRule="exact"/>
        <w:rPr>
          <w:sz w:val="20"/>
          <w:szCs w:val="20"/>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117" w:lineRule="exact"/>
        <w:rPr>
          <w:rFonts w:ascii="Arial" w:cs="Arial" w:eastAsia="Arial" w:hAnsi="Arial"/>
          <w:sz w:val="18"/>
          <w:szCs w:val="18"/>
          <w:color w:val="auto"/>
        </w:rPr>
      </w:pPr>
    </w:p>
    <w:p>
      <w:pPr>
        <w:ind w:left="1300" w:right="20" w:hanging="202"/>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any premium payable on the redemption of the debt security or change the time at which the debt security may or must be redeemed;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131" w:lineRule="exact"/>
        <w:rPr>
          <w:sz w:val="20"/>
          <w:szCs w:val="20"/>
          <w:color w:val="auto"/>
        </w:rPr>
      </w:pPr>
    </w:p>
    <w:p>
      <w:pPr>
        <w:ind w:left="700" w:right="460" w:firstLine="397"/>
        <w:spacing w:after="0" w:line="264"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87"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131"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the indentures.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92" w:lineRule="exact"/>
        <w:rPr>
          <w:sz w:val="20"/>
          <w:szCs w:val="20"/>
          <w:color w:val="auto"/>
        </w:rPr>
      </w:pPr>
    </w:p>
    <w:p>
      <w:pPr>
        <w:ind w:left="1300" w:right="680" w:hanging="20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62" w:lineRule="exact"/>
        <w:rPr>
          <w:rFonts w:ascii="Arial" w:cs="Arial" w:eastAsia="Arial" w:hAnsi="Arial"/>
          <w:sz w:val="18"/>
          <w:szCs w:val="18"/>
          <w:color w:val="auto"/>
        </w:rPr>
      </w:pPr>
    </w:p>
    <w:p>
      <w:pPr>
        <w:ind w:left="1300" w:right="620" w:hanging="202"/>
        <w:spacing w:after="0" w:line="34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29" w:lineRule="exact"/>
        <w:rPr>
          <w:sz w:val="20"/>
          <w:szCs w:val="20"/>
          <w:color w:val="auto"/>
        </w:rPr>
      </w:pPr>
    </w:p>
    <w:p>
      <w:pPr>
        <w:ind w:left="700" w:right="20"/>
        <w:spacing w:after="0" w:line="276" w:lineRule="auto"/>
        <w:rPr>
          <w:sz w:val="20"/>
          <w:szCs w:val="20"/>
          <w:color w:val="auto"/>
        </w:rPr>
      </w:pPr>
      <w:r>
        <w:rPr>
          <w:rFonts w:ascii="Arial" w:cs="Arial" w:eastAsia="Arial" w:hAnsi="Arial"/>
          <w:sz w:val="17"/>
          <w:szCs w:val="17"/>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78" w:lineRule="exact"/>
        <w:rPr>
          <w:sz w:val="20"/>
          <w:szCs w:val="20"/>
          <w:color w:val="auto"/>
        </w:rPr>
      </w:pPr>
    </w:p>
    <w:p>
      <w:pPr>
        <w:ind w:left="700" w:right="260" w:firstLine="397"/>
        <w:spacing w:after="0" w:line="291"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w:t>
      </w:r>
    </w:p>
    <w:p>
      <w:pPr>
        <w:ind w:left="700" w:right="20"/>
        <w:spacing w:after="0" w:line="261" w:lineRule="auto"/>
        <w:rPr>
          <w:sz w:val="20"/>
          <w:szCs w:val="20"/>
          <w:color w:val="auto"/>
        </w:rPr>
      </w:pPr>
      <w:r>
        <w:rPr>
          <w:rFonts w:ascii="Arial" w:cs="Arial" w:eastAsia="Arial" w:hAnsi="Arial"/>
          <w:sz w:val="18"/>
          <w:szCs w:val="18"/>
          <w:color w:val="auto"/>
        </w:rPr>
        <w:t>U.S. federal income tax purposes. If we elect legal defeasance, that opinion of counsel must be based upon a ruling from the U.S. Internal Revenue Service or a change in law to that effect.</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New York law will govern the indentures and the debt securities.</w:t>
      </w:r>
    </w:p>
    <w:p>
      <w:pPr>
        <w:spacing w:after="0" w:line="131"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i w:val="1"/>
          <w:iCs w:val="1"/>
          <w:color w:val="auto"/>
        </w:rPr>
        <w:t xml:space="preserve">Trustee. </w:t>
      </w:r>
      <w:r>
        <w:rPr>
          <w:rFonts w:ascii="Arial" w:cs="Arial" w:eastAsia="Arial" w:hAnsi="Arial"/>
          <w:sz w:val="16"/>
          <w:szCs w:val="16"/>
          <w:color w:val="auto"/>
        </w:rPr>
        <w:t>The Bank of New York Mellon Trust Company, N.A. is the trustee under the senior indenture and the subordinated</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The Bank of New 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92"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40" w:firstLine="397"/>
        <w:spacing w:after="0" w:line="259" w:lineRule="auto"/>
        <w:rPr>
          <w:sz w:val="20"/>
          <w:szCs w:val="20"/>
          <w:color w:val="auto"/>
        </w:rPr>
      </w:pPr>
      <w:r>
        <w:rPr>
          <w:rFonts w:ascii="Arial" w:cs="Arial" w:eastAsia="Arial" w:hAnsi="Arial"/>
          <w:sz w:val="18"/>
          <w:szCs w:val="18"/>
          <w:i w:val="1"/>
          <w:iCs w:val="1"/>
          <w:color w:val="auto"/>
        </w:rPr>
        <w:t xml:space="preserve">Form, Exchange, Registration and Transfer. </w:t>
      </w:r>
      <w:r>
        <w:rPr>
          <w:rFonts w:ascii="Arial" w:cs="Arial" w:eastAsia="Arial" w:hAnsi="Arial"/>
          <w:sz w:val="18"/>
          <w:szCs w:val="18"/>
          <w:color w:val="auto"/>
        </w:rPr>
        <w:t>The debt securities may be issued in registered form, without interest coupons, or in</w:t>
      </w:r>
      <w:r>
        <w:rPr>
          <w:rFonts w:ascii="Arial" w:cs="Arial" w:eastAsia="Arial" w:hAnsi="Arial"/>
          <w:sz w:val="18"/>
          <w:szCs w:val="18"/>
          <w:i w:val="1"/>
          <w:iCs w:val="1"/>
          <w:color w:val="auto"/>
        </w:rPr>
        <w:t xml:space="preserve"> </w:t>
      </w:r>
      <w:r>
        <w:rPr>
          <w:rFonts w:ascii="Arial" w:cs="Arial" w:eastAsia="Arial" w:hAnsi="Arial"/>
          <w:sz w:val="18"/>
          <w:szCs w:val="18"/>
          <w:color w:val="auto"/>
        </w:rPr>
        <w:t>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2" w:lineRule="exact"/>
        <w:rPr>
          <w:sz w:val="20"/>
          <w:szCs w:val="20"/>
          <w:color w:val="auto"/>
        </w:rPr>
      </w:pPr>
    </w:p>
    <w:p>
      <w:pPr>
        <w:ind w:left="700" w:right="200" w:firstLine="397"/>
        <w:spacing w:after="0" w:line="302" w:lineRule="auto"/>
        <w:rPr>
          <w:sz w:val="20"/>
          <w:szCs w:val="20"/>
          <w:color w:val="auto"/>
        </w:rPr>
      </w:pPr>
      <w:r>
        <w:rPr>
          <w:rFonts w:ascii="Arial" w:cs="Arial" w:eastAsia="Arial" w:hAnsi="Arial"/>
          <w:sz w:val="16"/>
          <w:szCs w:val="16"/>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0"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131" w:lineRule="exact"/>
        <w:rPr>
          <w:sz w:val="20"/>
          <w:szCs w:val="20"/>
          <w:color w:val="auto"/>
        </w:rPr>
      </w:pPr>
    </w:p>
    <w:p>
      <w:pPr>
        <w:ind w:left="1300" w:right="6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62"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76"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i w:val="1"/>
          <w:iCs w:val="1"/>
          <w:color w:val="auto"/>
        </w:rPr>
        <w:t xml:space="preserve">Payment and Paying Agents. </w:t>
      </w:r>
      <w:r>
        <w:rPr>
          <w:rFonts w:ascii="Arial" w:cs="Arial" w:eastAsia="Arial" w:hAnsi="Arial"/>
          <w:sz w:val="17"/>
          <w:szCs w:val="17"/>
          <w:color w:val="auto"/>
        </w:rPr>
        <w:t>Unless we inform you otherwise in a prospectus supplement, payments on the debt securities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700" w:right="320" w:firstLine="397"/>
        <w:spacing w:after="0" w:line="312" w:lineRule="auto"/>
        <w:rPr>
          <w:sz w:val="20"/>
          <w:szCs w:val="20"/>
          <w:color w:val="auto"/>
        </w:rPr>
      </w:pPr>
      <w:r>
        <w:rPr>
          <w:rFonts w:ascii="Arial" w:cs="Arial" w:eastAsia="Arial" w:hAnsi="Arial"/>
          <w:sz w:val="16"/>
          <w:szCs w:val="16"/>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2"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94"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92" w:lineRule="exact"/>
        <w:rPr>
          <w:sz w:val="20"/>
          <w:szCs w:val="20"/>
          <w:color w:val="auto"/>
        </w:rPr>
      </w:pPr>
    </w:p>
    <w:p>
      <w:pPr>
        <w:jc w:val="both"/>
        <w:ind w:left="700" w:right="380" w:firstLine="397"/>
        <w:spacing w:after="0" w:line="279" w:lineRule="auto"/>
        <w:rPr>
          <w:sz w:val="20"/>
          <w:szCs w:val="20"/>
          <w:color w:val="auto"/>
        </w:rPr>
      </w:pPr>
      <w:r>
        <w:rPr>
          <w:rFonts w:ascii="Arial" w:cs="Arial" w:eastAsia="Arial" w:hAnsi="Arial"/>
          <w:sz w:val="17"/>
          <w:szCs w:val="17"/>
          <w:i w:val="1"/>
          <w:iCs w:val="1"/>
          <w:color w:val="auto"/>
        </w:rPr>
        <w:t xml:space="preserve">Book-Entry Debt Securities. </w:t>
      </w:r>
      <w:r>
        <w:rPr>
          <w:rFonts w:ascii="Arial" w:cs="Arial" w:eastAsia="Arial" w:hAnsi="Arial"/>
          <w:sz w:val="17"/>
          <w:szCs w:val="17"/>
          <w:color w:val="auto"/>
        </w:rPr>
        <w:t>The debt securities of a series may be issued in the form of one or more global debt securities that</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135"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i w:val="1"/>
          <w:iCs w:val="1"/>
          <w:color w:val="auto"/>
        </w:rPr>
        <w:t xml:space="preserve">Ranking and Guarantee. </w:t>
      </w:r>
      <w:r>
        <w:rPr>
          <w:rFonts w:ascii="Arial" w:cs="Arial" w:eastAsia="Arial" w:hAnsi="Arial"/>
          <w:sz w:val="17"/>
          <w:szCs w:val="17"/>
          <w:color w:val="auto"/>
        </w:rPr>
        <w:t>The senior debt securities will constitute senior debt of Waste Management and will rank equally with all</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83"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Restrictive Covenants. </w:t>
      </w:r>
      <w:r>
        <w:rPr>
          <w:rFonts w:ascii="Arial" w:cs="Arial" w:eastAsia="Arial" w:hAnsi="Arial"/>
          <w:sz w:val="17"/>
          <w:szCs w:val="17"/>
          <w:color w:val="auto"/>
        </w:rPr>
        <w:t>We have agreed to two principal restrictions on our activities for the benefit of holders of the senior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13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87" w:lineRule="exact"/>
        <w:rPr>
          <w:sz w:val="20"/>
          <w:szCs w:val="20"/>
          <w:color w:val="auto"/>
        </w:rPr>
      </w:pPr>
    </w:p>
    <w:p>
      <w:pPr>
        <w:ind w:left="1080" w:right="10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or assets existing at the time of acquisition which secure obligations assumed by us or our Restricted Subsidiaries;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130" w:lineRule="exact"/>
        <w:rPr>
          <w:rFonts w:ascii="Arial" w:cs="Arial" w:eastAsia="Arial" w:hAnsi="Arial"/>
          <w:sz w:val="18"/>
          <w:szCs w:val="18"/>
          <w:color w:val="auto"/>
        </w:rPr>
      </w:pPr>
    </w:p>
    <w:p>
      <w:pPr>
        <w:ind w:left="1080" w:firstLine="391"/>
        <w:spacing w:after="0" w:line="277" w:lineRule="auto"/>
        <w:tabs>
          <w:tab w:leader="none" w:pos="1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75" w:lineRule="exact"/>
        <w:rPr>
          <w:rFonts w:ascii="Arial" w:cs="Arial" w:eastAsia="Arial" w:hAnsi="Arial"/>
          <w:sz w:val="18"/>
          <w:szCs w:val="18"/>
          <w:color w:val="auto"/>
        </w:rPr>
      </w:pPr>
    </w:p>
    <w:p>
      <w:pPr>
        <w:ind w:left="1080" w:right="500" w:firstLine="391"/>
        <w:spacing w:after="0" w:line="277" w:lineRule="auto"/>
        <w:tabs>
          <w:tab w:leader="none" w:pos="17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 Consolidation, Merger and Sale of Assets,” </w:t>
      </w:r>
      <w:r>
        <w:rPr>
          <w:rFonts w:ascii="Arial" w:cs="Arial" w:eastAsia="Arial" w:hAnsi="Arial"/>
          <w:sz w:val="18"/>
          <w:szCs w:val="18"/>
          <w:color w:val="auto"/>
        </w:rPr>
        <w:t>above;</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130" w:lineRule="exact"/>
        <w:rPr>
          <w:rFonts w:ascii="Arial" w:cs="Arial" w:eastAsia="Arial" w:hAnsi="Arial"/>
          <w:sz w:val="18"/>
          <w:szCs w:val="18"/>
          <w:color w:val="auto"/>
        </w:rPr>
      </w:pPr>
    </w:p>
    <w:p>
      <w:pPr>
        <w:ind w:left="1700" w:hanging="211"/>
        <w:spacing w:after="0"/>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117" w:lineRule="exact"/>
        <w:rPr>
          <w:rFonts w:ascii="Arial" w:cs="Arial" w:eastAsia="Arial" w:hAnsi="Arial"/>
          <w:sz w:val="18"/>
          <w:szCs w:val="18"/>
          <w:color w:val="auto"/>
        </w:rPr>
      </w:pPr>
    </w:p>
    <w:p>
      <w:pPr>
        <w:ind w:left="1700" w:right="40" w:hanging="211"/>
        <w:spacing w:after="0" w:line="259" w:lineRule="auto"/>
        <w:tabs>
          <w:tab w:leader="none" w:pos="1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92" w:lineRule="exact"/>
        <w:rPr>
          <w:rFonts w:ascii="Arial" w:cs="Arial" w:eastAsia="Arial" w:hAnsi="Arial"/>
          <w:sz w:val="18"/>
          <w:szCs w:val="18"/>
          <w:color w:val="auto"/>
        </w:rPr>
      </w:pPr>
    </w:p>
    <w:p>
      <w:pPr>
        <w:ind w:left="1700" w:hanging="229"/>
        <w:spacing w:after="0"/>
        <w:tabs>
          <w:tab w:leader="none" w:pos="1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arising by deposits or security given to governmental agencies required in order to do business with the government;</w:t>
      </w:r>
    </w:p>
    <w:p>
      <w:pPr>
        <w:spacing w:after="0" w:line="153" w:lineRule="exact"/>
        <w:rPr>
          <w:rFonts w:ascii="Arial" w:cs="Arial" w:eastAsia="Arial" w:hAnsi="Arial"/>
          <w:sz w:val="16"/>
          <w:szCs w:val="16"/>
          <w:color w:val="auto"/>
        </w:rPr>
      </w:pPr>
    </w:p>
    <w:p>
      <w:pPr>
        <w:ind w:left="1680" w:hanging="209"/>
        <w:spacing w:after="0"/>
        <w:tabs>
          <w:tab w:leader="none" w:pos="1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130" w:lineRule="exact"/>
        <w:rPr>
          <w:rFonts w:ascii="Arial" w:cs="Arial" w:eastAsia="Arial" w:hAnsi="Arial"/>
          <w:sz w:val="18"/>
          <w:szCs w:val="18"/>
          <w:color w:val="auto"/>
        </w:rPr>
      </w:pPr>
    </w:p>
    <w:p>
      <w:pPr>
        <w:ind w:left="1680" w:hanging="209"/>
        <w:spacing w:after="0"/>
        <w:tabs>
          <w:tab w:leader="none" w:pos="16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stayed;</w:t>
      </w:r>
    </w:p>
    <w:p>
      <w:pPr>
        <w:spacing w:after="0" w:line="116" w:lineRule="exact"/>
        <w:rPr>
          <w:rFonts w:ascii="Arial" w:cs="Arial" w:eastAsia="Arial" w:hAnsi="Arial"/>
          <w:sz w:val="16"/>
          <w:szCs w:val="16"/>
          <w:color w:val="auto"/>
        </w:rPr>
      </w:pPr>
    </w:p>
    <w:p>
      <w:pPr>
        <w:ind w:left="1720" w:hanging="249"/>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landlord’s liens on fixtures located on property leased by us or Restricted Subsidiaries in the ordinary course of business;</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0" w:firstLine="391"/>
        <w:spacing w:after="0" w:line="277" w:lineRule="auto"/>
        <w:tabs>
          <w:tab w:leader="none" w:pos="167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75" w:lineRule="exact"/>
        <w:rPr>
          <w:rFonts w:ascii="Arial" w:cs="Arial" w:eastAsia="Arial" w:hAnsi="Arial"/>
          <w:sz w:val="18"/>
          <w:szCs w:val="18"/>
          <w:color w:val="auto"/>
        </w:rPr>
      </w:pPr>
    </w:p>
    <w:p>
      <w:pPr>
        <w:ind w:left="1080" w:right="160" w:firstLine="391"/>
        <w:spacing w:after="0" w:line="277" w:lineRule="auto"/>
        <w:tabs>
          <w:tab w:leader="none" w:pos="17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75" w:lineRule="exact"/>
        <w:rPr>
          <w:rFonts w:ascii="Arial" w:cs="Arial" w:eastAsia="Arial" w:hAnsi="Arial"/>
          <w:sz w:val="18"/>
          <w:szCs w:val="18"/>
          <w:color w:val="auto"/>
        </w:rPr>
      </w:pPr>
    </w:p>
    <w:p>
      <w:pPr>
        <w:ind w:left="1720" w:hanging="249"/>
        <w:spacing w:after="0"/>
        <w:tabs>
          <w:tab w:leader="none" w:pos="1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liens securing industrial development, pollution control or other revenue bonds of a domestic government entity;</w:t>
      </w:r>
    </w:p>
    <w:p>
      <w:pPr>
        <w:spacing w:after="0" w:line="142" w:lineRule="exact"/>
        <w:rPr>
          <w:rFonts w:ascii="Arial" w:cs="Arial" w:eastAsia="Arial" w:hAnsi="Arial"/>
          <w:sz w:val="17"/>
          <w:szCs w:val="17"/>
          <w:color w:val="auto"/>
        </w:rPr>
      </w:pPr>
    </w:p>
    <w:p>
      <w:pPr>
        <w:ind w:left="1720" w:hanging="249"/>
        <w:spacing w:after="0"/>
        <w:tabs>
          <w:tab w:leader="none" w:pos="1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30" w:lineRule="exact"/>
        <w:rPr>
          <w:rFonts w:ascii="Arial" w:cs="Arial" w:eastAsia="Arial" w:hAnsi="Arial"/>
          <w:sz w:val="18"/>
          <w:szCs w:val="18"/>
          <w:color w:val="auto"/>
        </w:rPr>
      </w:pPr>
    </w:p>
    <w:p>
      <w:pPr>
        <w:ind w:left="1080" w:right="80" w:firstLine="391"/>
        <w:spacing w:after="0" w:line="277" w:lineRule="auto"/>
        <w:tabs>
          <w:tab w:leader="none" w:pos="17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76"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131"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76" w:lineRule="exact"/>
        <w:rPr>
          <w:sz w:val="20"/>
          <w:szCs w:val="20"/>
          <w:color w:val="auto"/>
        </w:rPr>
      </w:pPr>
    </w:p>
    <w:p>
      <w:pPr>
        <w:ind w:left="1080" w:right="36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86" w:lineRule="exact"/>
        <w:rPr>
          <w:rFonts w:ascii="Arial" w:cs="Arial" w:eastAsia="Arial" w:hAnsi="Arial"/>
          <w:sz w:val="18"/>
          <w:szCs w:val="18"/>
          <w:color w:val="auto"/>
        </w:rPr>
      </w:pPr>
    </w:p>
    <w:p>
      <w:pPr>
        <w:ind w:left="1080" w:firstLine="391"/>
        <w:spacing w:after="0" w:line="264" w:lineRule="auto"/>
        <w:tabs>
          <w:tab w:leader="none" w:pos="17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86" w:lineRule="exact"/>
        <w:rPr>
          <w:rFonts w:ascii="Arial" w:cs="Arial" w:eastAsia="Arial" w:hAnsi="Arial"/>
          <w:sz w:val="18"/>
          <w:szCs w:val="18"/>
          <w:color w:val="auto"/>
        </w:rPr>
      </w:pPr>
    </w:p>
    <w:p>
      <w:pPr>
        <w:ind w:left="1080" w:right="120" w:firstLine="391"/>
        <w:spacing w:after="0" w:line="264"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87"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Glossary</w:t>
      </w:r>
    </w:p>
    <w:p>
      <w:pPr>
        <w:spacing w:after="0" w:line="131"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Sale/Leaseback Transaction. To 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reduced if the lessee terminated the lease on the first date that it could be terminated, then this lower net amount will be used.</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 xml:space="preserve">“Consolidated Net Tangible Assets” </w:t>
      </w:r>
      <w:r>
        <w:rPr>
          <w:rFonts w:ascii="Arial" w:cs="Arial" w:eastAsia="Arial" w:hAnsi="Arial"/>
          <w:sz w:val="16"/>
          <w:szCs w:val="16"/>
          <w:color w:val="auto"/>
        </w:rPr>
        <w:t>means the total amount of assets of Waste Management, Inc. and its consolidated subsidiaries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less:</w:t>
      </w:r>
    </w:p>
    <w:p>
      <w:pPr>
        <w:spacing w:after="0" w:line="116" w:lineRule="exact"/>
        <w:rPr>
          <w:sz w:val="20"/>
          <w:szCs w:val="20"/>
          <w:color w:val="auto"/>
        </w:rPr>
      </w:pPr>
    </w:p>
    <w:p>
      <w:pPr>
        <w:ind w:left="1300" w:right="120" w:hanging="202"/>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of the indebted party and (b) all guarantees of Indebtedness.</w:t>
      </w:r>
    </w:p>
    <w:p>
      <w:pPr>
        <w:spacing w:after="0" w:line="76" w:lineRule="exact"/>
        <w:rPr>
          <w:sz w:val="20"/>
          <w:szCs w:val="20"/>
          <w:color w:val="auto"/>
        </w:rPr>
      </w:pPr>
    </w:p>
    <w:p>
      <w:pPr>
        <w:ind w:left="700" w:right="160" w:firstLine="397"/>
        <w:spacing w:after="0" w:line="286" w:lineRule="auto"/>
        <w:rPr>
          <w:sz w:val="20"/>
          <w:szCs w:val="20"/>
          <w:color w:val="auto"/>
        </w:rPr>
      </w:pPr>
      <w:r>
        <w:rPr>
          <w:rFonts w:ascii="Arial" w:cs="Arial" w:eastAsia="Arial" w:hAnsi="Arial"/>
          <w:sz w:val="17"/>
          <w:szCs w:val="17"/>
          <w:i w:val="1"/>
          <w:iCs w:val="1"/>
          <w:color w:val="auto"/>
        </w:rPr>
        <w:t xml:space="preserve">“Restricted Subsidiary” </w:t>
      </w:r>
      <w:r>
        <w:rPr>
          <w:rFonts w:ascii="Arial" w:cs="Arial" w:eastAsia="Arial" w:hAnsi="Arial"/>
          <w:sz w:val="17"/>
          <w:szCs w:val="17"/>
          <w:color w:val="auto"/>
        </w:rPr>
        <w:t>means any Subsidiary (a) principally engaged in, or whose principal assets consist of property used by us</w:t>
      </w:r>
      <w:r>
        <w:rPr>
          <w:rFonts w:ascii="Arial" w:cs="Arial" w:eastAsia="Arial" w:hAnsi="Arial"/>
          <w:sz w:val="17"/>
          <w:szCs w:val="17"/>
          <w:i w:val="1"/>
          <w:iCs w:val="1"/>
          <w:color w:val="auto"/>
        </w:rPr>
        <w:t xml:space="preserve"> </w:t>
      </w:r>
      <w:r>
        <w:rPr>
          <w:rFonts w:ascii="Arial" w:cs="Arial" w:eastAsia="Arial" w:hAnsi="Arial"/>
          <w:sz w:val="17"/>
          <w:szCs w:val="17"/>
          <w:color w:val="auto"/>
        </w:rPr>
        <w:t>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71"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99"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Property that we or such Restricted Subsidiary has sold or transferred or will sell or transfer to that person. This term excludes the following:</w:t>
      </w:r>
    </w:p>
    <w:p>
      <w:pPr>
        <w:spacing w:after="0" w:line="87" w:lineRule="exact"/>
        <w:rPr>
          <w:sz w:val="20"/>
          <w:szCs w:val="20"/>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131"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w:t>
      </w:r>
      <w:r>
        <w:rPr>
          <w:rFonts w:ascii="Arial" w:cs="Arial" w:eastAsia="Arial" w:hAnsi="Arial"/>
          <w:sz w:val="18"/>
          <w:szCs w:val="18"/>
          <w:i w:val="1"/>
          <w:iCs w:val="1"/>
          <w:color w:val="auto"/>
        </w:rPr>
        <w:t xml:space="preserve"> </w:t>
      </w:r>
      <w:r>
        <w:rPr>
          <w:rFonts w:ascii="Arial" w:cs="Arial" w:eastAsia="Arial" w:hAnsi="Arial"/>
          <w:sz w:val="18"/>
          <w:szCs w:val="18"/>
          <w:color w:val="auto"/>
        </w:rPr>
        <w:t>by one or more other Subsidiaries, or by us and one or more other Subsidiaries.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debt that may be outstanding from time to time.</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99"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GUARANTEES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92"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9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87"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700" w:right="220" w:firstLine="397"/>
        <w:spacing w:after="0" w:line="30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are entitled to receive dividends when declared by our Board of Directors. In certain cases,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stockholders may not receive dividends until we satisfy our obligations to any preferred stockholders.</w:t>
      </w:r>
    </w:p>
    <w:p>
      <w:pPr>
        <w:spacing w:after="0" w:line="52"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vote on. Common stockholders do not have cumulative voting rights. Accordingly, the holders of a majority of shares voting for the election of directors can elect all of the directors standing for election.</w:t>
      </w:r>
    </w:p>
    <w:p>
      <w:pPr>
        <w:spacing w:after="0" w:line="87"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hereby will also be, upon issuance and sale, validly issued, fully paid and non-assessable.</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w:t>
      </w:r>
      <w:r>
        <w:rPr>
          <w:rFonts w:ascii="Arial" w:cs="Arial" w:eastAsia="Arial" w:hAnsi="Arial"/>
          <w:sz w:val="18"/>
          <w:szCs w:val="18"/>
          <w:i w:val="1"/>
          <w:iCs w:val="1"/>
          <w:color w:val="auto"/>
        </w:rPr>
        <w:t xml:space="preserve"> </w:t>
      </w:r>
      <w:r>
        <w:rPr>
          <w:rFonts w:ascii="Arial" w:cs="Arial" w:eastAsia="Arial" w:hAnsi="Arial"/>
          <w:sz w:val="18"/>
          <w:szCs w:val="18"/>
          <w:color w:val="auto"/>
        </w:rPr>
        <w:t>share ratably in the assets remaining after we pay our creditors and any preferred stockholders.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New York Stock Exchange under the trading symbol “WM.”</w:t>
      </w:r>
    </w:p>
    <w:p>
      <w:pPr>
        <w:spacing w:after="0" w:line="131"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BNY Mellon Shareowner Services in Jersey</w:t>
      </w:r>
      <w:r>
        <w:rPr>
          <w:rFonts w:ascii="Arial" w:cs="Arial" w:eastAsia="Arial" w:hAnsi="Arial"/>
          <w:sz w:val="18"/>
          <w:szCs w:val="18"/>
          <w:i w:val="1"/>
          <w:iCs w:val="1"/>
          <w:color w:val="auto"/>
        </w:rPr>
        <w:t xml:space="preserve"> </w:t>
      </w:r>
      <w:r>
        <w:rPr>
          <w:rFonts w:ascii="Arial" w:cs="Arial" w:eastAsia="Arial" w:hAnsi="Arial"/>
          <w:sz w:val="18"/>
          <w:szCs w:val="18"/>
          <w:color w:val="auto"/>
        </w:rPr>
        <w:t>City, New Jersey.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Authorized but unissued shares</w:t>
      </w:r>
    </w:p>
    <w:p>
      <w:pPr>
        <w:spacing w:after="0" w:line="135" w:lineRule="exact"/>
        <w:rPr>
          <w:sz w:val="20"/>
          <w:szCs w:val="20"/>
          <w:color w:val="auto"/>
        </w:rPr>
      </w:pPr>
    </w:p>
    <w:p>
      <w:pPr>
        <w:ind w:left="700" w:right="300" w:firstLine="397"/>
        <w:spacing w:after="0" w:line="312" w:lineRule="auto"/>
        <w:rPr>
          <w:sz w:val="20"/>
          <w:szCs w:val="20"/>
          <w:color w:val="auto"/>
        </w:rPr>
      </w:pPr>
      <w:r>
        <w:rPr>
          <w:rFonts w:ascii="Arial" w:cs="Arial" w:eastAsia="Arial" w:hAnsi="Arial"/>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0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135" w:lineRule="exact"/>
        <w:rPr>
          <w:sz w:val="20"/>
          <w:szCs w:val="20"/>
          <w:color w:val="auto"/>
        </w:rPr>
      </w:pPr>
    </w:p>
    <w:p>
      <w:pPr>
        <w:ind w:left="700" w:right="60" w:firstLine="397"/>
        <w:spacing w:after="0" w:line="342" w:lineRule="auto"/>
        <w:rPr>
          <w:sz w:val="20"/>
          <w:szCs w:val="20"/>
          <w:color w:val="auto"/>
        </w:rPr>
      </w:pPr>
      <w:r>
        <w:rPr>
          <w:rFonts w:ascii="Arial" w:cs="Arial" w:eastAsia="Arial" w:hAnsi="Arial"/>
          <w:sz w:val="16"/>
          <w:szCs w:val="16"/>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87" w:lineRule="exact"/>
        <w:rPr>
          <w:sz w:val="20"/>
          <w:szCs w:val="20"/>
          <w:color w:val="auto"/>
        </w:rPr>
      </w:pPr>
    </w:p>
    <w:p>
      <w:pPr>
        <w:ind w:left="1300" w:right="180" w:hanging="202"/>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62" w:lineRule="exact"/>
        <w:rPr>
          <w:rFonts w:ascii="Arial" w:cs="Arial" w:eastAsia="Arial" w:hAnsi="Arial"/>
          <w:sz w:val="18"/>
          <w:szCs w:val="18"/>
          <w:color w:val="auto"/>
        </w:rPr>
      </w:pPr>
    </w:p>
    <w:p>
      <w:pPr>
        <w:ind w:left="1300" w:right="180" w:hanging="202"/>
        <w:spacing w:after="0" w:line="26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87"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76"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35"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7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87" w:lineRule="exact"/>
        <w:rPr>
          <w:sz w:val="20"/>
          <w:szCs w:val="20"/>
          <w:color w:val="auto"/>
        </w:rPr>
      </w:pPr>
    </w:p>
    <w:p>
      <w:pPr>
        <w:ind w:left="700" w:right="460" w:firstLine="397"/>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1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DESCRIPTION OF OTHER SECURITIES</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any warrants or units that may be offered pursuant to this prospectus.</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131" w:lineRule="exact"/>
        <w:rPr>
          <w:sz w:val="20"/>
          <w:szCs w:val="20"/>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31"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87"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94"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firstLine="397"/>
        <w:spacing w:after="0" w:line="312" w:lineRule="auto"/>
        <w:rPr>
          <w:sz w:val="20"/>
          <w:szCs w:val="20"/>
          <w:color w:val="auto"/>
        </w:rPr>
      </w:pPr>
      <w:r>
        <w:rPr>
          <w:rFonts w:ascii="Arial" w:cs="Arial" w:eastAsia="Arial" w:hAnsi="Arial"/>
          <w:sz w:val="16"/>
          <w:szCs w:val="16"/>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92" w:lineRule="exact"/>
        <w:rPr>
          <w:sz w:val="20"/>
          <w:szCs w:val="20"/>
          <w:color w:val="auto"/>
        </w:rPr>
      </w:pPr>
    </w:p>
    <w:p>
      <w:pPr>
        <w:ind w:left="700" w:right="480" w:firstLine="397"/>
        <w:spacing w:after="0" w:line="276" w:lineRule="auto"/>
        <w:rPr>
          <w:sz w:val="20"/>
          <w:szCs w:val="20"/>
          <w:color w:val="auto"/>
        </w:rPr>
      </w:pPr>
      <w:r>
        <w:rPr>
          <w:rFonts w:ascii="Arial" w:cs="Arial" w:eastAsia="Arial" w:hAnsi="Arial"/>
          <w:sz w:val="17"/>
          <w:szCs w:val="17"/>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78"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76" w:lineRule="exact"/>
        <w:rPr>
          <w:sz w:val="20"/>
          <w:szCs w:val="20"/>
          <w:color w:val="auto"/>
        </w:rPr>
      </w:pPr>
    </w:p>
    <w:p>
      <w:pPr>
        <w:ind w:left="700" w:right="100" w:firstLine="397"/>
        <w:spacing w:after="0" w:line="273" w:lineRule="auto"/>
        <w:rPr>
          <w:sz w:val="20"/>
          <w:szCs w:val="20"/>
          <w:color w:val="auto"/>
        </w:rPr>
      </w:pPr>
      <w:r>
        <w:rPr>
          <w:rFonts w:ascii="Arial" w:cs="Arial" w:eastAsia="Arial" w:hAnsi="Arial"/>
          <w:sz w:val="17"/>
          <w:szCs w:val="17"/>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84" w:lineRule="exact"/>
        <w:rPr>
          <w:sz w:val="20"/>
          <w:szCs w:val="20"/>
          <w:color w:val="auto"/>
        </w:rPr>
      </w:pPr>
    </w:p>
    <w:p>
      <w:pPr>
        <w:jc w:val="both"/>
        <w:ind w:left="700" w:right="60" w:firstLine="397"/>
        <w:spacing w:after="0" w:line="286" w:lineRule="auto"/>
        <w:rPr>
          <w:sz w:val="20"/>
          <w:szCs w:val="20"/>
          <w:color w:val="auto"/>
        </w:rPr>
      </w:pPr>
      <w:r>
        <w:rPr>
          <w:rFonts w:ascii="Arial" w:cs="Arial" w:eastAsia="Arial" w:hAnsi="Arial"/>
          <w:sz w:val="17"/>
          <w:szCs w:val="17"/>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SELLING SECURITYHOLDERS</w:t>
      </w:r>
    </w:p>
    <w:p>
      <w:pPr>
        <w:spacing w:after="0" w:line="135" w:lineRule="exact"/>
        <w:rPr>
          <w:sz w:val="20"/>
          <w:szCs w:val="20"/>
          <w:color w:val="auto"/>
        </w:rPr>
      </w:pPr>
    </w:p>
    <w:p>
      <w:pPr>
        <w:ind w:left="700" w:right="640" w:firstLine="397"/>
        <w:spacing w:after="0" w:line="308" w:lineRule="auto"/>
        <w:rPr>
          <w:sz w:val="20"/>
          <w:szCs w:val="20"/>
          <w:color w:val="auto"/>
        </w:rPr>
      </w:pPr>
      <w:r>
        <w:rPr>
          <w:rFonts w:ascii="Arial" w:cs="Arial" w:eastAsia="Arial" w:hAnsi="Arial"/>
          <w:sz w:val="17"/>
          <w:szCs w:val="17"/>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15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1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5440"/>
        <w:spacing w:after="0"/>
        <w:rPr>
          <w:sz w:val="20"/>
          <w:szCs w:val="20"/>
          <w:color w:val="auto"/>
        </w:rPr>
      </w:pP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63500</wp:posOffset>
            </wp:positionV>
            <wp:extent cx="126936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69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23"/>
          <w:szCs w:val="23"/>
          <w:b w:val="1"/>
          <w:bCs w:val="1"/>
          <w:color w:val="auto"/>
        </w:rPr>
        <w:t>% Senior Notes due 2039</w:t>
      </w:r>
    </w:p>
    <w:p>
      <w:pPr>
        <w:spacing w:after="0" w:line="82"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BNP PARIBAS</w:t>
      </w:r>
    </w:p>
    <w:p>
      <w:pPr>
        <w:spacing w:after="0" w:line="29" w:lineRule="exact"/>
        <w:rPr>
          <w:sz w:val="20"/>
          <w:szCs w:val="20"/>
          <w:color w:val="auto"/>
        </w:rPr>
      </w:pPr>
    </w:p>
    <w:p>
      <w:pPr>
        <w:jc w:val="center"/>
        <w:ind w:right="-1080"/>
        <w:spacing w:after="0"/>
        <w:rPr>
          <w:sz w:val="20"/>
          <w:szCs w:val="20"/>
          <w:color w:val="auto"/>
        </w:rPr>
      </w:pPr>
      <w:r>
        <w:rPr>
          <w:rFonts w:ascii="Arial" w:cs="Arial" w:eastAsia="Arial" w:hAnsi="Arial"/>
          <w:sz w:val="32"/>
          <w:szCs w:val="32"/>
          <w:b w:val="1"/>
          <w:bCs w:val="1"/>
          <w:color w:val="auto"/>
        </w:rPr>
        <w:t>J.P. Morgan</w:t>
      </w:r>
    </w:p>
    <w:p>
      <w:pPr>
        <w:jc w:val="center"/>
        <w:ind w:right="-1080"/>
        <w:spacing w:after="0" w:line="237" w:lineRule="auto"/>
        <w:rPr>
          <w:sz w:val="20"/>
          <w:szCs w:val="20"/>
          <w:color w:val="auto"/>
        </w:rPr>
      </w:pPr>
      <w:r>
        <w:rPr>
          <w:rFonts w:ascii="Arial" w:cs="Arial" w:eastAsia="Arial" w:hAnsi="Arial"/>
          <w:sz w:val="32"/>
          <w:szCs w:val="32"/>
          <w:b w:val="1"/>
          <w:bCs w:val="1"/>
          <w:color w:val="auto"/>
        </w:rPr>
        <w:t>Scotia Capital</w:t>
      </w:r>
    </w:p>
    <w:p>
      <w:pPr>
        <w:spacing w:after="0" w:line="1" w:lineRule="exact"/>
        <w:rPr>
          <w:sz w:val="20"/>
          <w:szCs w:val="20"/>
          <w:color w:val="auto"/>
        </w:rPr>
      </w:pPr>
    </w:p>
    <w:p>
      <w:pPr>
        <w:jc w:val="center"/>
        <w:ind w:right="-1080"/>
        <w:spacing w:after="0"/>
        <w:rPr>
          <w:sz w:val="20"/>
          <w:szCs w:val="20"/>
          <w:color w:val="auto"/>
        </w:rPr>
      </w:pPr>
      <w:r>
        <w:rPr>
          <w:rFonts w:ascii="Arial" w:cs="Arial" w:eastAsia="Arial" w:hAnsi="Arial"/>
          <w:sz w:val="28"/>
          <w:szCs w:val="28"/>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175895</wp:posOffset>
            </wp:positionV>
            <wp:extent cx="63030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713"/>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3"/>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lvl w:ilvl="1">
      <w:lvlJc w:val="left"/>
      <w:lvlText w:val="(%2)"/>
      <w:numFmt w:val="lowerLetter"/>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1)"/>
      <w:numFmt w:val="lowerRoman"/>
      <w:start w:val="2"/>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Letter"/>
      <w:start w:val="1"/>
    </w:lvl>
    <w:lvl w:ilvl="1">
      <w:lvlJc w:val="left"/>
      <w:lvlText w:val="•"/>
      <w:numFmt w:val="bullet"/>
      <w:start w:val="1"/>
    </w:lvl>
  </w:abstractNum>
  <w:abstractNum w:abstractNumId="35">
    <w:nsid w:val="2463B9EA"/>
    <w:multiLevelType w:val="hybridMultilevel"/>
    <w:lvl w:ilvl="0">
      <w:lvlJc w:val="left"/>
      <w:lvlText w:val="(%1)"/>
      <w:numFmt w:val="lowerLetter"/>
      <w:start w:val="1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2019-12-16T13:36:03Z</dcterms:created>
  <dcterms:modified xsi:type="dcterms:W3CDTF">2019-12-16T13:36:03Z</dcterms:modified>
</cp:coreProperties>
</file>