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460"/>
        <w:spacing w:after="0"/>
        <w:tabs>
          <w:tab w:leader="none" w:pos="1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5.02(e)</w:t>
      </w:r>
      <w:r>
        <w:rPr>
          <w:sz w:val="20"/>
          <w:szCs w:val="20"/>
          <w:color w:val="auto"/>
        </w:rPr>
        <w:tab/>
      </w:r>
      <w:r>
        <w:rPr>
          <w:rFonts w:ascii="Arial" w:cs="Arial" w:eastAsia="Arial" w:hAnsi="Arial"/>
          <w:sz w:val="16"/>
          <w:szCs w:val="16"/>
          <w:b w:val="1"/>
          <w:bCs w:val="1"/>
          <w:color w:val="auto"/>
        </w:rPr>
        <w:t>Compensatory Arrangements of Certain Officers.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Effective February 25, 2015, the Management Development and Compensation Committee (the “Committee”) of the Board of Directors of Waste Management, Inc. (the “Company”) granted equity awards under the Company’s 2014 Stock Incentive Plan (the “Plan”) to each of the Company’s named executive officers (collectively, the “Executives”).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Each of the Executives, which includes David P. Steiner, President and Chief Executive Officer; James E. Trevathan, Jr., Executive Vice President and Chief Operating Officer; James C. Fish, Jr., Executive Vice President and Chief Financial Officer; Jeff M. Harris, Senior Vice President — Operations and John J. Morris, Senior Vice President — Operations, received performance share units and stock options. The target number of performance share units granted to each of the Executives is as follows: Mr. Steiner — 101,866; Mr. Trevathan — 26,038; Mr. Fish — 26,038; Mr. Harris — 21,736 and Mr. Morris — 21,736. The material terms of the performance share units are described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PSUs</w:t>
            </w:r>
          </w:p>
        </w:tc>
        <w:tc>
          <w:tcPr>
            <w:tcW w:w="410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465"/>
        </w:trPr>
        <w:tc>
          <w:tcPr>
            <w:tcW w:w="4520" w:type="dxa"/>
            <w:vAlign w:val="bottom"/>
            <w:gridSpan w:val="2"/>
          </w:tcPr>
          <w:p>
            <w:pPr>
              <w:spacing w:after="0"/>
              <w:rPr>
                <w:sz w:val="20"/>
                <w:szCs w:val="20"/>
                <w:color w:val="auto"/>
              </w:rPr>
            </w:pPr>
            <w:r>
              <w:rPr>
                <w:rFonts w:ascii="Arial" w:cs="Arial" w:eastAsia="Arial" w:hAnsi="Arial"/>
                <w:sz w:val="18"/>
                <w:szCs w:val="18"/>
                <w:color w:val="auto"/>
              </w:rPr>
              <w:t>Performance Calculation Date (“PCD”)</w:t>
            </w:r>
          </w:p>
        </w:tc>
        <w:tc>
          <w:tcPr>
            <w:tcW w:w="6880" w:type="dxa"/>
            <w:vAlign w:val="bottom"/>
          </w:tcPr>
          <w:p>
            <w:pPr>
              <w:ind w:left="1660"/>
              <w:spacing w:after="0"/>
              <w:rPr>
                <w:sz w:val="20"/>
                <w:szCs w:val="20"/>
                <w:color w:val="auto"/>
              </w:rPr>
            </w:pPr>
            <w:r>
              <w:rPr>
                <w:rFonts w:ascii="Arial" w:cs="Arial" w:eastAsia="Arial" w:hAnsi="Arial"/>
                <w:sz w:val="18"/>
                <w:szCs w:val="18"/>
                <w:color w:val="auto"/>
                <w:w w:val="95"/>
              </w:rPr>
              <w:t>As of December 31, 2017; award (if any) paid out after completion of</w:t>
            </w:r>
          </w:p>
        </w:tc>
      </w:tr>
      <w:tr>
        <w:trPr>
          <w:trHeight w:val="216"/>
        </w:trPr>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880" w:type="dxa"/>
            <w:vAlign w:val="bottom"/>
          </w:tcPr>
          <w:p>
            <w:pPr>
              <w:ind w:left="1660"/>
              <w:spacing w:after="0"/>
              <w:rPr>
                <w:sz w:val="20"/>
                <w:szCs w:val="20"/>
                <w:color w:val="auto"/>
              </w:rPr>
            </w:pPr>
            <w:r>
              <w:rPr>
                <w:rFonts w:ascii="Arial" w:cs="Arial" w:eastAsia="Arial" w:hAnsi="Arial"/>
                <w:sz w:val="18"/>
                <w:szCs w:val="18"/>
                <w:color w:val="auto"/>
                <w:w w:val="97"/>
              </w:rPr>
              <w:t>the audit of the Company’s 2017 year-end financial statements and</w:t>
            </w:r>
          </w:p>
        </w:tc>
      </w:tr>
      <w:tr>
        <w:trPr>
          <w:trHeight w:val="216"/>
        </w:trPr>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880" w:type="dxa"/>
            <w:vAlign w:val="bottom"/>
          </w:tcPr>
          <w:p>
            <w:pPr>
              <w:ind w:left="1660"/>
              <w:spacing w:after="0"/>
              <w:rPr>
                <w:sz w:val="20"/>
                <w:szCs w:val="20"/>
                <w:color w:val="auto"/>
              </w:rPr>
            </w:pPr>
            <w:r>
              <w:rPr>
                <w:rFonts w:ascii="Arial" w:cs="Arial" w:eastAsia="Arial" w:hAnsi="Arial"/>
                <w:sz w:val="18"/>
                <w:szCs w:val="18"/>
                <w:color w:val="auto"/>
                <w:w w:val="91"/>
              </w:rPr>
              <w:t>certification by the Committee of actual level of achievement (“payment</w:t>
            </w:r>
          </w:p>
        </w:tc>
      </w:tr>
      <w:tr>
        <w:trPr>
          <w:trHeight w:val="230"/>
        </w:trPr>
        <w:tc>
          <w:tcPr>
            <w:tcW w:w="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880" w:type="dxa"/>
            <w:vAlign w:val="bottom"/>
          </w:tcPr>
          <w:p>
            <w:pPr>
              <w:ind w:left="1660"/>
              <w:spacing w:after="0"/>
              <w:rPr>
                <w:sz w:val="20"/>
                <w:szCs w:val="20"/>
                <w:color w:val="auto"/>
              </w:rPr>
            </w:pPr>
            <w:r>
              <w:rPr>
                <w:rFonts w:ascii="Arial" w:cs="Arial" w:eastAsia="Arial" w:hAnsi="Arial"/>
                <w:sz w:val="18"/>
                <w:szCs w:val="18"/>
                <w:color w:val="auto"/>
              </w:rPr>
              <w:t>date”).</w:t>
            </w:r>
          </w:p>
        </w:tc>
      </w:tr>
      <w:tr>
        <w:trPr>
          <w:trHeight w:val="310"/>
        </w:trPr>
        <w:tc>
          <w:tcPr>
            <w:tcW w:w="4520" w:type="dxa"/>
            <w:vAlign w:val="bottom"/>
            <w:gridSpan w:val="2"/>
          </w:tcPr>
          <w:p>
            <w:pPr>
              <w:spacing w:after="0"/>
              <w:rPr>
                <w:sz w:val="20"/>
                <w:szCs w:val="20"/>
                <w:color w:val="auto"/>
              </w:rPr>
            </w:pPr>
            <w:r>
              <w:rPr>
                <w:rFonts w:ascii="Arial" w:cs="Arial" w:eastAsia="Arial" w:hAnsi="Arial"/>
                <w:sz w:val="18"/>
                <w:szCs w:val="18"/>
                <w:color w:val="auto"/>
              </w:rPr>
              <w:t>Performance Measure</w:t>
            </w:r>
          </w:p>
        </w:tc>
        <w:tc>
          <w:tcPr>
            <w:tcW w:w="6880" w:type="dxa"/>
            <w:vAlign w:val="bottom"/>
          </w:tcPr>
          <w:p>
            <w:pPr>
              <w:ind w:left="1660"/>
              <w:spacing w:after="0"/>
              <w:rPr>
                <w:sz w:val="20"/>
                <w:szCs w:val="20"/>
                <w:color w:val="auto"/>
              </w:rPr>
            </w:pPr>
            <w:r>
              <w:rPr>
                <w:rFonts w:ascii="Arial" w:cs="Arial" w:eastAsia="Arial" w:hAnsi="Arial"/>
                <w:sz w:val="18"/>
                <w:szCs w:val="18"/>
                <w:color w:val="auto"/>
                <w:w w:val="97"/>
              </w:rPr>
              <w:t>50% of the PSUs will have an adjusted free cash flow performance</w:t>
            </w:r>
          </w:p>
        </w:tc>
      </w:tr>
      <w:tr>
        <w:trPr>
          <w:trHeight w:val="216"/>
        </w:trPr>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880" w:type="dxa"/>
            <w:vAlign w:val="bottom"/>
          </w:tcPr>
          <w:p>
            <w:pPr>
              <w:ind w:left="1660"/>
              <w:spacing w:after="0"/>
              <w:rPr>
                <w:sz w:val="20"/>
                <w:szCs w:val="20"/>
                <w:color w:val="auto"/>
              </w:rPr>
            </w:pPr>
            <w:r>
              <w:rPr>
                <w:rFonts w:ascii="Arial" w:cs="Arial" w:eastAsia="Arial" w:hAnsi="Arial"/>
                <w:sz w:val="18"/>
                <w:szCs w:val="18"/>
                <w:color w:val="auto"/>
                <w:w w:val="97"/>
              </w:rPr>
              <w:t>measure, and 50% of the PSUs will have a total shareholder return</w:t>
            </w:r>
          </w:p>
        </w:tc>
      </w:tr>
      <w:tr>
        <w:trPr>
          <w:trHeight w:val="216"/>
        </w:trPr>
        <w:tc>
          <w:tcPr>
            <w:tcW w:w="4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880" w:type="dxa"/>
            <w:vAlign w:val="bottom"/>
          </w:tcPr>
          <w:p>
            <w:pPr>
              <w:ind w:left="1660"/>
              <w:spacing w:after="0"/>
              <w:rPr>
                <w:sz w:val="20"/>
                <w:szCs w:val="20"/>
                <w:color w:val="auto"/>
              </w:rPr>
            </w:pPr>
            <w:r>
              <w:rPr>
                <w:rFonts w:ascii="Arial" w:cs="Arial" w:eastAsia="Arial" w:hAnsi="Arial"/>
                <w:sz w:val="18"/>
                <w:szCs w:val="18"/>
                <w:color w:val="auto"/>
                <w:w w:val="91"/>
              </w:rPr>
              <w:t>relative to the S&amp;P 500 performance measure, in each case as set forth</w:t>
            </w:r>
          </w:p>
        </w:tc>
      </w:tr>
      <w:tr>
        <w:trPr>
          <w:trHeight w:val="230"/>
        </w:trPr>
        <w:tc>
          <w:tcPr>
            <w:tcW w:w="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880" w:type="dxa"/>
            <w:vAlign w:val="bottom"/>
          </w:tcPr>
          <w:p>
            <w:pPr>
              <w:ind w:left="1660"/>
              <w:spacing w:after="0"/>
              <w:rPr>
                <w:sz w:val="20"/>
                <w:szCs w:val="20"/>
                <w:color w:val="auto"/>
              </w:rPr>
            </w:pPr>
            <w:r>
              <w:rPr>
                <w:rFonts w:ascii="Arial" w:cs="Arial" w:eastAsia="Arial" w:hAnsi="Arial"/>
                <w:sz w:val="18"/>
                <w:szCs w:val="18"/>
                <w:color w:val="auto"/>
              </w:rPr>
              <w:t>in the award agreement filed as an exhibit hereto.</w:t>
            </w:r>
          </w:p>
        </w:tc>
      </w:tr>
      <w:tr>
        <w:trPr>
          <w:trHeight w:val="310"/>
        </w:trPr>
        <w:tc>
          <w:tcPr>
            <w:tcW w:w="4520" w:type="dxa"/>
            <w:vAlign w:val="bottom"/>
            <w:gridSpan w:val="2"/>
          </w:tcPr>
          <w:p>
            <w:pPr>
              <w:spacing w:after="0"/>
              <w:rPr>
                <w:sz w:val="20"/>
                <w:szCs w:val="20"/>
                <w:color w:val="auto"/>
              </w:rPr>
            </w:pPr>
            <w:r>
              <w:rPr>
                <w:rFonts w:ascii="Arial" w:cs="Arial" w:eastAsia="Arial" w:hAnsi="Arial"/>
                <w:sz w:val="18"/>
                <w:szCs w:val="18"/>
                <w:color w:val="auto"/>
              </w:rPr>
              <w:t>Range of Possible Awards</w:t>
            </w:r>
          </w:p>
        </w:tc>
        <w:tc>
          <w:tcPr>
            <w:tcW w:w="6880" w:type="dxa"/>
            <w:vAlign w:val="bottom"/>
          </w:tcPr>
          <w:p>
            <w:pPr>
              <w:ind w:left="1660"/>
              <w:spacing w:after="0"/>
              <w:rPr>
                <w:sz w:val="20"/>
                <w:szCs w:val="20"/>
                <w:color w:val="auto"/>
              </w:rPr>
            </w:pPr>
            <w:r>
              <w:rPr>
                <w:rFonts w:ascii="Arial" w:cs="Arial" w:eastAsia="Arial" w:hAnsi="Arial"/>
                <w:sz w:val="18"/>
                <w:szCs w:val="18"/>
                <w:color w:val="auto"/>
                <w:w w:val="89"/>
              </w:rPr>
              <w:t>0 — 200% of targeted amount, plus accrued dividend equivalents, based</w:t>
            </w:r>
          </w:p>
        </w:tc>
      </w:tr>
      <w:tr>
        <w:trPr>
          <w:trHeight w:val="230"/>
        </w:trPr>
        <w:tc>
          <w:tcPr>
            <w:tcW w:w="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880" w:type="dxa"/>
            <w:vAlign w:val="bottom"/>
          </w:tcPr>
          <w:p>
            <w:pPr>
              <w:ind w:left="1660"/>
              <w:spacing w:after="0"/>
              <w:rPr>
                <w:sz w:val="20"/>
                <w:szCs w:val="20"/>
                <w:color w:val="auto"/>
              </w:rPr>
            </w:pPr>
            <w:r>
              <w:rPr>
                <w:rFonts w:ascii="Arial" w:cs="Arial" w:eastAsia="Arial" w:hAnsi="Arial"/>
                <w:sz w:val="18"/>
                <w:szCs w:val="18"/>
                <w:color w:val="auto"/>
              </w:rPr>
              <w:t>on actual results achieved.</w:t>
            </w: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6880" w:type="dxa"/>
            <w:vAlign w:val="bottom"/>
          </w:tcPr>
          <w:p>
            <w:pPr>
              <w:spacing w:after="0"/>
              <w:rPr>
                <w:sz w:val="24"/>
                <w:szCs w:val="24"/>
                <w:color w:val="auto"/>
              </w:rPr>
            </w:pPr>
          </w:p>
        </w:tc>
      </w:tr>
    </w:tbl>
    <w:p>
      <w:pPr>
        <w:spacing w:after="0" w:line="94" w:lineRule="exact"/>
        <w:rPr>
          <w:sz w:val="20"/>
          <w:szCs w:val="20"/>
          <w:color w:val="auto"/>
        </w:rPr>
      </w:pPr>
    </w:p>
    <w:p>
      <w:pPr>
        <w:sectPr>
          <w:pgSz w:w="11900" w:h="16838" w:orient="portrait"/>
          <w:cols w:equalWidth="0" w:num="1">
            <w:col w:w="11400"/>
          </w:cols>
          <w:pgMar w:left="240" w:top="270" w:right="259" w:bottom="1440" w:gutter="0" w:footer="0" w:header="0"/>
        </w:sectPr>
      </w:pPr>
    </w:p>
    <w:p>
      <w:pPr>
        <w:ind w:left="480"/>
        <w:spacing w:after="0"/>
        <w:rPr>
          <w:sz w:val="20"/>
          <w:szCs w:val="20"/>
          <w:color w:val="auto"/>
        </w:rPr>
      </w:pPr>
      <w:r>
        <w:rPr>
          <w:rFonts w:ascii="Arial" w:cs="Arial" w:eastAsia="Arial" w:hAnsi="Arial"/>
          <w:sz w:val="18"/>
          <w:szCs w:val="18"/>
          <w:color w:val="auto"/>
        </w:rPr>
        <w:t>Death or Disability before PCD</w:t>
      </w:r>
    </w:p>
    <w:p>
      <w:pPr>
        <w:spacing w:after="0" w:line="33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Involuntary Termination for Cause or Voluntary Resignation before PCD</w:t>
      </w:r>
    </w:p>
    <w:p>
      <w:pPr>
        <w:spacing w:after="0" w:line="140" w:lineRule="exact"/>
        <w:rPr>
          <w:sz w:val="20"/>
          <w:szCs w:val="20"/>
          <w:color w:val="auto"/>
        </w:rPr>
      </w:pPr>
    </w:p>
    <w:p>
      <w:pPr>
        <w:ind w:left="480" w:right="120"/>
        <w:spacing w:after="0" w:line="277" w:lineRule="auto"/>
        <w:rPr>
          <w:sz w:val="20"/>
          <w:szCs w:val="20"/>
          <w:color w:val="auto"/>
        </w:rPr>
      </w:pPr>
      <w:r>
        <w:rPr>
          <w:rFonts w:ascii="Arial" w:cs="Arial" w:eastAsia="Arial" w:hAnsi="Arial"/>
          <w:sz w:val="18"/>
          <w:szCs w:val="18"/>
          <w:color w:val="auto"/>
        </w:rPr>
        <w:t>Involuntary Termination other than for Cause or Qualifying Retirement before PCD</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 in Control before PCD</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Payable on payment date as if participant had remained an active employee through PCD.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Immediate forfeiture.</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Payable on payment date based on actual results, prorated based on portion of performance period completed prior to termination of employment.</w:t>
      </w:r>
    </w:p>
    <w:p>
      <w:pPr>
        <w:spacing w:after="0" w:line="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Performance measured prior to the change in control and paid on prorated basis on actual results achieved up to such date. Thereafter, participant also generally receives a replacement award of restricted stock units in the successor entity generally equal to the number of PSUs that would have been earned had no change in control occurred and target performance levels had been met from the time of the change of control through December 31, 2017, adjusted for any conversion factors in the change in control transaction. The new restricted stock units in the successor entity would vest on December 31, 2017.</w:t>
      </w:r>
    </w:p>
    <w:p>
      <w:pPr>
        <w:sectPr>
          <w:pgSz w:w="11900" w:h="16838" w:orient="portrait"/>
          <w:cols w:equalWidth="0" w:num="2">
            <w:col w:w="5740" w:space="440"/>
            <w:col w:w="5220"/>
          </w:cols>
          <w:pgMar w:left="240" w:top="270" w:right="259" w:bottom="1440" w:gutter="0" w:footer="0" w:header="0"/>
          <w:type w:val="continuous"/>
        </w:sectPr>
      </w:pPr>
    </w:p>
    <w:bookmarkStart w:id="2" w:name="page3"/>
    <w:bookmarkEnd w:id="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also granted stock options to the Executives to purchase the following number of shares of the Company’s common stock: Mr. Steiner</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 236,427; Mr. Trevathan — 60,420; Mr. Fish — 60,420; Mr. Harris — 50,438 and Mr. Morris — 50,438. The material terms of the stock options are described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Stock Options</w:t>
            </w:r>
          </w:p>
        </w:tc>
        <w:tc>
          <w:tcPr>
            <w:tcW w:w="480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465"/>
        </w:trPr>
        <w:tc>
          <w:tcPr>
            <w:tcW w:w="590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5480" w:type="dxa"/>
            <w:vAlign w:val="bottom"/>
          </w:tcPr>
          <w:p>
            <w:pPr>
              <w:ind w:left="280"/>
              <w:spacing w:after="0"/>
              <w:rPr>
                <w:sz w:val="20"/>
                <w:szCs w:val="20"/>
                <w:color w:val="auto"/>
              </w:rPr>
            </w:pPr>
            <w:r>
              <w:rPr>
                <w:rFonts w:ascii="Arial" w:cs="Arial" w:eastAsia="Arial" w:hAnsi="Arial"/>
                <w:sz w:val="18"/>
                <w:szCs w:val="18"/>
                <w:color w:val="auto"/>
              </w:rPr>
              <w:t>25% on first anniversary;</w:t>
            </w:r>
          </w:p>
        </w:tc>
      </w:tr>
      <w:tr>
        <w:trPr>
          <w:trHeight w:val="216"/>
        </w:trPr>
        <w:tc>
          <w:tcPr>
            <w:tcW w:w="11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25% on second anniversary; and</w:t>
            </w:r>
          </w:p>
        </w:tc>
      </w:tr>
      <w:tr>
        <w:trPr>
          <w:trHeight w:val="230"/>
        </w:trPr>
        <w:tc>
          <w:tcPr>
            <w:tcW w:w="1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50% on third anniversary.</w:t>
            </w:r>
          </w:p>
        </w:tc>
      </w:tr>
      <w:tr>
        <w:trPr>
          <w:trHeight w:val="338"/>
        </w:trPr>
        <w:tc>
          <w:tcPr>
            <w:tcW w:w="5900" w:type="dxa"/>
            <w:vAlign w:val="bottom"/>
            <w:gridSpan w:val="2"/>
          </w:tcPr>
          <w:p>
            <w:pPr>
              <w:spacing w:after="0"/>
              <w:rPr>
                <w:sz w:val="20"/>
                <w:szCs w:val="20"/>
                <w:color w:val="auto"/>
              </w:rPr>
            </w:pPr>
            <w:r>
              <w:rPr>
                <w:rFonts w:ascii="Arial" w:cs="Arial" w:eastAsia="Arial" w:hAnsi="Arial"/>
                <w:sz w:val="18"/>
                <w:szCs w:val="18"/>
                <w:color w:val="auto"/>
              </w:rPr>
              <w:t>Term</w:t>
            </w:r>
          </w:p>
        </w:tc>
        <w:tc>
          <w:tcPr>
            <w:tcW w:w="5480" w:type="dxa"/>
            <w:vAlign w:val="bottom"/>
          </w:tcPr>
          <w:p>
            <w:pPr>
              <w:ind w:left="280"/>
              <w:spacing w:after="0"/>
              <w:rPr>
                <w:sz w:val="20"/>
                <w:szCs w:val="20"/>
                <w:color w:val="auto"/>
              </w:rPr>
            </w:pPr>
            <w:r>
              <w:rPr>
                <w:rFonts w:ascii="Arial" w:cs="Arial" w:eastAsia="Arial" w:hAnsi="Arial"/>
                <w:sz w:val="18"/>
                <w:szCs w:val="18"/>
                <w:color w:val="auto"/>
              </w:rPr>
              <w:t>10 years from date of grant.</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5480" w:type="dxa"/>
            <w:vAlign w:val="bottom"/>
          </w:tcPr>
          <w:p>
            <w:pPr>
              <w:ind w:left="280"/>
              <w:spacing w:after="0"/>
              <w:rPr>
                <w:sz w:val="20"/>
                <w:szCs w:val="20"/>
                <w:color w:val="auto"/>
              </w:rPr>
            </w:pPr>
            <w:r>
              <w:rPr>
                <w:rFonts w:ascii="Arial" w:cs="Arial" w:eastAsia="Arial" w:hAnsi="Arial"/>
                <w:sz w:val="18"/>
                <w:szCs w:val="18"/>
                <w:color w:val="auto"/>
              </w:rPr>
              <w:t>Fair Market Value on date of grant - $54.635.</w:t>
            </w: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5480" w:type="dxa"/>
            <w:vAlign w:val="bottom"/>
          </w:tcPr>
          <w:p>
            <w:pPr>
              <w:spacing w:after="0"/>
              <w:rPr>
                <w:sz w:val="24"/>
                <w:szCs w:val="24"/>
                <w:color w:val="auto"/>
              </w:rPr>
            </w:pPr>
          </w:p>
        </w:tc>
      </w:tr>
      <w:tr>
        <w:trPr>
          <w:trHeight w:val="310"/>
        </w:trPr>
        <w:tc>
          <w:tcPr>
            <w:tcW w:w="5900" w:type="dxa"/>
            <w:vAlign w:val="bottom"/>
            <w:gridSpan w:val="2"/>
          </w:tcPr>
          <w:p>
            <w:pPr>
              <w:ind w:left="480"/>
              <w:spacing w:after="0"/>
              <w:rPr>
                <w:sz w:val="20"/>
                <w:szCs w:val="20"/>
                <w:color w:val="auto"/>
              </w:rPr>
            </w:pPr>
            <w:r>
              <w:rPr>
                <w:rFonts w:ascii="Arial" w:cs="Arial" w:eastAsia="Arial" w:hAnsi="Arial"/>
                <w:sz w:val="18"/>
                <w:szCs w:val="18"/>
                <w:color w:val="auto"/>
              </w:rPr>
              <w:t>Death or Disability</w:t>
            </w:r>
          </w:p>
        </w:tc>
        <w:tc>
          <w:tcPr>
            <w:tcW w:w="5480" w:type="dxa"/>
            <w:vAlign w:val="bottom"/>
          </w:tcPr>
          <w:p>
            <w:pPr>
              <w:ind w:left="280"/>
              <w:spacing w:after="0"/>
              <w:rPr>
                <w:sz w:val="20"/>
                <w:szCs w:val="20"/>
                <w:color w:val="auto"/>
              </w:rPr>
            </w:pPr>
            <w:r>
              <w:rPr>
                <w:rFonts w:ascii="Arial" w:cs="Arial" w:eastAsia="Arial" w:hAnsi="Arial"/>
                <w:sz w:val="18"/>
                <w:szCs w:val="18"/>
                <w:color w:val="auto"/>
                <w:w w:val="91"/>
              </w:rPr>
              <w:t>All options immediately vest and remain exercisable for one year, but in</w:t>
            </w:r>
          </w:p>
        </w:tc>
      </w:tr>
      <w:tr>
        <w:trPr>
          <w:trHeight w:val="230"/>
        </w:trPr>
        <w:tc>
          <w:tcPr>
            <w:tcW w:w="1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no event later than the original term.</w:t>
            </w:r>
          </w:p>
        </w:tc>
      </w:tr>
      <w:tr>
        <w:trPr>
          <w:trHeight w:val="310"/>
        </w:trPr>
        <w:tc>
          <w:tcPr>
            <w:tcW w:w="5900" w:type="dxa"/>
            <w:vAlign w:val="bottom"/>
            <w:gridSpan w:val="2"/>
          </w:tcPr>
          <w:p>
            <w:pPr>
              <w:ind w:left="480"/>
              <w:spacing w:after="0"/>
              <w:rPr>
                <w:sz w:val="20"/>
                <w:szCs w:val="20"/>
                <w:color w:val="auto"/>
              </w:rPr>
            </w:pPr>
            <w:r>
              <w:rPr>
                <w:rFonts w:ascii="Arial" w:cs="Arial" w:eastAsia="Arial" w:hAnsi="Arial"/>
                <w:sz w:val="18"/>
                <w:szCs w:val="18"/>
                <w:color w:val="auto"/>
              </w:rPr>
              <w:t>Qualifying Retirement</w:t>
            </w:r>
          </w:p>
        </w:tc>
        <w:tc>
          <w:tcPr>
            <w:tcW w:w="5480" w:type="dxa"/>
            <w:vAlign w:val="bottom"/>
          </w:tcPr>
          <w:p>
            <w:pPr>
              <w:ind w:left="280"/>
              <w:spacing w:after="0"/>
              <w:rPr>
                <w:sz w:val="20"/>
                <w:szCs w:val="20"/>
                <w:color w:val="auto"/>
              </w:rPr>
            </w:pPr>
            <w:r>
              <w:rPr>
                <w:rFonts w:ascii="Arial" w:cs="Arial" w:eastAsia="Arial" w:hAnsi="Arial"/>
                <w:sz w:val="18"/>
                <w:szCs w:val="18"/>
                <w:color w:val="auto"/>
                <w:w w:val="96"/>
              </w:rPr>
              <w:t>Continued vesting and exercisability for three years, but in no event</w:t>
            </w:r>
          </w:p>
        </w:tc>
      </w:tr>
      <w:tr>
        <w:trPr>
          <w:trHeight w:val="230"/>
        </w:trPr>
        <w:tc>
          <w:tcPr>
            <w:tcW w:w="1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later than the original term.</w:t>
            </w:r>
          </w:p>
        </w:tc>
      </w:tr>
      <w:tr>
        <w:trPr>
          <w:trHeight w:val="310"/>
        </w:trPr>
        <w:tc>
          <w:tcPr>
            <w:tcW w:w="5900" w:type="dxa"/>
            <w:vAlign w:val="bottom"/>
            <w:gridSpan w:val="2"/>
          </w:tcPr>
          <w:p>
            <w:pPr>
              <w:ind w:left="480"/>
              <w:spacing w:after="0"/>
              <w:rPr>
                <w:sz w:val="20"/>
                <w:szCs w:val="20"/>
                <w:color w:val="auto"/>
              </w:rPr>
            </w:pPr>
            <w:r>
              <w:rPr>
                <w:rFonts w:ascii="Arial" w:cs="Arial" w:eastAsia="Arial" w:hAnsi="Arial"/>
                <w:sz w:val="18"/>
                <w:szCs w:val="18"/>
                <w:color w:val="auto"/>
                <w:w w:val="96"/>
              </w:rPr>
              <w:t>Involuntary Termination other than for Cause or Voluntary Resignation</w:t>
            </w:r>
          </w:p>
        </w:tc>
        <w:tc>
          <w:tcPr>
            <w:tcW w:w="5480" w:type="dxa"/>
            <w:vAlign w:val="bottom"/>
          </w:tcPr>
          <w:p>
            <w:pPr>
              <w:ind w:left="280"/>
              <w:spacing w:after="0"/>
              <w:rPr>
                <w:sz w:val="20"/>
                <w:szCs w:val="20"/>
                <w:color w:val="auto"/>
              </w:rPr>
            </w:pPr>
            <w:r>
              <w:rPr>
                <w:rFonts w:ascii="Arial" w:cs="Arial" w:eastAsia="Arial" w:hAnsi="Arial"/>
                <w:sz w:val="18"/>
                <w:szCs w:val="18"/>
                <w:color w:val="auto"/>
                <w:w w:val="92"/>
              </w:rPr>
              <w:t>All vested options remain exercisable for 90 days, but in no event later</w:t>
            </w:r>
          </w:p>
        </w:tc>
      </w:tr>
      <w:tr>
        <w:trPr>
          <w:trHeight w:val="230"/>
        </w:trPr>
        <w:tc>
          <w:tcPr>
            <w:tcW w:w="1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than the original term.</w:t>
            </w:r>
          </w:p>
        </w:tc>
      </w:tr>
    </w:tbl>
    <w:p>
      <w:pPr>
        <w:spacing w:after="0" w:line="94" w:lineRule="exact"/>
        <w:rPr>
          <w:sz w:val="20"/>
          <w:szCs w:val="20"/>
          <w:color w:val="auto"/>
        </w:rPr>
      </w:pPr>
    </w:p>
    <w:p>
      <w:pPr>
        <w:sectPr>
          <w:pgSz w:w="11900" w:h="16838" w:orient="portrait"/>
          <w:cols w:equalWidth="0" w:num="1">
            <w:col w:w="11400"/>
          </w:cols>
          <w:pgMar w:left="240" w:top="274" w:right="259" w:bottom="1440" w:gutter="0" w:footer="0" w:header="0"/>
        </w:sectPr>
      </w:pPr>
    </w:p>
    <w:p>
      <w:pPr>
        <w:ind w:left="480"/>
        <w:spacing w:after="0"/>
        <w:rPr>
          <w:sz w:val="20"/>
          <w:szCs w:val="20"/>
          <w:color w:val="auto"/>
        </w:rPr>
      </w:pPr>
      <w:r>
        <w:rPr>
          <w:rFonts w:ascii="Arial" w:cs="Arial" w:eastAsia="Arial" w:hAnsi="Arial"/>
          <w:sz w:val="18"/>
          <w:szCs w:val="18"/>
          <w:color w:val="auto"/>
        </w:rPr>
        <w:t>Involuntary Termination for Cause</w:t>
      </w:r>
    </w:p>
    <w:p>
      <w:pPr>
        <w:spacing w:after="0" w:line="117"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Involuntary Termination or Resignation for Good Reason following a Change in 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options are forfeited, whether or not exercisable.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options immediately vest and remain exercisable for three years, but in no event later than the original term.</w:t>
      </w:r>
    </w:p>
    <w:p>
      <w:pPr>
        <w:spacing w:after="0" w:line="170" w:lineRule="exact"/>
        <w:rPr>
          <w:sz w:val="20"/>
          <w:szCs w:val="20"/>
          <w:color w:val="auto"/>
        </w:rPr>
      </w:pPr>
    </w:p>
    <w:p>
      <w:pPr>
        <w:sectPr>
          <w:pgSz w:w="11900" w:h="16838" w:orient="portrait"/>
          <w:cols w:equalWidth="0" w:num="2">
            <w:col w:w="5480" w:space="700"/>
            <w:col w:w="5220"/>
          </w:cols>
          <w:pgMar w:left="240" w:top="274" w:right="259" w:bottom="1440" w:gutter="0" w:footer="0" w:header="0"/>
          <w:type w:val="continuous"/>
        </w:sectPr>
      </w:pPr>
    </w:p>
    <w:p>
      <w:pPr>
        <w:ind w:firstLine="456"/>
        <w:spacing w:after="0" w:line="277" w:lineRule="auto"/>
        <w:rPr>
          <w:sz w:val="20"/>
          <w:szCs w:val="20"/>
          <w:color w:val="auto"/>
        </w:rPr>
      </w:pPr>
      <w:r>
        <w:rPr>
          <w:rFonts w:ascii="Arial" w:cs="Arial" w:eastAsia="Arial" w:hAnsi="Arial"/>
          <w:sz w:val="18"/>
          <w:szCs w:val="18"/>
          <w:color w:val="auto"/>
        </w:rPr>
        <w:t>The form of award agreement for the equity awards described above is filed as an exhibit to this Form 8-K, and the descriptions of the material terms of the awards are qualified in their entirety by reference to the award agreement.</w:t>
      </w:r>
    </w:p>
    <w:p>
      <w:pPr>
        <w:spacing w:after="0" w:line="315"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400" w:type="dxa"/>
            <w:vAlign w:val="bottom"/>
          </w:tcPr>
          <w:p>
            <w:pPr>
              <w:ind w:left="240"/>
              <w:spacing w:after="0"/>
              <w:rPr>
                <w:sz w:val="20"/>
                <w:szCs w:val="20"/>
                <w:color w:val="auto"/>
              </w:rPr>
            </w:pPr>
            <w:r>
              <w:rPr>
                <w:rFonts w:ascii="Arial" w:cs="Arial" w:eastAsia="Arial" w:hAnsi="Arial"/>
                <w:sz w:val="18"/>
                <w:szCs w:val="18"/>
                <w:color w:val="auto"/>
                <w:w w:val="90"/>
              </w:rPr>
              <w:t>Form of 2015 Senior Leadership Team Award Agreement</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type w:val="continuous"/>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3, 2015</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Courtney A. Tippy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340"/>
          </w:cols>
          <w:pgMar w:left="240" w:top="27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5440" w:type="dxa"/>
            <w:vAlign w:val="bottom"/>
            <w:gridSpan w:val="2"/>
          </w:tcPr>
          <w:p>
            <w:pPr>
              <w:ind w:left="4380"/>
              <w:spacing w:after="0"/>
              <w:rPr>
                <w:sz w:val="20"/>
                <w:szCs w:val="20"/>
                <w:color w:val="auto"/>
              </w:rPr>
            </w:pPr>
            <w:r>
              <w:rPr>
                <w:rFonts w:ascii="Arial" w:cs="Arial" w:eastAsia="Arial" w:hAnsi="Arial"/>
                <w:sz w:val="18"/>
                <w:szCs w:val="18"/>
                <w:b w:val="1"/>
                <w:bCs w:val="1"/>
                <w:color w:val="auto"/>
                <w:w w:val="92"/>
              </w:rPr>
              <w:t>Exhibit Index</w:t>
            </w:r>
          </w:p>
        </w:tc>
      </w:tr>
      <w:tr>
        <w:trPr>
          <w:trHeight w:val="389"/>
        </w:trPr>
        <w:tc>
          <w:tcPr>
            <w:tcW w:w="8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3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00"/>
        </w:trPr>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4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800" w:type="dxa"/>
            <w:vAlign w:val="bottom"/>
          </w:tcPr>
          <w:p>
            <w:pPr>
              <w:spacing w:after="0"/>
              <w:rPr>
                <w:sz w:val="20"/>
                <w:szCs w:val="20"/>
                <w:color w:val="auto"/>
              </w:rPr>
            </w:pPr>
            <w:r>
              <w:rPr>
                <w:rFonts w:ascii="Arial" w:cs="Arial" w:eastAsia="Arial" w:hAnsi="Arial"/>
                <w:sz w:val="18"/>
                <w:szCs w:val="18"/>
                <w:color w:val="auto"/>
              </w:rPr>
              <w:t>10.l</w:t>
            </w:r>
          </w:p>
        </w:tc>
        <w:tc>
          <w:tcPr>
            <w:tcW w:w="5440" w:type="dxa"/>
            <w:vAlign w:val="bottom"/>
            <w:gridSpan w:val="2"/>
          </w:tcPr>
          <w:p>
            <w:pPr>
              <w:ind w:left="320"/>
              <w:spacing w:after="0"/>
              <w:rPr>
                <w:sz w:val="20"/>
                <w:szCs w:val="20"/>
                <w:color w:val="auto"/>
              </w:rPr>
            </w:pPr>
            <w:r>
              <w:rPr>
                <w:rFonts w:ascii="Arial" w:cs="Arial" w:eastAsia="Arial" w:hAnsi="Arial"/>
                <w:sz w:val="18"/>
                <w:szCs w:val="18"/>
                <w:color w:val="auto"/>
              </w:rPr>
              <w:t>Form of 2015 Senior Leadership Team Award Agreement</w:t>
            </w:r>
          </w:p>
        </w:tc>
      </w:tr>
    </w:tbl>
    <w:p>
      <w:pPr>
        <w:ind w:left="32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2015 Senior Leadership Team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for Long Term Incentive Compensation under the</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Waste Management, Inc. 2014 Stock Incentive Plan</w:t>
      </w:r>
    </w:p>
    <w:p>
      <w:pPr>
        <w:spacing w:after="0" w:line="2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Award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effective as of February 25, 2015,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by and between Waste Management,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(together with its Subsidiaries and Affiliates, “</w:t>
      </w:r>
      <w:r>
        <w:rPr>
          <w:rFonts w:ascii="Arial" w:cs="Arial" w:eastAsia="Arial" w:hAnsi="Arial"/>
          <w:sz w:val="16"/>
          <w:szCs w:val="16"/>
          <w:b w:val="1"/>
          <w:bCs w:val="1"/>
          <w:i w:val="1"/>
          <w:iCs w:val="1"/>
          <w:color w:val="auto"/>
        </w:rPr>
        <w:t>WM</w:t>
      </w:r>
      <w:r>
        <w:rPr>
          <w:rFonts w:ascii="Arial" w:cs="Arial" w:eastAsia="Arial" w:hAnsi="Arial"/>
          <w:sz w:val="16"/>
          <w:szCs w:val="16"/>
          <w:color w:val="auto"/>
        </w:rPr>
        <w:t>”), and you (“</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At all times, the Awards under this Agreement are subject to the terms and conditions of the Waste Management, Inc. 2014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this Agreement, and all applicable administrative interpretations and practices. A copy of the Plan is available online at </w:t>
      </w:r>
      <w:r>
        <w:rPr>
          <w:rFonts w:ascii="Arial" w:cs="Arial" w:eastAsia="Arial" w:hAnsi="Arial"/>
          <w:sz w:val="16"/>
          <w:szCs w:val="16"/>
          <w:b w:val="1"/>
          <w:bCs w:val="1"/>
          <w:color w:val="auto"/>
        </w:rPr>
        <w:t>http://visor.wm.com</w:t>
      </w:r>
      <w:r>
        <w:rPr>
          <w:rFonts w:ascii="Arial" w:cs="Arial" w:eastAsia="Arial" w:hAnsi="Arial"/>
          <w:sz w:val="16"/>
          <w:szCs w:val="16"/>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6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u w:val="single" w:color="auto"/>
          <w:color w:val="auto"/>
        </w:rPr>
        <w:t>You must execute this Agreement in full, online in accordance with the instructions below, prior to March 31, 2015, in order for this Agreement to become effective</w:t>
      </w:r>
      <w:r>
        <w:rPr>
          <w:rFonts w:ascii="Arial" w:cs="Arial" w:eastAsia="Arial" w:hAnsi="Arial"/>
          <w:sz w:val="18"/>
          <w:szCs w:val="18"/>
          <w:b w:val="1"/>
          <w:bCs w:val="1"/>
          <w:color w:val="auto"/>
        </w:rPr>
        <w:t>. If you do not execute this Agreement by correctly following the instructions below, this Agreement will be immediately and irrevocably cancelled upon the lapse of the deadline.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Instructions for Executing this Agreement</w:t>
      </w:r>
    </w:p>
    <w:p>
      <w:pPr>
        <w:spacing w:after="0" w:line="22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If you have previously received a stock-based incentive award, simply log on to </w:t>
      </w:r>
      <w:r>
        <w:rPr>
          <w:rFonts w:ascii="Arial" w:cs="Arial" w:eastAsia="Arial" w:hAnsi="Arial"/>
          <w:sz w:val="18"/>
          <w:szCs w:val="18"/>
          <w:b w:val="1"/>
          <w:bCs w:val="1"/>
          <w:color w:val="auto"/>
        </w:rPr>
        <w:t>www.mywmtotalrewards.com</w:t>
      </w:r>
      <w:r>
        <w:rPr>
          <w:rFonts w:ascii="Arial" w:cs="Arial" w:eastAsia="Arial" w:hAnsi="Arial"/>
          <w:sz w:val="18"/>
          <w:szCs w:val="18"/>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8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If you are a new Plan participant, you will receive a Benefit Access Mail email directly from the third party stock administrator appointed by the Company. It will provide a personalized link and instructions to a secure website which you will use to create your account. When you have successfully created your account, you will establish an Internet User Name and password. Follow the online instructions and complete all of the steps required to accept the award.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Units</w:t>
      </w:r>
    </w:p>
    <w:p>
      <w:pPr>
        <w:spacing w:after="0" w:line="135" w:lineRule="exact"/>
        <w:rPr>
          <w:sz w:val="20"/>
          <w:szCs w:val="20"/>
          <w:color w:val="auto"/>
        </w:rPr>
      </w:pPr>
    </w:p>
    <w:p>
      <w:pPr>
        <w:ind w:left="460" w:right="22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PSU Grant</w:t>
      </w:r>
      <w:r>
        <w:rPr>
          <w:rFonts w:ascii="Arial" w:cs="Arial" w:eastAsia="Arial" w:hAnsi="Arial"/>
          <w:sz w:val="18"/>
          <w:szCs w:val="18"/>
          <w:color w:val="auto"/>
        </w:rPr>
        <w:t>. The Company grants to Employee a Performance Share Unit Award (a “</w:t>
      </w:r>
      <w:r>
        <w:rPr>
          <w:rFonts w:ascii="Arial" w:cs="Arial" w:eastAsia="Arial" w:hAnsi="Arial"/>
          <w:sz w:val="18"/>
          <w:szCs w:val="18"/>
          <w:b w:val="1"/>
          <w:bCs w:val="1"/>
          <w:i w:val="1"/>
          <w:iCs w:val="1"/>
          <w:color w:val="auto"/>
        </w:rPr>
        <w:t>PSU Award</w:t>
      </w:r>
      <w:r>
        <w:rPr>
          <w:rFonts w:ascii="Arial" w:cs="Arial" w:eastAsia="Arial" w:hAnsi="Arial"/>
          <w:sz w:val="18"/>
          <w:szCs w:val="18"/>
          <w:color w:val="auto"/>
        </w:rPr>
        <w:t>”), as provided in the Notice of Long-Term Incentive Award dated February 25, 2015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Each Performance Share Unit (“</w:t>
      </w:r>
      <w:r>
        <w:rPr>
          <w:rFonts w:ascii="Arial" w:cs="Arial" w:eastAsia="Arial" w:hAnsi="Arial"/>
          <w:sz w:val="18"/>
          <w:szCs w:val="18"/>
          <w:b w:val="1"/>
          <w:bCs w:val="1"/>
          <w:i w:val="1"/>
          <w:iCs w:val="1"/>
          <w:color w:val="auto"/>
        </w:rPr>
        <w:t>PSU</w:t>
      </w:r>
      <w:r>
        <w:rPr>
          <w:rFonts w:ascii="Arial" w:cs="Arial" w:eastAsia="Arial" w:hAnsi="Arial"/>
          <w:sz w:val="18"/>
          <w:szCs w:val="18"/>
          <w:color w:val="auto"/>
        </w:rPr>
        <w:t>”) is a notational unit of measurement denominated in shares of common stock of the Company, $.01 par value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PSU Metrics.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w:t>
      </w:r>
      <w:r>
        <w:rPr>
          <w:rFonts w:ascii="Arial" w:cs="Arial" w:eastAsia="Arial" w:hAnsi="Arial"/>
          <w:sz w:val="18"/>
          <w:szCs w:val="18"/>
          <w:color w:val="auto"/>
        </w:rPr>
        <w:t xml:space="preserve"> for this PSU Award is the 36-month period beginning January 1, 2015, and ending on December 31, 2017. Vesting and payout of your PSU Award is based upon the level of achievement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 w:name="page7"/>
    <w:bookmarkEnd w:id="6"/>
    <w:p>
      <w:pPr>
        <w:ind w:left="912" w:right="700"/>
        <w:spacing w:after="0" w:line="34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Performance Goals </w:t>
      </w:r>
      <w:r>
        <w:rPr>
          <w:rFonts w:ascii="Arial" w:cs="Arial" w:eastAsia="Arial" w:hAnsi="Arial"/>
          <w:sz w:val="16"/>
          <w:szCs w:val="16"/>
          <w:color w:val="auto"/>
        </w:rPr>
        <w:t>that have been set by the Management Development and Compensation Committee of the Board of Directors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The Performance Goals set by the Committee for your PSU Awards are described in paragraph 3 below.</w:t>
      </w:r>
    </w:p>
    <w:p>
      <w:pPr>
        <w:spacing w:after="0" w:line="29" w:lineRule="exact"/>
        <w:rPr>
          <w:sz w:val="20"/>
          <w:szCs w:val="20"/>
          <w:color w:val="auto"/>
        </w:rPr>
      </w:pPr>
    </w:p>
    <w:p>
      <w:pPr>
        <w:ind w:left="892" w:right="40" w:hanging="446"/>
        <w:spacing w:after="0" w:line="272" w:lineRule="auto"/>
        <w:tabs>
          <w:tab w:leader="none" w:pos="892"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The performance measure selected by the Committee to serve as the Performance Goal for half (50%) of your Target PSU Award is </w:t>
      </w:r>
      <w:r>
        <w:rPr>
          <w:rFonts w:ascii="Arial" w:cs="Arial" w:eastAsia="Arial" w:hAnsi="Arial"/>
          <w:sz w:val="17"/>
          <w:szCs w:val="17"/>
          <w:b w:val="1"/>
          <w:bCs w:val="1"/>
          <w:i w:val="1"/>
          <w:iCs w:val="1"/>
          <w:color w:val="auto"/>
        </w:rPr>
        <w:t>Adjusted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Free Cash Flow </w:t>
      </w:r>
      <w:r>
        <w:rPr>
          <w:rFonts w:ascii="Arial" w:cs="Arial" w:eastAsia="Arial" w:hAnsi="Arial"/>
          <w:sz w:val="17"/>
          <w:szCs w:val="17"/>
          <w:color w:val="auto"/>
        </w:rPr>
        <w:t>(defined in paragraph 2.c. below). The performance measure selected by the Committee to serve as the Performance Goal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other half (50%) of your Target PSU Award is </w:t>
      </w:r>
      <w:r>
        <w:rPr>
          <w:rFonts w:ascii="Arial" w:cs="Arial" w:eastAsia="Arial" w:hAnsi="Arial"/>
          <w:sz w:val="17"/>
          <w:szCs w:val="17"/>
          <w:b w:val="1"/>
          <w:bCs w:val="1"/>
          <w:i w:val="1"/>
          <w:iCs w:val="1"/>
          <w:color w:val="auto"/>
        </w:rPr>
        <w:t>Total Shareholder Return Relative to the S&amp;P 500</w:t>
      </w:r>
      <w:r>
        <w:rPr>
          <w:rFonts w:ascii="Arial" w:cs="Arial" w:eastAsia="Arial" w:hAnsi="Arial"/>
          <w:sz w:val="17"/>
          <w:szCs w:val="17"/>
          <w:color w:val="auto"/>
        </w:rPr>
        <w:t>, or “</w:t>
      </w:r>
      <w:r>
        <w:rPr>
          <w:rFonts w:ascii="Arial" w:cs="Arial" w:eastAsia="Arial" w:hAnsi="Arial"/>
          <w:sz w:val="17"/>
          <w:szCs w:val="17"/>
          <w:b w:val="1"/>
          <w:bCs w:val="1"/>
          <w:i w:val="1"/>
          <w:iCs w:val="1"/>
          <w:color w:val="auto"/>
        </w:rPr>
        <w:t>TSR</w:t>
      </w:r>
      <w:r>
        <w:rPr>
          <w:rFonts w:ascii="Arial" w:cs="Arial" w:eastAsia="Arial" w:hAnsi="Arial"/>
          <w:sz w:val="17"/>
          <w:szCs w:val="17"/>
          <w:color w:val="auto"/>
        </w:rPr>
        <w:t>” (as defined in paragraph 2.d. below). To determine the payout (if any) under your PSU Award, the Committee will determine the level of the Performance Goal reached (“</w:t>
      </w:r>
      <w:r>
        <w:rPr>
          <w:rFonts w:ascii="Arial" w:cs="Arial" w:eastAsia="Arial" w:hAnsi="Arial"/>
          <w:sz w:val="17"/>
          <w:szCs w:val="17"/>
          <w:b w:val="1"/>
          <w:bCs w:val="1"/>
          <w:i w:val="1"/>
          <w:iCs w:val="1"/>
          <w:color w:val="auto"/>
        </w:rPr>
        <w:t>Achievement</w:t>
      </w:r>
      <w:r>
        <w:rPr>
          <w:rFonts w:ascii="Arial" w:cs="Arial" w:eastAsia="Arial" w:hAnsi="Arial"/>
          <w:sz w:val="17"/>
          <w:szCs w:val="17"/>
          <w:color w:val="auto"/>
        </w:rPr>
        <w:t>”) and the corresponding payout percentage applicable to each half of your Target PSU Award under paragraph 3 below. The Committee’s determinations, and the related calculations, including the calculation of Adjusted Free Cash Flow and TSR, are made by, and in the sole discretion of, the Committee, and are final and not subject to appeal.</w:t>
      </w:r>
    </w:p>
    <w:p>
      <w:pPr>
        <w:spacing w:after="0" w:line="83" w:lineRule="exact"/>
        <w:rPr>
          <w:rFonts w:ascii="Arial" w:cs="Arial" w:eastAsia="Arial" w:hAnsi="Arial"/>
          <w:sz w:val="17"/>
          <w:szCs w:val="17"/>
          <w:color w:val="auto"/>
        </w:rPr>
      </w:pPr>
    </w:p>
    <w:p>
      <w:pPr>
        <w:ind w:left="892" w:hanging="446"/>
        <w:spacing w:after="0"/>
        <w:tabs>
          <w:tab w:leader="none" w:pos="892" w:val="left"/>
        </w:tabs>
        <w:numPr>
          <w:ilvl w:val="1"/>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Adjusted Free Cash Flow </w:t>
      </w:r>
      <w:r>
        <w:rPr>
          <w:rFonts w:ascii="Arial" w:cs="Arial" w:eastAsia="Arial" w:hAnsi="Arial"/>
          <w:sz w:val="16"/>
          <w:szCs w:val="16"/>
          <w:color w:val="auto"/>
        </w:rPr>
        <w:t>is the cash flow provided by operating activities of WM for the Performance Period with the following adjustments:</w:t>
      </w:r>
    </w:p>
    <w:p>
      <w:pPr>
        <w:spacing w:after="0" w:line="153" w:lineRule="exact"/>
        <w:rPr>
          <w:rFonts w:ascii="Arial" w:cs="Arial" w:eastAsia="Arial" w:hAnsi="Arial"/>
          <w:sz w:val="16"/>
          <w:szCs w:val="16"/>
          <w:color w:val="auto"/>
        </w:rPr>
      </w:pPr>
    </w:p>
    <w:p>
      <w:pPr>
        <w:ind w:left="1472" w:hanging="567"/>
        <w:spacing w:after="0"/>
        <w:tabs>
          <w:tab w:leader="none" w:pos="1472" w:val="left"/>
        </w:tabs>
        <w:numPr>
          <w:ilvl w:val="2"/>
          <w:numId w:val="5"/>
        </w:numPr>
        <w:rPr>
          <w:rFonts w:ascii="Arial" w:cs="Arial" w:eastAsia="Arial" w:hAnsi="Arial"/>
          <w:sz w:val="18"/>
          <w:szCs w:val="18"/>
          <w:color w:val="auto"/>
        </w:rPr>
      </w:pPr>
      <w:r>
        <w:rPr>
          <w:rFonts w:ascii="Arial" w:cs="Arial" w:eastAsia="Arial" w:hAnsi="Arial"/>
          <w:sz w:val="18"/>
          <w:szCs w:val="18"/>
          <w:color w:val="auto"/>
        </w:rPr>
        <w:t>Capital expenditures for purposes of internal growth are excluded;</w:t>
      </w:r>
    </w:p>
    <w:p>
      <w:pPr>
        <w:spacing w:after="0" w:line="130" w:lineRule="exact"/>
        <w:rPr>
          <w:rFonts w:ascii="Arial" w:cs="Arial" w:eastAsia="Arial" w:hAnsi="Arial"/>
          <w:sz w:val="18"/>
          <w:szCs w:val="18"/>
          <w:color w:val="auto"/>
        </w:rPr>
      </w:pPr>
    </w:p>
    <w:p>
      <w:pPr>
        <w:ind w:left="1472" w:right="100" w:hanging="567"/>
        <w:spacing w:after="0" w:line="264" w:lineRule="auto"/>
        <w:tabs>
          <w:tab w:leader="none" w:pos="1472" w:val="left"/>
        </w:tabs>
        <w:numPr>
          <w:ilvl w:val="2"/>
          <w:numId w:val="5"/>
        </w:numPr>
        <w:rPr>
          <w:rFonts w:ascii="Arial" w:cs="Arial" w:eastAsia="Arial" w:hAnsi="Arial"/>
          <w:sz w:val="18"/>
          <w:szCs w:val="18"/>
          <w:color w:val="auto"/>
        </w:rPr>
      </w:pPr>
      <w:r>
        <w:rPr>
          <w:rFonts w:ascii="Arial" w:cs="Arial" w:eastAsia="Arial" w:hAnsi="Arial"/>
          <w:sz w:val="18"/>
          <w:szCs w:val="18"/>
          <w:color w:val="auto"/>
        </w:rPr>
        <w:t>Payments related to costs (including legal costs) associated with labor disruptions (e.g., strikes) and actual or potential multiemployer plan withdrawal liability are excluded as expenditures required as a result of past labor commitments combined with changing economic conditions of the present business climate;</w:t>
      </w:r>
    </w:p>
    <w:p>
      <w:pPr>
        <w:spacing w:after="0" w:line="86" w:lineRule="exact"/>
        <w:rPr>
          <w:rFonts w:ascii="Arial" w:cs="Arial" w:eastAsia="Arial" w:hAnsi="Arial"/>
          <w:sz w:val="18"/>
          <w:szCs w:val="18"/>
          <w:color w:val="auto"/>
        </w:rPr>
      </w:pPr>
    </w:p>
    <w:p>
      <w:pPr>
        <w:ind w:left="1472" w:right="580" w:hanging="567"/>
        <w:spacing w:after="0" w:line="277" w:lineRule="auto"/>
        <w:tabs>
          <w:tab w:leader="none" w:pos="1472" w:val="left"/>
        </w:tabs>
        <w:numPr>
          <w:ilvl w:val="2"/>
          <w:numId w:val="5"/>
        </w:numPr>
        <w:rPr>
          <w:rFonts w:ascii="Arial" w:cs="Arial" w:eastAsia="Arial" w:hAnsi="Arial"/>
          <w:sz w:val="18"/>
          <w:szCs w:val="18"/>
          <w:color w:val="auto"/>
        </w:rPr>
      </w:pPr>
      <w:r>
        <w:rPr>
          <w:rFonts w:ascii="Arial" w:cs="Arial" w:eastAsia="Arial" w:hAnsi="Arial"/>
          <w:sz w:val="18"/>
          <w:szCs w:val="18"/>
          <w:color w:val="auto"/>
        </w:rPr>
        <w:t>Strategic acquisition, restructuring, transformation and reorganization costs are excluded in recognition of WM’s goals to increase customer and business base while minimizing operating costs; and</w:t>
      </w:r>
    </w:p>
    <w:p>
      <w:pPr>
        <w:spacing w:after="0" w:line="75" w:lineRule="exact"/>
        <w:rPr>
          <w:rFonts w:ascii="Arial" w:cs="Arial" w:eastAsia="Arial" w:hAnsi="Arial"/>
          <w:sz w:val="18"/>
          <w:szCs w:val="18"/>
          <w:color w:val="auto"/>
        </w:rPr>
      </w:pPr>
    </w:p>
    <w:p>
      <w:pPr>
        <w:ind w:left="1472" w:right="500" w:hanging="567"/>
        <w:spacing w:after="0" w:line="277" w:lineRule="auto"/>
        <w:tabs>
          <w:tab w:leader="none" w:pos="1472"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other adjustment(s) that, solely in the Committee’s discretion, is necessary to reflect management performance consistent with maximizing shareholder value.</w:t>
      </w:r>
    </w:p>
    <w:p>
      <w:pPr>
        <w:spacing w:after="0" w:line="75" w:lineRule="exact"/>
        <w:rPr>
          <w:rFonts w:ascii="Arial" w:cs="Arial" w:eastAsia="Arial" w:hAnsi="Arial"/>
          <w:sz w:val="18"/>
          <w:szCs w:val="18"/>
          <w:color w:val="auto"/>
        </w:rPr>
      </w:pPr>
    </w:p>
    <w:p>
      <w:pPr>
        <w:ind w:left="452" w:right="620" w:hanging="452"/>
        <w:spacing w:after="0" w:line="277"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Total Shareholder Return Relative to the S&amp;P 500 or “TSR” </w:t>
      </w:r>
      <w:r>
        <w:rPr>
          <w:rFonts w:ascii="Arial" w:cs="Arial" w:eastAsia="Arial" w:hAnsi="Arial"/>
          <w:sz w:val="18"/>
          <w:szCs w:val="18"/>
          <w:color w:val="auto"/>
        </w:rPr>
        <w:t>is the percentile performance of the Company as compared to the other S&amp;P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for the Performance Period. For these purposes:</w:t>
      </w:r>
    </w:p>
    <w:p>
      <w:pPr>
        <w:spacing w:after="0" w:line="75" w:lineRule="exact"/>
        <w:rPr>
          <w:rFonts w:ascii="Arial" w:cs="Arial" w:eastAsia="Arial" w:hAnsi="Arial"/>
          <w:sz w:val="18"/>
          <w:szCs w:val="18"/>
          <w:color w:val="auto"/>
        </w:rPr>
      </w:pPr>
    </w:p>
    <w:p>
      <w:pPr>
        <w:ind w:left="1472" w:hanging="567"/>
        <w:spacing w:after="0" w:line="302" w:lineRule="auto"/>
        <w:tabs>
          <w:tab w:leader="none" w:pos="1472" w:val="left"/>
        </w:tabs>
        <w:numPr>
          <w:ilvl w:val="2"/>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S&amp;P 500 Companies </w:t>
      </w:r>
      <w:r>
        <w:rPr>
          <w:rFonts w:ascii="Arial" w:cs="Arial" w:eastAsia="Arial" w:hAnsi="Arial"/>
          <w:sz w:val="16"/>
          <w:szCs w:val="16"/>
          <w:color w:val="auto"/>
        </w:rPr>
        <w:t>means all of the entities listed on the Standard &amp; Poor’s 500 Composite Index, including the Company, on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which is 30 trading days prior to the commencement of the Performance Period; provided however, that only those entities that continue to trade throughout the Performance Period without interruption on a </w:t>
      </w:r>
      <w:r>
        <w:rPr>
          <w:rFonts w:ascii="Arial" w:cs="Arial" w:eastAsia="Arial" w:hAnsi="Arial"/>
          <w:sz w:val="16"/>
          <w:szCs w:val="16"/>
          <w:b w:val="1"/>
          <w:bCs w:val="1"/>
          <w:i w:val="1"/>
          <w:iCs w:val="1"/>
          <w:color w:val="auto"/>
        </w:rPr>
        <w:t>National Exchange</w:t>
      </w:r>
      <w:r>
        <w:rPr>
          <w:rFonts w:ascii="Arial" w:cs="Arial" w:eastAsia="Arial" w:hAnsi="Arial"/>
          <w:sz w:val="16"/>
          <w:szCs w:val="16"/>
          <w:color w:val="auto"/>
        </w:rPr>
        <w:t xml:space="preserve"> shall be included. For these purposes “</w:t>
      </w:r>
      <w:r>
        <w:rPr>
          <w:rFonts w:ascii="Arial" w:cs="Arial" w:eastAsia="Arial" w:hAnsi="Arial"/>
          <w:sz w:val="16"/>
          <w:szCs w:val="16"/>
          <w:b w:val="1"/>
          <w:bCs w:val="1"/>
          <w:i w:val="1"/>
          <w:iCs w:val="1"/>
          <w:color w:val="auto"/>
        </w:rPr>
        <w:t>National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shall mean a securities exchange that has registered with the SEC under Section 6 of the Securities Exchange Act of 1934.</w:t>
      </w:r>
    </w:p>
    <w:p>
      <w:pPr>
        <w:spacing w:after="0" w:line="59" w:lineRule="exact"/>
        <w:rPr>
          <w:rFonts w:ascii="Arial" w:cs="Arial" w:eastAsia="Arial" w:hAnsi="Arial"/>
          <w:sz w:val="16"/>
          <w:szCs w:val="16"/>
          <w:color w:val="auto"/>
        </w:rPr>
      </w:pPr>
    </w:p>
    <w:p>
      <w:pPr>
        <w:ind w:left="1472" w:right="20" w:hanging="567"/>
        <w:spacing w:after="0" w:line="255" w:lineRule="auto"/>
        <w:tabs>
          <w:tab w:leader="none" w:pos="1472" w:val="left"/>
        </w:tabs>
        <w:numPr>
          <w:ilvl w:val="2"/>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Total Shareholder Return </w:t>
      </w:r>
      <w:r>
        <w:rPr>
          <w:rFonts w:ascii="Arial" w:cs="Arial" w:eastAsia="Arial" w:hAnsi="Arial"/>
          <w:sz w:val="18"/>
          <w:szCs w:val="18"/>
          <w:color w:val="auto"/>
        </w:rPr>
        <w:t>is the result of dividing (1) the sum of the cumulative value of an entity’s dividends for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94" w:lineRule="exact"/>
        <w:rPr>
          <w:rFonts w:ascii="Arial" w:cs="Arial" w:eastAsia="Arial" w:hAnsi="Arial"/>
          <w:sz w:val="18"/>
          <w:szCs w:val="18"/>
          <w:color w:val="auto"/>
        </w:rPr>
      </w:pPr>
    </w:p>
    <w:p>
      <w:pPr>
        <w:ind w:left="1912" w:right="320" w:hanging="440"/>
        <w:spacing w:after="0" w:line="308" w:lineRule="auto"/>
        <w:tabs>
          <w:tab w:leader="none" w:pos="1912" w:val="left"/>
        </w:tabs>
        <w:numPr>
          <w:ilvl w:val="3"/>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Price </w:t>
      </w:r>
      <w:r>
        <w:rPr>
          <w:rFonts w:ascii="Arial" w:cs="Arial" w:eastAsia="Arial" w:hAnsi="Arial"/>
          <w:sz w:val="17"/>
          <w:szCs w:val="17"/>
          <w:color w:val="auto"/>
        </w:rPr>
        <w:t>is the per share closing price, as reported by the Bloomberg L.P. (or any other publicly available reporting service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may designate from time to time) of a share or share equivalent on the applicable stock exchange.</w:t>
      </w:r>
    </w:p>
    <w:p>
      <w:pPr>
        <w:spacing w:after="0" w:line="51" w:lineRule="exact"/>
        <w:rPr>
          <w:rFonts w:ascii="Arial" w:cs="Arial" w:eastAsia="Arial" w:hAnsi="Arial"/>
          <w:sz w:val="17"/>
          <w:szCs w:val="17"/>
          <w:color w:val="auto"/>
        </w:rPr>
      </w:pPr>
    </w:p>
    <w:p>
      <w:pPr>
        <w:ind w:left="1912" w:right="420" w:hanging="440"/>
        <w:spacing w:after="0" w:line="277" w:lineRule="auto"/>
        <w:tabs>
          <w:tab w:leader="none" w:pos="1912" w:val="left"/>
        </w:tabs>
        <w:numPr>
          <w:ilvl w:val="3"/>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Beginning Price </w:t>
      </w:r>
      <w:r>
        <w:rPr>
          <w:rFonts w:ascii="Arial" w:cs="Arial" w:eastAsia="Arial" w:hAnsi="Arial"/>
          <w:sz w:val="18"/>
          <w:szCs w:val="18"/>
          <w:color w:val="auto"/>
        </w:rPr>
        <w:t>is the average Price for the period of 20 trading days immediately preceding the first day of the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w:t>
      </w:r>
    </w:p>
    <w:p>
      <w:pPr>
        <w:spacing w:after="0" w:line="75" w:lineRule="exact"/>
        <w:rPr>
          <w:rFonts w:ascii="Arial" w:cs="Arial" w:eastAsia="Arial" w:hAnsi="Arial"/>
          <w:sz w:val="18"/>
          <w:szCs w:val="18"/>
          <w:color w:val="auto"/>
        </w:rPr>
      </w:pPr>
    </w:p>
    <w:p>
      <w:pPr>
        <w:ind w:left="1912" w:right="560" w:hanging="440"/>
        <w:spacing w:after="0" w:line="277" w:lineRule="auto"/>
        <w:tabs>
          <w:tab w:leader="none" w:pos="1912" w:val="left"/>
        </w:tabs>
        <w:numPr>
          <w:ilvl w:val="3"/>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Ending Price </w:t>
      </w:r>
      <w:r>
        <w:rPr>
          <w:rFonts w:ascii="Arial" w:cs="Arial" w:eastAsia="Arial" w:hAnsi="Arial"/>
          <w:sz w:val="18"/>
          <w:szCs w:val="18"/>
          <w:color w:val="auto"/>
        </w:rPr>
        <w:t>is the average Price for the period of 20 trading days immediately preceding and including the final day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Period.</w:t>
      </w:r>
    </w:p>
    <w:p>
      <w:pPr>
        <w:spacing w:after="0" w:line="75" w:lineRule="exact"/>
        <w:rPr>
          <w:rFonts w:ascii="Arial" w:cs="Arial" w:eastAsia="Arial" w:hAnsi="Arial"/>
          <w:sz w:val="18"/>
          <w:szCs w:val="18"/>
          <w:color w:val="auto"/>
        </w:rPr>
      </w:pPr>
    </w:p>
    <w:p>
      <w:pPr>
        <w:ind w:left="1472" w:right="20" w:hanging="567"/>
        <w:spacing w:after="0" w:line="264" w:lineRule="auto"/>
        <w:tabs>
          <w:tab w:leader="none" w:pos="1472" w:val="left"/>
        </w:tabs>
        <w:numPr>
          <w:ilvl w:val="2"/>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Relative TSR Percentile Rank </w:t>
      </w:r>
      <w:r>
        <w:rPr>
          <w:rFonts w:ascii="Arial" w:cs="Arial" w:eastAsia="Arial" w:hAnsi="Arial"/>
          <w:sz w:val="18"/>
          <w:szCs w:val="18"/>
          <w:color w:val="auto"/>
        </w:rPr>
        <w:t>is the percentile performance of the Company as compared to the S&amp;P 500 Companies. Relative TSR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Rank is determined by ranking the Company and all other S&amp;P 500 Companies according to their respective Total Shareholder Return for the Performance Period. The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7" w:name="page8"/>
    <w:bookmarkEnd w:id="7"/>
    <w:p>
      <w:pPr>
        <w:ind w:left="14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ranking is in order from minimum to maximum, with the lowest performing entity assigned a rank of one. The Company’s ranking is then divided by the total number of entities within the S&amp;P 500 Companies to get the Relative TSR Percentile Rank.</w:t>
      </w:r>
    </w:p>
    <w:p>
      <w:pPr>
        <w:spacing w:after="0" w:line="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PSU Payout Percentage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xml:space="preserve"> are the levels of performance set by the Committee on the Grant Date with respect to each measure of performance.</w:t>
      </w:r>
    </w:p>
    <w:p>
      <w:pPr>
        <w:spacing w:after="0" w:line="153" w:lineRule="exact"/>
        <w:rPr>
          <w:rFonts w:ascii="Arial" w:cs="Arial" w:eastAsia="Arial" w:hAnsi="Arial"/>
          <w:sz w:val="16"/>
          <w:szCs w:val="16"/>
          <w:color w:val="auto"/>
        </w:rPr>
      </w:pPr>
    </w:p>
    <w:p>
      <w:pPr>
        <w:ind w:left="900" w:right="6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Target PSU Award</w:t>
      </w:r>
      <w:r>
        <w:rPr>
          <w:rFonts w:ascii="Arial" w:cs="Arial" w:eastAsia="Arial" w:hAnsi="Arial"/>
          <w:sz w:val="18"/>
          <w:szCs w:val="18"/>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Achievement Levels and Corresponding Payouts for PSUs Dependent on Adjusted Cash Flow Performance Measure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Adjusted Free</w:t>
            </w:r>
          </w:p>
        </w:tc>
        <w:tc>
          <w:tcPr>
            <w:tcW w:w="5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Payout Percentage for the</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of Achievement</w:t>
            </w:r>
          </w:p>
        </w:tc>
        <w:tc>
          <w:tcPr>
            <w:tcW w:w="24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Cash Flow Over the</w:t>
            </w:r>
          </w:p>
        </w:tc>
        <w:tc>
          <w:tcPr>
            <w:tcW w:w="5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applicable half of your</w:t>
            </w:r>
          </w:p>
        </w:tc>
        <w:tc>
          <w:tcPr>
            <w:tcW w:w="0" w:type="dxa"/>
            <w:vAlign w:val="bottom"/>
          </w:tcPr>
          <w:p>
            <w:pPr>
              <w:spacing w:after="0"/>
              <w:rPr>
                <w:sz w:val="1"/>
                <w:szCs w:val="1"/>
                <w:color w:val="auto"/>
              </w:rPr>
            </w:pPr>
          </w:p>
        </w:tc>
      </w:tr>
      <w:tr>
        <w:trPr>
          <w:trHeight w:val="158"/>
        </w:trPr>
        <w:tc>
          <w:tcPr>
            <w:tcW w:w="4660" w:type="dxa"/>
            <w:vAlign w:val="bottom"/>
            <w:gridSpan w:val="2"/>
            <w:vMerge w:val="continue"/>
          </w:tcPr>
          <w:p>
            <w:pPr>
              <w:spacing w:after="0"/>
              <w:rPr>
                <w:sz w:val="13"/>
                <w:szCs w:val="13"/>
                <w:color w:val="auto"/>
              </w:rPr>
            </w:pPr>
          </w:p>
        </w:tc>
        <w:tc>
          <w:tcPr>
            <w:tcW w:w="1500" w:type="dxa"/>
            <w:vAlign w:val="bottom"/>
            <w:gridSpan w:val="3"/>
          </w:tcPr>
          <w:p>
            <w:pPr>
              <w:ind w:left="240"/>
              <w:spacing w:after="0" w:line="158" w:lineRule="exact"/>
              <w:rPr>
                <w:sz w:val="20"/>
                <w:szCs w:val="20"/>
                <w:color w:val="auto"/>
              </w:rPr>
            </w:pPr>
            <w:r>
              <w:rPr>
                <w:rFonts w:ascii="Arial" w:cs="Arial" w:eastAsia="Arial" w:hAnsi="Arial"/>
                <w:sz w:val="14"/>
                <w:szCs w:val="14"/>
                <w:b w:val="1"/>
                <w:bCs w:val="1"/>
                <w:color w:val="auto"/>
                <w:w w:val="93"/>
              </w:rPr>
              <w:t>Performance Period</w:t>
            </w:r>
          </w:p>
        </w:tc>
        <w:tc>
          <w:tcPr>
            <w:tcW w:w="520" w:type="dxa"/>
            <w:vAlign w:val="bottom"/>
          </w:tcPr>
          <w:p>
            <w:pPr>
              <w:spacing w:after="0"/>
              <w:rPr>
                <w:sz w:val="13"/>
                <w:szCs w:val="13"/>
                <w:color w:val="auto"/>
              </w:rPr>
            </w:pPr>
          </w:p>
        </w:tc>
        <w:tc>
          <w:tcPr>
            <w:tcW w:w="2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Target PSU Award</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95"/>
              </w:rPr>
              <w:t xml:space="preserve">Threshold Performance </w:t>
            </w:r>
            <w:r>
              <w:rPr>
                <w:rFonts w:ascii="Arial" w:cs="Arial" w:eastAsia="Arial" w:hAnsi="Arial"/>
                <w:sz w:val="18"/>
                <w:szCs w:val="18"/>
                <w:color w:val="auto"/>
                <w:w w:val="95"/>
              </w:rPr>
              <w:t>(the minimum level of Achievement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to qualify for any payout of the Adjusted Free Cash Flow</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half of your Target PSU Award.)</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3.533 billion</w:t>
            </w:r>
          </w:p>
        </w:tc>
        <w:tc>
          <w:tcPr>
            <w:tcW w:w="52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 of Target PSU Award</w:t>
            </w:r>
          </w:p>
        </w:tc>
        <w:tc>
          <w:tcPr>
            <w:tcW w:w="0" w:type="dxa"/>
            <w:vAlign w:val="bottom"/>
          </w:tcPr>
          <w:p>
            <w:pPr>
              <w:spacing w:after="0"/>
              <w:rPr>
                <w:sz w:val="1"/>
                <w:szCs w:val="1"/>
                <w:color w:val="auto"/>
              </w:rPr>
            </w:pPr>
          </w:p>
        </w:tc>
      </w:tr>
      <w:tr>
        <w:trPr>
          <w:trHeight w:val="202"/>
        </w:trPr>
        <w:tc>
          <w:tcPr>
            <w:tcW w:w="466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6"/>
              </w:rPr>
              <w:t xml:space="preserve">Target Performance </w:t>
            </w:r>
            <w:r>
              <w:rPr>
                <w:rFonts w:ascii="Arial" w:cs="Arial" w:eastAsia="Arial" w:hAnsi="Arial"/>
                <w:sz w:val="18"/>
                <w:szCs w:val="18"/>
                <w:color w:val="auto"/>
                <w:w w:val="96"/>
              </w:rPr>
              <w:t>(the level of Achievement to qualify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Arial" w:cs="Arial" w:eastAsia="Arial" w:hAnsi="Arial"/>
                <w:sz w:val="18"/>
                <w:szCs w:val="18"/>
                <w:color w:val="auto"/>
                <w:w w:val="97"/>
              </w:rPr>
              <w:t>100% payout of the Adjusted Free Cash Flow half of your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Target PSU Award.)</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tcPr>
          <w:p>
            <w:pPr>
              <w:ind w:left="200"/>
              <w:spacing w:after="0"/>
              <w:rPr>
                <w:sz w:val="20"/>
                <w:szCs w:val="20"/>
                <w:color w:val="auto"/>
              </w:rPr>
            </w:pPr>
            <w:r>
              <w:rPr>
                <w:rFonts w:ascii="Arial" w:cs="Arial" w:eastAsia="Arial" w:hAnsi="Arial"/>
                <w:sz w:val="18"/>
                <w:szCs w:val="18"/>
                <w:color w:val="auto"/>
                <w:w w:val="95"/>
              </w:rPr>
              <w:t>3.833 billion</w:t>
            </w:r>
          </w:p>
        </w:tc>
        <w:tc>
          <w:tcPr>
            <w:tcW w:w="25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100% of Target PSU Award</w:t>
            </w:r>
          </w:p>
        </w:tc>
        <w:tc>
          <w:tcPr>
            <w:tcW w:w="0" w:type="dxa"/>
            <w:vAlign w:val="bottom"/>
          </w:tcPr>
          <w:p>
            <w:pPr>
              <w:spacing w:after="0"/>
              <w:rPr>
                <w:sz w:val="1"/>
                <w:szCs w:val="1"/>
                <w:color w:val="auto"/>
              </w:rPr>
            </w:pPr>
          </w:p>
        </w:tc>
      </w:tr>
      <w:tr>
        <w:trPr>
          <w:trHeight w:val="202"/>
        </w:trPr>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 xml:space="preserve">Maximum Performance </w:t>
            </w:r>
            <w:r>
              <w:rPr>
                <w:rFonts w:ascii="Arial" w:cs="Arial" w:eastAsia="Arial" w:hAnsi="Arial"/>
                <w:sz w:val="18"/>
                <w:szCs w:val="18"/>
                <w:color w:val="auto"/>
              </w:rPr>
              <w:t>(the maximum level of</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Achievement that results in an increased number of PSUs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paid out under the Adjusted Free Cash Flow half of your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Target PSU Award.)</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4.133 billion</w:t>
            </w:r>
          </w:p>
        </w:tc>
        <w:tc>
          <w:tcPr>
            <w:tcW w:w="25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200% of Target PSU Award</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Achievement Levels and Corresponding Payouts for PSUs Dependant on TSR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Total Shareholder Return Relative to the S&amp;P 500 over the Performance Period</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119"/>
        </w:trPr>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Relative TSR</w:t>
            </w:r>
          </w:p>
        </w:tc>
        <w:tc>
          <w:tcPr>
            <w:tcW w:w="300" w:type="dxa"/>
            <w:vAlign w:val="bottom"/>
            <w:tcBorders>
              <w:top w:val="single" w:sz="8" w:color="auto"/>
            </w:tcBorders>
          </w:tcPr>
          <w:p>
            <w:pPr>
              <w:spacing w:after="0"/>
              <w:rPr>
                <w:sz w:val="10"/>
                <w:szCs w:val="10"/>
                <w:color w:val="auto"/>
              </w:rPr>
            </w:pPr>
          </w:p>
        </w:tc>
        <w:tc>
          <w:tcPr>
            <w:tcW w:w="1920" w:type="dxa"/>
            <w:vAlign w:val="bottom"/>
          </w:tcPr>
          <w:p>
            <w:pPr>
              <w:jc w:val="center"/>
              <w:ind w:right="251"/>
              <w:spacing w:after="0" w:line="119" w:lineRule="exact"/>
              <w:rPr>
                <w:sz w:val="20"/>
                <w:szCs w:val="20"/>
                <w:color w:val="auto"/>
              </w:rPr>
            </w:pPr>
            <w:r>
              <w:rPr>
                <w:rFonts w:ascii="Arial" w:cs="Arial" w:eastAsia="Arial" w:hAnsi="Arial"/>
                <w:sz w:val="13"/>
                <w:szCs w:val="13"/>
                <w:b w:val="1"/>
                <w:bCs w:val="1"/>
                <w:color w:val="auto"/>
                <w:w w:val="99"/>
              </w:rPr>
              <w:t>Payout Percentage for the</w:t>
            </w:r>
          </w:p>
        </w:tc>
        <w:tc>
          <w:tcPr>
            <w:tcW w:w="0" w:type="dxa"/>
            <w:vAlign w:val="bottom"/>
          </w:tcPr>
          <w:p>
            <w:pPr>
              <w:spacing w:after="0"/>
              <w:rPr>
                <w:sz w:val="1"/>
                <w:szCs w:val="1"/>
                <w:color w:val="auto"/>
              </w:rPr>
            </w:pPr>
          </w:p>
        </w:tc>
      </w:tr>
      <w:tr>
        <w:trPr>
          <w:trHeight w:val="149"/>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of Achievement</w:t>
            </w:r>
          </w:p>
        </w:tc>
        <w:tc>
          <w:tcPr>
            <w:tcW w:w="1440" w:type="dxa"/>
            <w:vAlign w:val="bottom"/>
            <w:gridSpan w:val="2"/>
            <w:vMerge w:val="continue"/>
          </w:tcPr>
          <w:p>
            <w:pPr>
              <w:spacing w:after="0"/>
              <w:rPr>
                <w:sz w:val="12"/>
                <w:szCs w:val="12"/>
                <w:color w:val="auto"/>
              </w:rPr>
            </w:pPr>
          </w:p>
        </w:tc>
        <w:tc>
          <w:tcPr>
            <w:tcW w:w="2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applicable half of your Target</w:t>
            </w:r>
          </w:p>
        </w:tc>
        <w:tc>
          <w:tcPr>
            <w:tcW w:w="0" w:type="dxa"/>
            <w:vAlign w:val="bottom"/>
          </w:tcPr>
          <w:p>
            <w:pPr>
              <w:spacing w:after="0"/>
              <w:rPr>
                <w:sz w:val="1"/>
                <w:szCs w:val="1"/>
                <w:color w:val="auto"/>
              </w:rPr>
            </w:pPr>
          </w:p>
        </w:tc>
      </w:tr>
      <w:tr>
        <w:trPr>
          <w:trHeight w:val="158"/>
        </w:trPr>
        <w:tc>
          <w:tcPr>
            <w:tcW w:w="5020" w:type="dxa"/>
            <w:vAlign w:val="bottom"/>
            <w:gridSpan w:val="3"/>
            <w:vMerge w:val="continue"/>
          </w:tcPr>
          <w:p>
            <w:pPr>
              <w:spacing w:after="0"/>
              <w:rPr>
                <w:sz w:val="13"/>
                <w:szCs w:val="13"/>
                <w:color w:val="auto"/>
              </w:rPr>
            </w:pPr>
          </w:p>
        </w:tc>
        <w:tc>
          <w:tcPr>
            <w:tcW w:w="14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Percentile Rank</w:t>
            </w:r>
          </w:p>
        </w:tc>
        <w:tc>
          <w:tcPr>
            <w:tcW w:w="300" w:type="dxa"/>
            <w:vAlign w:val="bottom"/>
          </w:tcPr>
          <w:p>
            <w:pPr>
              <w:spacing w:after="0"/>
              <w:rPr>
                <w:sz w:val="13"/>
                <w:szCs w:val="13"/>
                <w:color w:val="auto"/>
              </w:rPr>
            </w:pPr>
          </w:p>
        </w:tc>
        <w:tc>
          <w:tcPr>
            <w:tcW w:w="1920" w:type="dxa"/>
            <w:vAlign w:val="bottom"/>
          </w:tcPr>
          <w:p>
            <w:pPr>
              <w:jc w:val="center"/>
              <w:ind w:right="251"/>
              <w:spacing w:after="0" w:line="158" w:lineRule="exact"/>
              <w:rPr>
                <w:sz w:val="20"/>
                <w:szCs w:val="20"/>
                <w:color w:val="auto"/>
              </w:rPr>
            </w:pPr>
            <w:r>
              <w:rPr>
                <w:rFonts w:ascii="Arial" w:cs="Arial" w:eastAsia="Arial" w:hAnsi="Arial"/>
                <w:sz w:val="14"/>
                <w:szCs w:val="14"/>
                <w:b w:val="1"/>
                <w:bCs w:val="1"/>
                <w:color w:val="auto"/>
                <w:w w:val="95"/>
              </w:rPr>
              <w:t>PSU Award</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98"/>
              </w:rPr>
              <w:t xml:space="preserve">Threshold Performance </w:t>
            </w:r>
            <w:r>
              <w:rPr>
                <w:rFonts w:ascii="Arial" w:cs="Arial" w:eastAsia="Arial" w:hAnsi="Arial"/>
                <w:sz w:val="18"/>
                <w:szCs w:val="18"/>
                <w:color w:val="auto"/>
                <w:w w:val="98"/>
              </w:rPr>
              <w:t>(the minimum level of Achievement to</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qualify for any payout of the TSR half of your Target PSU</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25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2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50% of Target PSU Award</w:t>
            </w:r>
          </w:p>
        </w:tc>
        <w:tc>
          <w:tcPr>
            <w:tcW w:w="0" w:type="dxa"/>
            <w:vAlign w:val="bottom"/>
          </w:tcPr>
          <w:p>
            <w:pPr>
              <w:spacing w:after="0"/>
              <w:rPr>
                <w:sz w:val="1"/>
                <w:szCs w:val="1"/>
                <w:color w:val="auto"/>
              </w:rPr>
            </w:pPr>
          </w:p>
        </w:tc>
      </w:tr>
      <w:tr>
        <w:trPr>
          <w:trHeight w:val="202"/>
        </w:trPr>
        <w:tc>
          <w:tcPr>
            <w:tcW w:w="502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rPr>
              <w:t xml:space="preserve">Target Performance </w:t>
            </w:r>
            <w:r>
              <w:rPr>
                <w:rFonts w:ascii="Arial" w:cs="Arial" w:eastAsia="Arial" w:hAnsi="Arial"/>
                <w:sz w:val="18"/>
                <w:szCs w:val="18"/>
                <w:color w:val="auto"/>
              </w:rPr>
              <w:t>(the level of Achievement to qualify for</w:t>
            </w: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gridSpan w:val="3"/>
          </w:tcPr>
          <w:p>
            <w:pPr>
              <w:ind w:left="180"/>
              <w:spacing w:after="0"/>
              <w:rPr>
                <w:sz w:val="20"/>
                <w:szCs w:val="20"/>
                <w:color w:val="auto"/>
              </w:rPr>
            </w:pPr>
            <w:r>
              <w:rPr>
                <w:rFonts w:ascii="Arial" w:cs="Arial" w:eastAsia="Arial" w:hAnsi="Arial"/>
                <w:sz w:val="18"/>
                <w:szCs w:val="18"/>
                <w:color w:val="auto"/>
              </w:rPr>
              <w:t>100% payout of the TSR half of your Target PSU Award.)</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50</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2220" w:type="dxa"/>
            <w:vAlign w:val="bottom"/>
            <w:gridSpan w:val="2"/>
          </w:tcPr>
          <w:p>
            <w:pPr>
              <w:jc w:val="center"/>
              <w:spacing w:after="0"/>
              <w:rPr>
                <w:sz w:val="20"/>
                <w:szCs w:val="20"/>
                <w:color w:val="auto"/>
              </w:rPr>
            </w:pPr>
            <w:r>
              <w:rPr>
                <w:rFonts w:ascii="Arial" w:cs="Arial" w:eastAsia="Arial" w:hAnsi="Arial"/>
                <w:sz w:val="18"/>
                <w:szCs w:val="18"/>
                <w:color w:val="auto"/>
                <w:w w:val="90"/>
              </w:rPr>
              <w:t>100% of Target PSU Award</w:t>
            </w:r>
          </w:p>
        </w:tc>
        <w:tc>
          <w:tcPr>
            <w:tcW w:w="0" w:type="dxa"/>
            <w:vAlign w:val="bottom"/>
          </w:tcPr>
          <w:p>
            <w:pPr>
              <w:spacing w:after="0"/>
              <w:rPr>
                <w:sz w:val="1"/>
                <w:szCs w:val="1"/>
                <w:color w:val="auto"/>
              </w:rPr>
            </w:pPr>
          </w:p>
        </w:tc>
      </w:tr>
      <w:tr>
        <w:trPr>
          <w:trHeight w:val="202"/>
        </w:trPr>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 xml:space="preserve">Maximum Performance </w:t>
            </w:r>
            <w:r>
              <w:rPr>
                <w:rFonts w:ascii="Arial" w:cs="Arial" w:eastAsia="Arial" w:hAnsi="Arial"/>
                <w:sz w:val="18"/>
                <w:szCs w:val="18"/>
                <w:color w:val="auto"/>
              </w:rPr>
              <w:t>(the maximum level of Achievement</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that results in an increased number of PSUs paid out under the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TSR half of your Target PSU Award.)</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75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w:t>
            </w:r>
          </w:p>
        </w:tc>
        <w:tc>
          <w:tcPr>
            <w:tcW w:w="2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200% of Target PSU Award</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160" w:hanging="452"/>
        <w:spacing w:after="0" w:line="276"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Timing and Form of Payment of PSU Award</w:t>
      </w:r>
      <w:r>
        <w:rPr>
          <w:rFonts w:ascii="Arial" w:cs="Arial" w:eastAsia="Arial" w:hAnsi="Arial"/>
          <w:sz w:val="17"/>
          <w:szCs w:val="17"/>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17"/>
          <w:szCs w:val="17"/>
          <w:b w:val="1"/>
          <w:bCs w:val="1"/>
          <w:i w:val="1"/>
          <w:iCs w:val="1"/>
          <w:color w:val="auto"/>
        </w:rPr>
        <w:t>PSU Awarded Shares</w:t>
      </w:r>
      <w:r>
        <w:rPr>
          <w:rFonts w:ascii="Arial" w:cs="Arial" w:eastAsia="Arial" w:hAnsi="Arial"/>
          <w:sz w:val="17"/>
          <w:szCs w:val="17"/>
          <w:color w:val="auto"/>
        </w:rPr>
        <w:t>”). Unless you have a valid Deferral Election in place for your PSU Award (see paragraph 7 under “Important Award Details” for further information on permitted deferrals),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 w:name="page9"/>
    <w:bookmarkEnd w:id="8"/>
    <w:p>
      <w:pPr>
        <w:ind w:left="452" w:right="7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will deliver the PSU Awarded Shares and payment of the corresponding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xml:space="preserve"> (as defined in paragraph 6 under “Important Award Details”) as soon as administratively feasible (and no later than 60 days after the end of the Performance Period) after the Committee’s certification and determination.</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Stock Options</w:t>
      </w:r>
    </w:p>
    <w:p>
      <w:pPr>
        <w:spacing w:after="0" w:line="135" w:lineRule="exact"/>
        <w:rPr>
          <w:sz w:val="20"/>
          <w:szCs w:val="20"/>
          <w:color w:val="auto"/>
        </w:rPr>
      </w:pPr>
    </w:p>
    <w:p>
      <w:pPr>
        <w:ind w:left="452" w:hanging="452"/>
        <w:spacing w:after="0" w:line="286" w:lineRule="auto"/>
        <w:tabs>
          <w:tab w:leader="none" w:pos="45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Stock Option Grant</w:t>
      </w:r>
      <w:r>
        <w:rPr>
          <w:rFonts w:ascii="Arial" w:cs="Arial" w:eastAsia="Arial" w:hAnsi="Arial"/>
          <w:sz w:val="17"/>
          <w:szCs w:val="17"/>
          <w:color w:val="auto"/>
        </w:rPr>
        <w:t>. The Company grants to Employee a stock option award (the “</w:t>
      </w:r>
      <w:r>
        <w:rPr>
          <w:rFonts w:ascii="Arial" w:cs="Arial" w:eastAsia="Arial" w:hAnsi="Arial"/>
          <w:sz w:val="17"/>
          <w:szCs w:val="17"/>
          <w:b w:val="1"/>
          <w:bCs w:val="1"/>
          <w:i w:val="1"/>
          <w:iCs w:val="1"/>
          <w:color w:val="auto"/>
        </w:rPr>
        <w:t>Stock Option Award</w:t>
      </w:r>
      <w:r>
        <w:rPr>
          <w:rFonts w:ascii="Arial" w:cs="Arial" w:eastAsia="Arial" w:hAnsi="Arial"/>
          <w:sz w:val="17"/>
          <w:szCs w:val="17"/>
          <w:color w:val="auto"/>
        </w:rPr>
        <w:t>”) for the number of shares (“</w:t>
      </w: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of Common Stock provided in the Notice. This Stock Option Award grants Employee the right to purchase shares of Common Stock at the Grant Price. The “</w:t>
      </w:r>
      <w:r>
        <w:rPr>
          <w:rFonts w:ascii="Arial" w:cs="Arial" w:eastAsia="Arial" w:hAnsi="Arial"/>
          <w:sz w:val="17"/>
          <w:szCs w:val="17"/>
          <w:b w:val="1"/>
          <w:bCs w:val="1"/>
          <w:i w:val="1"/>
          <w:iCs w:val="1"/>
          <w:color w:val="auto"/>
        </w:rPr>
        <w:t>Grant Price</w:t>
      </w:r>
      <w:r>
        <w:rPr>
          <w:rFonts w:ascii="Arial" w:cs="Arial" w:eastAsia="Arial" w:hAnsi="Arial"/>
          <w:sz w:val="17"/>
          <w:szCs w:val="17"/>
          <w:color w:val="auto"/>
        </w:rPr>
        <w:t>” is the Fair Market Value (as defined in the Plan) of a share of Common Stock on the Grant Date.</w:t>
      </w:r>
    </w:p>
    <w:p>
      <w:pPr>
        <w:spacing w:after="0" w:line="70" w:lineRule="exact"/>
        <w:rPr>
          <w:rFonts w:ascii="Arial" w:cs="Arial" w:eastAsia="Arial" w:hAnsi="Arial"/>
          <w:sz w:val="17"/>
          <w:szCs w:val="17"/>
          <w:color w:val="auto"/>
        </w:rPr>
      </w:pPr>
    </w:p>
    <w:p>
      <w:pPr>
        <w:ind w:left="452" w:right="400"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Notwithstanding any other provisions of this Agreement, the maximum term of the Stock Option Award is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w:t>
      </w:r>
    </w:p>
    <w:p>
      <w:pPr>
        <w:spacing w:after="0" w:line="75" w:lineRule="exact"/>
        <w:rPr>
          <w:rFonts w:ascii="Arial" w:cs="Arial" w:eastAsia="Arial" w:hAnsi="Arial"/>
          <w:sz w:val="18"/>
          <w:szCs w:val="18"/>
          <w:color w:val="auto"/>
        </w:rPr>
      </w:pPr>
    </w:p>
    <w:p>
      <w:pPr>
        <w:ind w:left="452" w:right="540" w:hanging="452"/>
        <w:spacing w:after="0" w:line="277"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Provided Employee remains employed by WM continuously through the applicable exercise dates, the Stock Option Award is exercisable as follows:</w:t>
      </w:r>
    </w:p>
    <w:p>
      <w:pPr>
        <w:spacing w:after="0" w:line="177"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9"/>
              </w:rPr>
              <w:t>Exercise Date</w:t>
            </w:r>
          </w:p>
        </w:tc>
        <w:tc>
          <w:tcPr>
            <w:tcW w:w="3840" w:type="dxa"/>
            <w:vAlign w:val="bottom"/>
            <w:vMerge w:val="restart"/>
          </w:tcPr>
          <w:p>
            <w:pPr>
              <w:spacing w:after="0"/>
              <w:rPr>
                <w:sz w:val="14"/>
                <w:szCs w:val="14"/>
                <w:color w:val="auto"/>
              </w:rPr>
            </w:pPr>
          </w:p>
        </w:tc>
        <w:tc>
          <w:tcPr>
            <w:tcW w:w="3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Cumulative Percentage of Stock</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384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218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Option Award Exercisable</w:t>
            </w:r>
          </w:p>
        </w:tc>
        <w:tc>
          <w:tcPr>
            <w:tcW w:w="0" w:type="dxa"/>
            <w:vAlign w:val="bottom"/>
          </w:tcPr>
          <w:p>
            <w:pPr>
              <w:spacing w:after="0"/>
              <w:rPr>
                <w:sz w:val="1"/>
                <w:szCs w:val="1"/>
                <w:color w:val="auto"/>
              </w:rPr>
            </w:pPr>
          </w:p>
        </w:tc>
      </w:tr>
      <w:tr>
        <w:trPr>
          <w:trHeight w:val="20"/>
        </w:trPr>
        <w:tc>
          <w:tcPr>
            <w:tcW w:w="4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Prior to the first anniversary of the Grant Date</w:t>
            </w:r>
          </w:p>
        </w:tc>
        <w:tc>
          <w:tcPr>
            <w:tcW w:w="90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1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On or after the first anniversary of the Grant Date</w:t>
            </w:r>
          </w:p>
        </w:tc>
        <w:tc>
          <w:tcPr>
            <w:tcW w:w="308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the second anniversary of the Grant Date</w:t>
            </w:r>
          </w:p>
        </w:tc>
        <w:tc>
          <w:tcPr>
            <w:tcW w:w="3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On or after the third anniversary of the Grant Date</w:t>
            </w:r>
          </w:p>
        </w:tc>
        <w:tc>
          <w:tcPr>
            <w:tcW w:w="30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52" w:right="120" w:hanging="452"/>
        <w:spacing w:after="0" w:line="342"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29" w:lineRule="exact"/>
        <w:rPr>
          <w:rFonts w:ascii="Arial" w:cs="Arial" w:eastAsia="Arial" w:hAnsi="Arial"/>
          <w:sz w:val="16"/>
          <w:szCs w:val="16"/>
          <w:color w:val="auto"/>
        </w:rPr>
      </w:pPr>
    </w:p>
    <w:p>
      <w:pPr>
        <w:ind w:left="452" w:right="40" w:hanging="452"/>
        <w:spacing w:after="0" w:line="288"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Payment of Grant Price</w:t>
      </w:r>
      <w:r>
        <w:rPr>
          <w:rFonts w:ascii="Arial" w:cs="Arial" w:eastAsia="Arial" w:hAnsi="Arial"/>
          <w:sz w:val="16"/>
          <w:szCs w:val="16"/>
          <w:color w:val="auto"/>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or (c) a combination of (a) and (b).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 day on which the New York Stock Exchange is open for trading for its regular trading sessions. In addition, upon written consent by the Committee, payment of the Grant Price may be made by one or more of the following methods provided such method does not result in a charge to earnings for financial statement purposes: (d) by withholding shares of Common Stock that otherwise would be acquired, in a manner prescribed by the Committee; or (e) by tendering other Awards payable to Employee.</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4"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Award Details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Your Awards under this Agreement are subject to important terms and conditions set forth below. Please read them carefully and seek advice from your own legal and tax advisors before executing this Agreement.</w:t>
      </w:r>
    </w:p>
    <w:p>
      <w:pPr>
        <w:spacing w:after="0" w:line="76" w:lineRule="exact"/>
        <w:rPr>
          <w:sz w:val="20"/>
          <w:szCs w:val="20"/>
          <w:color w:val="auto"/>
        </w:rPr>
      </w:pPr>
    </w:p>
    <w:p>
      <w:pPr>
        <w:ind w:left="460" w:right="60" w:hanging="452"/>
        <w:spacing w:after="0" w:line="279"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Due to Death or Disability</w:t>
      </w:r>
      <w:r>
        <w:rPr>
          <w:rFonts w:ascii="Arial" w:cs="Arial" w:eastAsia="Arial" w:hAnsi="Arial"/>
          <w:sz w:val="17"/>
          <w:szCs w:val="17"/>
          <w:color w:val="auto"/>
        </w:rPr>
        <w:t>. Upon Termination of Employment (defined in paragraph 5.c.ii. below) from WM by reason of Employee’s death or disability (as determined by the Committee and within the meaning of Section 409A of the Internal Revenue Code of 1986, as amended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and specifically Section 409A (a)(2)(C)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or upon Employee’s Disability prior to a Termination of Employment, Employee (or in the case of Employee’s death, Employee’s beneficiary) shall be entitled to:</w:t>
      </w:r>
    </w:p>
    <w:p>
      <w:pPr>
        <w:spacing w:after="0" w:line="76" w:lineRule="exact"/>
        <w:rPr>
          <w:rFonts w:ascii="Arial" w:cs="Arial" w:eastAsia="Arial" w:hAnsi="Arial"/>
          <w:sz w:val="17"/>
          <w:szCs w:val="17"/>
          <w:color w:val="auto"/>
        </w:rPr>
      </w:pPr>
    </w:p>
    <w:p>
      <w:pPr>
        <w:ind w:left="900" w:right="2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receive the PSU Awarded Shares and related Dividend Equivalents that Employee would have been entitled to under this Agreement if Employee had remained employed until the last day of the Performance Period</w:t>
      </w:r>
      <w:r>
        <w:rPr>
          <w:rFonts w:ascii="Arial" w:cs="Arial" w:eastAsia="Arial" w:hAnsi="Arial"/>
          <w:sz w:val="18"/>
          <w:szCs w:val="18"/>
          <w:i w:val="1"/>
          <w:iCs w:val="1"/>
          <w:color w:val="auto"/>
        </w:rPr>
        <w:t>;</w:t>
      </w:r>
      <w:r>
        <w:rPr>
          <w:rFonts w:ascii="Arial" w:cs="Arial" w:eastAsia="Arial" w:hAnsi="Arial"/>
          <w:sz w:val="18"/>
          <w:szCs w:val="18"/>
          <w:color w:val="auto"/>
        </w:rPr>
        <w:t xml:space="preserve"> and</w:t>
      </w:r>
    </w:p>
    <w:p>
      <w:pPr>
        <w:spacing w:after="0" w:line="75" w:lineRule="exact"/>
        <w:rPr>
          <w:rFonts w:ascii="Arial" w:cs="Arial" w:eastAsia="Arial" w:hAnsi="Arial"/>
          <w:sz w:val="18"/>
          <w:szCs w:val="18"/>
          <w:color w:val="auto"/>
        </w:rPr>
      </w:pPr>
    </w:p>
    <w:p>
      <w:pPr>
        <w:ind w:left="900" w:right="40" w:hanging="446"/>
        <w:spacing w:after="0" w:line="31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exercise all Stock Options outstanding under the Stock Option Award (whether or not previously exercisable) for one year following Termination of Employment. Provided however, if Employee was eligible for </w:t>
      </w:r>
      <w:r>
        <w:rPr>
          <w:rFonts w:ascii="Arial" w:cs="Arial" w:eastAsia="Arial" w:hAnsi="Arial"/>
          <w:sz w:val="16"/>
          <w:szCs w:val="16"/>
          <w:b w:val="1"/>
          <w:bCs w:val="1"/>
          <w:i w:val="1"/>
          <w:iCs w:val="1"/>
          <w:color w:val="auto"/>
        </w:rPr>
        <w:t>Retirement</w:t>
      </w:r>
      <w:r>
        <w:rPr>
          <w:rFonts w:ascii="Arial" w:cs="Arial" w:eastAsia="Arial" w:hAnsi="Arial"/>
          <w:sz w:val="16"/>
          <w:szCs w:val="16"/>
          <w:color w:val="auto"/>
        </w:rPr>
        <w:t xml:space="preserve"> (as defined in paragraph 2.c.i. below) at the time of his death or Disability, the Stock Option Award will remain exercisable for three years following the date of such Termination of Employment.</w:t>
      </w:r>
    </w:p>
    <w:p>
      <w:pPr>
        <w:spacing w:after="0" w:line="52" w:lineRule="exact"/>
        <w:rPr>
          <w:rFonts w:ascii="Arial" w:cs="Arial" w:eastAsia="Arial" w:hAnsi="Arial"/>
          <w:sz w:val="16"/>
          <w:szCs w:val="16"/>
          <w:color w:val="auto"/>
        </w:rPr>
      </w:pPr>
    </w:p>
    <w:p>
      <w:pPr>
        <w:ind w:left="460" w:right="40" w:hanging="452"/>
        <w:spacing w:after="0" w:line="25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by WM or Retirement by Employee</w:t>
      </w:r>
      <w:r>
        <w:rPr>
          <w:rFonts w:ascii="Arial" w:cs="Arial" w:eastAsia="Arial" w:hAnsi="Arial"/>
          <w:sz w:val="18"/>
          <w:szCs w:val="18"/>
          <w:color w:val="auto"/>
        </w:rPr>
        <w:t>. In the event Employee is employed by a subsidiary of the Company that is sold by the Company in a transaction (i) that would not constitute a Change in Control of the Company within the meaning of paragraph 5.c.i. below, but (ii) that would constitute a Change in Control of the subsidiary within the meaning of paragraph 5.c.i.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93" w:lineRule="exact"/>
        <w:rPr>
          <w:rFonts w:ascii="Arial" w:cs="Arial" w:eastAsia="Arial" w:hAnsi="Arial"/>
          <w:sz w:val="18"/>
          <w:szCs w:val="18"/>
          <w:color w:val="auto"/>
        </w:rPr>
      </w:pPr>
    </w:p>
    <w:p>
      <w:pPr>
        <w:ind w:left="900" w:right="160" w:hanging="446"/>
        <w:spacing w:after="0" w:line="25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PSU Award</w:t>
      </w:r>
      <w:r>
        <w:rPr>
          <w:rFonts w:ascii="Arial" w:cs="Arial" w:eastAsia="Arial" w:hAnsi="Arial"/>
          <w:sz w:val="18"/>
          <w:szCs w:val="18"/>
          <w:color w:val="auto"/>
        </w:rPr>
        <w:t>. Upon either an involuntary Termination of Employment by WM without Cause (as defined in paragraph 5.c.iii. below) or Retirement (as defined in paragraph 2.d.i. below), Employee shall be entitled to PSUs and related Dividend Equivalents that Employee would have been entitled to under this Agreement if Employee had remained employed until the last day of the Performance Period multiplied by the fraction which has as its numerator the total number of days that Employee was employed by WM during the Performance Period and has as its denominator 1096.</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Stock Option Award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line="259"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 or Resignation by Employee</w:t>
      </w:r>
      <w:r>
        <w:rPr>
          <w:rFonts w:ascii="Arial" w:cs="Arial" w:eastAsia="Arial" w:hAnsi="Arial"/>
          <w:sz w:val="18"/>
          <w:szCs w:val="18"/>
          <w:color w:val="auto"/>
        </w:rPr>
        <w:t>. Upon an involuntary Termination of Employment without Cause by WM or a Termination of Employment due to a voluntary resignation by Employee that is accepted by WM, for a period of 90 days following such Termination of Employment, Employee shall be entitled to exercise all of the Stock Options then outstanding and exercisable under the Stock Option Award.</w:t>
      </w:r>
    </w:p>
    <w:p>
      <w:pPr>
        <w:spacing w:after="0" w:line="92" w:lineRule="exact"/>
        <w:rPr>
          <w:rFonts w:ascii="Arial" w:cs="Arial" w:eastAsia="Arial" w:hAnsi="Arial"/>
          <w:sz w:val="18"/>
          <w:szCs w:val="18"/>
          <w:color w:val="auto"/>
        </w:rPr>
      </w:pPr>
    </w:p>
    <w:p>
      <w:pPr>
        <w:ind w:left="1480" w:right="220" w:hanging="567"/>
        <w:spacing w:after="0" w:line="264"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Employee’s Retirement, the Stock Option Award shall continue to become exercisable under the applicable exercise schedule for three years following Employee’s Retirement and once exercisable shall remain exercisable for the three year period following Employee’s Retirement.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these purposes, the definitions below govern:</w:t>
      </w:r>
    </w:p>
    <w:p>
      <w:pPr>
        <w:spacing w:after="0" w:line="13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Retirement </w:t>
      </w:r>
      <w:r>
        <w:rPr>
          <w:rFonts w:ascii="Arial" w:cs="Arial" w:eastAsia="Arial" w:hAnsi="Arial"/>
          <w:sz w:val="18"/>
          <w:szCs w:val="18"/>
          <w:color w:val="auto"/>
        </w:rPr>
        <w:t>means Termination of Employment due to the voluntary resignation of employment by Employee, after Employee (1)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reached age 55 or greater; (2) has a sum of age plus years of </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xml:space="preserve"> (as defined in paragraph ii. below) with WM equal to 65 or greater; and (3) has completed at least 5 consecutive full years of Service with WM during the 5 year period immediately preceding the resignation.</w:t>
      </w:r>
    </w:p>
    <w:p>
      <w:pPr>
        <w:spacing w:after="0" w:line="92" w:lineRule="exact"/>
        <w:rPr>
          <w:rFonts w:ascii="Arial" w:cs="Arial" w:eastAsia="Arial" w:hAnsi="Arial"/>
          <w:sz w:val="18"/>
          <w:szCs w:val="18"/>
          <w:color w:val="auto"/>
        </w:rPr>
      </w:pPr>
    </w:p>
    <w:p>
      <w:pPr>
        <w:ind w:left="1480" w:right="220" w:hanging="567"/>
        <w:spacing w:after="0" w:line="255"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w:t>
      </w:r>
      <w:r>
        <w:rPr>
          <w:rFonts w:ascii="Arial" w:cs="Arial" w:eastAsia="Arial" w:hAnsi="Arial"/>
          <w:sz w:val="18"/>
          <w:szCs w:val="18"/>
          <w:color w:val="auto"/>
        </w:rPr>
        <w:t>is measured from Employee’s original date of hire by WM, except as provided below. In the case of a break of employment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0" w:name="page11"/>
    <w:bookmarkEnd w:id="10"/>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for Other Reasons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20" w:hanging="446"/>
        <w:spacing w:after="0" w:line="276" w:lineRule="auto"/>
        <w:tabs>
          <w:tab w:leader="none" w:pos="892"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PSU Award in the Event of Involuntary Termination with Cause or Resignation by Employee</w:t>
      </w:r>
      <w:r>
        <w:rPr>
          <w:rFonts w:ascii="Arial" w:cs="Arial" w:eastAsia="Arial" w:hAnsi="Arial"/>
          <w:sz w:val="17"/>
          <w:szCs w:val="17"/>
          <w:color w:val="auto"/>
        </w:rPr>
        <w:t>. Except as provided in paragraphs 1 and 2 above and 5 below, Employee must be an employee of WM continuously from the Grant Date through the close of business on last day of the Performance Period to be entitled to receive payment of any PSU Award. Upon Termination of Employment on or before December 31, 2017, for any reason other than termination that would qualify Employee for payout under paragraphs 1 and 2 above and 5 below, Employee shall immediately forfeit the PSU Award and any related Dividend Equivalents without payment of any consideration by WM.</w:t>
      </w:r>
    </w:p>
    <w:p>
      <w:pPr>
        <w:spacing w:after="0" w:line="77" w:lineRule="exact"/>
        <w:rPr>
          <w:rFonts w:ascii="Arial" w:cs="Arial" w:eastAsia="Arial" w:hAnsi="Arial"/>
          <w:sz w:val="17"/>
          <w:szCs w:val="17"/>
          <w:color w:val="auto"/>
        </w:rPr>
      </w:pPr>
    </w:p>
    <w:p>
      <w:pPr>
        <w:ind w:left="892" w:right="40" w:hanging="446"/>
        <w:spacing w:after="0" w:line="308" w:lineRule="auto"/>
        <w:tabs>
          <w:tab w:leader="none" w:pos="892"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Stock Option Award in the Event of Involuntary Termination with Cause</w:t>
      </w:r>
      <w:r>
        <w:rPr>
          <w:rFonts w:ascii="Arial" w:cs="Arial" w:eastAsia="Arial" w:hAnsi="Arial"/>
          <w:sz w:val="17"/>
          <w:szCs w:val="17"/>
          <w:color w:val="auto"/>
        </w:rPr>
        <w:t>. Upon Termination of Employment by WM with Cause, Employee shall forfeit all Stock Options under the Stock Option Award, whether or not exercisable, without the payment of any consideration by WM.</w:t>
      </w:r>
    </w:p>
    <w:p>
      <w:pPr>
        <w:spacing w:after="0" w:line="51" w:lineRule="exact"/>
        <w:rPr>
          <w:rFonts w:ascii="Arial" w:cs="Arial" w:eastAsia="Arial" w:hAnsi="Arial"/>
          <w:sz w:val="17"/>
          <w:szCs w:val="17"/>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Repayment of Award in the Event of Misconduct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6"/>
        <w:spacing w:after="0" w:line="254"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8"/>
          <w:szCs w:val="18"/>
          <w:b w:val="1"/>
          <w:bCs w:val="1"/>
          <w:i w:val="1"/>
          <w:iCs w:val="1"/>
          <w:color w:val="auto"/>
        </w:rPr>
        <w:t>Misconduct</w:t>
      </w:r>
      <w:r>
        <w:rPr>
          <w:rFonts w:ascii="Arial" w:cs="Arial" w:eastAsia="Arial" w:hAnsi="Arial"/>
          <w:sz w:val="18"/>
          <w:szCs w:val="18"/>
          <w:color w:val="auto"/>
        </w:rPr>
        <w:t xml:space="preserve"> means any act or failure to act by any employee of WM that (x) caused or was intended to cause a violation of WM’s policies, generally accepted accounting principles or any applicable laws in effect at the time of the act or failure to act in question and that (y)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8"/>
          <w:szCs w:val="18"/>
          <w:b w:val="1"/>
          <w:bCs w:val="1"/>
          <w:i w:val="1"/>
          <w:iCs w:val="1"/>
          <w:color w:val="auto"/>
        </w:rPr>
        <w:t>Independent Third Party</w:t>
      </w:r>
      <w:r>
        <w:rPr>
          <w:rFonts w:ascii="Arial" w:cs="Arial" w:eastAsia="Arial" w:hAnsi="Arial"/>
          <w:sz w:val="18"/>
          <w:szCs w:val="18"/>
          <w:color w:val="auto"/>
        </w:rPr>
        <w:t>) appointed by the Committee.</w:t>
      </w:r>
    </w:p>
    <w:p>
      <w:pPr>
        <w:spacing w:after="0" w:line="97" w:lineRule="exact"/>
        <w:rPr>
          <w:rFonts w:ascii="Arial" w:cs="Arial" w:eastAsia="Arial" w:hAnsi="Arial"/>
          <w:sz w:val="18"/>
          <w:szCs w:val="18"/>
          <w:color w:val="auto"/>
        </w:rPr>
      </w:pPr>
    </w:p>
    <w:p>
      <w:pPr>
        <w:jc w:val="both"/>
        <w:ind w:left="892" w:right="60" w:hanging="446"/>
        <w:spacing w:after="0" w:line="286" w:lineRule="auto"/>
        <w:tabs>
          <w:tab w:leader="none" w:pos="892" w:val="left"/>
        </w:tabs>
        <w:numPr>
          <w:ilvl w:val="1"/>
          <w:numId w:val="12"/>
        </w:numPr>
        <w:rPr>
          <w:rFonts w:ascii="Arial" w:cs="Arial" w:eastAsia="Arial" w:hAnsi="Arial"/>
          <w:sz w:val="17"/>
          <w:szCs w:val="17"/>
          <w:color w:val="auto"/>
        </w:rPr>
      </w:pPr>
      <w:r>
        <w:rPr>
          <w:rFonts w:ascii="Arial" w:cs="Arial" w:eastAsia="Arial" w:hAnsi="Arial"/>
          <w:sz w:val="17"/>
          <w:szCs w:val="17"/>
          <w:color w:val="auto"/>
        </w:rPr>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70" w:lineRule="exact"/>
        <w:rPr>
          <w:rFonts w:ascii="Arial" w:cs="Arial" w:eastAsia="Arial" w:hAnsi="Arial"/>
          <w:sz w:val="17"/>
          <w:szCs w:val="17"/>
          <w:color w:val="auto"/>
        </w:rPr>
      </w:pPr>
    </w:p>
    <w:p>
      <w:pPr>
        <w:ind w:left="892" w:right="300" w:hanging="446"/>
        <w:spacing w:after="0" w:line="277"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WM must initiate recovery pursuant to this paragraph 4 by the earliest of (i) one year after discovery of alleged Misconduct, or (ii) the second anniversary of Employee’s Termination of Employment.</w:t>
      </w:r>
    </w:p>
    <w:p>
      <w:pPr>
        <w:spacing w:after="0" w:line="75" w:lineRule="exact"/>
        <w:rPr>
          <w:rFonts w:ascii="Arial" w:cs="Arial" w:eastAsia="Arial" w:hAnsi="Arial"/>
          <w:sz w:val="18"/>
          <w:szCs w:val="18"/>
          <w:color w:val="auto"/>
        </w:rPr>
      </w:pPr>
    </w:p>
    <w:p>
      <w:pPr>
        <w:ind w:left="892" w:right="820" w:hanging="446"/>
        <w:spacing w:after="0" w:line="277"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provisions of this paragraph 4, without any implication as to any other provision of this Agreement, shall survive the expiration or termination of this Agreement and Employee’s employment.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Overriding any other inconsistent terms of this Agreement:</w:t>
      </w:r>
    </w:p>
    <w:p>
      <w:pPr>
        <w:spacing w:after="0" w:line="130" w:lineRule="exact"/>
        <w:rPr>
          <w:rFonts w:ascii="Arial" w:cs="Arial" w:eastAsia="Arial" w:hAnsi="Arial"/>
          <w:sz w:val="18"/>
          <w:szCs w:val="18"/>
          <w:color w:val="auto"/>
        </w:rPr>
      </w:pPr>
    </w:p>
    <w:p>
      <w:pPr>
        <w:ind w:left="892" w:right="40" w:hanging="446"/>
        <w:spacing w:after="0" w:line="277"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PSU Award</w:t>
      </w:r>
      <w:r>
        <w:rPr>
          <w:rFonts w:ascii="Arial" w:cs="Arial" w:eastAsia="Arial" w:hAnsi="Arial"/>
          <w:sz w:val="18"/>
          <w:szCs w:val="18"/>
          <w:color w:val="auto"/>
        </w:rPr>
        <w:t xml:space="preserve">. If there is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(as defined in paragraph d.i. below) before the close of the Performance Period, Employee is entitled to receive both i. and ii., as follows:</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For each half of the PSU Award, the result of an equation with a numerator of</w:t>
      </w:r>
    </w:p>
    <w:p>
      <w:pPr>
        <w:spacing w:after="0" w:line="130" w:lineRule="exact"/>
        <w:rPr>
          <w:rFonts w:ascii="Arial" w:cs="Arial" w:eastAsia="Arial" w:hAnsi="Arial"/>
          <w:sz w:val="18"/>
          <w:szCs w:val="18"/>
          <w:color w:val="auto"/>
        </w:rPr>
      </w:pPr>
    </w:p>
    <w:p>
      <w:pPr>
        <w:ind w:left="1912" w:right="180" w:hanging="440"/>
        <w:spacing w:after="0" w:line="264" w:lineRule="auto"/>
        <w:tabs>
          <w:tab w:leader="none" w:pos="1912" w:val="left"/>
        </w:tabs>
        <w:numPr>
          <w:ilvl w:val="3"/>
          <w:numId w:val="12"/>
        </w:numPr>
        <w:rPr>
          <w:rFonts w:ascii="Arial" w:cs="Arial" w:eastAsia="Arial" w:hAnsi="Arial"/>
          <w:sz w:val="18"/>
          <w:szCs w:val="18"/>
          <w:color w:val="auto"/>
        </w:rPr>
      </w:pPr>
      <w:r>
        <w:rPr>
          <w:rFonts w:ascii="Arial" w:cs="Arial" w:eastAsia="Arial" w:hAnsi="Arial"/>
          <w:sz w:val="18"/>
          <w:szCs w:val="18"/>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Arial" w:cs="Arial" w:eastAsia="Arial" w:hAnsi="Arial"/>
          <w:sz w:val="18"/>
          <w:szCs w:val="18"/>
          <w:b w:val="1"/>
          <w:bCs w:val="1"/>
          <w:color w:val="auto"/>
        </w:rPr>
        <w:t>Early Measurement</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11" w:name="page12"/>
    <w:bookmarkEnd w:id="11"/>
    <w:p>
      <w:pPr>
        <w:ind w:left="1027" w:right="760"/>
        <w:spacing w:after="0" w:line="30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w:t>
      </w:r>
      <w:r>
        <w:rPr>
          <w:rFonts w:ascii="Arial" w:cs="Arial" w:eastAsia="Arial" w:hAnsi="Arial"/>
          <w:sz w:val="17"/>
          <w:szCs w:val="17"/>
          <w:color w:val="auto"/>
        </w:rPr>
        <w:t>”) and, for the Adjusted Free Cash Flow half of the PSU Award, after adjusting the Threshold, Target and Maximum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Achievement Levels to reflect budgeted performance in the shorter Performance Period, multiplied by</w:t>
      </w:r>
    </w:p>
    <w:p>
      <w:pPr>
        <w:spacing w:after="0" w:line="52" w:lineRule="exact"/>
        <w:rPr>
          <w:sz w:val="20"/>
          <w:szCs w:val="20"/>
          <w:color w:val="auto"/>
        </w:rPr>
      </w:pPr>
    </w:p>
    <w:p>
      <w:pPr>
        <w:ind w:left="1007" w:hanging="440"/>
        <w:spacing w:after="0"/>
        <w:tabs>
          <w:tab w:leader="none" w:pos="10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days occurring between the beginning of the Performance Period and the Early Measurement date;</w:t>
      </w:r>
    </w:p>
    <w:p>
      <w:pPr>
        <w:spacing w:after="0" w:line="347" w:lineRule="exact"/>
        <w:rPr>
          <w:sz w:val="20"/>
          <w:szCs w:val="20"/>
          <w:color w:val="auto"/>
        </w:rPr>
      </w:pPr>
    </w:p>
    <w:p>
      <w:pPr>
        <w:ind w:left="587"/>
        <w:spacing w:after="0"/>
        <w:rPr>
          <w:sz w:val="20"/>
          <w:szCs w:val="20"/>
          <w:color w:val="auto"/>
        </w:rPr>
      </w:pPr>
      <w:r>
        <w:rPr>
          <w:rFonts w:ascii="Arial" w:cs="Arial" w:eastAsia="Arial" w:hAnsi="Arial"/>
          <w:sz w:val="18"/>
          <w:szCs w:val="18"/>
          <w:color w:val="auto"/>
        </w:rPr>
        <w:t>and, a denominator of 1096.</w:t>
      </w:r>
    </w:p>
    <w:p>
      <w:pPr>
        <w:spacing w:after="0" w:line="117" w:lineRule="exact"/>
        <w:rPr>
          <w:sz w:val="20"/>
          <w:szCs w:val="20"/>
          <w:color w:val="auto"/>
        </w:rPr>
      </w:pPr>
    </w:p>
    <w:p>
      <w:pPr>
        <w:jc w:val="both"/>
        <w:ind w:left="587" w:right="120"/>
        <w:spacing w:after="0" w:line="264" w:lineRule="auto"/>
        <w:rPr>
          <w:sz w:val="20"/>
          <w:szCs w:val="20"/>
          <w:color w:val="auto"/>
        </w:rPr>
      </w:pPr>
      <w:r>
        <w:rPr>
          <w:rFonts w:ascii="Arial" w:cs="Arial" w:eastAsia="Arial" w:hAnsi="Arial"/>
          <w:sz w:val="18"/>
          <w:szCs w:val="18"/>
          <w:color w:val="auto"/>
        </w:rPr>
        <w:t>Payout of the PSUs shall be an immediate cash payment equal to the number of PSUs earned under this paragraph 5.a. multiplied by the closing stock price of the Common Stock on the Early Measurement Date and will be accompanied by a cash payment of the associated Dividend Equivalents through the Early Measurement Date; and</w:t>
      </w:r>
    </w:p>
    <w:p>
      <w:pPr>
        <w:spacing w:after="0" w:line="87" w:lineRule="exact"/>
        <w:rPr>
          <w:sz w:val="20"/>
          <w:szCs w:val="20"/>
          <w:color w:val="auto"/>
        </w:rPr>
      </w:pPr>
    </w:p>
    <w:p>
      <w:pPr>
        <w:ind w:left="567" w:hanging="567"/>
        <w:spacing w:after="0"/>
        <w:tabs>
          <w:tab w:leader="none" w:pos="567"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 substitute award for the lost opportunity to continue to earn PSUs for the entire length of the original Performance Period:</w:t>
      </w:r>
    </w:p>
    <w:p>
      <w:pPr>
        <w:spacing w:after="0" w:line="142" w:lineRule="exact"/>
        <w:rPr>
          <w:rFonts w:ascii="Arial" w:cs="Arial" w:eastAsia="Arial" w:hAnsi="Arial"/>
          <w:sz w:val="17"/>
          <w:szCs w:val="17"/>
          <w:color w:val="auto"/>
        </w:rPr>
      </w:pPr>
    </w:p>
    <w:p>
      <w:pPr>
        <w:ind w:left="1007" w:hanging="440"/>
        <w:spacing w:after="0" w:line="286" w:lineRule="auto"/>
        <w:tabs>
          <w:tab w:leader="none" w:pos="1007"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62" w:lineRule="exact"/>
        <w:rPr>
          <w:sz w:val="20"/>
          <w:szCs w:val="20"/>
          <w:color w:val="auto"/>
        </w:rPr>
      </w:pPr>
    </w:p>
    <w:p>
      <w:pPr>
        <w:jc w:val="center"/>
        <w:ind w:right="893"/>
        <w:spacing w:after="0"/>
        <w:rPr>
          <w:sz w:val="20"/>
          <w:szCs w:val="20"/>
          <w:color w:val="auto"/>
        </w:rPr>
      </w:pPr>
      <w:r>
        <w:rPr>
          <w:rFonts w:ascii="Arial" w:cs="Arial" w:eastAsia="Arial" w:hAnsi="Arial"/>
          <w:sz w:val="18"/>
          <w:szCs w:val="18"/>
          <w:b w:val="1"/>
          <w:bCs w:val="1"/>
          <w:u w:val="single" w:color="auto"/>
          <w:color w:val="auto"/>
        </w:rPr>
        <w:t>TAP X (1096 – EMD) x CP</w:t>
      </w:r>
    </w:p>
    <w:p>
      <w:pPr>
        <w:spacing w:after="0" w:line="27" w:lineRule="exact"/>
        <w:rPr>
          <w:sz w:val="20"/>
          <w:szCs w:val="20"/>
          <w:color w:val="auto"/>
        </w:rPr>
      </w:pPr>
    </w:p>
    <w:p>
      <w:pPr>
        <w:jc w:val="center"/>
        <w:ind w:right="893"/>
        <w:spacing w:after="0"/>
        <w:rPr>
          <w:sz w:val="20"/>
          <w:szCs w:val="20"/>
          <w:color w:val="auto"/>
        </w:rPr>
      </w:pPr>
      <w:r>
        <w:rPr>
          <w:rFonts w:ascii="Arial" w:cs="Arial" w:eastAsia="Arial" w:hAnsi="Arial"/>
          <w:sz w:val="18"/>
          <w:szCs w:val="18"/>
          <w:b w:val="1"/>
          <w:bCs w:val="1"/>
          <w:color w:val="auto"/>
        </w:rPr>
        <w:t>1096</w:t>
      </w:r>
    </w:p>
    <w:p>
      <w:pPr>
        <w:spacing w:after="0" w:line="103" w:lineRule="exact"/>
        <w:rPr>
          <w:sz w:val="20"/>
          <w:szCs w:val="20"/>
          <w:color w:val="auto"/>
        </w:rPr>
      </w:pPr>
    </w:p>
    <w:p>
      <w:pPr>
        <w:ind w:left="1407"/>
        <w:spacing w:after="0"/>
        <w:rPr>
          <w:sz w:val="20"/>
          <w:szCs w:val="20"/>
          <w:color w:val="auto"/>
        </w:rPr>
      </w:pPr>
      <w:r>
        <w:rPr>
          <w:rFonts w:ascii="Arial" w:cs="Arial" w:eastAsia="Arial" w:hAnsi="Arial"/>
          <w:sz w:val="18"/>
          <w:szCs w:val="18"/>
          <w:color w:val="auto"/>
        </w:rPr>
        <w:t>where</w:t>
      </w:r>
    </w:p>
    <w:p>
      <w:pPr>
        <w:spacing w:after="0" w:line="113" w:lineRule="exact"/>
        <w:rPr>
          <w:sz w:val="20"/>
          <w:szCs w:val="20"/>
          <w:color w:val="auto"/>
        </w:rPr>
      </w:pPr>
    </w:p>
    <w:p>
      <w:pPr>
        <w:ind w:left="2407"/>
        <w:spacing w:after="0"/>
        <w:rPr>
          <w:sz w:val="20"/>
          <w:szCs w:val="20"/>
          <w:color w:val="auto"/>
        </w:rPr>
      </w:pPr>
      <w:r>
        <w:rPr>
          <w:rFonts w:ascii="Arial" w:cs="Arial" w:eastAsia="Arial" w:hAnsi="Arial"/>
          <w:sz w:val="18"/>
          <w:szCs w:val="18"/>
          <w:b w:val="1"/>
          <w:bCs w:val="1"/>
          <w:color w:val="auto"/>
        </w:rPr>
        <w:t xml:space="preserve">TAP </w:t>
      </w:r>
      <w:r>
        <w:rPr>
          <w:rFonts w:ascii="Arial" w:cs="Arial" w:eastAsia="Arial" w:hAnsi="Arial"/>
          <w:sz w:val="18"/>
          <w:szCs w:val="18"/>
          <w:color w:val="auto"/>
        </w:rPr>
        <w:t>is the number of PSUs represented by the Target PSU Award</w:t>
      </w:r>
    </w:p>
    <w:p>
      <w:pPr>
        <w:spacing w:after="0" w:line="117" w:lineRule="exact"/>
        <w:rPr>
          <w:sz w:val="20"/>
          <w:szCs w:val="20"/>
          <w:color w:val="auto"/>
        </w:rPr>
      </w:pPr>
    </w:p>
    <w:p>
      <w:pPr>
        <w:ind w:left="2407"/>
        <w:spacing w:after="0"/>
        <w:rPr>
          <w:sz w:val="20"/>
          <w:szCs w:val="20"/>
          <w:color w:val="auto"/>
        </w:rPr>
      </w:pPr>
      <w:r>
        <w:rPr>
          <w:rFonts w:ascii="Arial" w:cs="Arial" w:eastAsia="Arial" w:hAnsi="Arial"/>
          <w:sz w:val="18"/>
          <w:szCs w:val="18"/>
          <w:b w:val="1"/>
          <w:bCs w:val="1"/>
          <w:color w:val="auto"/>
        </w:rPr>
        <w:t xml:space="preserve">EMD </w:t>
      </w:r>
      <w:r>
        <w:rPr>
          <w:rFonts w:ascii="Arial" w:cs="Arial" w:eastAsia="Arial" w:hAnsi="Arial"/>
          <w:sz w:val="18"/>
          <w:szCs w:val="18"/>
          <w:color w:val="auto"/>
        </w:rPr>
        <w:t>is the number of days occurring from the Grant Date to the Early Measurement Date and</w:t>
      </w:r>
    </w:p>
    <w:p>
      <w:pPr>
        <w:spacing w:after="0" w:line="27" w:lineRule="exact"/>
        <w:rPr>
          <w:sz w:val="20"/>
          <w:szCs w:val="20"/>
          <w:color w:val="auto"/>
        </w:rPr>
      </w:pPr>
    </w:p>
    <w:p>
      <w:pPr>
        <w:ind w:left="2407"/>
        <w:spacing w:after="0"/>
        <w:rPr>
          <w:sz w:val="20"/>
          <w:szCs w:val="20"/>
          <w:color w:val="auto"/>
        </w:rPr>
      </w:pPr>
      <w:r>
        <w:rPr>
          <w:rFonts w:ascii="Arial" w:cs="Arial" w:eastAsia="Arial" w:hAnsi="Arial"/>
          <w:sz w:val="18"/>
          <w:szCs w:val="18"/>
          <w:b w:val="1"/>
          <w:bCs w:val="1"/>
          <w:color w:val="auto"/>
        </w:rPr>
        <w:t xml:space="preserve">CP </w:t>
      </w:r>
      <w:r>
        <w:rPr>
          <w:rFonts w:ascii="Arial" w:cs="Arial" w:eastAsia="Arial" w:hAnsi="Arial"/>
          <w:sz w:val="18"/>
          <w:szCs w:val="18"/>
          <w:color w:val="auto"/>
        </w:rPr>
        <w:t>is the closing price of a share of Common Stock of the Company on the Early Measurement Date.</w:t>
      </w:r>
    </w:p>
    <w:p>
      <w:pPr>
        <w:spacing w:after="0" w:line="103" w:lineRule="exact"/>
        <w:rPr>
          <w:sz w:val="20"/>
          <w:szCs w:val="20"/>
          <w:color w:val="auto"/>
        </w:rPr>
      </w:pPr>
    </w:p>
    <w:p>
      <w:pPr>
        <w:ind w:left="1027" w:right="80"/>
        <w:spacing w:after="0" w:line="257" w:lineRule="auto"/>
        <w:rPr>
          <w:sz w:val="20"/>
          <w:szCs w:val="20"/>
          <w:color w:val="auto"/>
        </w:rPr>
      </w:pPr>
      <w:r>
        <w:rPr>
          <w:rFonts w:ascii="Arial" w:cs="Arial" w:eastAsia="Arial" w:hAnsi="Arial"/>
          <w:sz w:val="18"/>
          <w:szCs w:val="18"/>
          <w:color w:val="auto"/>
        </w:rPr>
        <w:t xml:space="preserve">Any restricted stock units in the successor entity awarded under this paragraph 5.a.ii.1. will vest completely on December 31, 2017, provided that Employee remains continuously employed with the successor entity until then. Provided however, in the event of Employee’s involuntary Termination of Employment without Cause during the </w:t>
      </w:r>
      <w:r>
        <w:rPr>
          <w:rFonts w:ascii="Arial" w:cs="Arial" w:eastAsia="Arial" w:hAnsi="Arial"/>
          <w:sz w:val="18"/>
          <w:szCs w:val="18"/>
          <w:b w:val="1"/>
          <w:bCs w:val="1"/>
          <w:i w:val="1"/>
          <w:iCs w:val="1"/>
          <w:color w:val="auto"/>
        </w:rPr>
        <w:t>Window Period</w:t>
      </w:r>
      <w:r>
        <w:rPr>
          <w:rFonts w:ascii="Arial" w:cs="Arial" w:eastAsia="Arial" w:hAnsi="Arial"/>
          <w:sz w:val="18"/>
          <w:szCs w:val="18"/>
          <w:color w:val="auto"/>
        </w:rPr>
        <w:t xml:space="preserve"> (as defined in paragraph d.iv. below), Employee shall become immediately vested in full in the restricted stock units in the successor entity awarded pursuant to this paragraph 5.a.ii.1.</w:t>
      </w:r>
    </w:p>
    <w:p>
      <w:pPr>
        <w:spacing w:after="0" w:line="94" w:lineRule="exact"/>
        <w:rPr>
          <w:sz w:val="20"/>
          <w:szCs w:val="20"/>
          <w:color w:val="auto"/>
        </w:rPr>
      </w:pPr>
    </w:p>
    <w:p>
      <w:pPr>
        <w:ind w:left="1007" w:right="100" w:hanging="440"/>
        <w:spacing w:after="0" w:line="277" w:lineRule="auto"/>
        <w:tabs>
          <w:tab w:leader="none" w:pos="10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successor entity is not a publicly traded company as of the Early Measurement Date, an amount of cash equal to the quotient obtained from the equation in paragraph 5.a.ii.1. above.</w:t>
      </w:r>
    </w:p>
    <w:p>
      <w:pPr>
        <w:spacing w:after="0" w:line="62" w:lineRule="exact"/>
        <w:rPr>
          <w:sz w:val="20"/>
          <w:szCs w:val="20"/>
          <w:color w:val="auto"/>
        </w:rPr>
      </w:pPr>
    </w:p>
    <w:p>
      <w:pPr>
        <w:ind w:left="1027" w:right="320"/>
        <w:spacing w:after="0" w:line="279" w:lineRule="auto"/>
        <w:rPr>
          <w:sz w:val="20"/>
          <w:szCs w:val="20"/>
          <w:color w:val="auto"/>
        </w:rPr>
      </w:pPr>
      <w:r>
        <w:rPr>
          <w:rFonts w:ascii="Arial" w:cs="Arial" w:eastAsia="Arial" w:hAnsi="Arial"/>
          <w:sz w:val="17"/>
          <w:szCs w:val="17"/>
          <w:color w:val="auto"/>
        </w:rPr>
        <w:t>Any cash payment awarded under this paragraph 5.a.ii.2. will be paid to Employee as soon as administratively feasible (and no later than 60 days) following December 31, 2017, provided that Employee remains continuously employed with the successor entity until such date. Provided however, in the event of Employee’s Termination of Employment without Cause during the Window Period, Employee shall be paid such cash payment by the successor entity at such time.</w:t>
      </w:r>
    </w:p>
    <w:p>
      <w:pPr>
        <w:spacing w:after="0" w:line="77" w:lineRule="exact"/>
        <w:rPr>
          <w:sz w:val="20"/>
          <w:szCs w:val="20"/>
          <w:color w:val="auto"/>
        </w:rPr>
      </w:pPr>
    </w:p>
    <w:p>
      <w:pPr>
        <w:ind w:left="1007" w:right="60" w:hanging="440"/>
        <w:spacing w:after="0" w:line="308" w:lineRule="auto"/>
        <w:tabs>
          <w:tab w:leader="none" w:pos="1007" w:val="left"/>
        </w:tabs>
        <w:numPr>
          <w:ilvl w:val="0"/>
          <w:numId w:val="16"/>
        </w:numPr>
        <w:rPr>
          <w:rFonts w:ascii="Arial" w:cs="Arial" w:eastAsia="Arial" w:hAnsi="Arial"/>
          <w:sz w:val="17"/>
          <w:szCs w:val="17"/>
          <w:color w:val="auto"/>
        </w:rPr>
      </w:pPr>
      <w:r>
        <w:rPr>
          <w:rFonts w:ascii="Arial" w:cs="Arial" w:eastAsia="Arial" w:hAnsi="Arial"/>
          <w:sz w:val="17"/>
          <w:szCs w:val="17"/>
          <w:color w:val="auto"/>
        </w:rPr>
        <w:t>Employee further agrees that, in consideration of this award, the equations detailed in this paragraph 5.a. shall be substituted in full for the corollary provisions in each prior award of performance share units previously granted to Employee by WM.</w:t>
      </w:r>
    </w:p>
    <w:p>
      <w:pPr>
        <w:spacing w:after="0" w:line="79"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7"/>
          </w:cols>
          <w:pgMar w:left="1153" w:top="274" w:right="239" w:bottom="1440" w:gutter="0" w:footer="0" w:header="0"/>
        </w:sectPr>
      </w:pPr>
    </w:p>
    <w:bookmarkStart w:id="12" w:name="page13"/>
    <w:bookmarkEnd w:id="12"/>
    <w:p>
      <w:pPr>
        <w:ind w:left="446" w:right="60" w:hanging="446"/>
        <w:spacing w:after="0" w:line="270" w:lineRule="auto"/>
        <w:tabs>
          <w:tab w:leader="none" w:pos="44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Award</w:t>
      </w:r>
      <w:r>
        <w:rPr>
          <w:rFonts w:ascii="Arial" w:cs="Arial" w:eastAsia="Arial" w:hAnsi="Arial"/>
          <w:sz w:val="17"/>
          <w:szCs w:val="17"/>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87" w:lineRule="exact"/>
        <w:rPr>
          <w:rFonts w:ascii="Arial" w:cs="Arial" w:eastAsia="Arial" w:hAnsi="Arial"/>
          <w:sz w:val="17"/>
          <w:szCs w:val="17"/>
          <w:color w:val="auto"/>
        </w:rPr>
      </w:pPr>
    </w:p>
    <w:p>
      <w:pPr>
        <w:ind w:left="446" w:hanging="446"/>
        <w:spacing w:after="0"/>
        <w:tabs>
          <w:tab w:leader="none" w:pos="4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terms shall have the meanings set forth below for purposes of this Agreement:</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means the first to occur of any of the following:</w:t>
      </w:r>
    </w:p>
    <w:p>
      <w:pPr>
        <w:spacing w:after="0" w:line="130" w:lineRule="exact"/>
        <w:rPr>
          <w:rFonts w:ascii="Arial" w:cs="Arial" w:eastAsia="Arial" w:hAnsi="Arial"/>
          <w:sz w:val="18"/>
          <w:szCs w:val="18"/>
          <w:color w:val="auto"/>
        </w:rPr>
      </w:pPr>
    </w:p>
    <w:p>
      <w:pPr>
        <w:ind w:left="1466" w:right="20" w:hanging="440"/>
        <w:spacing w:after="0" w:line="259" w:lineRule="auto"/>
        <w:tabs>
          <w:tab w:leader="none" w:pos="1466"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92" w:lineRule="exact"/>
        <w:rPr>
          <w:rFonts w:ascii="Arial" w:cs="Arial" w:eastAsia="Arial" w:hAnsi="Arial"/>
          <w:sz w:val="18"/>
          <w:szCs w:val="18"/>
          <w:color w:val="auto"/>
        </w:rPr>
      </w:pPr>
    </w:p>
    <w:p>
      <w:pPr>
        <w:ind w:left="1466" w:hanging="440"/>
        <w:spacing w:after="0" w:line="259" w:lineRule="auto"/>
        <w:tabs>
          <w:tab w:leader="none" w:pos="1466"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92" w:lineRule="exact"/>
        <w:rPr>
          <w:rFonts w:ascii="Arial" w:cs="Arial" w:eastAsia="Arial" w:hAnsi="Arial"/>
          <w:sz w:val="18"/>
          <w:szCs w:val="18"/>
          <w:color w:val="auto"/>
        </w:rPr>
      </w:pPr>
    </w:p>
    <w:p>
      <w:pPr>
        <w:ind w:left="1466" w:right="100" w:hanging="440"/>
        <w:spacing w:after="0" w:line="255" w:lineRule="auto"/>
        <w:tabs>
          <w:tab w:leader="none" w:pos="1466"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94" w:lineRule="exact"/>
        <w:rPr>
          <w:rFonts w:ascii="Arial" w:cs="Arial" w:eastAsia="Arial" w:hAnsi="Arial"/>
          <w:sz w:val="18"/>
          <w:szCs w:val="18"/>
          <w:color w:val="auto"/>
        </w:rPr>
      </w:pPr>
    </w:p>
    <w:p>
      <w:pPr>
        <w:ind w:left="1466" w:hanging="440"/>
        <w:spacing w:after="0" w:line="290" w:lineRule="auto"/>
        <w:tabs>
          <w:tab w:leader="none" w:pos="1466"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6"/>
          </w:cols>
          <w:pgMar w:left="694" w:top="274" w:right="239" w:bottom="1440" w:gutter="0" w:footer="0" w:header="0"/>
        </w:sectPr>
      </w:pPr>
    </w:p>
    <w:bookmarkStart w:id="13" w:name="page14"/>
    <w:bookmarkEnd w:id="13"/>
    <w:p>
      <w:pPr>
        <w:ind w:left="14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definition, the following terms shall have the following meanings:</w:t>
      </w:r>
    </w:p>
    <w:p>
      <w:pPr>
        <w:spacing w:after="0" w:line="117" w:lineRule="exact"/>
        <w:rPr>
          <w:sz w:val="20"/>
          <w:szCs w:val="20"/>
          <w:color w:val="auto"/>
        </w:rPr>
      </w:pPr>
    </w:p>
    <w:p>
      <w:pPr>
        <w:ind w:left="3052" w:hanging="295"/>
        <w:spacing w:after="0"/>
        <w:tabs>
          <w:tab w:leader="none" w:pos="3052" w:val="left"/>
        </w:tabs>
        <w:numPr>
          <w:ilvl w:val="4"/>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and Exchange Act of 1934, as amended from time to time; and</w:t>
      </w:r>
    </w:p>
    <w:p>
      <w:pPr>
        <w:spacing w:after="0" w:line="117" w:lineRule="exact"/>
        <w:rPr>
          <w:rFonts w:ascii="Arial" w:cs="Arial" w:eastAsia="Arial" w:hAnsi="Arial"/>
          <w:sz w:val="18"/>
          <w:szCs w:val="18"/>
          <w:color w:val="auto"/>
        </w:rPr>
      </w:pPr>
    </w:p>
    <w:p>
      <w:pPr>
        <w:ind w:left="2392" w:right="60" w:firstLine="365"/>
        <w:spacing w:after="0" w:line="297" w:lineRule="auto"/>
        <w:tabs>
          <w:tab w:leader="none" w:pos="3037" w:val="left"/>
        </w:tabs>
        <w:numPr>
          <w:ilvl w:val="4"/>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63" w:lineRule="exact"/>
        <w:rPr>
          <w:rFonts w:ascii="Arial" w:cs="Arial" w:eastAsia="Arial" w:hAnsi="Arial"/>
          <w:sz w:val="16"/>
          <w:szCs w:val="16"/>
          <w:color w:val="auto"/>
        </w:rPr>
      </w:pPr>
    </w:p>
    <w:p>
      <w:pPr>
        <w:jc w:val="both"/>
        <w:ind w:left="1472" w:right="120" w:hanging="567"/>
        <w:spacing w:after="0" w:line="291" w:lineRule="auto"/>
        <w:tabs>
          <w:tab w:leader="none" w:pos="1472" w:val="left"/>
        </w:tabs>
        <w:numPr>
          <w:ilvl w:val="2"/>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of Employment </w:t>
      </w:r>
      <w:r>
        <w:rPr>
          <w:rFonts w:ascii="Arial" w:cs="Arial" w:eastAsia="Arial" w:hAnsi="Arial"/>
          <w:sz w:val="16"/>
          <w:szCs w:val="16"/>
          <w:color w:val="auto"/>
        </w:rPr>
        <w:t>means the termination of Employee’s employment with WM as determined by the Committee and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interpreted, for purposes of this Agreement, consistent with the meaning of the term “separation from service” in Section 409A(a)(2)(A)</w:t>
      </w:r>
    </w:p>
    <w:p>
      <w:pPr>
        <w:ind w:left="1472" w:right="180"/>
        <w:spacing w:after="0" w:line="254" w:lineRule="auto"/>
        <w:rPr>
          <w:rFonts w:ascii="Arial" w:cs="Arial" w:eastAsia="Arial" w:hAnsi="Arial"/>
          <w:sz w:val="16"/>
          <w:szCs w:val="16"/>
          <w:color w:val="auto"/>
        </w:rPr>
      </w:pPr>
      <w:r>
        <w:rPr>
          <w:rFonts w:ascii="Arial" w:cs="Arial" w:eastAsia="Arial" w:hAnsi="Arial"/>
          <w:sz w:val="18"/>
          <w:szCs w:val="18"/>
          <w:color w:val="auto"/>
        </w:rPr>
        <w:t>(i).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95" w:lineRule="exact"/>
        <w:rPr>
          <w:rFonts w:ascii="Arial" w:cs="Arial" w:eastAsia="Arial" w:hAnsi="Arial"/>
          <w:sz w:val="16"/>
          <w:szCs w:val="16"/>
          <w:color w:val="auto"/>
        </w:rPr>
      </w:pPr>
    </w:p>
    <w:p>
      <w:pPr>
        <w:ind w:left="1472" w:right="40" w:hanging="567"/>
        <w:spacing w:after="0" w:line="285" w:lineRule="auto"/>
        <w:tabs>
          <w:tab w:leader="none" w:pos="1472" w:val="left"/>
        </w:tabs>
        <w:numPr>
          <w:ilvl w:val="2"/>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means any of the following: (1) willful or deliberate and continual refusal to materially perform Employee’s duties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16"/>
          <w:szCs w:val="16"/>
          <w:i w:val="1"/>
          <w:iCs w:val="1"/>
          <w:color w:val="auto"/>
        </w:rPr>
        <w:t xml:space="preserve">nolo contendre </w:t>
      </w:r>
      <w:r>
        <w:rPr>
          <w:rFonts w:ascii="Arial" w:cs="Arial" w:eastAsia="Arial" w:hAnsi="Arial"/>
          <w:sz w:val="16"/>
          <w:szCs w:val="16"/>
          <w:color w:val="auto"/>
        </w:rPr>
        <w:t>to, any felony; (4) Employee willfully or intentionally caused material injury to WM, its property, or its assets;</w:t>
      </w:r>
    </w:p>
    <w:p>
      <w:pPr>
        <w:spacing w:after="0" w:line="2" w:lineRule="exact"/>
        <w:rPr>
          <w:rFonts w:ascii="Arial" w:cs="Arial" w:eastAsia="Arial" w:hAnsi="Arial"/>
          <w:sz w:val="16"/>
          <w:szCs w:val="16"/>
          <w:color w:val="auto"/>
        </w:rPr>
      </w:pPr>
    </w:p>
    <w:p>
      <w:pPr>
        <w:ind w:left="1732" w:hanging="260"/>
        <w:spacing w:after="0"/>
        <w:tabs>
          <w:tab w:leader="none" w:pos="1732" w:val="left"/>
        </w:tabs>
        <w:numPr>
          <w:ilvl w:val="3"/>
          <w:numId w:val="19"/>
        </w:numPr>
        <w:rPr>
          <w:rFonts w:ascii="Arial" w:cs="Arial" w:eastAsia="Arial" w:hAnsi="Arial"/>
          <w:sz w:val="17"/>
          <w:szCs w:val="17"/>
          <w:color w:val="auto"/>
        </w:rPr>
      </w:pPr>
      <w:r>
        <w:rPr>
          <w:rFonts w:ascii="Arial" w:cs="Arial" w:eastAsia="Arial" w:hAnsi="Arial"/>
          <w:sz w:val="17"/>
          <w:szCs w:val="17"/>
          <w:color w:val="auto"/>
        </w:rPr>
        <w:t>Employee disclosed to unauthorized person(s) proprietary or confidential information of WM that causes a material injury to WM;</w:t>
      </w:r>
    </w:p>
    <w:p>
      <w:pPr>
        <w:spacing w:after="0" w:line="20" w:lineRule="exact"/>
        <w:rPr>
          <w:rFonts w:ascii="Arial" w:cs="Arial" w:eastAsia="Arial" w:hAnsi="Arial"/>
          <w:sz w:val="17"/>
          <w:szCs w:val="17"/>
          <w:color w:val="auto"/>
        </w:rPr>
      </w:pPr>
    </w:p>
    <w:p>
      <w:pPr>
        <w:ind w:left="1472" w:right="80"/>
        <w:spacing w:after="0" w:line="261" w:lineRule="auto"/>
        <w:tabs>
          <w:tab w:leader="none" w:pos="1727" w:val="left"/>
        </w:tabs>
        <w:numPr>
          <w:ilvl w:val="3"/>
          <w:numId w:val="19"/>
        </w:numPr>
        <w:rPr>
          <w:rFonts w:ascii="Arial" w:cs="Arial" w:eastAsia="Arial" w:hAnsi="Arial"/>
          <w:sz w:val="18"/>
          <w:szCs w:val="18"/>
          <w:color w:val="auto"/>
        </w:rPr>
      </w:pPr>
      <w:r>
        <w:rPr>
          <w:rFonts w:ascii="Arial" w:cs="Arial" w:eastAsia="Arial" w:hAnsi="Arial"/>
          <w:sz w:val="18"/>
          <w:szCs w:val="18"/>
          <w:color w:val="auto"/>
        </w:rPr>
        <w:t>any material violation or a repeated and willful violation of WM’s policies or procedures, including but not limited to, WM’s Code of Business Conduct and Ethics (or any successor policy) then in effect.</w:t>
      </w:r>
    </w:p>
    <w:p>
      <w:pPr>
        <w:spacing w:after="0" w:line="89" w:lineRule="exact"/>
        <w:rPr>
          <w:rFonts w:ascii="Arial" w:cs="Arial" w:eastAsia="Arial" w:hAnsi="Arial"/>
          <w:sz w:val="18"/>
          <w:szCs w:val="18"/>
          <w:color w:val="auto"/>
        </w:rPr>
      </w:pPr>
    </w:p>
    <w:p>
      <w:pPr>
        <w:ind w:left="1472" w:right="360" w:hanging="567"/>
        <w:spacing w:after="0" w:line="277" w:lineRule="auto"/>
        <w:tabs>
          <w:tab w:leader="none" w:pos="1472" w:val="left"/>
        </w:tabs>
        <w:numPr>
          <w:ilvl w:val="2"/>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Window Period </w:t>
      </w:r>
      <w:r>
        <w:rPr>
          <w:rFonts w:ascii="Arial" w:cs="Arial" w:eastAsia="Arial" w:hAnsi="Arial"/>
          <w:sz w:val="18"/>
          <w:szCs w:val="18"/>
          <w:color w:val="auto"/>
        </w:rPr>
        <w:t>means the period beginning on the date occurring six (6) months immediately prior to the date on which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first occurs and ending on the second anniversary of the date on which a Change in Control occurs.</w:t>
      </w:r>
    </w:p>
    <w:p>
      <w:pPr>
        <w:spacing w:after="0" w:line="75" w:lineRule="exact"/>
        <w:rPr>
          <w:rFonts w:ascii="Arial" w:cs="Arial" w:eastAsia="Arial" w:hAnsi="Arial"/>
          <w:sz w:val="18"/>
          <w:szCs w:val="18"/>
          <w:color w:val="auto"/>
        </w:rPr>
      </w:pPr>
    </w:p>
    <w:p>
      <w:pPr>
        <w:ind w:left="452" w:hanging="452"/>
        <w:spacing w:after="0" w:line="290"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Dividend Equivalents on PSUs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5.a.i. above). As soon as administratively feasible after these events,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71" w:lineRule="exact"/>
        <w:rPr>
          <w:rFonts w:ascii="Arial" w:cs="Arial" w:eastAsia="Arial" w:hAnsi="Arial"/>
          <w:sz w:val="16"/>
          <w:szCs w:val="16"/>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Arial" w:cs="Arial" w:eastAsia="Arial" w:hAnsi="Arial"/>
          <w:sz w:val="18"/>
          <w:szCs w:val="18"/>
          <w:b w:val="1"/>
          <w:bCs w:val="1"/>
          <w:i w:val="1"/>
          <w:iCs w:val="1"/>
          <w:color w:val="auto"/>
        </w:rPr>
        <w:t>Deferral Election</w:t>
      </w:r>
      <w:r>
        <w:rPr>
          <w:rFonts w:ascii="Arial" w:cs="Arial" w:eastAsia="Arial" w:hAnsi="Arial"/>
          <w:sz w:val="18"/>
          <w:szCs w:val="18"/>
          <w:i w:val="1"/>
          <w:iCs w:val="1"/>
          <w:color w:val="auto"/>
        </w:rPr>
        <w:t>”)</w:t>
      </w:r>
      <w:r>
        <w:rPr>
          <w:rFonts w:ascii="Arial" w:cs="Arial" w:eastAsia="Arial" w:hAnsi="Arial"/>
          <w:sz w:val="18"/>
          <w:szCs w:val="18"/>
          <w:color w:val="auto"/>
        </w:rPr>
        <w:t xml:space="preserve"> must be under the terms and conditions determined in the sole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14" w:name="page15"/>
    <w:bookmarkEnd w:id="14"/>
    <w:p>
      <w:pPr>
        <w:jc w:val="both"/>
        <w:ind w:left="912"/>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 of the Committee (or its designee) and the Waste Management, Inc. 409A Deferral Savings Plan, As Amended and Restated Effective January 1, 2014 (the “</w:t>
      </w:r>
      <w:r>
        <w:rPr>
          <w:rFonts w:ascii="Arial" w:cs="Arial" w:eastAsia="Arial" w:hAnsi="Arial"/>
          <w:sz w:val="16"/>
          <w:szCs w:val="16"/>
          <w:b w:val="1"/>
          <w:bCs w:val="1"/>
          <w:i w:val="1"/>
          <w:iCs w:val="1"/>
          <w:color w:val="auto"/>
        </w:rPr>
        <w:t>WM 409A Plan</w:t>
      </w:r>
      <w:r>
        <w:rPr>
          <w:rFonts w:ascii="Arial" w:cs="Arial" w:eastAsia="Arial" w:hAnsi="Arial"/>
          <w:sz w:val="16"/>
          <w:szCs w:val="16"/>
          <w:color w:val="auto"/>
        </w:rPr>
        <w:t>”). The Committee further retains the authority and discretion to modify and/or terminate existing Deferral Elections, procedures and distribution options. Common Stock subject to a Deferral Election does not confer any shareholder rights to Employee unless and until the date the deferral expires and certificates representing such shares are delivered to Employee.</w:t>
      </w:r>
    </w:p>
    <w:p>
      <w:pPr>
        <w:spacing w:after="0" w:line="60" w:lineRule="exact"/>
        <w:rPr>
          <w:sz w:val="20"/>
          <w:szCs w:val="20"/>
          <w:color w:val="auto"/>
        </w:rPr>
      </w:pPr>
    </w:p>
    <w:p>
      <w:pPr>
        <w:ind w:left="892" w:hanging="446"/>
        <w:spacing w:after="0" w:line="286" w:lineRule="auto"/>
        <w:tabs>
          <w:tab w:leader="none" w:pos="8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70" w:lineRule="exact"/>
        <w:rPr>
          <w:rFonts w:ascii="Arial" w:cs="Arial" w:eastAsia="Arial" w:hAnsi="Arial"/>
          <w:sz w:val="17"/>
          <w:szCs w:val="17"/>
          <w:color w:val="auto"/>
        </w:rPr>
      </w:pPr>
    </w:p>
    <w:p>
      <w:pPr>
        <w:ind w:left="892" w:hanging="446"/>
        <w:spacing w:after="0" w:line="297" w:lineRule="auto"/>
        <w:tabs>
          <w:tab w:leader="none" w:pos="89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370"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General Terms</w:t>
      </w:r>
    </w:p>
    <w:p>
      <w:pPr>
        <w:spacing w:after="0" w:line="135"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80" w:hanging="446"/>
        <w:spacing w:after="0" w:line="259"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92" w:lineRule="exact"/>
        <w:rPr>
          <w:rFonts w:ascii="Arial" w:cs="Arial" w:eastAsia="Arial" w:hAnsi="Arial"/>
          <w:sz w:val="18"/>
          <w:szCs w:val="18"/>
          <w:color w:val="auto"/>
        </w:rPr>
      </w:pPr>
    </w:p>
    <w:p>
      <w:pPr>
        <w:ind w:left="892" w:right="40" w:hanging="446"/>
        <w:spacing w:after="0" w:line="291" w:lineRule="auto"/>
        <w:tabs>
          <w:tab w:leader="none" w:pos="892"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72" w:lineRule="exact"/>
        <w:rPr>
          <w:rFonts w:ascii="Arial" w:cs="Arial" w:eastAsia="Arial" w:hAnsi="Arial"/>
          <w:sz w:val="16"/>
          <w:szCs w:val="16"/>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will be issued under the Plan.</w:t>
      </w:r>
    </w:p>
    <w:p>
      <w:pPr>
        <w:spacing w:after="0" w:line="130" w:lineRule="exact"/>
        <w:rPr>
          <w:rFonts w:ascii="Arial" w:cs="Arial" w:eastAsia="Arial" w:hAnsi="Arial"/>
          <w:sz w:val="18"/>
          <w:szCs w:val="18"/>
          <w:color w:val="auto"/>
        </w:rPr>
      </w:pPr>
    </w:p>
    <w:p>
      <w:pPr>
        <w:ind w:left="452" w:hanging="452"/>
        <w:spacing w:after="0" w:line="271" w:lineRule="auto"/>
        <w:tabs>
          <w:tab w:leader="none" w:pos="452"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Employee may designate a beneficiary or beneficiaries (the “</w:t>
      </w:r>
      <w:r>
        <w:rPr>
          <w:rFonts w:ascii="Arial" w:cs="Arial" w:eastAsia="Arial" w:hAnsi="Arial"/>
          <w:sz w:val="17"/>
          <w:szCs w:val="17"/>
          <w:b w:val="1"/>
          <w:bCs w:val="1"/>
          <w:i w:val="1"/>
          <w:iCs w:val="1"/>
          <w:color w:val="auto"/>
        </w:rPr>
        <w:t>Beneficiary</w:t>
      </w:r>
      <w:r>
        <w:rPr>
          <w:rFonts w:ascii="Arial" w:cs="Arial" w:eastAsia="Arial" w:hAnsi="Arial"/>
          <w:sz w:val="17"/>
          <w:szCs w:val="17"/>
          <w:color w:val="auto"/>
        </w:rPr>
        <w:t>”) to whom the Awards under this Agreement will pass upon Employee’s death and may change such designation from time to time by filing a written designation of beneficiary on such form as may be prescribed by WM, provided that no such designation shall be effective until properly filed with WM according to established administrative procedures. Employee may change his or her Beneficiary without the consent of any prior Beneficiary by filing a new designation with WM; provided that no such designation shall be effective prior to receipt by WM according to established administrative procedures. Following Employee’s death, the Awards under this Agreement will pass to the designated Beneficiary and such person shall be deemed to be Employee for purposes of any applicable provisions of this Agreement. If no such designation is made or if the designated Beneficiary does not survive Employee’s death, the Awards under this Agreement shall pass by will or, if none, then by the laws of descent and distribution.</w:t>
      </w:r>
    </w:p>
    <w:p>
      <w:pPr>
        <w:spacing w:after="0" w:line="11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32"/>
          </w:cols>
          <w:pgMar w:left="248" w:top="274" w:right="319" w:bottom="1440" w:gutter="0" w:footer="0" w:header="0"/>
        </w:sectPr>
      </w:pPr>
    </w:p>
    <w:bookmarkStart w:id="15" w:name="page16"/>
    <w:bookmarkEnd w:id="15"/>
    <w:p>
      <w:pPr>
        <w:ind w:left="452" w:right="20" w:hanging="452"/>
        <w:spacing w:after="0" w:line="255"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Tax</w:t>
      </w:r>
      <w:r>
        <w:rPr>
          <w:rFonts w:ascii="Arial" w:cs="Arial" w:eastAsia="Arial" w:hAnsi="Arial"/>
          <w:sz w:val="18"/>
          <w:szCs w:val="18"/>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such amount of money or shares of Common Stock earned or owned by Employee, at Employee’s election,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98" w:lineRule="exact"/>
        <w:rPr>
          <w:rFonts w:ascii="Arial" w:cs="Arial" w:eastAsia="Arial" w:hAnsi="Arial"/>
          <w:sz w:val="18"/>
          <w:szCs w:val="18"/>
          <w:color w:val="auto"/>
        </w:rPr>
      </w:pPr>
    </w:p>
    <w:p>
      <w:pPr>
        <w:ind w:left="452" w:right="100" w:hanging="452"/>
        <w:spacing w:after="0" w:line="255"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85" w:lineRule="exact"/>
        <w:rPr>
          <w:rFonts w:ascii="Arial" w:cs="Arial" w:eastAsia="Arial" w:hAnsi="Arial"/>
          <w:sz w:val="18"/>
          <w:szCs w:val="18"/>
          <w:color w:val="auto"/>
        </w:rPr>
      </w:pPr>
    </w:p>
    <w:p>
      <w:pPr>
        <w:ind w:left="452"/>
        <w:spacing w:after="0" w:line="288" w:lineRule="auto"/>
        <w:rPr>
          <w:rFonts w:ascii="Arial" w:cs="Arial" w:eastAsia="Arial" w:hAnsi="Arial"/>
          <w:sz w:val="18"/>
          <w:szCs w:val="18"/>
          <w:color w:val="auto"/>
        </w:rPr>
      </w:pPr>
      <w:r>
        <w:rPr>
          <w:rFonts w:ascii="Arial" w:cs="Arial" w:eastAsia="Arial" w:hAnsi="Arial"/>
          <w:sz w:val="16"/>
          <w:szCs w:val="16"/>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w:t>
      </w:r>
    </w:p>
    <w:p>
      <w:pPr>
        <w:ind w:left="692" w:hanging="236"/>
        <w:spacing w:after="0"/>
        <w:tabs>
          <w:tab w:leader="none" w:pos="692" w:val="left"/>
        </w:tabs>
        <w:numPr>
          <w:ilvl w:val="2"/>
          <w:numId w:val="23"/>
        </w:numPr>
        <w:rPr>
          <w:rFonts w:ascii="Arial" w:cs="Arial" w:eastAsia="Arial" w:hAnsi="Arial"/>
          <w:sz w:val="18"/>
          <w:szCs w:val="18"/>
          <w:color w:val="auto"/>
        </w:rPr>
      </w:pPr>
      <w:r>
        <w:rPr>
          <w:rFonts w:ascii="Arial" w:cs="Arial" w:eastAsia="Arial" w:hAnsi="Arial"/>
          <w:sz w:val="18"/>
          <w:szCs w:val="18"/>
          <w:color w:val="auto"/>
        </w:rPr>
        <w:t>establishment of Employee’s compliance with any necessary representations or terms and conditions of the Plan or this Agreement, or</w:t>
      </w:r>
    </w:p>
    <w:p>
      <w:pPr>
        <w:spacing w:after="0" w:line="9" w:lineRule="exact"/>
        <w:rPr>
          <w:rFonts w:ascii="Arial" w:cs="Arial" w:eastAsia="Arial" w:hAnsi="Arial"/>
          <w:sz w:val="18"/>
          <w:szCs w:val="18"/>
          <w:color w:val="auto"/>
        </w:rPr>
      </w:pPr>
    </w:p>
    <w:p>
      <w:pPr>
        <w:ind w:left="712" w:hanging="256"/>
        <w:spacing w:after="0"/>
        <w:tabs>
          <w:tab w:leader="none" w:pos="712"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compliance with any federal, state, or local tax withholding obligations.</w:t>
      </w:r>
    </w:p>
    <w:p>
      <w:pPr>
        <w:spacing w:after="0" w:line="116" w:lineRule="exact"/>
        <w:rPr>
          <w:rFonts w:ascii="Arial" w:cs="Arial" w:eastAsia="Arial" w:hAnsi="Arial"/>
          <w:sz w:val="18"/>
          <w:szCs w:val="18"/>
          <w:color w:val="auto"/>
        </w:rPr>
      </w:pPr>
    </w:p>
    <w:p>
      <w:pPr>
        <w:ind w:left="452" w:right="20" w:hanging="452"/>
        <w:spacing w:after="0" w:line="279" w:lineRule="auto"/>
        <w:tabs>
          <w:tab w:leader="none" w:pos="45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Employee to Have no Rights as a Stockholder.</w:t>
      </w:r>
      <w:r>
        <w:rPr>
          <w:rFonts w:ascii="Arial" w:cs="Arial" w:eastAsia="Arial" w:hAnsi="Arial"/>
          <w:sz w:val="17"/>
          <w:szCs w:val="17"/>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6 “Important Award Details.”</w:t>
      </w:r>
    </w:p>
    <w:p>
      <w:pPr>
        <w:spacing w:after="0" w:line="76" w:lineRule="exact"/>
        <w:rPr>
          <w:rFonts w:ascii="Arial" w:cs="Arial" w:eastAsia="Arial" w:hAnsi="Arial"/>
          <w:sz w:val="17"/>
          <w:szCs w:val="17"/>
          <w:color w:val="auto"/>
        </w:rPr>
      </w:pPr>
    </w:p>
    <w:p>
      <w:pPr>
        <w:ind w:left="452" w:right="40" w:hanging="452"/>
        <w:spacing w:after="0" w:line="273" w:lineRule="auto"/>
        <w:tabs>
          <w:tab w:leader="none" w:pos="45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5.b. under “Important Award Details.”</w:t>
      </w:r>
    </w:p>
    <w:p>
      <w:pPr>
        <w:spacing w:after="0" w:line="83" w:lineRule="exact"/>
        <w:rPr>
          <w:rFonts w:ascii="Arial" w:cs="Arial" w:eastAsia="Arial" w:hAnsi="Arial"/>
          <w:sz w:val="17"/>
          <w:szCs w:val="17"/>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Awards other than in the sole discretion of the Committee;</w:t>
      </w:r>
    </w:p>
    <w:p>
      <w:pPr>
        <w:spacing w:after="0" w:line="130" w:lineRule="exact"/>
        <w:rPr>
          <w:rFonts w:ascii="Arial" w:cs="Arial" w:eastAsia="Arial" w:hAnsi="Arial"/>
          <w:sz w:val="18"/>
          <w:szCs w:val="18"/>
          <w:color w:val="auto"/>
        </w:rPr>
      </w:pPr>
    </w:p>
    <w:p>
      <w:pPr>
        <w:ind w:left="892" w:right="100" w:hanging="446"/>
        <w:spacing w:after="0" w:line="264" w:lineRule="auto"/>
        <w:tabs>
          <w:tab w:leader="none" w:pos="8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86" w:lineRule="exact"/>
        <w:rPr>
          <w:rFonts w:ascii="Arial" w:cs="Arial" w:eastAsia="Arial" w:hAnsi="Arial"/>
          <w:sz w:val="18"/>
          <w:szCs w:val="18"/>
          <w:color w:val="auto"/>
        </w:rPr>
      </w:pPr>
    </w:p>
    <w:p>
      <w:pPr>
        <w:ind w:left="892" w:hanging="446"/>
        <w:spacing w:after="0"/>
        <w:tabs>
          <w:tab w:leader="none" w:pos="8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WM.</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74" w:right="239" w:bottom="1440" w:gutter="0" w:footer="0" w:header="0"/>
        </w:sectPr>
      </w:pPr>
    </w:p>
    <w:bookmarkStart w:id="16" w:name="page17"/>
    <w:bookmarkEnd w:id="16"/>
    <w:p>
      <w:pPr>
        <w:ind w:left="460" w:right="28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75"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Severability/Entire Agreement</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75" w:lineRule="exact"/>
        <w:rPr>
          <w:rFonts w:ascii="Arial" w:cs="Arial" w:eastAsia="Arial" w:hAnsi="Arial"/>
          <w:sz w:val="18"/>
          <w:szCs w:val="18"/>
          <w:color w:val="auto"/>
        </w:rPr>
      </w:pPr>
    </w:p>
    <w:p>
      <w:pPr>
        <w:ind w:left="900" w:right="20" w:hanging="446"/>
        <w:spacing w:after="0" w:line="25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w:t>
      </w:r>
    </w:p>
    <w:p>
      <w:pPr>
        <w:spacing w:after="0" w:line="93"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75"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Except as provided in paragraph 14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86"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75" w:lineRule="exact"/>
        <w:rPr>
          <w:rFonts w:ascii="Arial" w:cs="Arial" w:eastAsia="Arial" w:hAnsi="Arial"/>
          <w:sz w:val="18"/>
          <w:szCs w:val="18"/>
          <w:color w:val="auto"/>
        </w:rPr>
      </w:pPr>
    </w:p>
    <w:p>
      <w:pPr>
        <w:ind w:left="460" w:hanging="452"/>
        <w:spacing w:after="0" w:line="31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Covenant Requirement Essential Part of Award</w:t>
      </w:r>
      <w:r>
        <w:rPr>
          <w:rFonts w:ascii="Arial" w:cs="Arial" w:eastAsia="Arial" w:hAnsi="Arial"/>
          <w:sz w:val="16"/>
          <w:szCs w:val="16"/>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52" w:lineRule="exact"/>
        <w:rPr>
          <w:rFonts w:ascii="Arial" w:cs="Arial" w:eastAsia="Arial" w:hAnsi="Arial"/>
          <w:sz w:val="16"/>
          <w:szCs w:val="16"/>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If not defined in this Agreement, capitalized terms have the meanings set forth in the Plan.</w:t>
      </w:r>
    </w:p>
    <w:p>
      <w:pPr>
        <w:spacing w:after="0" w:line="130" w:lineRule="exact"/>
        <w:rPr>
          <w:rFonts w:ascii="Arial" w:cs="Arial" w:eastAsia="Arial" w:hAnsi="Arial"/>
          <w:sz w:val="18"/>
          <w:szCs w:val="18"/>
          <w:color w:val="auto"/>
        </w:rPr>
      </w:pPr>
    </w:p>
    <w:p>
      <w:pPr>
        <w:ind w:left="460" w:right="100" w:hanging="452"/>
        <w:spacing w:after="0" w:line="270"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Compliance with Section 409A</w:t>
      </w:r>
      <w:r>
        <w:rPr>
          <w:rFonts w:ascii="Arial" w:cs="Arial" w:eastAsia="Arial" w:hAnsi="Arial"/>
          <w:sz w:val="17"/>
          <w:szCs w:val="17"/>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w:t>
      </w:r>
    </w:p>
    <w:p>
      <w:pPr>
        <w:spacing w:after="0" w:line="87" w:lineRule="exact"/>
        <w:rPr>
          <w:rFonts w:ascii="Arial" w:cs="Arial" w:eastAsia="Arial" w:hAnsi="Arial"/>
          <w:sz w:val="17"/>
          <w:szCs w:val="17"/>
          <w:color w:val="auto"/>
        </w:rPr>
      </w:pPr>
    </w:p>
    <w:p>
      <w:pPr>
        <w:ind w:left="46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Use of Personal Data</w:t>
      </w:r>
      <w:r>
        <w:rPr>
          <w:rFonts w:ascii="Arial" w:cs="Arial" w:eastAsia="Arial" w:hAnsi="Arial"/>
          <w:sz w:val="18"/>
          <w:szCs w:val="18"/>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left="460"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16 below); however, Employee understands that by withdrawing his or her consent to use Data, Employee may affect his or her ability to participate in the Plan.</w:t>
      </w:r>
    </w:p>
    <w:p>
      <w:pPr>
        <w:spacing w:after="0" w:line="94" w:lineRule="exact"/>
        <w:rPr>
          <w:sz w:val="20"/>
          <w:szCs w:val="20"/>
          <w:color w:val="auto"/>
        </w:rPr>
      </w:pPr>
    </w:p>
    <w:p>
      <w:pPr>
        <w:jc w:val="both"/>
        <w:ind w:left="460" w:right="520" w:hanging="452"/>
        <w:spacing w:after="0" w:line="286"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70" w:lineRule="exact"/>
        <w:rPr>
          <w:rFonts w:ascii="Arial" w:cs="Arial" w:eastAsia="Arial" w:hAnsi="Arial"/>
          <w:sz w:val="17"/>
          <w:szCs w:val="17"/>
          <w:color w:val="auto"/>
        </w:rPr>
      </w:pPr>
    </w:p>
    <w:p>
      <w:pPr>
        <w:ind w:left="460" w:right="60" w:hanging="452"/>
        <w:spacing w:after="0" w:line="279"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76" w:lineRule="exact"/>
        <w:rPr>
          <w:rFonts w:ascii="Arial" w:cs="Arial" w:eastAsia="Arial" w:hAnsi="Arial"/>
          <w:sz w:val="17"/>
          <w:szCs w:val="17"/>
          <w:color w:val="auto"/>
        </w:rPr>
      </w:pPr>
    </w:p>
    <w:p>
      <w:pPr>
        <w:ind w:left="460" w:right="8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Binding Arbitration</w:t>
      </w:r>
      <w:r>
        <w:rPr>
          <w:rFonts w:ascii="Arial" w:cs="Arial" w:eastAsia="Arial" w:hAnsi="Arial"/>
          <w:sz w:val="16"/>
          <w:szCs w:val="16"/>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“Important Award Details”), the Company and Employee agree that such dispute shall be settled exclusively by final and binding arbitration, as governed by the Federal Arbitration Act (9 U.S.C. 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16"/>
          <w:szCs w:val="16"/>
          <w:b w:val="1"/>
          <w:bCs w:val="1"/>
          <w:color w:val="auto"/>
        </w:rPr>
        <w:t>www.jamsadr.com</w:t>
      </w:r>
      <w:r>
        <w:rPr>
          <w:rFonts w:ascii="Arial" w:cs="Arial" w:eastAsia="Arial" w:hAnsi="Arial"/>
          <w:sz w:val="16"/>
          <w:szCs w:val="16"/>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71"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caused this Agreement to be duly executed by one of its officers thereunto duly authorized and Employee has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this Agreement, effective as of February 25,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Mark Schwartz</w:t>
            </w:r>
          </w:p>
        </w:tc>
        <w:tc>
          <w:tcPr>
            <w:tcW w:w="6260" w:type="dxa"/>
            <w:vAlign w:val="bottom"/>
            <w:gridSpan w:val="2"/>
          </w:tcPr>
          <w:p>
            <w:pPr>
              <w:ind w:left="700"/>
              <w:spacing w:after="0"/>
              <w:rPr>
                <w:sz w:val="20"/>
                <w:szCs w:val="20"/>
                <w:color w:val="auto"/>
              </w:rPr>
            </w:pPr>
            <w:r>
              <w:rPr>
                <w:rFonts w:ascii="Arial" w:cs="Arial" w:eastAsia="Arial" w:hAnsi="Arial"/>
                <w:sz w:val="18"/>
                <w:szCs w:val="18"/>
                <w:color w:val="auto"/>
              </w:rPr>
              <w:t>Employee</w:t>
            </w:r>
          </w:p>
        </w:tc>
      </w:tr>
      <w:tr>
        <w:trPr>
          <w:trHeight w:val="230"/>
        </w:trPr>
        <w:tc>
          <w:tcPr>
            <w:tcW w:w="5160" w:type="dxa"/>
            <w:vAlign w:val="bottom"/>
          </w:tcPr>
          <w:p>
            <w:pPr>
              <w:spacing w:after="0"/>
              <w:rPr>
                <w:sz w:val="20"/>
                <w:szCs w:val="20"/>
                <w:color w:val="auto"/>
              </w:rPr>
            </w:pPr>
          </w:p>
        </w:tc>
        <w:tc>
          <w:tcPr>
            <w:tcW w:w="6260" w:type="dxa"/>
            <w:vAlign w:val="bottom"/>
            <w:gridSpan w:val="2"/>
          </w:tcPr>
          <w:p>
            <w:pPr>
              <w:ind w:left="700"/>
              <w:spacing w:after="0"/>
              <w:rPr>
                <w:sz w:val="20"/>
                <w:szCs w:val="20"/>
                <w:color w:val="auto"/>
              </w:rPr>
            </w:pPr>
            <w:r>
              <w:rPr>
                <w:rFonts w:ascii="Arial" w:cs="Arial" w:eastAsia="Arial" w:hAnsi="Arial"/>
                <w:sz w:val="18"/>
                <w:szCs w:val="18"/>
                <w:b w:val="1"/>
                <w:bCs w:val="1"/>
                <w:i w:val="1"/>
                <w:iCs w:val="1"/>
                <w:color w:val="auto"/>
              </w:rPr>
              <w:t>Accepted by Electronic Confirmation</w:t>
            </w: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 2015</w:t>
            </w:r>
          </w:p>
        </w:tc>
        <w:tc>
          <w:tcPr>
            <w:tcW w:w="70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Date</w:t>
            </w:r>
          </w:p>
        </w:tc>
        <w:tc>
          <w:tcPr>
            <w:tcW w:w="70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364"/>
        </w:trPr>
        <w:tc>
          <w:tcPr>
            <w:tcW w:w="5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55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emdash "/>
      <w:numFmt w:val="bullet"/>
      <w:start w:val="1"/>
    </w:lvl>
  </w:abstractNum>
  <w:abstractNum w:abstractNumId="2">
    <w:nsid w:val="DED7263"/>
    <w:multiLevelType w:val="hybridMultilevel"/>
    <w:lvl w:ilvl="0">
      <w:lvlJc w:val="left"/>
      <w:lvlText w:val="(%1)"/>
      <w:numFmt w:val="lowerLetter"/>
      <w:start w:val="4"/>
    </w:lvl>
  </w:abstractNum>
  <w:abstractNum w:abstractNumId="3">
    <w:nsid w:val="7FDCC233"/>
    <w:multiLevelType w:val="hybridMultilevel"/>
    <w:lvl w:ilvl="0">
      <w:lvlJc w:val="left"/>
      <w:lvlText w:val="%1."/>
      <w:numFmt w:val="decimal"/>
      <w:start w:val="1"/>
    </w:lvl>
    <w:lvl w:ilvl="1">
      <w:lvlJc w:val="left"/>
      <w:lvlText w:val="%2."/>
      <w:numFmt w:val="lowerLetter"/>
      <w:start w:val="1"/>
    </w:lvl>
  </w:abstractNum>
  <w:abstractNum w:abstractNumId="4">
    <w:nsid w:val="1BEFD79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
    <w:nsid w:val="41A7C4C9"/>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
    <w:nsid w:val="6B68079A"/>
    <w:multiLevelType w:val="hybridMultilevel"/>
    <w:lvl w:ilvl="0">
      <w:lvlJc w:val="left"/>
      <w:lvlText w:val="%1."/>
      <w:numFmt w:val="decimal"/>
      <w:start w:val="3"/>
    </w:lvl>
    <w:lvl w:ilvl="1">
      <w:lvlJc w:val="left"/>
      <w:lvlText w:val="%2."/>
      <w:numFmt w:val="lowerLetter"/>
      <w:start w:val="1"/>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
    <w:nsid w:val="3F2DBA3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0"/>
    </w:lvl>
  </w:abstractNum>
  <w:abstractNum w:abstractNumId="12">
    <w:nsid w:val="7C83E458"/>
    <w:multiLevelType w:val="hybridMultilevel"/>
    <w:lvl w:ilvl="0">
      <w:lvlJc w:val="left"/>
      <w:lvlText w:val="(%1)"/>
      <w:numFmt w:val="lowerLetter"/>
      <w:start w:val="25"/>
    </w:lvl>
  </w:abstractNum>
  <w:abstractNum w:abstractNumId="13">
    <w:nsid w:val="257130A3"/>
    <w:multiLevelType w:val="hybridMultilevel"/>
    <w:lvl w:ilvl="0">
      <w:lvlJc w:val="left"/>
      <w:lvlText w:val="%1."/>
      <w:numFmt w:val="lowerRoman"/>
      <w:start w:val="2"/>
    </w:lvl>
    <w:lvl w:ilvl="1">
      <w:lvlJc w:val="left"/>
      <w:lvlText w:val="%2."/>
      <w:numFmt w:val="decimal"/>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18">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5"/>
    </w:lvl>
    <w:lvl w:ilvl="4">
      <w:lvlJc w:val="left"/>
      <w:lvlText w:val="%5"/>
      <w:numFmt w:val="upperLetter"/>
      <w:start w:val="1"/>
    </w:lvl>
  </w:abstractNum>
  <w:abstractNum w:abstractNumId="19">
    <w:nsid w:val="2443A85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20">
    <w:nsid w:val="2D1D5AE9"/>
    <w:multiLevelType w:val="hybridMultilevel"/>
    <w:lvl w:ilvl="0">
      <w:lvlJc w:val="left"/>
      <w:lvlText w:val="%1."/>
      <w:numFmt w:val="lowerLetter"/>
      <w:start w:val="2"/>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
    </w:lvl>
  </w:abstractNum>
  <w:abstractNum w:abstractNumId="23">
    <w:nsid w:val="8EDBDAB"/>
    <w:multiLevelType w:val="hybridMultilevel"/>
    <w:lvl w:ilvl="0">
      <w:lvlJc w:val="left"/>
      <w:lvlText w:val="%1."/>
      <w:numFmt w:val="decimal"/>
      <w:start w:val="9"/>
    </w:lvl>
    <w:lvl w:ilvl="1">
      <w:lvlJc w:val="left"/>
      <w:lvlText w:val="%2."/>
      <w:numFmt w:val="lowerLetter"/>
      <w:start w:val="1"/>
    </w:lvl>
  </w:abstractNum>
  <w:abstractNum w:abstractNumId="24">
    <w:nsid w:val="79838CB2"/>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2019-12-06T02:19:20Z</dcterms:created>
  <dcterms:modified xsi:type="dcterms:W3CDTF">2019-12-06T02:19:20Z</dcterms:modified>
</cp:coreProperties>
</file>