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60" w:after="0"/>
        <w:ind w:left="0" w:right="0" w:hanging="0"/>
        <w:jc w:val="left"/>
        <w:rPr/>
      </w:pPr>
      <w:bookmarkStart w:id="0" w:name="wm-20260630x10q.htm"/>
      <w:bookmarkStart w:id="1" w:name="kswm20260630x10q"/>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85437dfe_cfa0_4230_ae5a_8e37ad98e5a6"/>
      <w:bookmarkEnd w:id="2"/>
      <w:r>
        <w:rPr>
          <w:rFonts w:ascii="Times New Roman;Times;serif" w:hAnsi="Times New Roman;Times;serif"/>
          <w:b/>
          <w:sz w:val="26"/>
        </w:rPr>
        <w:t>UNITED STATES 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(Mark One) </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 w:name="Tc_eQjJRJ6sO0ChoMWGk-r5sw_12_0"/>
      <w:bookmarkStart w:id="4" w:name="Tc_c0rupby5qEO14HG72l5cCA_10_1"/>
      <w:bookmarkStart w:id="5" w:name="Tc_y0_9LcrTgUOC0_Uw6OiVxA_8_1"/>
      <w:bookmarkStart w:id="6" w:name="Tc_4yCWcry-Rkup_78p2Ccrmw_6_0"/>
      <w:bookmarkStart w:id="7" w:name="Tc_wywx1duXAEi9sHTkl3MUqQ_4_1"/>
      <w:bookmarkStart w:id="8" w:name="Tc_TYpQtUGBAE-vDkJRcNJaDw_2_1"/>
      <w:bookmarkStart w:id="9" w:name="_7a9cf9e5_6f7b_4cee_9cef_cc4c7d854989"/>
      <w:bookmarkStart w:id="10" w:name="Tc_eQjJRJ6sO0ChoMWGk-r5sw_12_0"/>
      <w:bookmarkStart w:id="11" w:name="Tc_c0rupby5qEO14HG72l5cCA_10_1"/>
      <w:bookmarkStart w:id="12" w:name="Tc_y0_9LcrTgUOC0_Uw6OiVxA_8_1"/>
      <w:bookmarkStart w:id="13" w:name="Tc_4yCWcry-Rkup_78p2Ccrmw_6_0"/>
      <w:bookmarkStart w:id="14" w:name="Tc_wywx1duXAEi9sHTkl3MUqQ_4_1"/>
      <w:bookmarkStart w:id="15" w:name="Tc_TYpQtUGBAE-vDkJRcNJaDw_2_1"/>
      <w:bookmarkStart w:id="16" w:name="_7a9cf9e5_6f7b_4cee_9cef_cc4c7d854989"/>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shd w:fill="FFFFFF" w:val="clear"/>
              </w:rPr>
            </w:pPr>
            <w:r>
              <w:rPr>
                <w:shd w:fill="FFFFFF" w:val="clea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June 30, 2026</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center"/>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transition period from to</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1-12154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Waste Management, Inc.</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yZD9pKGp20-ac9O9fyHU_Q_3_1"/>
      <w:bookmarkStart w:id="18" w:name="Tc_TzXiu5-1u067_rKtOwqcuw_3_0"/>
      <w:bookmarkStart w:id="19" w:name="Tc_hcQ1e2_I-ky7fFFqq_8Znw_2_1"/>
      <w:bookmarkStart w:id="20" w:name="Tc_WhbX3JU6EECZEPAKHwDNMQ_2_0"/>
      <w:bookmarkStart w:id="21" w:name="_84ad755b_e2dd_48bc_82d2_d920efa92cc1"/>
      <w:bookmarkStart w:id="22" w:name="Tc_yZD9pKGp20-ac9O9fyHU_Q_3_1"/>
      <w:bookmarkStart w:id="23" w:name="Tc_TzXiu5-1u067_rKtOwqcuw_3_0"/>
      <w:bookmarkStart w:id="24" w:name="Tc_hcQ1e2_I-ky7fFFqq_8Znw_2_1"/>
      <w:bookmarkStart w:id="25" w:name="Tc_WhbX3JU6EECZEPAKHwDNMQ_2_0"/>
      <w:bookmarkStart w:id="26" w:name="_84ad755b_e2dd_48bc_82d2_d920efa92cc1"/>
      <w:bookmarkEnd w:id="22"/>
      <w:bookmarkEnd w:id="23"/>
      <w:bookmarkEnd w:id="24"/>
      <w:bookmarkEnd w:id="25"/>
      <w:bookmarkEnd w:id="26"/>
    </w:p>
    <w:tbl>
      <w:tblPr>
        <w:tblW w:w="4337" w:type="dxa"/>
        <w:jc w:val="left"/>
        <w:tblInd w:w="0" w:type="dxa"/>
        <w:tblLayout w:type="fixed"/>
        <w:tblCellMar>
          <w:top w:w="0" w:type="dxa"/>
          <w:left w:w="0" w:type="dxa"/>
          <w:bottom w:w="0" w:type="dxa"/>
          <w:right w:w="0" w:type="dxa"/>
        </w:tblCellMar>
      </w:tblPr>
      <w:tblGrid>
        <w:gridCol w:w="2671"/>
        <w:gridCol w:w="1666"/>
      </w:tblGrid>
      <w:tr>
        <w:trPr/>
        <w:tc>
          <w:tcPr>
            <w:tcW w:w="267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666" w:type="dxa"/>
            <w:tcBorders/>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73-1309529</w:t>
            </w:r>
          </w:p>
        </w:tc>
      </w:tr>
      <w:tr>
        <w:trPr/>
        <w:tc>
          <w:tcPr>
            <w:tcW w:w="2671" w:type="dxa"/>
            <w:tcBorders/>
            <w:vAlign w:val="center"/>
          </w:tcPr>
          <w:p>
            <w:pPr>
              <w:pStyle w:val="TableContents"/>
              <w:bidi w:val="0"/>
              <w:spacing w:lineRule="auto" w:line="268" w:before="0" w:after="0"/>
              <w:ind w:left="0" w:right="0" w:hanging="0"/>
              <w:jc w:val="center"/>
              <w:rPr>
                <w:rFonts w:ascii="Times New Roman;Times;serif" w:hAnsi="Times New Roman;Times;serif"/>
                <w:i/>
                <w:sz w:val="20"/>
              </w:rPr>
            </w:pPr>
            <w:r>
              <w:rPr>
                <w:rFonts w:ascii="Times New Roman;Times;serif" w:hAnsi="Times New Roman;Times;serif"/>
                <w:i/>
                <w:sz w:val="20"/>
              </w:rPr>
              <w:t>(State or other jurisdiction of</w:t>
            </w:r>
          </w:p>
        </w:tc>
        <w:tc>
          <w:tcPr>
            <w:tcW w:w="1666" w:type="dxa"/>
            <w:tcBorders/>
            <w:vAlign w:val="center"/>
          </w:tcPr>
          <w:p>
            <w:pPr>
              <w:pStyle w:val="TableContents"/>
              <w:bidi w:val="0"/>
              <w:spacing w:lineRule="auto" w:line="268" w:before="0" w:after="0"/>
              <w:ind w:left="0" w:right="0" w:hanging="0"/>
              <w:jc w:val="center"/>
              <w:rPr>
                <w:rFonts w:ascii="Times New Roman;Times;serif" w:hAnsi="Times New Roman;Times;serif"/>
                <w:i/>
                <w:sz w:val="20"/>
              </w:rPr>
            </w:pPr>
            <w:r>
              <w:rPr>
                <w:rFonts w:ascii="Times New Roman;Times;serif" w:hAnsi="Times New Roman;Times;serif"/>
                <w:i/>
                <w:sz w:val="20"/>
              </w:rPr>
              <w:t>(I.R.S. Employer</w:t>
            </w:r>
          </w:p>
        </w:tc>
      </w:tr>
      <w:tr>
        <w:trPr/>
        <w:tc>
          <w:tcPr>
            <w:tcW w:w="2671" w:type="dxa"/>
            <w:tcBorders/>
            <w:vAlign w:val="center"/>
          </w:tcPr>
          <w:p>
            <w:pPr>
              <w:pStyle w:val="TableContents"/>
              <w:bidi w:val="0"/>
              <w:spacing w:lineRule="auto" w:line="268" w:before="0" w:after="0"/>
              <w:ind w:left="0" w:right="0" w:hanging="0"/>
              <w:jc w:val="center"/>
              <w:rPr>
                <w:rFonts w:ascii="Times New Roman;Times;serif" w:hAnsi="Times New Roman;Times;serif"/>
                <w:i/>
                <w:sz w:val="20"/>
              </w:rPr>
            </w:pPr>
            <w:r>
              <w:rPr>
                <w:rFonts w:ascii="Times New Roman;Times;serif" w:hAnsi="Times New Roman;Times;serif"/>
                <w:i/>
                <w:sz w:val="20"/>
              </w:rPr>
              <w:t>incorporation or organization)</w:t>
            </w:r>
          </w:p>
        </w:tc>
        <w:tc>
          <w:tcPr>
            <w:tcW w:w="1666" w:type="dxa"/>
            <w:tcBorders/>
            <w:vAlign w:val="center"/>
          </w:tcPr>
          <w:p>
            <w:pPr>
              <w:pStyle w:val="TableContents"/>
              <w:bidi w:val="0"/>
              <w:spacing w:lineRule="auto" w:line="268" w:before="0" w:after="0"/>
              <w:ind w:left="0" w:right="0" w:hanging="0"/>
              <w:jc w:val="center"/>
              <w:rPr>
                <w:rFonts w:ascii="Times New Roman;Times;serif" w:hAnsi="Times New Roman;Times;serif"/>
                <w:i/>
                <w:sz w:val="20"/>
              </w:rPr>
            </w:pPr>
            <w:r>
              <w:rPr>
                <w:rFonts w:ascii="Times New Roman;Times;serif" w:hAnsi="Times New Roman;Times;serif"/>
                <w:i/>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 Capitol Street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Suite 3000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Houston, Texas</w:t>
      </w:r>
      <w:r>
        <w:rPr>
          <w:rFonts w:ascii="Times New Roman;Times;serif" w:hAnsi="Times New Roman;Times;serif"/>
          <w:sz w:val="20"/>
        </w:rPr>
        <w:t xml:space="preserve"> </w:t>
      </w:r>
      <w:r>
        <w:rPr>
          <w:rFonts w:ascii="Times New Roman;Times;serif" w:hAnsi="Times New Roman;Times;serif"/>
          <w:b/>
          <w:sz w:val="20"/>
        </w:rPr>
        <w:t>77002</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(Address of principal executive offices)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(713) 512-6200</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ihECgOorYUCbtQT_IgFXMg_3_0"/>
      <w:bookmarkStart w:id="28" w:name="Tc_6hfQC16X00uBxeTgPkRwOA_2_4"/>
      <w:bookmarkStart w:id="29" w:name="Tc_Q57nD25uJ0ibN35ZEMW-vA_2_2"/>
      <w:bookmarkStart w:id="30" w:name="Tc_pR3NWL12nkeV-m2l_KTqXQ_2_0"/>
      <w:bookmarkStart w:id="31" w:name="_bb3f8d5f_2a94_4dfd_a8e8_616b7799dcc9"/>
      <w:bookmarkStart w:id="32" w:name="Tc_ihECgOorYUCbtQT_IgFXMg_3_0"/>
      <w:bookmarkStart w:id="33" w:name="Tc_6hfQC16X00uBxeTgPkRwOA_2_4"/>
      <w:bookmarkStart w:id="34" w:name="Tc_Q57nD25uJ0ibN35ZEMW-vA_2_2"/>
      <w:bookmarkStart w:id="35" w:name="Tc_pR3NWL12nkeV-m2l_KTqXQ_2_0"/>
      <w:bookmarkStart w:id="36" w:name="_bb3f8d5f_2a94_4dfd_a8e8_616b7799dcc9"/>
      <w:bookmarkEnd w:id="32"/>
      <w:bookmarkEnd w:id="33"/>
      <w:bookmarkEnd w:id="34"/>
      <w:bookmarkEnd w:id="35"/>
      <w:bookmarkEnd w:id="36"/>
    </w:p>
    <w:tbl>
      <w:tblPr>
        <w:tblW w:w="7820" w:type="dxa"/>
        <w:jc w:val="left"/>
        <w:tblInd w:w="0" w:type="dxa"/>
        <w:tblLayout w:type="fixed"/>
        <w:tblCellMar>
          <w:top w:w="0" w:type="dxa"/>
          <w:left w:w="0" w:type="dxa"/>
          <w:bottom w:w="0" w:type="dxa"/>
          <w:right w:w="0" w:type="dxa"/>
        </w:tblCellMar>
      </w:tblPr>
      <w:tblGrid>
        <w:gridCol w:w="2386"/>
        <w:gridCol w:w="346"/>
        <w:gridCol w:w="1276"/>
        <w:gridCol w:w="346"/>
        <w:gridCol w:w="346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466"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466"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$0.01 par value</w:t>
            </w:r>
          </w:p>
        </w:tc>
        <w:tc>
          <w:tcPr>
            <w:tcW w:w="346" w:type="dxa"/>
            <w:tcBorders/>
            <w:vAlign w:val="center"/>
          </w:tcPr>
          <w:p>
            <w:pPr>
              <w:pStyle w:val="TableContents"/>
              <w:bidi w:val="0"/>
              <w:spacing w:before="0" w:after="0"/>
              <w:ind w:left="0" w:right="0" w:hanging="0"/>
              <w:jc w:val="left"/>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WM</w:t>
            </w:r>
          </w:p>
        </w:tc>
        <w:tc>
          <w:tcPr>
            <w:tcW w:w="346" w:type="dxa"/>
            <w:tcBorders/>
            <w:vAlign w:val="center"/>
          </w:tcPr>
          <w:p>
            <w:pPr>
              <w:pStyle w:val="TableContents"/>
              <w:bidi w:val="0"/>
              <w:spacing w:before="0" w:after="0"/>
              <w:ind w:left="0" w:right="0" w:hanging="0"/>
              <w:jc w:val="left"/>
              <w:rPr/>
            </w:pPr>
            <w:r>
              <w:rPr/>
              <w:t>​</w:t>
            </w:r>
          </w:p>
        </w:tc>
        <w:tc>
          <w:tcPr>
            <w:tcW w:w="34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New York Stock Exchange</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shd w:fill="FFFFFF" w:val="clear"/>
        </w:rPr>
        <w:t>☑</w:t>
      </w:r>
      <w:r>
        <w:rPr>
          <w:rFonts w:ascii="Times New Roman;Times;serif" w:hAnsi="Times New Roman;Times;serif"/>
          <w:sz w:val="20"/>
        </w:rPr>
        <w:t xml:space="preserve">  No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Times New Roman;Times;serif" w:hAnsi="Times New Roman;Times;serif"/>
          <w:sz w:val="20"/>
          <w:shd w:fill="FFFFFF" w:val="clear"/>
        </w:rPr>
        <w:t>☑</w:t>
      </w:r>
      <w:r>
        <w:rPr>
          <w:rFonts w:ascii="Times New Roman;Times;serif" w:hAnsi="Times New Roman;Times;serif"/>
          <w:sz w:val="20"/>
        </w:rPr>
        <w:t xml:space="preserve">  No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tbl>
      <w:tblPr>
        <w:tblW w:w="4836" w:type="dxa"/>
        <w:jc w:val="left"/>
        <w:tblInd w:w="0" w:type="dxa"/>
        <w:tblLayout w:type="fixed"/>
        <w:tblCellMar>
          <w:top w:w="0" w:type="dxa"/>
          <w:left w:w="0" w:type="dxa"/>
          <w:bottom w:w="0" w:type="dxa"/>
          <w:right w:w="0" w:type="dxa"/>
        </w:tblCellMar>
      </w:tblPr>
      <w:tblGrid>
        <w:gridCol w:w="2146"/>
        <w:gridCol w:w="109"/>
        <w:gridCol w:w="25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62710" cy="175260"/>
                      <wp:effectExtent l="0" t="0" r="0" b="0"/>
                      <wp:wrapNone/>
                      <wp:docPr id="1" name="Frame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38935" cy="175260"/>
                      <wp:effectExtent l="0" t="0" r="0" b="0"/>
                      <wp:wrapNone/>
                      <wp:docPr id="3" name="Frame3"/>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Large accelerated filer </w:t>
            </w:r>
            <w:r>
              <w:rPr>
                <w:rFonts w:ascii="Times New Roman;Times;serif" w:hAnsi="Times New Roman;Times;serif"/>
                <w:sz w:val="20"/>
                <w:shd w:fill="FFFFFF" w:val="clea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Act).    Yes  ☐  No  </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shares of Common Stock, $0.01 par value, of the registrant outstanding as of July 24, 2026 was 399,715,184 (excluding treasury shares of 230,567,277).</w:t>
      </w:r>
    </w:p>
    <w:p>
      <w:pPr>
        <w:pStyle w:val="TextBody"/>
        <w:pBdr>
          <w:top w:val="single" w:sz="2"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37" w:name="_16c84407_9362_4ec1_a962_e28f7e1cdf60"/>
      <w:bookmarkEnd w:id="37"/>
      <w:r>
        <w:rPr>
          <w:rFonts w:ascii="Times New Roman;Times;serif" w:hAnsi="Times New Roman;Times;serif"/>
          <w:b/>
          <w:sz w:val="20"/>
        </w:rPr>
        <w:t>PART I.</w:t>
      </w:r>
    </w:p>
    <w:p>
      <w:pPr>
        <w:pStyle w:val="TextBody"/>
        <w:bidi w:val="0"/>
        <w:spacing w:before="0" w:after="120"/>
        <w:ind w:left="0" w:right="0" w:hanging="0"/>
        <w:jc w:val="left"/>
        <w:rPr>
          <w:rFonts w:ascii="Times New Roman;Times;serif" w:hAnsi="Times New Roman;Times;serif"/>
          <w:b/>
          <w:sz w:val="20"/>
        </w:rPr>
      </w:pPr>
      <w:bookmarkStart w:id="38" w:name="_0af5075d_8c1c_4517_a3f4_384715e3fb51"/>
      <w:bookmarkEnd w:id="38"/>
      <w:r>
        <w:rPr>
          <w:rFonts w:ascii="Times New Roman;Times;serif" w:hAnsi="Times New Roman;Times;serif"/>
          <w:b/>
          <w:sz w:val="20"/>
        </w:rPr>
        <w:t>Item 1.    </w:t>
      </w:r>
      <w:r>
        <w:rPr>
          <w:rFonts w:ascii="Times New Roman;Times;serif" w:hAnsi="Times New Roman;Times;serif"/>
          <w:b/>
          <w:i/>
          <w:sz w:val="20"/>
        </w:rPr>
        <w:t>Financial Statements.</w:t>
      </w:r>
    </w:p>
    <w:p>
      <w:pPr>
        <w:pStyle w:val="TextBody"/>
        <w:bidi w:val="0"/>
        <w:spacing w:before="0" w:after="120"/>
        <w:ind w:left="0" w:right="0" w:hanging="0"/>
        <w:jc w:val="center"/>
        <w:rPr>
          <w:rFonts w:ascii="Times New Roman;Times;serif" w:hAnsi="Times New Roman;Times;serif"/>
          <w:b/>
          <w:sz w:val="20"/>
        </w:rPr>
      </w:pPr>
      <w:bookmarkStart w:id="39" w:name="_42d07678_3585_48bf_91a3_e7cbde3fd97e"/>
      <w:bookmarkEnd w:id="39"/>
      <w:r>
        <w:rPr>
          <w:rFonts w:ascii="Times New Roman;Times;serif" w:hAnsi="Times New Roman;Times;serif"/>
          <w:b/>
          <w:sz w:val="20"/>
        </w:rPr>
        <w:t>WASTE MANAGEMENT,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 Except Share and Par Value Amounts)</w:t>
      </w:r>
    </w:p>
    <w:p>
      <w:pPr>
        <w:pStyle w:val="Normal"/>
        <w:bidi w:val="0"/>
        <w:spacing w:before="0" w:after="0"/>
        <w:jc w:val="left"/>
        <w:rPr>
          <w:sz w:val="4"/>
          <w:szCs w:val="4"/>
        </w:rPr>
      </w:pPr>
      <w:r>
        <w:rPr>
          <w:sz w:val="4"/>
          <w:szCs w:val="4"/>
        </w:rPr>
      </w:r>
      <w:bookmarkStart w:id="40" w:name="Tc_-oNWIAWgYUq6NcfFslPUPw_42_5"/>
      <w:bookmarkStart w:id="41" w:name="Tc_EY8sqHr3EkGbtKYDRd_tzA_42_2"/>
      <w:bookmarkStart w:id="42" w:name="Tc_e7rhV69S1k6ibKnZFwnXgA_42_0"/>
      <w:bookmarkStart w:id="43" w:name="Tc_OeyH-r0eA0ud4n2zDyr3lQ_41_0"/>
      <w:bookmarkStart w:id="44" w:name="Tc_uqgQCD9ILkKU8vMRr8ku_A_40_0"/>
      <w:bookmarkStart w:id="45" w:name="Tc_5Ppr0g7E40CtFtwJUKXu8w_39_0"/>
      <w:bookmarkStart w:id="46" w:name="Tc_XkDHAj58yEa_El2GOUzzOw_38_0"/>
      <w:bookmarkStart w:id="47" w:name="Tc_a37jY8B2REGN7-aghou6NQ_37_0"/>
      <w:bookmarkStart w:id="48" w:name="Tc_GETmLYygeEiB9NvxywLewA_36_0"/>
      <w:bookmarkStart w:id="49" w:name="Tc_JcqX4567S0WyLbEV0SklyA_35_0"/>
      <w:bookmarkStart w:id="50" w:name="Tc_BW6RsoxAY06EnHGI0hMktg_34_0"/>
      <w:bookmarkStart w:id="51" w:name="Tc_3LiCcaBDOUGLLP-zD7CaTA_33_0"/>
      <w:bookmarkStart w:id="52" w:name="Tc_P35Qy1I0tUK2nsYewtRYYQ_32_0"/>
      <w:bookmarkStart w:id="53" w:name="Tc_fxWHYRGv9EiHbnfCdpm-UA_31_0"/>
      <w:bookmarkStart w:id="54" w:name="Tc_-q02THeJk0CGpZ8PzAeu3w_30_0"/>
      <w:bookmarkStart w:id="55" w:name="Tc_r1UQiwknv0GInkLOmBtY7w_29_0"/>
      <w:bookmarkStart w:id="56" w:name="Tc_ZkS8g3cKzUuirLdtyk4VLQ_28_0"/>
      <w:bookmarkStart w:id="57" w:name="Tc_LIpZR00GnEqdQEUjNNoaIA_27_0"/>
      <w:bookmarkStart w:id="58" w:name="Tc_fPhmBW7Ob0WCQrnVkmmGFw_26_0"/>
      <w:bookmarkStart w:id="59" w:name="Tc_pp13KzKO802PAmf6cvKyIg_25_0"/>
      <w:bookmarkStart w:id="60" w:name="Tc_pmHF68C-WkiM_tkmoiVL8g_24_0"/>
      <w:bookmarkStart w:id="61" w:name="Tc_M2DJCf8If068EWLCP9zZUA_23_0"/>
      <w:bookmarkStart w:id="62" w:name="Tc___RcK5HcDUqJhLHxFetVjw_22_0"/>
      <w:bookmarkStart w:id="63" w:name="Tc_VaIYprrKbUKuHrVey2VGsA_21_5"/>
      <w:bookmarkStart w:id="64" w:name="Tc_xxQa4OdJ5UeXYvdaSrQuHw_21_2"/>
      <w:bookmarkStart w:id="65" w:name="Tc_L8yBDVIuWUeK36I9dUmDXQ_21_0"/>
      <w:bookmarkStart w:id="66" w:name="Tc_gO4OWzgVNE-Z7Jbz1z1kqg_20_0"/>
      <w:bookmarkStart w:id="67" w:name="Tc_1nBa2HarLUO7niumRjF5aw_19_0"/>
      <w:bookmarkStart w:id="68" w:name="Tc_VZnhT0Ot10-QTZ8QAMltPw_18_5"/>
      <w:bookmarkStart w:id="69" w:name="Tc_P20ps-qhtkuGjqcgKu0EcQ_18_2"/>
      <w:bookmarkStart w:id="70" w:name="Tc_4up67Cg-z061mQRQewprxA_18_0"/>
      <w:bookmarkStart w:id="71" w:name="Tc_10rue4ypy0G4g-N8KS2M_Q_17_0"/>
      <w:bookmarkStart w:id="72" w:name="Tc_qzb0IYuk2UG9G4m30LU6Pg_16_0"/>
      <w:bookmarkStart w:id="73" w:name="Tc_HjFFgujIL0GpKd1o8JKgsw_15_0"/>
      <w:bookmarkStart w:id="74" w:name="Tc_1fBlaaLV40i2E5FTd6TjMw_14_0"/>
      <w:bookmarkStart w:id="75" w:name="Tc_NnbAampswU-EHRa-Wyz-oQ_13_0"/>
      <w:bookmarkStart w:id="76" w:name="Tc_-fSHrVOFm0qiUcT_dwjvRg_12_0"/>
      <w:bookmarkStart w:id="77" w:name="Tc_b2jDTF6G5E2z0n8zPnSANg_11_0"/>
      <w:bookmarkStart w:id="78" w:name="Tc_23F18iD6aE6_dnhEiSsAUg_10_0"/>
      <w:bookmarkStart w:id="79" w:name="Tc_6Mwe5IlQmkGaSnwEzA2WBw_9_0"/>
      <w:bookmarkStart w:id="80" w:name="Tc_wOxuTZtFgUi5NUw-BQhrQw_8_0"/>
      <w:bookmarkStart w:id="81" w:name="Tc_leBdF-Qt60yw6PqtE9DMhw_7_0"/>
      <w:bookmarkStart w:id="82" w:name="Tc_USExPrBRm0aQ-HnRRCCNxQ_6_5"/>
      <w:bookmarkStart w:id="83" w:name="Tc_TSxypRrjn0igKV4E1sgbgg_6_2"/>
      <w:bookmarkStart w:id="84" w:name="Tc_AqDRvqUX90KkQjNH3cCzHw_6_0"/>
      <w:bookmarkStart w:id="85" w:name="Tc_Ca5r9YlyTEeCmksLvVw5Fw_5_0"/>
      <w:bookmarkStart w:id="86" w:name="Tc_OI77CQe340SMzZPV5REcIA_4_0"/>
      <w:bookmarkStart w:id="87" w:name="Tc_eY4d-8zARkG3BU8_E7NhCw_3_2"/>
      <w:bookmarkStart w:id="88" w:name="Tc_u0oWwptv-kWYWYbL4bEMLg_2_5"/>
      <w:bookmarkStart w:id="89" w:name="Tc_k-9eVGPOnE6YXpTVv25Jtw_2_2"/>
      <w:bookmarkStart w:id="90" w:name="Tc_uNGj2bSn3kelpzmfSGae0w_1_5"/>
      <w:bookmarkStart w:id="91" w:name="Tc_ni0w-FW0yUyPBKz5iH5YvA_1_2"/>
      <w:bookmarkStart w:id="92" w:name="_8d592f00_dd4b_494a_8027_841614e63f64"/>
      <w:bookmarkStart w:id="93" w:name="Tc_-oNWIAWgYUq6NcfFslPUPw_42_5"/>
      <w:bookmarkStart w:id="94" w:name="Tc_EY8sqHr3EkGbtKYDRd_tzA_42_2"/>
      <w:bookmarkStart w:id="95" w:name="Tc_e7rhV69S1k6ibKnZFwnXgA_42_0"/>
      <w:bookmarkStart w:id="96" w:name="Tc_OeyH-r0eA0ud4n2zDyr3lQ_41_0"/>
      <w:bookmarkStart w:id="97" w:name="Tc_uqgQCD9ILkKU8vMRr8ku_A_40_0"/>
      <w:bookmarkStart w:id="98" w:name="Tc_5Ppr0g7E40CtFtwJUKXu8w_39_0"/>
      <w:bookmarkStart w:id="99" w:name="Tc_XkDHAj58yEa_El2GOUzzOw_38_0"/>
      <w:bookmarkStart w:id="100" w:name="Tc_a37jY8B2REGN7-aghou6NQ_37_0"/>
      <w:bookmarkStart w:id="101" w:name="Tc_GETmLYygeEiB9NvxywLewA_36_0"/>
      <w:bookmarkStart w:id="102" w:name="Tc_JcqX4567S0WyLbEV0SklyA_35_0"/>
      <w:bookmarkStart w:id="103" w:name="Tc_BW6RsoxAY06EnHGI0hMktg_34_0"/>
      <w:bookmarkStart w:id="104" w:name="Tc_3LiCcaBDOUGLLP-zD7CaTA_33_0"/>
      <w:bookmarkStart w:id="105" w:name="Tc_P35Qy1I0tUK2nsYewtRYYQ_32_0"/>
      <w:bookmarkStart w:id="106" w:name="Tc_fxWHYRGv9EiHbnfCdpm-UA_31_0"/>
      <w:bookmarkStart w:id="107" w:name="Tc_-q02THeJk0CGpZ8PzAeu3w_30_0"/>
      <w:bookmarkStart w:id="108" w:name="Tc_r1UQiwknv0GInkLOmBtY7w_29_0"/>
      <w:bookmarkStart w:id="109" w:name="Tc_ZkS8g3cKzUuirLdtyk4VLQ_28_0"/>
      <w:bookmarkStart w:id="110" w:name="Tc_LIpZR00GnEqdQEUjNNoaIA_27_0"/>
      <w:bookmarkStart w:id="111" w:name="Tc_fPhmBW7Ob0WCQrnVkmmGFw_26_0"/>
      <w:bookmarkStart w:id="112" w:name="Tc_pp13KzKO802PAmf6cvKyIg_25_0"/>
      <w:bookmarkStart w:id="113" w:name="Tc_pmHF68C-WkiM_tkmoiVL8g_24_0"/>
      <w:bookmarkStart w:id="114" w:name="Tc_M2DJCf8If068EWLCP9zZUA_23_0"/>
      <w:bookmarkStart w:id="115" w:name="Tc___RcK5HcDUqJhLHxFetVjw_22_0"/>
      <w:bookmarkStart w:id="116" w:name="Tc_VaIYprrKbUKuHrVey2VGsA_21_5"/>
      <w:bookmarkStart w:id="117" w:name="Tc_xxQa4OdJ5UeXYvdaSrQuHw_21_2"/>
      <w:bookmarkStart w:id="118" w:name="Tc_L8yBDVIuWUeK36I9dUmDXQ_21_0"/>
      <w:bookmarkStart w:id="119" w:name="Tc_gO4OWzgVNE-Z7Jbz1z1kqg_20_0"/>
      <w:bookmarkStart w:id="120" w:name="Tc_1nBa2HarLUO7niumRjF5aw_19_0"/>
      <w:bookmarkStart w:id="121" w:name="Tc_VZnhT0Ot10-QTZ8QAMltPw_18_5"/>
      <w:bookmarkStart w:id="122" w:name="Tc_P20ps-qhtkuGjqcgKu0EcQ_18_2"/>
      <w:bookmarkStart w:id="123" w:name="Tc_4up67Cg-z061mQRQewprxA_18_0"/>
      <w:bookmarkStart w:id="124" w:name="Tc_10rue4ypy0G4g-N8KS2M_Q_17_0"/>
      <w:bookmarkStart w:id="125" w:name="Tc_qzb0IYuk2UG9G4m30LU6Pg_16_0"/>
      <w:bookmarkStart w:id="126" w:name="Tc_HjFFgujIL0GpKd1o8JKgsw_15_0"/>
      <w:bookmarkStart w:id="127" w:name="Tc_1fBlaaLV40i2E5FTd6TjMw_14_0"/>
      <w:bookmarkStart w:id="128" w:name="Tc_NnbAampswU-EHRa-Wyz-oQ_13_0"/>
      <w:bookmarkStart w:id="129" w:name="Tc_-fSHrVOFm0qiUcT_dwjvRg_12_0"/>
      <w:bookmarkStart w:id="130" w:name="Tc_b2jDTF6G5E2z0n8zPnSANg_11_0"/>
      <w:bookmarkStart w:id="131" w:name="Tc_23F18iD6aE6_dnhEiSsAUg_10_0"/>
      <w:bookmarkStart w:id="132" w:name="Tc_6Mwe5IlQmkGaSnwEzA2WBw_9_0"/>
      <w:bookmarkStart w:id="133" w:name="Tc_wOxuTZtFgUi5NUw-BQhrQw_8_0"/>
      <w:bookmarkStart w:id="134" w:name="Tc_leBdF-Qt60yw6PqtE9DMhw_7_0"/>
      <w:bookmarkStart w:id="135" w:name="Tc_USExPrBRm0aQ-HnRRCCNxQ_6_5"/>
      <w:bookmarkStart w:id="136" w:name="Tc_TSxypRrjn0igKV4E1sgbgg_6_2"/>
      <w:bookmarkStart w:id="137" w:name="Tc_AqDRvqUX90KkQjNH3cCzHw_6_0"/>
      <w:bookmarkStart w:id="138" w:name="Tc_Ca5r9YlyTEeCmksLvVw5Fw_5_0"/>
      <w:bookmarkStart w:id="139" w:name="Tc_OI77CQe340SMzZPV5REcIA_4_0"/>
      <w:bookmarkStart w:id="140" w:name="Tc_eY4d-8zARkG3BU8_E7NhCw_3_2"/>
      <w:bookmarkStart w:id="141" w:name="Tc_u0oWwptv-kWYWYbL4bEMLg_2_5"/>
      <w:bookmarkStart w:id="142" w:name="Tc_k-9eVGPOnE6YXpTVv25Jtw_2_2"/>
      <w:bookmarkStart w:id="143" w:name="Tc_uNGj2bSn3kelpzmfSGae0w_1_5"/>
      <w:bookmarkStart w:id="144" w:name="Tc_ni0w-FW0yUyPBKz5iH5YvA_1_2"/>
      <w:bookmarkStart w:id="145" w:name="_8d592f00_dd4b_494a_8027_841614e63f64"/>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10205" w:type="dxa"/>
        <w:jc w:val="left"/>
        <w:tblInd w:w="0" w:type="dxa"/>
        <w:tblLayout w:type="fixed"/>
        <w:tblCellMar>
          <w:top w:w="0" w:type="dxa"/>
          <w:left w:w="0" w:type="dxa"/>
          <w:bottom w:w="0" w:type="dxa"/>
          <w:right w:w="0" w:type="dxa"/>
        </w:tblCellMar>
      </w:tblPr>
      <w:tblGrid>
        <w:gridCol w:w="7354"/>
        <w:gridCol w:w="346"/>
        <w:gridCol w:w="211"/>
        <w:gridCol w:w="782"/>
        <w:gridCol w:w="346"/>
        <w:gridCol w:w="247"/>
        <w:gridCol w:w="919"/>
      </w:tblGrid>
      <w:tr>
        <w:trPr/>
        <w:tc>
          <w:tcPr>
            <w:tcW w:w="7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69790" cy="175260"/>
                      <wp:effectExtent l="0" t="0" r="0" b="0"/>
                      <wp:wrapNone/>
                      <wp:docPr id="4" name="Frame4"/>
                      <a:graphic xmlns:a="http://schemas.openxmlformats.org/drawingml/2006/main">
                        <a:graphicData uri="http://schemas.microsoft.com/office/word/2010/wordprocessingShape">
                          <wps:wsp>
                            <wps:cNvSpPr txBox="1"/>
                            <wps:spPr>
                              <a:xfrm>
                                <a:off x="0" y="0"/>
                                <a:ext cx="4669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6570" cy="175260"/>
                      <wp:effectExtent l="0" t="0" r="0" b="0"/>
                      <wp:wrapNone/>
                      <wp:docPr id="7" name="Frame7"/>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56845" cy="175260"/>
                      <wp:effectExtent l="0" t="0" r="0" b="0"/>
                      <wp:wrapNone/>
                      <wp:docPr id="9" name="Frame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83565" cy="175260"/>
                      <wp:effectExtent l="0" t="0" r="0" b="0"/>
                      <wp:wrapNone/>
                      <wp:docPr id="10" name="Frame10"/>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center"/>
              <w:rPr/>
            </w:pPr>
            <w:r>
              <w:rPr/>
              <w:t>​</w:t>
            </w:r>
          </w:p>
        </w:tc>
      </w:tr>
      <w:tr>
        <w:trPr/>
        <w:tc>
          <w:tcPr>
            <w:tcW w:w="7354" w:type="dxa"/>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pPr>
            <w:r>
              <w:rPr/>
              <w:t>  ​</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557</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$73</w:t>
            </w:r>
            <w:r>
              <w:rPr>
                <w:rFonts w:ascii="Times New Roman;Times;serif" w:hAnsi="Times New Roman;Times;serif"/>
                <w:sz w:val="18"/>
              </w:rPr>
              <w:t xml:space="preserve"> </w:t>
            </w:r>
            <w:r>
              <w:rPr>
                <w:rFonts w:ascii="Times New Roman;Times;serif" w:hAnsi="Times New Roman;Times;serif"/>
                <w:sz w:val="19"/>
              </w:rPr>
              <w:t>and $87,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3,495</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3,435</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Other receivables, net of allowance for doubtful accounts of $3</w:t>
            </w:r>
            <w:r>
              <w:rPr>
                <w:rFonts w:ascii="Times New Roman;Times;serif" w:hAnsi="Times New Roman;Times;serif"/>
                <w:sz w:val="18"/>
              </w:rPr>
              <w:t xml:space="preserve"> </w:t>
            </w:r>
            <w:r>
              <w:rPr>
                <w:rFonts w:ascii="Times New Roman;Times;serif" w:hAnsi="Times New Roman;Times;serif"/>
                <w:sz w:val="19"/>
              </w:rPr>
              <w:t>and $3,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711</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620</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Parts and supplies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232</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429</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4,910</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Property and equipment, net of accumulated depreciation and depletion of $25,432</w:t>
            </w:r>
            <w:r>
              <w:rPr>
                <w:rFonts w:ascii="Times New Roman;Times;serif" w:hAnsi="Times New Roman;Times;serif"/>
                <w:sz w:val="18"/>
              </w:rPr>
              <w:t xml:space="preserve"> </w:t>
            </w:r>
            <w:r>
              <w:rPr>
                <w:rFonts w:ascii="Times New Roman;Times;serif" w:hAnsi="Times New Roman;Times;serif"/>
                <w:sz w:val="19"/>
              </w:rPr>
              <w:t>and $25,096,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20,440</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20,378</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14,001</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13,880</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3,641</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3,767</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648</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513</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unconsolidated entities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738</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779</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long-term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1,576</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1,608</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46,441</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45,835</w:t>
            </w:r>
          </w:p>
        </w:tc>
      </w:tr>
      <w:tr>
        <w:trPr/>
        <w:tc>
          <w:tcPr>
            <w:tcW w:w="7354"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  ​</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1,992</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1,867</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2,114</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2,211</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767</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735</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711</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5,948</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5,524</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22,281</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22,196</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3,307</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3,160</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Landfill and environmental remediation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3,325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3,278</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1,654</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1,686</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36,515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35,844</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 (Note 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  ​</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  ​</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Waste Management, Inc.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  ​</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1,500,000,000</w:t>
            </w:r>
            <w:r>
              <w:rPr>
                <w:rFonts w:ascii="Times New Roman;Times;serif" w:hAnsi="Times New Roman;Times;serif"/>
                <w:sz w:val="18"/>
              </w:rPr>
              <w:t xml:space="preserve"> </w:t>
            </w:r>
            <w:r>
              <w:rPr>
                <w:rFonts w:ascii="Times New Roman;Times;serif" w:hAnsi="Times New Roman;Times;serif"/>
                <w:sz w:val="19"/>
              </w:rPr>
              <w:t>shares authorized; 630,282,461</w:t>
            </w:r>
            <w:r>
              <w:rPr>
                <w:rFonts w:ascii="Times New Roman;Times;serif" w:hAnsi="Times New Roman;Times;serif"/>
                <w:sz w:val="18"/>
              </w:rPr>
              <w:t xml:space="preserve"> </w:t>
            </w:r>
            <w:r>
              <w:rPr>
                <w:rFonts w:ascii="Times New Roman;Times;serif" w:hAnsi="Times New Roman;Times;serif"/>
                <w:sz w:val="19"/>
              </w:rPr>
              <w:t>shares issued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5,864</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5,676</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17,977</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17,232</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Treasury stock at cost, 230,314,758</w:t>
            </w:r>
            <w:r>
              <w:rPr>
                <w:rFonts w:ascii="Times New Roman;Times;serif" w:hAnsi="Times New Roman;Times;serif"/>
                <w:sz w:val="18"/>
              </w:rPr>
              <w:t xml:space="preserve"> </w:t>
            </w:r>
            <w:r>
              <w:rPr>
                <w:rFonts w:ascii="Times New Roman;Times;serif" w:hAnsi="Times New Roman;Times;serif"/>
                <w:sz w:val="19"/>
              </w:rPr>
              <w:t>and 227,340,757</w:t>
            </w:r>
            <w:r>
              <w:rPr>
                <w:rFonts w:ascii="Times New Roman;Times;serif" w:hAnsi="Times New Roman;Times;serif"/>
                <w:sz w:val="18"/>
              </w:rPr>
              <w:t xml:space="preserve"> </w:t>
            </w:r>
            <w:r>
              <w:rPr>
                <w:rFonts w:ascii="Times New Roman;Times;serif" w:hAnsi="Times New Roman;Times;serif"/>
                <w:sz w:val="19"/>
              </w:rPr>
              <w:t>shares,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(13,851)</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(12,914)</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Waste Management, Inc.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9,925</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9,990</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r>
      <w:tr>
        <w:trPr/>
        <w:tc>
          <w:tcPr>
            <w:tcW w:w="73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9,926</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9,991</w:t>
            </w:r>
          </w:p>
        </w:tc>
      </w:tr>
      <w:tr>
        <w:trPr/>
        <w:tc>
          <w:tcPr>
            <w:tcW w:w="73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46,441</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45,835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46" w:name="_93d1e86d_6c6a_4212_933c_67b9f6a8ff13"/>
      <w:bookmarkEnd w:id="146"/>
      <w:r>
        <w:rPr>
          <w:rFonts w:ascii="Times New Roman;Times;serif" w:hAnsi="Times New Roman;Times;serif"/>
          <w:b/>
          <w:sz w:val="20"/>
        </w:rPr>
        <w:t>WASTE MANAGEMENT,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47" w:name="Tc_6Um_Pc-Z3UGf6WpBJOSNLg_23_11"/>
      <w:bookmarkStart w:id="148" w:name="Tc_nocNM3AhME6m2DGC3b1wgQ_23_8"/>
      <w:bookmarkStart w:id="149" w:name="Tc_-UlLcg6Vg0m7A9dV0I0iPg_23_5"/>
      <w:bookmarkStart w:id="150" w:name="Tc_CwVLC0RhjE6n9bgXBYmzPg_23_2"/>
      <w:bookmarkStart w:id="151" w:name="Tc_rzATS1YSH0uhlDzCmhsjZg_23_0"/>
      <w:bookmarkStart w:id="152" w:name="Tc_emJAzHMfdkedxGS0qyayeg_22_11"/>
      <w:bookmarkStart w:id="153" w:name="Tc_q8gqeMYUL0CPQ01Zo3KV0Q_22_8"/>
      <w:bookmarkStart w:id="154" w:name="Tc_G0AxCW8yKki6U_Ft_BV3gA_22_5"/>
      <w:bookmarkStart w:id="155" w:name="Tc_HZDVWVv8ukqlJU8R6bAblA_22_2"/>
      <w:bookmarkStart w:id="156" w:name="Tc_9RhcSYndF0GOppRSLqJhzw_22_0"/>
      <w:bookmarkStart w:id="157" w:name="Tc_O2onL7xCakCncbEx9QuAng_21_11"/>
      <w:bookmarkStart w:id="158" w:name="Tc_kfHHaqXvSUqMxo8xzLcgqg_21_8"/>
      <w:bookmarkStart w:id="159" w:name="Tc_Wu2bFot_kESfr32Qq527ew_21_5"/>
      <w:bookmarkStart w:id="160" w:name="Tc_3f2dJveNBkGpWPVW6nrHFg_21_2"/>
      <w:bookmarkStart w:id="161" w:name="Tc_3NpRMfJemkSiHh4EfbGvUA_21_0"/>
      <w:bookmarkStart w:id="162" w:name="Tc_3tTcRqnTn0yhZi7nqgJzBg_20_0"/>
      <w:bookmarkStart w:id="163" w:name="Tc_iYEW8uQ8sUmOvTIBN8B6Mg_19_0"/>
      <w:bookmarkStart w:id="164" w:name="Tc_bbpm5EzL7UyID8VOy2SykA_18_0"/>
      <w:bookmarkStart w:id="165" w:name="Tc_6Y4GxCWe1EiAwUiG0vuK4A_17_0"/>
      <w:bookmarkStart w:id="166" w:name="Tc_WMN0KwCtCUe7A_oEM5KZ6A_15_0"/>
      <w:bookmarkStart w:id="167" w:name="Tc_VVoykKh4jUudki87Gvmx4A_14_0"/>
      <w:bookmarkStart w:id="168" w:name="Tc_Ev8Zm7RDR0GaEDnEZUgWqQ_13_0"/>
      <w:bookmarkStart w:id="169" w:name="Tc_rN_qEbBSXEelXbRXNyzT4w_12_0"/>
      <w:bookmarkStart w:id="170" w:name="Tc_JZJcN5m02UCaeIrRCISI4w_10_0"/>
      <w:bookmarkStart w:id="171" w:name="Tc_MANXpNnIZ0C1tsa9SDPdvA_9_0"/>
      <w:bookmarkStart w:id="172" w:name="Tc_dobJJRumzkewPNfpgju8dA_8_0"/>
      <w:bookmarkStart w:id="173" w:name="Tc_Ff_aGW60ZEqU4noegeRkmw_7_0"/>
      <w:bookmarkStart w:id="174" w:name="Tc_O6_x-DtP2U2p6PTt2sFeaA_6_0"/>
      <w:bookmarkStart w:id="175" w:name="Tc_CcuvNzCssEOCg9Pxfu5-NA_5_0"/>
      <w:bookmarkStart w:id="176" w:name="Tc_3DzRr101Rk670RjU3g8cfg_4_11"/>
      <w:bookmarkStart w:id="177" w:name="Tc_fslCoflaeEak87r8c2LfAg_4_8"/>
      <w:bookmarkStart w:id="178" w:name="Tc_rJssNQAodkajjxrhKHqJMg_4_5"/>
      <w:bookmarkStart w:id="179" w:name="Tc_6XYxbd3FWkmERIf_slyOUw_4_2"/>
      <w:bookmarkStart w:id="180" w:name="Tc_J4PYLidrkUedBv3tnEy8Vw_4_0"/>
      <w:bookmarkStart w:id="181" w:name="Tc_ewpChxwRwkuWsipQXwIkVA_3_11"/>
      <w:bookmarkStart w:id="182" w:name="Tc_8J_r2PD9vkuReKJOHLqhWA_3_8"/>
      <w:bookmarkStart w:id="183" w:name="Tc_uzA7evx7qEOhA8jf4_WlDw_3_5"/>
      <w:bookmarkStart w:id="184" w:name="Tc_eV9dFhC1dkiJ7NUyB1OadA_3_2"/>
      <w:bookmarkStart w:id="185" w:name="Tc_7ahq77V4UUuihtZLE2ZKYw_2_8"/>
      <w:bookmarkStart w:id="186" w:name="Tc_CNCJJyx8C0OP4XvjR4Ur6Q_2_2"/>
      <w:bookmarkStart w:id="187" w:name="Tc_gjL9SnK5Z0q34p4T_WPKwA_1_8"/>
      <w:bookmarkStart w:id="188" w:name="Tc_cyh2XSn4BkqycngRZWSdsQ_1_2"/>
      <w:bookmarkStart w:id="189" w:name="_dfb22cd3_82c8_4072_b4fd_25ddfcf580d0"/>
      <w:bookmarkStart w:id="190" w:name="Tc_6Um_Pc-Z3UGf6WpBJOSNLg_23_11"/>
      <w:bookmarkStart w:id="191" w:name="Tc_nocNM3AhME6m2DGC3b1wgQ_23_8"/>
      <w:bookmarkStart w:id="192" w:name="Tc_-UlLcg6Vg0m7A9dV0I0iPg_23_5"/>
      <w:bookmarkStart w:id="193" w:name="Tc_CwVLC0RhjE6n9bgXBYmzPg_23_2"/>
      <w:bookmarkStart w:id="194" w:name="Tc_rzATS1YSH0uhlDzCmhsjZg_23_0"/>
      <w:bookmarkStart w:id="195" w:name="Tc_emJAzHMfdkedxGS0qyayeg_22_11"/>
      <w:bookmarkStart w:id="196" w:name="Tc_q8gqeMYUL0CPQ01Zo3KV0Q_22_8"/>
      <w:bookmarkStart w:id="197" w:name="Tc_G0AxCW8yKki6U_Ft_BV3gA_22_5"/>
      <w:bookmarkStart w:id="198" w:name="Tc_HZDVWVv8ukqlJU8R6bAblA_22_2"/>
      <w:bookmarkStart w:id="199" w:name="Tc_9RhcSYndF0GOppRSLqJhzw_22_0"/>
      <w:bookmarkStart w:id="200" w:name="Tc_O2onL7xCakCncbEx9QuAng_21_11"/>
      <w:bookmarkStart w:id="201" w:name="Tc_kfHHaqXvSUqMxo8xzLcgqg_21_8"/>
      <w:bookmarkStart w:id="202" w:name="Tc_Wu2bFot_kESfr32Qq527ew_21_5"/>
      <w:bookmarkStart w:id="203" w:name="Tc_3f2dJveNBkGpWPVW6nrHFg_21_2"/>
      <w:bookmarkStart w:id="204" w:name="Tc_3NpRMfJemkSiHh4EfbGvUA_21_0"/>
      <w:bookmarkStart w:id="205" w:name="Tc_3tTcRqnTn0yhZi7nqgJzBg_20_0"/>
      <w:bookmarkStart w:id="206" w:name="Tc_iYEW8uQ8sUmOvTIBN8B6Mg_19_0"/>
      <w:bookmarkStart w:id="207" w:name="Tc_bbpm5EzL7UyID8VOy2SykA_18_0"/>
      <w:bookmarkStart w:id="208" w:name="Tc_6Y4GxCWe1EiAwUiG0vuK4A_17_0"/>
      <w:bookmarkStart w:id="209" w:name="Tc_WMN0KwCtCUe7A_oEM5KZ6A_15_0"/>
      <w:bookmarkStart w:id="210" w:name="Tc_VVoykKh4jUudki87Gvmx4A_14_0"/>
      <w:bookmarkStart w:id="211" w:name="Tc_Ev8Zm7RDR0GaEDnEZUgWqQ_13_0"/>
      <w:bookmarkStart w:id="212" w:name="Tc_rN_qEbBSXEelXbRXNyzT4w_12_0"/>
      <w:bookmarkStart w:id="213" w:name="Tc_JZJcN5m02UCaeIrRCISI4w_10_0"/>
      <w:bookmarkStart w:id="214" w:name="Tc_MANXpNnIZ0C1tsa9SDPdvA_9_0"/>
      <w:bookmarkStart w:id="215" w:name="Tc_dobJJRumzkewPNfpgju8dA_8_0"/>
      <w:bookmarkStart w:id="216" w:name="Tc_Ff_aGW60ZEqU4noegeRkmw_7_0"/>
      <w:bookmarkStart w:id="217" w:name="Tc_O6_x-DtP2U2p6PTt2sFeaA_6_0"/>
      <w:bookmarkStart w:id="218" w:name="Tc_CcuvNzCssEOCg9Pxfu5-NA_5_0"/>
      <w:bookmarkStart w:id="219" w:name="Tc_3DzRr101Rk670RjU3g8cfg_4_11"/>
      <w:bookmarkStart w:id="220" w:name="Tc_fslCoflaeEak87r8c2LfAg_4_8"/>
      <w:bookmarkStart w:id="221" w:name="Tc_rJssNQAodkajjxrhKHqJMg_4_5"/>
      <w:bookmarkStart w:id="222" w:name="Tc_6XYxbd3FWkmERIf_slyOUw_4_2"/>
      <w:bookmarkStart w:id="223" w:name="Tc_J4PYLidrkUedBv3tnEy8Vw_4_0"/>
      <w:bookmarkStart w:id="224" w:name="Tc_ewpChxwRwkuWsipQXwIkVA_3_11"/>
      <w:bookmarkStart w:id="225" w:name="Tc_8J_r2PD9vkuReKJOHLqhWA_3_8"/>
      <w:bookmarkStart w:id="226" w:name="Tc_uzA7evx7qEOhA8jf4_WlDw_3_5"/>
      <w:bookmarkStart w:id="227" w:name="Tc_eV9dFhC1dkiJ7NUyB1OadA_3_2"/>
      <w:bookmarkStart w:id="228" w:name="Tc_7ahq77V4UUuihtZLE2ZKYw_2_8"/>
      <w:bookmarkStart w:id="229" w:name="Tc_CNCJJyx8C0OP4XvjR4Ur6Q_2_2"/>
      <w:bookmarkStart w:id="230" w:name="Tc_gjL9SnK5Z0q34p4T_WPKwA_1_8"/>
      <w:bookmarkStart w:id="231" w:name="Tc_cyh2XSn4BkqycngRZWSdsQ_1_2"/>
      <w:bookmarkStart w:id="232" w:name="_dfb22cd3_82c8_4072_b4fd_25ddfcf580d0"/>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tbl>
      <w:tblPr>
        <w:tblW w:w="10205" w:type="dxa"/>
        <w:jc w:val="left"/>
        <w:tblInd w:w="0" w:type="dxa"/>
        <w:tblLayout w:type="fixed"/>
        <w:tblCellMar>
          <w:top w:w="0" w:type="dxa"/>
          <w:left w:w="0" w:type="dxa"/>
          <w:bottom w:w="0" w:type="dxa"/>
          <w:right w:w="0" w:type="dxa"/>
        </w:tblCellMar>
      </w:tblPr>
      <w:tblGrid>
        <w:gridCol w:w="5438"/>
        <w:gridCol w:w="346"/>
        <w:gridCol w:w="211"/>
        <w:gridCol w:w="571"/>
        <w:gridCol w:w="346"/>
        <w:gridCol w:w="211"/>
        <w:gridCol w:w="571"/>
        <w:gridCol w:w="346"/>
        <w:gridCol w:w="211"/>
        <w:gridCol w:w="676"/>
        <w:gridCol w:w="346"/>
        <w:gridCol w:w="211"/>
        <w:gridCol w:w="721"/>
      </w:tblGrid>
      <w:tr>
        <w:trPr/>
        <w:tc>
          <w:tcPr>
            <w:tcW w:w="5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453130" cy="175260"/>
                      <wp:effectExtent l="0" t="0" r="0" b="0"/>
                      <wp:wrapNone/>
                      <wp:docPr id="11" name="Frame11"/>
                      <a:graphic xmlns:a="http://schemas.openxmlformats.org/drawingml/2006/main">
                        <a:graphicData uri="http://schemas.microsoft.com/office/word/2010/wordprocessingShape">
                          <wps:wsp>
                            <wps:cNvSpPr txBox="1"/>
                            <wps:spPr>
                              <a:xfrm>
                                <a:off x="0" y="0"/>
                                <a:ext cx="3453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62585" cy="175260"/>
                      <wp:effectExtent l="0" t="0" r="0" b="0"/>
                      <wp:wrapNone/>
                      <wp:docPr id="14" name="Frame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62585" cy="175260"/>
                      <wp:effectExtent l="0" t="0" r="0" b="0"/>
                      <wp:wrapNone/>
                      <wp:docPr id="17" name="Frame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20" name="Frame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57835" cy="175260"/>
                      <wp:effectExtent l="0" t="0" r="0" b="0"/>
                      <wp:wrapNone/>
                      <wp:docPr id="23" name="Frame2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4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4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12,448</w:t>
            </w:r>
          </w:p>
        </w:tc>
      </w:tr>
      <w:tr>
        <w:trPr/>
        <w:tc>
          <w:tcPr>
            <w:tcW w:w="54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5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7,415</w:t>
            </w:r>
          </w:p>
        </w:tc>
      </w:tr>
      <w:tr>
        <w:trPr/>
        <w:tc>
          <w:tcPr>
            <w:tcW w:w="54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w:t>
            </w:r>
          </w:p>
        </w:tc>
      </w:tr>
      <w:tr>
        <w:trPr/>
        <w:tc>
          <w:tcPr>
            <w:tcW w:w="5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depletion, amortization and accretion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w:t>
            </w:r>
          </w:p>
        </w:tc>
      </w:tr>
      <w:tr>
        <w:trPr/>
        <w:tc>
          <w:tcPr>
            <w:tcW w:w="54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Restructuring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5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from divestitures, asset impairments and unusual items,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4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10,284</w:t>
            </w:r>
          </w:p>
        </w:tc>
      </w:tr>
      <w:tr>
        <w:trPr/>
        <w:tc>
          <w:tcPr>
            <w:tcW w:w="5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w:t>
            </w:r>
          </w:p>
        </w:tc>
      </w:tr>
      <w:tr>
        <w:trPr/>
        <w:tc>
          <w:tcPr>
            <w:tcW w:w="54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5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54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543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r>
      <w:tr>
        <w:trPr/>
        <w:tc>
          <w:tcPr>
            <w:tcW w:w="54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w:t>
            </w:r>
          </w:p>
        </w:tc>
      </w:tr>
      <w:tr>
        <w:trPr/>
        <w:tc>
          <w:tcPr>
            <w:tcW w:w="5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r>
      <w:tr>
        <w:trPr/>
        <w:tc>
          <w:tcPr>
            <w:tcW w:w="54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w:t>
            </w:r>
          </w:p>
        </w:tc>
      </w:tr>
      <w:tr>
        <w:trPr/>
        <w:tc>
          <w:tcPr>
            <w:tcW w:w="5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income (loss)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4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Waste Management, Inc.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1,363</w:t>
            </w:r>
          </w:p>
        </w:tc>
      </w:tr>
      <w:tr>
        <w:trPr/>
        <w:tc>
          <w:tcPr>
            <w:tcW w:w="5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54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per common share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3.37</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33" w:name="_c4aada25_f7db_4d15_85d4_ab2f13cd7e8b"/>
      <w:bookmarkEnd w:id="233"/>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34" w:name="Tc_c4YxEchrXUKKHa1GVurQbg_13_11"/>
      <w:bookmarkStart w:id="235" w:name="Tc_P1_fv3wQ-0q6rTVWrjiedg_13_8"/>
      <w:bookmarkStart w:id="236" w:name="Tc_qEZGXM-DJkyTlIlSLh-tLw_13_5"/>
      <w:bookmarkStart w:id="237" w:name="Tc_ZTSsSpnaek2jDxVE93brWw_13_2"/>
      <w:bookmarkStart w:id="238" w:name="Tc_rw2vWeCNi0WLFDWaaB7csQ_13_0"/>
      <w:bookmarkStart w:id="239" w:name="Tc_Oh4UaoXU_0WOULCd5kRj6A_12_0"/>
      <w:bookmarkStart w:id="240" w:name="Tc_0uSJY9RLY0aKdyS4GuSubw_11_0"/>
      <w:bookmarkStart w:id="241" w:name="Tc_QG4og-yHk0mGShTgfrRsGg_10_0"/>
      <w:bookmarkStart w:id="242" w:name="Tc_-zyAToKnZEGpssljqypfNA_9_12"/>
      <w:bookmarkStart w:id="243" w:name="Tc_VWutpecz5EON0PK-8-QMdg_9_9"/>
      <w:bookmarkStart w:id="244" w:name="Tc_7t3-7meuP0mnIRhu4bgEig_9_6"/>
      <w:bookmarkStart w:id="245" w:name="Tc_ZAXHGwhHTESZgAe-9_XTZg_9_3"/>
      <w:bookmarkStart w:id="246" w:name="Tc_OeghP_2ulE6OJGAsS9on1w_9_0"/>
      <w:bookmarkStart w:id="247" w:name="Tc_Z_yBy_PFWEiHKjnE-QZfvg_8_0"/>
      <w:bookmarkStart w:id="248" w:name="Tc_AAZhQgxWykiUgus6vvxmXQ_7_9"/>
      <w:bookmarkStart w:id="249" w:name="Tc_ui6oQp0r8ke4SslnyE6z-Q_7_0"/>
      <w:bookmarkStart w:id="250" w:name="Tc_kAk2CxQ7g0CeBp33aDzAgg_6_0"/>
      <w:bookmarkStart w:id="251" w:name="Tc_iF9PoRfAyES6K_g8nzdiWg_5_0"/>
      <w:bookmarkStart w:id="252" w:name="Tc_5PubBJ66h0GnWxZEAZupXA_4_11"/>
      <w:bookmarkStart w:id="253" w:name="Tc_dK2ELmrxwUCK0RAyFLtG-Q_4_8"/>
      <w:bookmarkStart w:id="254" w:name="Tc_M5DfBoiJ-UO7YqI8F5VMKA_4_5"/>
      <w:bookmarkStart w:id="255" w:name="Tc_hx0MXQ3AjUiEZ-fotJSOkQ_4_2"/>
      <w:bookmarkStart w:id="256" w:name="Tc_ZilsMklZeUOaqbyOoe0Iaw_4_0"/>
      <w:bookmarkStart w:id="257" w:name="Tc_2WrI2BRWhE-bxhRYSkOJDQ_3_11"/>
      <w:bookmarkStart w:id="258" w:name="Tc_t6oM3NB52kGz3GzCCIyFRw_3_8"/>
      <w:bookmarkStart w:id="259" w:name="Tc_EyCx2oWbXkKbnOw24s5xlQ_3_5"/>
      <w:bookmarkStart w:id="260" w:name="Tc_p3jkikX1JEOZXp7HDfg6wQ_3_2"/>
      <w:bookmarkStart w:id="261" w:name="Tc_nQaqWnKiaUa6TgtByaLKXw_2_8"/>
      <w:bookmarkStart w:id="262" w:name="Tc_taptt11h9EyLtQol_hdc3Q_2_2"/>
      <w:bookmarkStart w:id="263" w:name="Tc_xl_n9FrCYEmskTQ-nOevZQ_1_8"/>
      <w:bookmarkStart w:id="264" w:name="Tc_ANKeDnxAyU68URnkGaPSFw_1_2"/>
      <w:bookmarkStart w:id="265" w:name="_fd1a429f_483e_4862_b0bc_97ec7a6c444f"/>
      <w:bookmarkStart w:id="266" w:name="Tc_c4YxEchrXUKKHa1GVurQbg_13_11"/>
      <w:bookmarkStart w:id="267" w:name="Tc_P1_fv3wQ-0q6rTVWrjiedg_13_8"/>
      <w:bookmarkStart w:id="268" w:name="Tc_qEZGXM-DJkyTlIlSLh-tLw_13_5"/>
      <w:bookmarkStart w:id="269" w:name="Tc_ZTSsSpnaek2jDxVE93brWw_13_2"/>
      <w:bookmarkStart w:id="270" w:name="Tc_rw2vWeCNi0WLFDWaaB7csQ_13_0"/>
      <w:bookmarkStart w:id="271" w:name="Tc_Oh4UaoXU_0WOULCd5kRj6A_12_0"/>
      <w:bookmarkStart w:id="272" w:name="Tc_0uSJY9RLY0aKdyS4GuSubw_11_0"/>
      <w:bookmarkStart w:id="273" w:name="Tc_QG4og-yHk0mGShTgfrRsGg_10_0"/>
      <w:bookmarkStart w:id="274" w:name="Tc_-zyAToKnZEGpssljqypfNA_9_12"/>
      <w:bookmarkStart w:id="275" w:name="Tc_VWutpecz5EON0PK-8-QMdg_9_9"/>
      <w:bookmarkStart w:id="276" w:name="Tc_7t3-7meuP0mnIRhu4bgEig_9_6"/>
      <w:bookmarkStart w:id="277" w:name="Tc_ZAXHGwhHTESZgAe-9_XTZg_9_3"/>
      <w:bookmarkStart w:id="278" w:name="Tc_OeghP_2ulE6OJGAsS9on1w_9_0"/>
      <w:bookmarkStart w:id="279" w:name="Tc_Z_yBy_PFWEiHKjnE-QZfvg_8_0"/>
      <w:bookmarkStart w:id="280" w:name="Tc_AAZhQgxWykiUgus6vvxmXQ_7_9"/>
      <w:bookmarkStart w:id="281" w:name="Tc_ui6oQp0r8ke4SslnyE6z-Q_7_0"/>
      <w:bookmarkStart w:id="282" w:name="Tc_kAk2CxQ7g0CeBp33aDzAgg_6_0"/>
      <w:bookmarkStart w:id="283" w:name="Tc_iF9PoRfAyES6K_g8nzdiWg_5_0"/>
      <w:bookmarkStart w:id="284" w:name="Tc_5PubBJ66h0GnWxZEAZupXA_4_11"/>
      <w:bookmarkStart w:id="285" w:name="Tc_dK2ELmrxwUCK0RAyFLtG-Q_4_8"/>
      <w:bookmarkStart w:id="286" w:name="Tc_M5DfBoiJ-UO7YqI8F5VMKA_4_5"/>
      <w:bookmarkStart w:id="287" w:name="Tc_hx0MXQ3AjUiEZ-fotJSOkQ_4_2"/>
      <w:bookmarkStart w:id="288" w:name="Tc_ZilsMklZeUOaqbyOoe0Iaw_4_0"/>
      <w:bookmarkStart w:id="289" w:name="Tc_2WrI2BRWhE-bxhRYSkOJDQ_3_11"/>
      <w:bookmarkStart w:id="290" w:name="Tc_t6oM3NB52kGz3GzCCIyFRw_3_8"/>
      <w:bookmarkStart w:id="291" w:name="Tc_EyCx2oWbXkKbnOw24s5xlQ_3_5"/>
      <w:bookmarkStart w:id="292" w:name="Tc_p3jkikX1JEOZXp7HDfg6wQ_3_2"/>
      <w:bookmarkStart w:id="293" w:name="Tc_nQaqWnKiaUa6TgtByaLKXw_2_8"/>
      <w:bookmarkStart w:id="294" w:name="Tc_taptt11h9EyLtQol_hdc3Q_2_2"/>
      <w:bookmarkStart w:id="295" w:name="Tc_xl_n9FrCYEmskTQ-nOevZQ_1_8"/>
      <w:bookmarkStart w:id="296" w:name="Tc_ANKeDnxAyU68URnkGaPSFw_1_2"/>
      <w:bookmarkStart w:id="297" w:name="_fd1a429f_483e_4862_b0bc_97ec7a6c444f"/>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bl>
      <w:tblPr>
        <w:tblW w:w="10205" w:type="dxa"/>
        <w:jc w:val="left"/>
        <w:tblInd w:w="0" w:type="dxa"/>
        <w:tblLayout w:type="fixed"/>
        <w:tblCellMar>
          <w:top w:w="0" w:type="dxa"/>
          <w:left w:w="0" w:type="dxa"/>
          <w:bottom w:w="0" w:type="dxa"/>
          <w:right w:w="0" w:type="dxa"/>
        </w:tblCellMar>
      </w:tblPr>
      <w:tblGrid>
        <w:gridCol w:w="5842"/>
        <w:gridCol w:w="346"/>
        <w:gridCol w:w="211"/>
        <w:gridCol w:w="436"/>
        <w:gridCol w:w="347"/>
        <w:gridCol w:w="211"/>
        <w:gridCol w:w="436"/>
        <w:gridCol w:w="346"/>
        <w:gridCol w:w="211"/>
        <w:gridCol w:w="571"/>
        <w:gridCol w:w="346"/>
        <w:gridCol w:w="211"/>
        <w:gridCol w:w="691"/>
      </w:tblGrid>
      <w:tr>
        <w:trPr/>
        <w:tc>
          <w:tcPr>
            <w:tcW w:w="5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709670" cy="175260"/>
                      <wp:effectExtent l="0" t="0" r="0" b="0"/>
                      <wp:wrapNone/>
                      <wp:docPr id="24" name="Frame24"/>
                      <a:graphic xmlns:a="http://schemas.openxmlformats.org/drawingml/2006/main">
                        <a:graphicData uri="http://schemas.microsoft.com/office/word/2010/wordprocessingShape">
                          <wps:wsp>
                            <wps:cNvSpPr txBox="1"/>
                            <wps:spPr>
                              <a:xfrm>
                                <a:off x="0" y="0"/>
                                <a:ext cx="3709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6860" cy="175260"/>
                      <wp:effectExtent l="0" t="0" r="0" b="0"/>
                      <wp:wrapNone/>
                      <wp:docPr id="27" name="Frame2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0345" cy="175260"/>
                      <wp:effectExtent l="0" t="0" r="0" b="0"/>
                      <wp:wrapNone/>
                      <wp:docPr id="28" name="Frame28"/>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76860" cy="175260"/>
                      <wp:effectExtent l="0" t="0" r="0" b="0"/>
                      <wp:wrapNone/>
                      <wp:docPr id="30" name="Frame3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62585" cy="175260"/>
                      <wp:effectExtent l="0" t="0" r="0" b="0"/>
                      <wp:wrapNone/>
                      <wp:docPr id="33" name="Frame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38785" cy="175260"/>
                      <wp:effectExtent l="0" t="0" r="0" b="0"/>
                      <wp:wrapNone/>
                      <wp:docPr id="36" name="Frame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4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7" w:type="dxa"/>
            <w:tcBorders/>
            <w:vAlign w:val="center"/>
          </w:tcPr>
          <w:p>
            <w:pPr>
              <w:pStyle w:val="TableContents"/>
              <w:bidi w:val="0"/>
              <w:spacing w:before="0" w:after="1"/>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347"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w:t>
            </w:r>
          </w:p>
        </w:tc>
      </w:tr>
      <w:tr>
        <w:trPr/>
        <w:tc>
          <w:tcPr>
            <w:tcW w:w="58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r>
      <w:tr>
        <w:trPr/>
        <w:tc>
          <w:tcPr>
            <w:tcW w:w="5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instruments,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8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58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Post-retirement benefit obligations,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7"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58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34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w:t>
            </w:r>
          </w:p>
        </w:tc>
      </w:tr>
      <w:tr>
        <w:trPr/>
        <w:tc>
          <w:tcPr>
            <w:tcW w:w="5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Comprehensive income (loss)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7"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8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attributable to Waste Management, Inc.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47"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1,487</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center"/>
        <w:rPr>
          <w:rFonts w:ascii="Times New Roman;Times;serif" w:hAnsi="Times New Roman;Times;serif"/>
          <w:b/>
          <w:sz w:val="20"/>
        </w:rPr>
      </w:pPr>
      <w:bookmarkStart w:id="298" w:name="_17c3b932_72b8_44f3_ba7c_c82efcb54d1a"/>
      <w:bookmarkEnd w:id="298"/>
      <w:r>
        <w:rPr>
          <w:rFonts w:ascii="Times New Roman;Times;serif" w:hAnsi="Times New Roman;Times;serif"/>
          <w:b/>
          <w:sz w:val="20"/>
        </w:rPr>
        <w:t>WASTE MANAGEMENT,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99" w:name="Tc_YIkGidWo5EOLFLcmeUPklA_44_5"/>
      <w:bookmarkStart w:id="300" w:name="Tc_Ks6XwjFmFU-0XA3MmXyJBw_44_2"/>
      <w:bookmarkStart w:id="301" w:name="Tc_RnYuqrVIdEeHc0vx5W0YZA_44_0"/>
      <w:bookmarkStart w:id="302" w:name="Tc_grJ5lmSO6EOZHoQcGvqg6Q_41_5"/>
      <w:bookmarkStart w:id="303" w:name="Tc_2DsFyoT5VU6dPaAm-CQ6hw_41_2"/>
      <w:bookmarkStart w:id="304" w:name="Tc_GUi6UOZ3K0KOa-QLBpic5g_41_0"/>
      <w:bookmarkStart w:id="305" w:name="Tc_Jx4ztQ1qBkqTuMOzcb8h9A_40_0"/>
      <w:bookmarkStart w:id="306" w:name="Tc_e8jgVlfkNEW44gQJx9KXRw_38_5"/>
      <w:bookmarkStart w:id="307" w:name="Tc_Cs2V9kvqhE6T6b9RScaq-A_38_2"/>
      <w:bookmarkStart w:id="308" w:name="Tc_0oHOy1ARMkyrkxr4dFOEDA_38_0"/>
      <w:bookmarkStart w:id="309" w:name="Tc_pZzQogi6rEax1ySLkZu8YA_37_0"/>
      <w:bookmarkStart w:id="310" w:name="Tc_zPX0Ata5KUaKctFu3R3jyg_36_0"/>
      <w:bookmarkStart w:id="311" w:name="Tc_J81X6RS2BEOxNP9RyEpsRQ_35_0"/>
      <w:bookmarkStart w:id="312" w:name="Tc_VpezyCQf90yY1oqeNK7tIQ_34_0"/>
      <w:bookmarkStart w:id="313" w:name="Tc_9RUVnfLUwU6zDY6Vm_BCUQ_33_0"/>
      <w:bookmarkStart w:id="314" w:name="Tc_yE-JyXgbr0uXII-u2RMI1Q_32_0"/>
      <w:bookmarkStart w:id="315" w:name="Tc_J2k-C4mNjUqOV61YvroTFQ_31_0"/>
      <w:bookmarkStart w:id="316" w:name="Tc_0alDuy6nkE-CWVvHw7hDxA_30_0"/>
      <w:bookmarkStart w:id="317" w:name="Tc_LJD1rMGQckmD89vxvcm1qw_29_6"/>
      <w:bookmarkStart w:id="318" w:name="Tc__VTuajcDMkGp-_wyFVJztA_29_0"/>
      <w:bookmarkStart w:id="319" w:name="Tc_zIl_p8RccUWR5Tpcq-uBXQ_28_0"/>
      <w:bookmarkStart w:id="320" w:name="Tc_zrfhzry2CkiskU2IPm2SrA_27_0"/>
      <w:bookmarkStart w:id="321" w:name="Tc_U9pnsEUDa0yRno46nisMQg_26_0"/>
      <w:bookmarkStart w:id="322" w:name="Tc_b8cT_NVca0-f5dQDnilP4w_25_0"/>
      <w:bookmarkStart w:id="323" w:name="Tc_HvzMRuCHGEKYq0Bkf2WaVw_24_0"/>
      <w:bookmarkStart w:id="324" w:name="Tc_e5PAe_ZAbE6XewQPqSlZVA_23_0"/>
      <w:bookmarkStart w:id="325" w:name="Tc_zaQ_SCGQsk2xKpZDcKt69w_22_0"/>
      <w:bookmarkStart w:id="326" w:name="Tc_jHn5-hw030i8UNsM15xDMw_21_0"/>
      <w:bookmarkStart w:id="327" w:name="Tc_TDimA9kM4ku_sDmCK_NE0w_20_0"/>
      <w:bookmarkStart w:id="328" w:name="Tc_foafmRqllUuuMh704IgiFw_19_0"/>
      <w:bookmarkStart w:id="329" w:name="Tc_yOIi7ADS6kmK0SqtD1mTdg_18_0"/>
      <w:bookmarkStart w:id="330" w:name="Tc_53vQF3AnuU-JMDBAaYshIw_17_0"/>
      <w:bookmarkStart w:id="331" w:name="Tc_EV7lXqqJvEebEOP6nkrkjw_16_0"/>
      <w:bookmarkStart w:id="332" w:name="Tc_IiKQ_KsgZ0eWbU2oE4zsQQ_15_0"/>
      <w:bookmarkStart w:id="333" w:name="Tc_SrdrBqKGFUOfepMOeX6kbw_14_0"/>
      <w:bookmarkStart w:id="334" w:name="Tc_ljCb9Bh-B0yeszyrNX_rzQ_13_0"/>
      <w:bookmarkStart w:id="335" w:name="Tc_aVnb78_MlkGGNydDuACqGg_12_0"/>
      <w:bookmarkStart w:id="336" w:name="Tc__SNo1Iwn5UOWRySlc-4xjQ_11_0"/>
      <w:bookmarkStart w:id="337" w:name="Tc_VvqAVqI8q0CvVRdEAVm4iw_10_0"/>
      <w:bookmarkStart w:id="338" w:name="Tc_mOh5htR3h0eY0oKT8_pOcA_9_0"/>
      <w:bookmarkStart w:id="339" w:name="Tc_f6v_b6H7p0uyCAww8mo14A_8_0"/>
      <w:bookmarkStart w:id="340" w:name="Tc_V54QG4gYYEezCkwRFfXoOw_7_0"/>
      <w:bookmarkStart w:id="341" w:name="Tc_XtC2scD9MkC0jF5zQSN63A_6_0"/>
      <w:bookmarkStart w:id="342" w:name="Tc_O3MySZlHNkCCaehE_1ydLg_5_5"/>
      <w:bookmarkStart w:id="343" w:name="Tc_OE7og1HopUeVR070hxfd_w_5_2"/>
      <w:bookmarkStart w:id="344" w:name="Tc_XKW5ekoduEakcO11zZzoxQ_5_0"/>
      <w:bookmarkStart w:id="345" w:name="Tc_4xCkhsykdU-hiSXVyiYtJg_4_0"/>
      <w:bookmarkStart w:id="346" w:name="Tc_CQHjSXFu10yOHFoFTjq2kQ_3_5"/>
      <w:bookmarkStart w:id="347" w:name="Tc_D_u71TcAkE-qRaHamLmNAQ_3_2"/>
      <w:bookmarkStart w:id="348" w:name="Tc_pGo2Z7eB80m602db7VidwA_2_2"/>
      <w:bookmarkStart w:id="349" w:name="Tc_DkqmzvRLiEGYlHTaO68vVg_1_2"/>
      <w:bookmarkStart w:id="350" w:name="_8d851f2f_60ea_40d7_ac82_67172a0c9604"/>
      <w:bookmarkStart w:id="351" w:name="Tc_YIkGidWo5EOLFLcmeUPklA_44_5"/>
      <w:bookmarkStart w:id="352" w:name="Tc_Ks6XwjFmFU-0XA3MmXyJBw_44_2"/>
      <w:bookmarkStart w:id="353" w:name="Tc_RnYuqrVIdEeHc0vx5W0YZA_44_0"/>
      <w:bookmarkStart w:id="354" w:name="Tc_grJ5lmSO6EOZHoQcGvqg6Q_41_5"/>
      <w:bookmarkStart w:id="355" w:name="Tc_2DsFyoT5VU6dPaAm-CQ6hw_41_2"/>
      <w:bookmarkStart w:id="356" w:name="Tc_GUi6UOZ3K0KOa-QLBpic5g_41_0"/>
      <w:bookmarkStart w:id="357" w:name="Tc_Jx4ztQ1qBkqTuMOzcb8h9A_40_0"/>
      <w:bookmarkStart w:id="358" w:name="Tc_e8jgVlfkNEW44gQJx9KXRw_38_5"/>
      <w:bookmarkStart w:id="359" w:name="Tc_Cs2V9kvqhE6T6b9RScaq-A_38_2"/>
      <w:bookmarkStart w:id="360" w:name="Tc_0oHOy1ARMkyrkxr4dFOEDA_38_0"/>
      <w:bookmarkStart w:id="361" w:name="Tc_pZzQogi6rEax1ySLkZu8YA_37_0"/>
      <w:bookmarkStart w:id="362" w:name="Tc_zPX0Ata5KUaKctFu3R3jyg_36_0"/>
      <w:bookmarkStart w:id="363" w:name="Tc_J81X6RS2BEOxNP9RyEpsRQ_35_0"/>
      <w:bookmarkStart w:id="364" w:name="Tc_VpezyCQf90yY1oqeNK7tIQ_34_0"/>
      <w:bookmarkStart w:id="365" w:name="Tc_9RUVnfLUwU6zDY6Vm_BCUQ_33_0"/>
      <w:bookmarkStart w:id="366" w:name="Tc_yE-JyXgbr0uXII-u2RMI1Q_32_0"/>
      <w:bookmarkStart w:id="367" w:name="Tc_J2k-C4mNjUqOV61YvroTFQ_31_0"/>
      <w:bookmarkStart w:id="368" w:name="Tc_0alDuy6nkE-CWVvHw7hDxA_30_0"/>
      <w:bookmarkStart w:id="369" w:name="Tc_LJD1rMGQckmD89vxvcm1qw_29_6"/>
      <w:bookmarkStart w:id="370" w:name="Tc__VTuajcDMkGp-_wyFVJztA_29_0"/>
      <w:bookmarkStart w:id="371" w:name="Tc_zIl_p8RccUWR5Tpcq-uBXQ_28_0"/>
      <w:bookmarkStart w:id="372" w:name="Tc_zrfhzry2CkiskU2IPm2SrA_27_0"/>
      <w:bookmarkStart w:id="373" w:name="Tc_U9pnsEUDa0yRno46nisMQg_26_0"/>
      <w:bookmarkStart w:id="374" w:name="Tc_b8cT_NVca0-f5dQDnilP4w_25_0"/>
      <w:bookmarkStart w:id="375" w:name="Tc_HvzMRuCHGEKYq0Bkf2WaVw_24_0"/>
      <w:bookmarkStart w:id="376" w:name="Tc_e5PAe_ZAbE6XewQPqSlZVA_23_0"/>
      <w:bookmarkStart w:id="377" w:name="Tc_zaQ_SCGQsk2xKpZDcKt69w_22_0"/>
      <w:bookmarkStart w:id="378" w:name="Tc_jHn5-hw030i8UNsM15xDMw_21_0"/>
      <w:bookmarkStart w:id="379" w:name="Tc_TDimA9kM4ku_sDmCK_NE0w_20_0"/>
      <w:bookmarkStart w:id="380" w:name="Tc_foafmRqllUuuMh704IgiFw_19_0"/>
      <w:bookmarkStart w:id="381" w:name="Tc_yOIi7ADS6kmK0SqtD1mTdg_18_0"/>
      <w:bookmarkStart w:id="382" w:name="Tc_53vQF3AnuU-JMDBAaYshIw_17_0"/>
      <w:bookmarkStart w:id="383" w:name="Tc_EV7lXqqJvEebEOP6nkrkjw_16_0"/>
      <w:bookmarkStart w:id="384" w:name="Tc_IiKQ_KsgZ0eWbU2oE4zsQQ_15_0"/>
      <w:bookmarkStart w:id="385" w:name="Tc_SrdrBqKGFUOfepMOeX6kbw_14_0"/>
      <w:bookmarkStart w:id="386" w:name="Tc_ljCb9Bh-B0yeszyrNX_rzQ_13_0"/>
      <w:bookmarkStart w:id="387" w:name="Tc_aVnb78_MlkGGNydDuACqGg_12_0"/>
      <w:bookmarkStart w:id="388" w:name="Tc__SNo1Iwn5UOWRySlc-4xjQ_11_0"/>
      <w:bookmarkStart w:id="389" w:name="Tc_VvqAVqI8q0CvVRdEAVm4iw_10_0"/>
      <w:bookmarkStart w:id="390" w:name="Tc_mOh5htR3h0eY0oKT8_pOcA_9_0"/>
      <w:bookmarkStart w:id="391" w:name="Tc_f6v_b6H7p0uyCAww8mo14A_8_0"/>
      <w:bookmarkStart w:id="392" w:name="Tc_V54QG4gYYEezCkwRFfXoOw_7_0"/>
      <w:bookmarkStart w:id="393" w:name="Tc_XtC2scD9MkC0jF5zQSN63A_6_0"/>
      <w:bookmarkStart w:id="394" w:name="Tc_O3MySZlHNkCCaehE_1ydLg_5_5"/>
      <w:bookmarkStart w:id="395" w:name="Tc_OE7og1HopUeVR070hxfd_w_5_2"/>
      <w:bookmarkStart w:id="396" w:name="Tc_XKW5ekoduEakcO11zZzoxQ_5_0"/>
      <w:bookmarkStart w:id="397" w:name="Tc_4xCkhsykdU-hiSXVyiYtJg_4_0"/>
      <w:bookmarkStart w:id="398" w:name="Tc_CQHjSXFu10yOHFoFTjq2kQ_3_5"/>
      <w:bookmarkStart w:id="399" w:name="Tc_D_u71TcAkE-qRaHamLmNAQ_3_2"/>
      <w:bookmarkStart w:id="400" w:name="Tc_pGo2Z7eB80m602db7VidwA_2_2"/>
      <w:bookmarkStart w:id="401" w:name="Tc_DkqmzvRLiEGYlHTaO68vVg_1_2"/>
      <w:bookmarkStart w:id="402" w:name="_8d851f2f_60ea_40d7_ac82_67172a0c9604"/>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tbl>
      <w:tblPr>
        <w:tblW w:w="9517" w:type="dxa"/>
        <w:jc w:val="left"/>
        <w:tblInd w:w="0" w:type="dxa"/>
        <w:tblLayout w:type="fixed"/>
        <w:tblCellMar>
          <w:top w:w="0" w:type="dxa"/>
          <w:left w:w="0" w:type="dxa"/>
          <w:bottom w:w="0" w:type="dxa"/>
          <w:right w:w="0" w:type="dxa"/>
        </w:tblCellMar>
      </w:tblPr>
      <w:tblGrid>
        <w:gridCol w:w="7036"/>
        <w:gridCol w:w="346"/>
        <w:gridCol w:w="196"/>
        <w:gridCol w:w="721"/>
        <w:gridCol w:w="346"/>
        <w:gridCol w:w="196"/>
        <w:gridCol w:w="676"/>
      </w:tblGrid>
      <w:tr>
        <w:trPr/>
        <w:tc>
          <w:tcPr>
            <w:tcW w:w="7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467860" cy="175260"/>
                      <wp:effectExtent l="0" t="0" r="0" b="0"/>
                      <wp:wrapNone/>
                      <wp:docPr id="37" name="Frame37"/>
                      <a:graphic xmlns:a="http://schemas.openxmlformats.org/drawingml/2006/main">
                        <a:graphicData uri="http://schemas.microsoft.com/office/word/2010/wordprocessingShape">
                          <wps:wsp>
                            <wps:cNvSpPr txBox="1"/>
                            <wps:spPr>
                              <a:xfrm>
                                <a:off x="0" y="0"/>
                                <a:ext cx="446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57835" cy="175260"/>
                      <wp:effectExtent l="0" t="0" r="0" b="0"/>
                      <wp:wrapNone/>
                      <wp:docPr id="40" name="Frame4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29260" cy="175260"/>
                      <wp:effectExtent l="0" t="0" r="0" b="0"/>
                      <wp:wrapNone/>
                      <wp:docPr id="43" name="Frame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Consolidated net income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1,364</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consolidated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depletion, amortization and accretion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1,435</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bad debts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on disposal of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loss from divestitures, asset impairments and 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 net of effects of acquisitions and divestitures: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2,753</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of businesses, net of cash acquired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divestitures of businesses and other assets, net of cash divested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(1,915)</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New borrowings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9,135</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repayments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(9,234)</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 program</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 of common stock options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payments associated with equity-based compensation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(781)</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cash equivalents and restricted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 cash, cash equivalents and 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w:t>
            </w:r>
          </w:p>
        </w:tc>
      </w:tr>
      <w:tr>
        <w:trPr/>
        <w:tc>
          <w:tcPr>
            <w:tcW w:w="7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Reconciliation of cash, cash equivalents and restricted 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Restricted cash and cash equivalents included in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70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Restricted cash and cash equivalents included in restricted funds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7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552</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60"/>
        <w:ind w:left="0" w:right="0" w:hanging="0"/>
        <w:jc w:val="center"/>
        <w:rPr>
          <w:rFonts w:ascii="Times New Roman;Times;serif" w:hAnsi="Times New Roman;Times;serif"/>
          <w:b/>
          <w:sz w:val="20"/>
        </w:rPr>
      </w:pPr>
      <w:bookmarkStart w:id="403" w:name="_5fa05e6c_202e_442c_8beb_6c9e11b1854c"/>
      <w:bookmarkEnd w:id="403"/>
      <w:r>
        <w:rPr>
          <w:rFonts w:ascii="Times New Roman;Times;serif" w:hAnsi="Times New Roman;Times;serif"/>
          <w:b/>
          <w:sz w:val="20"/>
        </w:rPr>
        <w:t>WASTE MANAGEMENT,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Shares in Thousands)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04" w:name="Tc_DpHcjoapJ02pCDD1f-o1MQ_25_24"/>
      <w:bookmarkStart w:id="405" w:name="Tc_oLCEGC_JD0yKRYexIug8Ww_25_21"/>
      <w:bookmarkStart w:id="406" w:name="Tc_chgdXQUp8UWgu6A6JTbBeg_25_16"/>
      <w:bookmarkStart w:id="407" w:name="Tc_mT7UppB0sku0MJZMDoeKjw_25_13"/>
      <w:bookmarkStart w:id="408" w:name="Tc_-p6ywP369Ee7XIa9gcoAFQ_25_10"/>
      <w:bookmarkStart w:id="409" w:name="Tc_Jhi1PrHOYEqbu63nehVagg_25_7"/>
      <w:bookmarkStart w:id="410" w:name="Tc_ysC4z7GPR0eQouZQhin6WA_25_2"/>
      <w:bookmarkStart w:id="411" w:name="Tc_GzV31lL68ESe8M6I-_I7sA_25_0"/>
      <w:bookmarkStart w:id="412" w:name="Tc_-J_a4uIaz0WmVwc_vD1IXA_24_22"/>
      <w:bookmarkStart w:id="413" w:name="Tc_7ApGfq2lkkKSKnYPevXi2g_24_19"/>
      <w:bookmarkStart w:id="414" w:name="Tc_M_WyZhbTE0myDUtXUu6J-w_24_17"/>
      <w:bookmarkStart w:id="415" w:name="Tc_dww6hpGblkCj7O4aD4pqpg_24_14"/>
      <w:bookmarkStart w:id="416" w:name="Tc_qKCv5uzAyEKFOBTRoAXBdg_24_11"/>
      <w:bookmarkStart w:id="417" w:name="Tc_VFeDBhHr40qka8hirCzQWg_24_8"/>
      <w:bookmarkStart w:id="418" w:name="Tc_CjU7Jj8aTUu48-Cj1rj-Hw_24_5"/>
      <w:bookmarkStart w:id="419" w:name="Tc_S0L-faDFokKb4NU0LHBe5g_24_0"/>
      <w:bookmarkStart w:id="420" w:name="Tc_v7EK2El9A0KxJIWY8eME1g_23_25"/>
      <w:bookmarkStart w:id="421" w:name="Tc_v7nKrwR2k0Sn31ZQ-Kl8Zw_23_17"/>
      <w:bookmarkStart w:id="422" w:name="Tc_mzrupuLYd0GKjAbBpZRG0Q_23_14"/>
      <w:bookmarkStart w:id="423" w:name="Tc_baDbTEFP7k6WYTjGStXZsA_23_8"/>
      <w:bookmarkStart w:id="424" w:name="Tc_MOfVGxM1hE2uiIaN4nuM_A_23_5"/>
      <w:bookmarkStart w:id="425" w:name="Tc_1nE6jmq460OlDCwWDAaF1Q_23_0"/>
      <w:bookmarkStart w:id="426" w:name="Tc_hilNebMzkk-TgetU_g5AFg_22_25"/>
      <w:bookmarkStart w:id="427" w:name="Tc_pT3L2IGoVkeeeEztYeE5Cg_22_22"/>
      <w:bookmarkStart w:id="428" w:name="Tc_C6PaGzgauUyZn0ItdBhpDA_22_19"/>
      <w:bookmarkStart w:id="429" w:name="Tc_z7CXaGHWwk6NvQuEARAgLg_22_17"/>
      <w:bookmarkStart w:id="430" w:name="Tc_5XPV-7iKWkKDhtkBtfBlqA_22_11"/>
      <w:bookmarkStart w:id="431" w:name="Tc_6VpBL4yhgkuKieFoW6odoQ_22_8"/>
      <w:bookmarkStart w:id="432" w:name="Tc_tiT03fodkkemFcytatKpug_22_5"/>
      <w:bookmarkStart w:id="433" w:name="Tc_1mQU19UnBEasuNdMupVNIQ_22_0"/>
      <w:bookmarkStart w:id="434" w:name="Tc_i_ZW1cfyxkGJ5Sl0mzlwpA_21_25"/>
      <w:bookmarkStart w:id="435" w:name="Tc_wBy_SF25p02ACLP739bTkQ_21_22"/>
      <w:bookmarkStart w:id="436" w:name="Tc_5KWRWxk1lUycN0iq9qFcdg_21_19"/>
      <w:bookmarkStart w:id="437" w:name="Tc_ZIGGY-8V80-WepdD3eqSxQ_21_14"/>
      <w:bookmarkStart w:id="438" w:name="Tc_6hyocI_bq0C4FelS0pAvlQ_21_11"/>
      <w:bookmarkStart w:id="439" w:name="Tc_XS-MxH5t5ESIFuBylcPykw_21_8"/>
      <w:bookmarkStart w:id="440" w:name="Tc_810mu46SjUK0XwjA3UYusQ_21_5"/>
      <w:bookmarkStart w:id="441" w:name="Tc_N__0ukUAtUi0n1qax1D5fA_21_0"/>
      <w:bookmarkStart w:id="442" w:name="Tc_0HxvmJeVTE6Ka1oPCtL20g_20_22"/>
      <w:bookmarkStart w:id="443" w:name="Tc_dBmtuXgCXUKuI1JOwg_nqg_20_19"/>
      <w:bookmarkStart w:id="444" w:name="Tc_YeLKiyNgDU61ES7Srj8TUA_20_17"/>
      <w:bookmarkStart w:id="445" w:name="Tc_GyiBrxe7E0-_7AcUssJilg_20_11"/>
      <w:bookmarkStart w:id="446" w:name="Tc_54rbBN_UDUipyPPe_F9BgQ_20_8"/>
      <w:bookmarkStart w:id="447" w:name="Tc_5BGXuYDFb0eo-uoZtcD0_A_20_5"/>
      <w:bookmarkStart w:id="448" w:name="Tc_zEpXcQ38o0KFuXsCPz4HRg_20_0"/>
      <w:bookmarkStart w:id="449" w:name="Tc_t3nRC_D-w0yEyBipyRRHgA_19_24"/>
      <w:bookmarkStart w:id="450" w:name="Tc_GR5ocmj-1kWIZjH8eQDFVg_19_21"/>
      <w:bookmarkStart w:id="451" w:name="Tc_qPsbXU_Ur0ehpp0FMK2CHg_19_16"/>
      <w:bookmarkStart w:id="452" w:name="Tc_yoF0mWihFEmqIyQ-EgLOeg_19_13"/>
      <w:bookmarkStart w:id="453" w:name="Tc_68BIxvNB406j6BB34hkykQ_19_10"/>
      <w:bookmarkStart w:id="454" w:name="Tc_WkfAgbX1pEGRbjAVf5njyA_19_7"/>
      <w:bookmarkStart w:id="455" w:name="Tc_miD8eCbRkkGrqT9ExNcRjA_19_2"/>
      <w:bookmarkStart w:id="456" w:name="Tc_W96Tjn-4cEKLGCPZGWD74g_19_0"/>
      <w:bookmarkStart w:id="457" w:name="Tc_8dc4m6nfVkuT00nX4u4abw_18_0"/>
      <w:bookmarkStart w:id="458" w:name="Tc_12wSFOt8xEODsOduX0YvbQ_16_24"/>
      <w:bookmarkStart w:id="459" w:name="Tc_jxDCUSX8jUOrYiCpBCxbqQ_16_21"/>
      <w:bookmarkStart w:id="460" w:name="Tc_acPWJbG7Z0u43EsYO36_NA_16_16"/>
      <w:bookmarkStart w:id="461" w:name="Tc_SQHDZ2ejJkeWrsg10rsE2g_16_13"/>
      <w:bookmarkStart w:id="462" w:name="Tc_pP8zaqREXE-ErrFdHOoccw_16_10"/>
      <w:bookmarkStart w:id="463" w:name="Tc_Vjd1E8ChkkGwxcZMPSNDgQ_16_7"/>
      <w:bookmarkStart w:id="464" w:name="Tc_TTgBO0tJQEuVGixtw_2mAQ_16_2"/>
      <w:bookmarkStart w:id="465" w:name="Tc_TTLryJffoUydvNa3y1VoVw_16_0"/>
      <w:bookmarkStart w:id="466" w:name="Tc_zsYDA_tdJUS_sGEgzvvRIA_15_22"/>
      <w:bookmarkStart w:id="467" w:name="Tc_GCQh8eYmk0OTQtPWpol-zQ_15_17"/>
      <w:bookmarkStart w:id="468" w:name="Tc_DEVYysfdKUmQGhSNDjYvCg_15_14"/>
      <w:bookmarkStart w:id="469" w:name="Tc_nCBeyXlQ7k6llXb2DM4D5w_15_11"/>
      <w:bookmarkStart w:id="470" w:name="Tc_ndeWzhc3Mk2yqVycfQ9MCQ_15_8"/>
      <w:bookmarkStart w:id="471" w:name="Tc_EhIBW3Lvc0eGh-s-VUu5XQ_15_5"/>
      <w:bookmarkStart w:id="472" w:name="Tc_UVYtDmG9LkW-_dXqbl7cWA_15_0"/>
      <w:bookmarkStart w:id="473" w:name="Tc_2eAXSfH5BU6MrDeizvhkGw_14_25"/>
      <w:bookmarkStart w:id="474" w:name="Tc_TNcxFpIFbUyLd3CHTFlGKg_14_17"/>
      <w:bookmarkStart w:id="475" w:name="Tc_i9XbZ-BTtEC7IY9AJ0Cmow_14_14"/>
      <w:bookmarkStart w:id="476" w:name="Tc_OP6eX8GUHkiujgeH6ji26g_14_8"/>
      <w:bookmarkStart w:id="477" w:name="Tc_VrmbOMtf6kG0SKL7eK3gKg_14_5"/>
      <w:bookmarkStart w:id="478" w:name="Tc_HraybjhEPEKrFmu5kZO-PA_14_0"/>
      <w:bookmarkStart w:id="479" w:name="Tc_28NKE_EnFU28Km84HlZanw_13_25"/>
      <w:bookmarkStart w:id="480" w:name="Tc_KlQfnLoYSkuTl5haMIaWJg_13_17"/>
      <w:bookmarkStart w:id="481" w:name="Tc_CEwLx-qlrkecb3NfEtxBRQ_13_14"/>
      <w:bookmarkStart w:id="482" w:name="Tc_VW8hUXznBUmeYEYU3BvZaQ_13_11"/>
      <w:bookmarkStart w:id="483" w:name="Tc_83mDVpwt_06V_O51aoKXhw_13_8"/>
      <w:bookmarkStart w:id="484" w:name="Tc_CtH0C-mQJUyp2cgSv_PKVg_13_5"/>
      <w:bookmarkStart w:id="485" w:name="Tc_RnJhJdEaDkiGcnS8cBrFag_13_0"/>
      <w:bookmarkStart w:id="486" w:name="Tc_8exfOWc4FEepCiH0XTZP-Q_12_25"/>
      <w:bookmarkStart w:id="487" w:name="Tc_aZjuNFDzv0Kbg-K_RYL4OA_12_17"/>
      <w:bookmarkStart w:id="488" w:name="Tc_U2krqWc0CUCtXhVGhkenUw_12_14"/>
      <w:bookmarkStart w:id="489" w:name="Tc_26FQY1_iIE2IqNfIxC1feA_12_8"/>
      <w:bookmarkStart w:id="490" w:name="Tc_hpVA9roP9kec5rFgr5_Mdw_12_5"/>
      <w:bookmarkStart w:id="491" w:name="Tc_kxXYpSNsj0yWvo6WEjqHKg_12_0"/>
      <w:bookmarkStart w:id="492" w:name="Tc_j5PyCSFRaEaTdaVThyEI-Q_11_25"/>
      <w:bookmarkStart w:id="493" w:name="Tc_IoYZm5SQFkK2ayId_BWs6A_11_22"/>
      <w:bookmarkStart w:id="494" w:name="Tc_H_C2CaZggEOWbzD7M3Y3rA_11_19"/>
      <w:bookmarkStart w:id="495" w:name="Tc_Pph65Q3RZkqL_JcwT8dIZg_11_17"/>
      <w:bookmarkStart w:id="496" w:name="Tc_8Gv0hYrNO0Sh9AmjVQTbIw_11_11"/>
      <w:bookmarkStart w:id="497" w:name="Tc_j1NX62g2HUubYtBNKi1WMQ_11_8"/>
      <w:bookmarkStart w:id="498" w:name="Tc_YZMU6CrwdEmR2tUrlGaq0Q_11_5"/>
      <w:bookmarkStart w:id="499" w:name="Tc_HPUyh2IxaEe6a_Q5uKLe4g_11_0"/>
      <w:bookmarkStart w:id="500" w:name="Tc_J_PzMlfEN0K4IAjXa4E0nA_10_25"/>
      <w:bookmarkStart w:id="501" w:name="Tc_LzVqCW7xTkSo96uDMZOxkA_10_22"/>
      <w:bookmarkStart w:id="502" w:name="Tc_4NfV6JpyeE-Mm_5GPzT3XA_10_19"/>
      <w:bookmarkStart w:id="503" w:name="Tc_qmhHCCUv_0Ke0zJ6gq7Kgg_10_14"/>
      <w:bookmarkStart w:id="504" w:name="Tc_lGkP87zUcEGx-UVwmVBfIA_10_11"/>
      <w:bookmarkStart w:id="505" w:name="Tc_26QN6chPKkisIkDxfmOPgA_10_8"/>
      <w:bookmarkStart w:id="506" w:name="Tc_i-W-Hx7sqEmKg7ceOqsGqg_10_5"/>
      <w:bookmarkStart w:id="507" w:name="Tc_VFhNcYzTw0qr40XEoWIJaA_10_0"/>
      <w:bookmarkStart w:id="508" w:name="Tc_NuI0BzH6BkOu4hpT2925Cw_9_22"/>
      <w:bookmarkStart w:id="509" w:name="Tc_W5CmPi9Ix0KWClMwn4fHQw_9_19"/>
      <w:bookmarkStart w:id="510" w:name="Tc_zRUzlBs5XECkc-IZGI24Nw_9_17"/>
      <w:bookmarkStart w:id="511" w:name="Tc_5RvFDhLSi0aw3HL1vOcmWw_9_11"/>
      <w:bookmarkStart w:id="512" w:name="Tc_6emKEvvx20aNqv55YR1EWw_9_8"/>
      <w:bookmarkStart w:id="513" w:name="Tc_JmaBToMnGkiPwW61hRTIBg_9_5"/>
      <w:bookmarkStart w:id="514" w:name="Tc_8h-W7eS7sk-V1dRXgxtFIw_9_0"/>
      <w:bookmarkStart w:id="515" w:name="Tc_BthF4p0UD0KsIn_33_CJMg_8_24"/>
      <w:bookmarkStart w:id="516" w:name="Tc_0nImvWT88Eeur3xnYZiPzg_8_21"/>
      <w:bookmarkStart w:id="517" w:name="Tc_il0ZOA-gRU680ZEeqERr-g_8_16"/>
      <w:bookmarkStart w:id="518" w:name="Tc_qpR_ZGfOf02FH4HIaqRYiA_8_13"/>
      <w:bookmarkStart w:id="519" w:name="Tc_lgttRgSrHUSNfgAZ4EtKrw_8_10"/>
      <w:bookmarkStart w:id="520" w:name="Tc_dcXyS7dLfUu-sv9PNnd6VA_8_7"/>
      <w:bookmarkStart w:id="521" w:name="Tc_HjuP8l6GbEOomzxgwC667Q_8_2"/>
      <w:bookmarkStart w:id="522" w:name="Tc_KNraFXbJBUG2aT2ucQHVMg_8_0"/>
      <w:bookmarkStart w:id="523" w:name="Tc_EJzu80OfG02h_F7-rla-Dg_7_0"/>
      <w:bookmarkStart w:id="524" w:name="Tc_hy4NlFd_REKYLwI3E6YJTA_6_0"/>
      <w:bookmarkStart w:id="525" w:name="Tc_jrOolxCyykirkLpsNHytJA_5_24"/>
      <w:bookmarkStart w:id="526" w:name="Tc_zTUqpNRTREOzs1Wc5xXOuw_5_21"/>
      <w:bookmarkStart w:id="527" w:name="Tc_jyPHEHSzYEigJ6xARQROMQ_5_19"/>
      <w:bookmarkStart w:id="528" w:name="Tc_rUfgCi5TmUGXP-1iwBfewQ_5_16"/>
      <w:bookmarkStart w:id="529" w:name="Tc_pmeSaZffn0S7h9KT6NXkww_5_13"/>
      <w:bookmarkStart w:id="530" w:name="Tc_fYmN9ovoDkyX-8VCE1P6vA_5_10"/>
      <w:bookmarkStart w:id="531" w:name="Tc_ijYQ8rmEhUOlPAj1MtGNvg_5_7"/>
      <w:bookmarkStart w:id="532" w:name="Tc_BFpgQ55pXUKCRfm3ocQZkQ_5_5"/>
      <w:bookmarkStart w:id="533" w:name="Tc_Au3V-BQXtUyathRvE1O05g_5_2"/>
      <w:bookmarkStart w:id="534" w:name="Tc_wx4VqP1bAEK8r8d4c3By4A_4_24"/>
      <w:bookmarkStart w:id="535" w:name="Tc_zTMpda5MmUOXnGy0g1u9Ww_4_19"/>
      <w:bookmarkStart w:id="536" w:name="Tc_Joa_83g8uEuc017-JOPaXA_4_16"/>
      <w:bookmarkStart w:id="537" w:name="Tc_SflWBqFSSkqWLvBrNbqDpg_4_13"/>
      <w:bookmarkStart w:id="538" w:name="Tc_p8SWVhqWO0OfltZ2VX9bzw_4_10"/>
      <w:bookmarkStart w:id="539" w:name="Tc_QTfvpBibMkK2-opIdKoFQw_4_5"/>
      <w:bookmarkStart w:id="540" w:name="Tc_4c3db9TuqEezCjDVW74U5g_3_16"/>
      <w:bookmarkStart w:id="541" w:name="Tc_py38gi3lx0KTS5GlHzp2Tg_3_10"/>
      <w:bookmarkStart w:id="542" w:name="Tc_jcDCL3vJi0mhVXyrwb07dw_2_16"/>
      <w:bookmarkStart w:id="543" w:name="Tc_H3cMZTEN0ki3oOXwBhuhEA_1_5"/>
      <w:bookmarkStart w:id="544" w:name="_b737aaac_8be6_460f_887d_f54d09aa461d"/>
      <w:bookmarkStart w:id="545" w:name="Tc_DpHcjoapJ02pCDD1f-o1MQ_25_24"/>
      <w:bookmarkStart w:id="546" w:name="Tc_oLCEGC_JD0yKRYexIug8Ww_25_21"/>
      <w:bookmarkStart w:id="547" w:name="Tc_chgdXQUp8UWgu6A6JTbBeg_25_16"/>
      <w:bookmarkStart w:id="548" w:name="Tc_mT7UppB0sku0MJZMDoeKjw_25_13"/>
      <w:bookmarkStart w:id="549" w:name="Tc_-p6ywP369Ee7XIa9gcoAFQ_25_10"/>
      <w:bookmarkStart w:id="550" w:name="Tc_Jhi1PrHOYEqbu63nehVagg_25_7"/>
      <w:bookmarkStart w:id="551" w:name="Tc_ysC4z7GPR0eQouZQhin6WA_25_2"/>
      <w:bookmarkStart w:id="552" w:name="Tc_GzV31lL68ESe8M6I-_I7sA_25_0"/>
      <w:bookmarkStart w:id="553" w:name="Tc_-J_a4uIaz0WmVwc_vD1IXA_24_22"/>
      <w:bookmarkStart w:id="554" w:name="Tc_7ApGfq2lkkKSKnYPevXi2g_24_19"/>
      <w:bookmarkStart w:id="555" w:name="Tc_M_WyZhbTE0myDUtXUu6J-w_24_17"/>
      <w:bookmarkStart w:id="556" w:name="Tc_dww6hpGblkCj7O4aD4pqpg_24_14"/>
      <w:bookmarkStart w:id="557" w:name="Tc_qKCv5uzAyEKFOBTRoAXBdg_24_11"/>
      <w:bookmarkStart w:id="558" w:name="Tc_VFeDBhHr40qka8hirCzQWg_24_8"/>
      <w:bookmarkStart w:id="559" w:name="Tc_CjU7Jj8aTUu48-Cj1rj-Hw_24_5"/>
      <w:bookmarkStart w:id="560" w:name="Tc_S0L-faDFokKb4NU0LHBe5g_24_0"/>
      <w:bookmarkStart w:id="561" w:name="Tc_v7EK2El9A0KxJIWY8eME1g_23_25"/>
      <w:bookmarkStart w:id="562" w:name="Tc_v7nKrwR2k0Sn31ZQ-Kl8Zw_23_17"/>
      <w:bookmarkStart w:id="563" w:name="Tc_mzrupuLYd0GKjAbBpZRG0Q_23_14"/>
      <w:bookmarkStart w:id="564" w:name="Tc_baDbTEFP7k6WYTjGStXZsA_23_8"/>
      <w:bookmarkStart w:id="565" w:name="Tc_MOfVGxM1hE2uiIaN4nuM_A_23_5"/>
      <w:bookmarkStart w:id="566" w:name="Tc_1nE6jmq460OlDCwWDAaF1Q_23_0"/>
      <w:bookmarkStart w:id="567" w:name="Tc_hilNebMzkk-TgetU_g5AFg_22_25"/>
      <w:bookmarkStart w:id="568" w:name="Tc_pT3L2IGoVkeeeEztYeE5Cg_22_22"/>
      <w:bookmarkStart w:id="569" w:name="Tc_C6PaGzgauUyZn0ItdBhpDA_22_19"/>
      <w:bookmarkStart w:id="570" w:name="Tc_z7CXaGHWwk6NvQuEARAgLg_22_17"/>
      <w:bookmarkStart w:id="571" w:name="Tc_5XPV-7iKWkKDhtkBtfBlqA_22_11"/>
      <w:bookmarkStart w:id="572" w:name="Tc_6VpBL4yhgkuKieFoW6odoQ_22_8"/>
      <w:bookmarkStart w:id="573" w:name="Tc_tiT03fodkkemFcytatKpug_22_5"/>
      <w:bookmarkStart w:id="574" w:name="Tc_1mQU19UnBEasuNdMupVNIQ_22_0"/>
      <w:bookmarkStart w:id="575" w:name="Tc_i_ZW1cfyxkGJ5Sl0mzlwpA_21_25"/>
      <w:bookmarkStart w:id="576" w:name="Tc_wBy_SF25p02ACLP739bTkQ_21_22"/>
      <w:bookmarkStart w:id="577" w:name="Tc_5KWRWxk1lUycN0iq9qFcdg_21_19"/>
      <w:bookmarkStart w:id="578" w:name="Tc_ZIGGY-8V80-WepdD3eqSxQ_21_14"/>
      <w:bookmarkStart w:id="579" w:name="Tc_6hyocI_bq0C4FelS0pAvlQ_21_11"/>
      <w:bookmarkStart w:id="580" w:name="Tc_XS-MxH5t5ESIFuBylcPykw_21_8"/>
      <w:bookmarkStart w:id="581" w:name="Tc_810mu46SjUK0XwjA3UYusQ_21_5"/>
      <w:bookmarkStart w:id="582" w:name="Tc_N__0ukUAtUi0n1qax1D5fA_21_0"/>
      <w:bookmarkStart w:id="583" w:name="Tc_0HxvmJeVTE6Ka1oPCtL20g_20_22"/>
      <w:bookmarkStart w:id="584" w:name="Tc_dBmtuXgCXUKuI1JOwg_nqg_20_19"/>
      <w:bookmarkStart w:id="585" w:name="Tc_YeLKiyNgDU61ES7Srj8TUA_20_17"/>
      <w:bookmarkStart w:id="586" w:name="Tc_GyiBrxe7E0-_7AcUssJilg_20_11"/>
      <w:bookmarkStart w:id="587" w:name="Tc_54rbBN_UDUipyPPe_F9BgQ_20_8"/>
      <w:bookmarkStart w:id="588" w:name="Tc_5BGXuYDFb0eo-uoZtcD0_A_20_5"/>
      <w:bookmarkStart w:id="589" w:name="Tc_zEpXcQ38o0KFuXsCPz4HRg_20_0"/>
      <w:bookmarkStart w:id="590" w:name="Tc_t3nRC_D-w0yEyBipyRRHgA_19_24"/>
      <w:bookmarkStart w:id="591" w:name="Tc_GR5ocmj-1kWIZjH8eQDFVg_19_21"/>
      <w:bookmarkStart w:id="592" w:name="Tc_qPsbXU_Ur0ehpp0FMK2CHg_19_16"/>
      <w:bookmarkStart w:id="593" w:name="Tc_yoF0mWihFEmqIyQ-EgLOeg_19_13"/>
      <w:bookmarkStart w:id="594" w:name="Tc_68BIxvNB406j6BB34hkykQ_19_10"/>
      <w:bookmarkStart w:id="595" w:name="Tc_WkfAgbX1pEGRbjAVf5njyA_19_7"/>
      <w:bookmarkStart w:id="596" w:name="Tc_miD8eCbRkkGrqT9ExNcRjA_19_2"/>
      <w:bookmarkStart w:id="597" w:name="Tc_W96Tjn-4cEKLGCPZGWD74g_19_0"/>
      <w:bookmarkStart w:id="598" w:name="Tc_8dc4m6nfVkuT00nX4u4abw_18_0"/>
      <w:bookmarkStart w:id="599" w:name="Tc_12wSFOt8xEODsOduX0YvbQ_16_24"/>
      <w:bookmarkStart w:id="600" w:name="Tc_jxDCUSX8jUOrYiCpBCxbqQ_16_21"/>
      <w:bookmarkStart w:id="601" w:name="Tc_acPWJbG7Z0u43EsYO36_NA_16_16"/>
      <w:bookmarkStart w:id="602" w:name="Tc_SQHDZ2ejJkeWrsg10rsE2g_16_13"/>
      <w:bookmarkStart w:id="603" w:name="Tc_pP8zaqREXE-ErrFdHOoccw_16_10"/>
      <w:bookmarkStart w:id="604" w:name="Tc_Vjd1E8ChkkGwxcZMPSNDgQ_16_7"/>
      <w:bookmarkStart w:id="605" w:name="Tc_TTgBO0tJQEuVGixtw_2mAQ_16_2"/>
      <w:bookmarkStart w:id="606" w:name="Tc_TTLryJffoUydvNa3y1VoVw_16_0"/>
      <w:bookmarkStart w:id="607" w:name="Tc_zsYDA_tdJUS_sGEgzvvRIA_15_22"/>
      <w:bookmarkStart w:id="608" w:name="Tc_GCQh8eYmk0OTQtPWpol-zQ_15_17"/>
      <w:bookmarkStart w:id="609" w:name="Tc_DEVYysfdKUmQGhSNDjYvCg_15_14"/>
      <w:bookmarkStart w:id="610" w:name="Tc_nCBeyXlQ7k6llXb2DM4D5w_15_11"/>
      <w:bookmarkStart w:id="611" w:name="Tc_ndeWzhc3Mk2yqVycfQ9MCQ_15_8"/>
      <w:bookmarkStart w:id="612" w:name="Tc_EhIBW3Lvc0eGh-s-VUu5XQ_15_5"/>
      <w:bookmarkStart w:id="613" w:name="Tc_UVYtDmG9LkW-_dXqbl7cWA_15_0"/>
      <w:bookmarkStart w:id="614" w:name="Tc_2eAXSfH5BU6MrDeizvhkGw_14_25"/>
      <w:bookmarkStart w:id="615" w:name="Tc_TNcxFpIFbUyLd3CHTFlGKg_14_17"/>
      <w:bookmarkStart w:id="616" w:name="Tc_i9XbZ-BTtEC7IY9AJ0Cmow_14_14"/>
      <w:bookmarkStart w:id="617" w:name="Tc_OP6eX8GUHkiujgeH6ji26g_14_8"/>
      <w:bookmarkStart w:id="618" w:name="Tc_VrmbOMtf6kG0SKL7eK3gKg_14_5"/>
      <w:bookmarkStart w:id="619" w:name="Tc_HraybjhEPEKrFmu5kZO-PA_14_0"/>
      <w:bookmarkStart w:id="620" w:name="Tc_28NKE_EnFU28Km84HlZanw_13_25"/>
      <w:bookmarkStart w:id="621" w:name="Tc_KlQfnLoYSkuTl5haMIaWJg_13_17"/>
      <w:bookmarkStart w:id="622" w:name="Tc_CEwLx-qlrkecb3NfEtxBRQ_13_14"/>
      <w:bookmarkStart w:id="623" w:name="Tc_VW8hUXznBUmeYEYU3BvZaQ_13_11"/>
      <w:bookmarkStart w:id="624" w:name="Tc_83mDVpwt_06V_O51aoKXhw_13_8"/>
      <w:bookmarkStart w:id="625" w:name="Tc_CtH0C-mQJUyp2cgSv_PKVg_13_5"/>
      <w:bookmarkStart w:id="626" w:name="Tc_RnJhJdEaDkiGcnS8cBrFag_13_0"/>
      <w:bookmarkStart w:id="627" w:name="Tc_8exfOWc4FEepCiH0XTZP-Q_12_25"/>
      <w:bookmarkStart w:id="628" w:name="Tc_aZjuNFDzv0Kbg-K_RYL4OA_12_17"/>
      <w:bookmarkStart w:id="629" w:name="Tc_U2krqWc0CUCtXhVGhkenUw_12_14"/>
      <w:bookmarkStart w:id="630" w:name="Tc_26FQY1_iIE2IqNfIxC1feA_12_8"/>
      <w:bookmarkStart w:id="631" w:name="Tc_hpVA9roP9kec5rFgr5_Mdw_12_5"/>
      <w:bookmarkStart w:id="632" w:name="Tc_kxXYpSNsj0yWvo6WEjqHKg_12_0"/>
      <w:bookmarkStart w:id="633" w:name="Tc_j5PyCSFRaEaTdaVThyEI-Q_11_25"/>
      <w:bookmarkStart w:id="634" w:name="Tc_IoYZm5SQFkK2ayId_BWs6A_11_22"/>
      <w:bookmarkStart w:id="635" w:name="Tc_H_C2CaZggEOWbzD7M3Y3rA_11_19"/>
      <w:bookmarkStart w:id="636" w:name="Tc_Pph65Q3RZkqL_JcwT8dIZg_11_17"/>
      <w:bookmarkStart w:id="637" w:name="Tc_8Gv0hYrNO0Sh9AmjVQTbIw_11_11"/>
      <w:bookmarkStart w:id="638" w:name="Tc_j1NX62g2HUubYtBNKi1WMQ_11_8"/>
      <w:bookmarkStart w:id="639" w:name="Tc_YZMU6CrwdEmR2tUrlGaq0Q_11_5"/>
      <w:bookmarkStart w:id="640" w:name="Tc_HPUyh2IxaEe6a_Q5uKLe4g_11_0"/>
      <w:bookmarkStart w:id="641" w:name="Tc_J_PzMlfEN0K4IAjXa4E0nA_10_25"/>
      <w:bookmarkStart w:id="642" w:name="Tc_LzVqCW7xTkSo96uDMZOxkA_10_22"/>
      <w:bookmarkStart w:id="643" w:name="Tc_4NfV6JpyeE-Mm_5GPzT3XA_10_19"/>
      <w:bookmarkStart w:id="644" w:name="Tc_qmhHCCUv_0Ke0zJ6gq7Kgg_10_14"/>
      <w:bookmarkStart w:id="645" w:name="Tc_lGkP87zUcEGx-UVwmVBfIA_10_11"/>
      <w:bookmarkStart w:id="646" w:name="Tc_26QN6chPKkisIkDxfmOPgA_10_8"/>
      <w:bookmarkStart w:id="647" w:name="Tc_i-W-Hx7sqEmKg7ceOqsGqg_10_5"/>
      <w:bookmarkStart w:id="648" w:name="Tc_VFhNcYzTw0qr40XEoWIJaA_10_0"/>
      <w:bookmarkStart w:id="649" w:name="Tc_NuI0BzH6BkOu4hpT2925Cw_9_22"/>
      <w:bookmarkStart w:id="650" w:name="Tc_W5CmPi9Ix0KWClMwn4fHQw_9_19"/>
      <w:bookmarkStart w:id="651" w:name="Tc_zRUzlBs5XECkc-IZGI24Nw_9_17"/>
      <w:bookmarkStart w:id="652" w:name="Tc_5RvFDhLSi0aw3HL1vOcmWw_9_11"/>
      <w:bookmarkStart w:id="653" w:name="Tc_6emKEvvx20aNqv55YR1EWw_9_8"/>
      <w:bookmarkStart w:id="654" w:name="Tc_JmaBToMnGkiPwW61hRTIBg_9_5"/>
      <w:bookmarkStart w:id="655" w:name="Tc_8h-W7eS7sk-V1dRXgxtFIw_9_0"/>
      <w:bookmarkStart w:id="656" w:name="Tc_BthF4p0UD0KsIn_33_CJMg_8_24"/>
      <w:bookmarkStart w:id="657" w:name="Tc_0nImvWT88Eeur3xnYZiPzg_8_21"/>
      <w:bookmarkStart w:id="658" w:name="Tc_il0ZOA-gRU680ZEeqERr-g_8_16"/>
      <w:bookmarkStart w:id="659" w:name="Tc_qpR_ZGfOf02FH4HIaqRYiA_8_13"/>
      <w:bookmarkStart w:id="660" w:name="Tc_lgttRgSrHUSNfgAZ4EtKrw_8_10"/>
      <w:bookmarkStart w:id="661" w:name="Tc_dcXyS7dLfUu-sv9PNnd6VA_8_7"/>
      <w:bookmarkStart w:id="662" w:name="Tc_HjuP8l6GbEOomzxgwC667Q_8_2"/>
      <w:bookmarkStart w:id="663" w:name="Tc_KNraFXbJBUG2aT2ucQHVMg_8_0"/>
      <w:bookmarkStart w:id="664" w:name="Tc_EJzu80OfG02h_F7-rla-Dg_7_0"/>
      <w:bookmarkStart w:id="665" w:name="Tc_hy4NlFd_REKYLwI3E6YJTA_6_0"/>
      <w:bookmarkStart w:id="666" w:name="Tc_jrOolxCyykirkLpsNHytJA_5_24"/>
      <w:bookmarkStart w:id="667" w:name="Tc_zTUqpNRTREOzs1Wc5xXOuw_5_21"/>
      <w:bookmarkStart w:id="668" w:name="Tc_jyPHEHSzYEigJ6xARQROMQ_5_19"/>
      <w:bookmarkStart w:id="669" w:name="Tc_rUfgCi5TmUGXP-1iwBfewQ_5_16"/>
      <w:bookmarkStart w:id="670" w:name="Tc_pmeSaZffn0S7h9KT6NXkww_5_13"/>
      <w:bookmarkStart w:id="671" w:name="Tc_fYmN9ovoDkyX-8VCE1P6vA_5_10"/>
      <w:bookmarkStart w:id="672" w:name="Tc_ijYQ8rmEhUOlPAj1MtGNvg_5_7"/>
      <w:bookmarkStart w:id="673" w:name="Tc_BFpgQ55pXUKCRfm3ocQZkQ_5_5"/>
      <w:bookmarkStart w:id="674" w:name="Tc_Au3V-BQXtUyathRvE1O05g_5_2"/>
      <w:bookmarkStart w:id="675" w:name="Tc_wx4VqP1bAEK8r8d4c3By4A_4_24"/>
      <w:bookmarkStart w:id="676" w:name="Tc_zTMpda5MmUOXnGy0g1u9Ww_4_19"/>
      <w:bookmarkStart w:id="677" w:name="Tc_Joa_83g8uEuc017-JOPaXA_4_16"/>
      <w:bookmarkStart w:id="678" w:name="Tc_SflWBqFSSkqWLvBrNbqDpg_4_13"/>
      <w:bookmarkStart w:id="679" w:name="Tc_p8SWVhqWO0OfltZ2VX9bzw_4_10"/>
      <w:bookmarkStart w:id="680" w:name="Tc_QTfvpBibMkK2-opIdKoFQw_4_5"/>
      <w:bookmarkStart w:id="681" w:name="Tc_4c3db9TuqEezCjDVW74U5g_3_16"/>
      <w:bookmarkStart w:id="682" w:name="Tc_py38gi3lx0KTS5GlHzp2Tg_3_10"/>
      <w:bookmarkStart w:id="683" w:name="Tc_jcDCL3vJi0mhVXyrwb07dw_2_16"/>
      <w:bookmarkStart w:id="684" w:name="Tc_H3cMZTEN0ki3oOXwBhuhEA_1_5"/>
      <w:bookmarkStart w:id="685" w:name="_b737aaac_8be6_460f_887d_f54d09aa461d"/>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tbl>
      <w:tblPr>
        <w:tblW w:w="10822" w:type="dxa"/>
        <w:jc w:val="left"/>
        <w:tblInd w:w="0" w:type="dxa"/>
        <w:tblLayout w:type="fixed"/>
        <w:tblCellMar>
          <w:top w:w="0" w:type="dxa"/>
          <w:left w:w="0" w:type="dxa"/>
          <w:bottom w:w="0" w:type="dxa"/>
          <w:right w:w="0" w:type="dxa"/>
        </w:tblCellMar>
      </w:tblPr>
      <w:tblGrid>
        <w:gridCol w:w="1171"/>
        <w:gridCol w:w="226"/>
        <w:gridCol w:w="196"/>
        <w:gridCol w:w="601"/>
        <w:gridCol w:w="226"/>
        <w:gridCol w:w="691"/>
        <w:gridCol w:w="226"/>
        <w:gridCol w:w="249"/>
        <w:gridCol w:w="442"/>
        <w:gridCol w:w="226"/>
        <w:gridCol w:w="224"/>
        <w:gridCol w:w="587"/>
        <w:gridCol w:w="226"/>
        <w:gridCol w:w="196"/>
        <w:gridCol w:w="601"/>
        <w:gridCol w:w="226"/>
        <w:gridCol w:w="396"/>
        <w:gridCol w:w="700"/>
        <w:gridCol w:w="226"/>
        <w:gridCol w:w="751"/>
        <w:gridCol w:w="226"/>
        <w:gridCol w:w="196"/>
        <w:gridCol w:w="661"/>
        <w:gridCol w:w="226"/>
        <w:gridCol w:w="375"/>
        <w:gridCol w:w="751"/>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43585" cy="175260"/>
                      <wp:effectExtent l="0" t="0" r="0" b="0"/>
                      <wp:wrapNone/>
                      <wp:docPr id="44" name="Frame4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3510" cy="175260"/>
                      <wp:effectExtent l="0" t="0" r="0" b="0"/>
                      <wp:wrapNone/>
                      <wp:docPr id="45" name="Frame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81635" cy="175260"/>
                      <wp:effectExtent l="0" t="0" r="0" b="0"/>
                      <wp:wrapNone/>
                      <wp:docPr id="47" name="Frame4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3510" cy="175260"/>
                      <wp:effectExtent l="0" t="0" r="0" b="0"/>
                      <wp:wrapNone/>
                      <wp:docPr id="48" name="Frame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38785" cy="175260"/>
                      <wp:effectExtent l="0" t="0" r="0" b="0"/>
                      <wp:wrapNone/>
                      <wp:docPr id="49" name="Frame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50" name="Frame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8115" cy="175260"/>
                      <wp:effectExtent l="0" t="0" r="0" b="0"/>
                      <wp:wrapNone/>
                      <wp:docPr id="51" name="Frame5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80670" cy="175260"/>
                      <wp:effectExtent l="0" t="0" r="0" b="0"/>
                      <wp:wrapNone/>
                      <wp:docPr id="52" name="Frame5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3510" cy="175260"/>
                      <wp:effectExtent l="0" t="0" r="0" b="0"/>
                      <wp:wrapNone/>
                      <wp:docPr id="53" name="Frame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2240" cy="175260"/>
                      <wp:effectExtent l="0" t="0" r="0" b="0"/>
                      <wp:wrapNone/>
                      <wp:docPr id="54" name="Frame5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72745" cy="175260"/>
                      <wp:effectExtent l="0" t="0" r="0" b="0"/>
                      <wp:wrapNone/>
                      <wp:docPr id="55" name="Frame55"/>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3510" cy="175260"/>
                      <wp:effectExtent l="0" t="0" r="0" b="0"/>
                      <wp:wrapNone/>
                      <wp:docPr id="56" name="Frame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81635" cy="175260"/>
                      <wp:effectExtent l="0" t="0" r="0" b="0"/>
                      <wp:wrapNone/>
                      <wp:docPr id="58" name="Frame5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3510" cy="175260"/>
                      <wp:effectExtent l="0" t="0" r="0" b="0"/>
                      <wp:wrapNone/>
                      <wp:docPr id="59" name="Frame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51460" cy="175260"/>
                      <wp:effectExtent l="0" t="0" r="0" b="0"/>
                      <wp:wrapNone/>
                      <wp:docPr id="60" name="Frame60"/>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44500" cy="175260"/>
                      <wp:effectExtent l="0" t="0" r="0" b="0"/>
                      <wp:wrapNone/>
                      <wp:docPr id="61" name="Frame61"/>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3510" cy="175260"/>
                      <wp:effectExtent l="0" t="0" r="0" b="0"/>
                      <wp:wrapNone/>
                      <wp:docPr id="62" name="Frame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76885" cy="175260"/>
                      <wp:effectExtent l="0" t="0" r="0" b="0"/>
                      <wp:wrapNone/>
                      <wp:docPr id="63" name="Frame6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3510" cy="175260"/>
                      <wp:effectExtent l="0" t="0" r="0" b="0"/>
                      <wp:wrapNone/>
                      <wp:docPr id="64" name="Frame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19735" cy="175260"/>
                      <wp:effectExtent l="0" t="0" r="0" b="0"/>
                      <wp:wrapNone/>
                      <wp:docPr id="66" name="Frame6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67" name="Frame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38125" cy="175260"/>
                      <wp:effectExtent l="0" t="0" r="0" b="0"/>
                      <wp:wrapNone/>
                      <wp:docPr id="68" name="Frame6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6885" cy="175260"/>
                      <wp:effectExtent l="0" t="0" r="0" b="0"/>
                      <wp:wrapNone/>
                      <wp:docPr id="69" name="Frame6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05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Waste Management, Inc. Stockholders’ Equity</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22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2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226" w:type="dxa"/>
            <w:tcBorders/>
            <w:vAlign w:val="center"/>
          </w:tcPr>
          <w:p>
            <w:pPr>
              <w:pStyle w:val="TableContents"/>
              <w:bidi w:val="0"/>
              <w:spacing w:before="0" w:after="0"/>
              <w:ind w:left="0" w:right="0" w:hanging="0"/>
              <w:jc w:val="left"/>
              <w:rPr/>
            </w:pPr>
            <w:r>
              <w:rPr/>
              <w:t>​</w:t>
            </w:r>
          </w:p>
        </w:tc>
        <w:tc>
          <w:tcPr>
            <w:tcW w:w="18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Treasury Stock</w:t>
            </w:r>
          </w:p>
        </w:tc>
        <w:tc>
          <w:tcPr>
            <w:tcW w:w="2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Noncontrolling</w:t>
            </w:r>
          </w:p>
        </w:tc>
      </w:tr>
      <w:tr>
        <w:trPr/>
        <w:tc>
          <w:tcPr>
            <w:tcW w:w="1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c>
          <w:tcPr>
            <w:tcW w:w="2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226"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2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Income (Loss) </w:t>
            </w:r>
          </w:p>
        </w:tc>
        <w:tc>
          <w:tcPr>
            <w:tcW w:w="2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26" w:type="dxa"/>
            <w:tcBorders/>
            <w:vAlign w:val="center"/>
          </w:tcPr>
          <w:p>
            <w:pPr>
              <w:pStyle w:val="TableContents"/>
              <w:bidi w:val="0"/>
              <w:spacing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2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Interests</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442"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587"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center"/>
              <w:rPr/>
            </w:pPr>
            <w:r>
              <w:rPr/>
              <w:t>​</w:t>
            </w:r>
          </w:p>
        </w:tc>
        <w:tc>
          <w:tcPr>
            <w:tcW w:w="700"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center"/>
              <w:rPr/>
            </w:pPr>
            <w:r>
              <w:rPr/>
              <w:t>​</w:t>
            </w:r>
          </w:p>
        </w:tc>
        <w:tc>
          <w:tcPr>
            <w:tcW w:w="58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10,022</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630,282</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17,571</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(228,009)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(13,220)</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 net income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786</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785</w:t>
            </w:r>
          </w:p>
        </w:tc>
        <w:tc>
          <w:tcPr>
            <w:tcW w:w="2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of $0.945 per common share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c>
          <w:tcPr>
            <w:tcW w:w="2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transactions, net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repurchase program</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9,926</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630,282</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17,977</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(230,315)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(13,851)</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442"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587"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center"/>
              <w:rPr/>
            </w:pPr>
            <w:r>
              <w:rPr/>
              <w:t>​</w:t>
            </w:r>
          </w:p>
        </w:tc>
        <w:tc>
          <w:tcPr>
            <w:tcW w:w="700"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8,651</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630,282</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16,160</w:t>
            </w:r>
          </w:p>
        </w:tc>
        <w:tc>
          <w:tcPr>
            <w:tcW w:w="2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2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(227,911)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(12,944)</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 net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727</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2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of $0.825 per common share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transactions, net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2025</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9,202</w:t>
            </w:r>
          </w:p>
        </w:tc>
        <w:tc>
          <w:tcPr>
            <w:tcW w:w="22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630,282</w:t>
            </w:r>
          </w:p>
        </w:tc>
        <w:tc>
          <w:tcPr>
            <w:tcW w:w="2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2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16,553</w:t>
            </w:r>
          </w:p>
        </w:tc>
        <w:tc>
          <w:tcPr>
            <w:tcW w:w="226" w:type="dxa"/>
            <w:tcBorders/>
            <w:vAlign w:val="center"/>
          </w:tcPr>
          <w:p>
            <w:pPr>
              <w:pStyle w:val="TableContents"/>
              <w:bidi w:val="0"/>
              <w:spacing w:before="0" w:after="0"/>
              <w:ind w:left="0" w:right="0" w:hanging="0"/>
              <w:jc w:val="left"/>
              <w:rPr/>
            </w:pPr>
            <w:r>
              <w:rPr/>
              <w:t>​</w:t>
            </w:r>
          </w:p>
        </w:tc>
        <w:tc>
          <w:tcPr>
            <w:tcW w:w="3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226" w:type="dxa"/>
            <w:tcBorders/>
            <w:vAlign w:val="center"/>
          </w:tcPr>
          <w:p>
            <w:pPr>
              <w:pStyle w:val="TableContents"/>
              <w:bidi w:val="0"/>
              <w:spacing w:before="0" w:after="0"/>
              <w:ind w:left="0" w:right="0" w:hanging="0"/>
              <w:jc w:val="left"/>
              <w:rPr/>
            </w:pPr>
            <w:r>
              <w:rPr/>
              <w:t> </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(227,680)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(12,933)</w:t>
            </w:r>
          </w:p>
        </w:tc>
        <w:tc>
          <w:tcPr>
            <w:tcW w:w="2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WASTE MANAGEMENT,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EQUITY ─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Shares in Thousands)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86" w:name="Tc_68MWI7xx1k2xAlQevCWjCA_25_24"/>
      <w:bookmarkStart w:id="687" w:name="Tc_i9mc8M_koUaZsXlaI4bkWA_25_21"/>
      <w:bookmarkStart w:id="688" w:name="Tc_CP5bc_bCPUSAy0Gd7zPZUA_25_16"/>
      <w:bookmarkStart w:id="689" w:name="Tc_lw0a5fefJk-bQ7tKXogFeQ_25_13"/>
      <w:bookmarkStart w:id="690" w:name="Tc_WreFKmrnXkCEfXgjiWueJg_25_10"/>
      <w:bookmarkStart w:id="691" w:name="Tc_78280j5QTUixl94QZCboNQ_25_7"/>
      <w:bookmarkStart w:id="692" w:name="Tc_eYvZAZwVgUiPzXWo1_I9SA_25_2"/>
      <w:bookmarkStart w:id="693" w:name="Tc_NusvVLHFeESKRER1fsv5Wg_25_0"/>
      <w:bookmarkStart w:id="694" w:name="Tc_vdR-cPOTeUaCXVY3PExgZw_24_22"/>
      <w:bookmarkStart w:id="695" w:name="Tc_eoSj_lTo50eMx2GXwtQDwQ_24_17"/>
      <w:bookmarkStart w:id="696" w:name="Tc_LEczRxkDlkeE93r5WiPEIA_24_14"/>
      <w:bookmarkStart w:id="697" w:name="Tc_QEyS1_ykBkeQ4KmSfe32SA_24_11"/>
      <w:bookmarkStart w:id="698" w:name="Tc_g564ddltT0yXbaYIpt6S3Q_24_8"/>
      <w:bookmarkStart w:id="699" w:name="Tc_UkobNbwxYkaVo4zc-YbQVw_24_5"/>
      <w:bookmarkStart w:id="700" w:name="Tc_XyMtdpdGl0uf6JHJ2WEvrg_24_0"/>
      <w:bookmarkStart w:id="701" w:name="Tc_g_QDfdNVA0KMC6Rm67F6rA_23_25"/>
      <w:bookmarkStart w:id="702" w:name="Tc_Cae0WrD2Uke0UyPhqygagw_23_17"/>
      <w:bookmarkStart w:id="703" w:name="Tc_dO7TdjXyOk2IcSuAiUz5-g_23_8"/>
      <w:bookmarkStart w:id="704" w:name="Tc_lAC8YkVuA0SK2D1aez6hhw_23_5"/>
      <w:bookmarkStart w:id="705" w:name="Tc_lIjGz1LyZESy1ZUXLmcndA_23_0"/>
      <w:bookmarkStart w:id="706" w:name="Tc_nMGe2jNVPEyElS33Rs6xYA_22_25"/>
      <w:bookmarkStart w:id="707" w:name="Tc_M5HjCQAmbUyszjYqVgFVYw_22_22"/>
      <w:bookmarkStart w:id="708" w:name="Tc_4OOijWrqFkezq6bC5mB0ig_22_19"/>
      <w:bookmarkStart w:id="709" w:name="Tc_Ho5NbJC4gkSXWx2ZUHl1uw_22_17"/>
      <w:bookmarkStart w:id="710" w:name="Tc_qrsHMM7e_02dE8GagIhxeg_22_11"/>
      <w:bookmarkStart w:id="711" w:name="Tc_rlr5Q6r5WE2NgIskxmh3Yg_22_8"/>
      <w:bookmarkStart w:id="712" w:name="Tc_7VCRYA2zrESCSaDnwRYxDw_22_5"/>
      <w:bookmarkStart w:id="713" w:name="Tc_1RXk_xyHTUC2NtwN2ulGmA_22_0"/>
      <w:bookmarkStart w:id="714" w:name="Tc_DFCetrkWekKl5ooAEXsWGw_21_25"/>
      <w:bookmarkStart w:id="715" w:name="Tc_TF1J3id960ipUOOIq4JlhA_21_22"/>
      <w:bookmarkStart w:id="716" w:name="Tc__mDmpDBI-0y6RQlH8nFtSg_21_19"/>
      <w:bookmarkStart w:id="717" w:name="Tc_8ytKyexzXEW0Iql5M1wlBA_21_14"/>
      <w:bookmarkStart w:id="718" w:name="Tc_xrZFUtZnukaX4F9CBVbcuw_21_11"/>
      <w:bookmarkStart w:id="719" w:name="Tc_32d2rUeslkeO4MxdQIO-0g_21_8"/>
      <w:bookmarkStart w:id="720" w:name="Tc_K9ZqQBJT-Uamz82AFXT1CQ_21_5"/>
      <w:bookmarkStart w:id="721" w:name="Tc_Cwq6hWhlv0GozL6JXRPVmA_21_0"/>
      <w:bookmarkStart w:id="722" w:name="Tc_CFQIQ8UdNEeTzzXmR5z26A_20_22"/>
      <w:bookmarkStart w:id="723" w:name="Tc_iX1_C8Z24USUe-cAPU9r7w_20_19"/>
      <w:bookmarkStart w:id="724" w:name="Tc_YMUM6xW9pk6eKQjMMeecdQ_20_17"/>
      <w:bookmarkStart w:id="725" w:name="Tc_SoYWfAtivEqNITZNii1s1w_20_11"/>
      <w:bookmarkStart w:id="726" w:name="Tc_fL0zng8JX0yrnK0JMfT92A_20_8"/>
      <w:bookmarkStart w:id="727" w:name="Tc_NHdk9B8rKk2joU_emLFiEw_20_5"/>
      <w:bookmarkStart w:id="728" w:name="Tc_F648SR7KiEOPNe6SU64Tdw_20_0"/>
      <w:bookmarkStart w:id="729" w:name="Tc_aWpTL3-MWE-1Gt6eq8CpXA_19_24"/>
      <w:bookmarkStart w:id="730" w:name="Tc_RHShqFICYk6TvLjJaWunFA_19_21"/>
      <w:bookmarkStart w:id="731" w:name="Tc_nzqenMdE9Eau46dy-Y3tIA_19_16"/>
      <w:bookmarkStart w:id="732" w:name="Tc_hqX9fFdBdk6QqtqSroT3dg_19_13"/>
      <w:bookmarkStart w:id="733" w:name="Tc_csmi08mI6kOvHowm3qpN5Q_19_10"/>
      <w:bookmarkStart w:id="734" w:name="Tc_oAmpEY_z10mG5QLPiXHHlg_19_7"/>
      <w:bookmarkStart w:id="735" w:name="Tc_M1eCWKNYNUiRDycFnh9Pmw_19_2"/>
      <w:bookmarkStart w:id="736" w:name="Tc_cEghbCBNhUusVyL_Xknwgw_19_0"/>
      <w:bookmarkStart w:id="737" w:name="Tc_sbH3_z-L_0Go01YDKRgJ9w_18_0"/>
      <w:bookmarkStart w:id="738" w:name="Tc_qqR7z-2Ya0mTGFsmNabyUA_16_24"/>
      <w:bookmarkStart w:id="739" w:name="Tc_wN2nq-SSwkS6HpAFHpa0oQ_16_21"/>
      <w:bookmarkStart w:id="740" w:name="Tc_6MPrvas87UOpyxVJpKs_lw_16_16"/>
      <w:bookmarkStart w:id="741" w:name="Tc_phujG1IA_EC6V_lSg44SAg_16_13"/>
      <w:bookmarkStart w:id="742" w:name="Tc_ZfzVuwPdKkmsDnJIgY2e7g_16_10"/>
      <w:bookmarkStart w:id="743" w:name="Tc_Gl-IcFFyXE2eKK9o8Az39g_16_7"/>
      <w:bookmarkStart w:id="744" w:name="Tc_E_lbSipIZkusVOeDudo0Jg_16_2"/>
      <w:bookmarkStart w:id="745" w:name="Tc_MDf-4B4N0EKStvm1YYPRfw_16_0"/>
      <w:bookmarkStart w:id="746" w:name="Tc_LNwizF6gnEWDuTK6GiuyLw_15_22"/>
      <w:bookmarkStart w:id="747" w:name="Tc_IZ9rP09Cgk60R_0JMaPvaQ_15_17"/>
      <w:bookmarkStart w:id="748" w:name="Tc_N6N2i2ZQUEWNqf1Dy_7Zbg_15_14"/>
      <w:bookmarkStart w:id="749" w:name="Tc__pUi2j0ITka6hG-_GP7ovw_15_11"/>
      <w:bookmarkStart w:id="750" w:name="Tc_LYxLv49CTEOmoBe4xS79wQ_15_8"/>
      <w:bookmarkStart w:id="751" w:name="Tc_QmZLx3x7yE-0CoubZjJlfQ_15_5"/>
      <w:bookmarkStart w:id="752" w:name="Tc_YhoFoyto4ku0f5xHe5F3xw_15_0"/>
      <w:bookmarkStart w:id="753" w:name="Tc_r9JXQh_x8kO1LIkw-EQUlw_14_25"/>
      <w:bookmarkStart w:id="754" w:name="Tc_NqUiXSvUcEC1sQwLaBMB3A_14_14"/>
      <w:bookmarkStart w:id="755" w:name="Tc_hIrKoo1T9U-OnOhIIO0Row_14_8"/>
      <w:bookmarkStart w:id="756" w:name="Tc_XjTmaneLR0C2ohuHjTN7NA_14_5"/>
      <w:bookmarkStart w:id="757" w:name="Tc_ut7r2AzIVEOMshELS6KDpg_14_0"/>
      <w:bookmarkStart w:id="758" w:name="Tc_sZJE2BUKnEy7ud9n0L1zWQ_13_25"/>
      <w:bookmarkStart w:id="759" w:name="Tc_3Yd4alqjokGigdPFShvPTA_13_17"/>
      <w:bookmarkStart w:id="760" w:name="Tc_zGK_geJG4ku_UgFp7EOT_Q_13_14"/>
      <w:bookmarkStart w:id="761" w:name="Tc_wRvWL4vvekeEZKWN7Rx0hw_13_11"/>
      <w:bookmarkStart w:id="762" w:name="Tc_RgyDYSCvK0-7COAhV_ytFA_13_8"/>
      <w:bookmarkStart w:id="763" w:name="Tc_Mg3NtZAfxEek65x-MxJ9ig_13_5"/>
      <w:bookmarkStart w:id="764" w:name="Tc_3kiECA5TnECEwnt5v_U_8Q_13_0"/>
      <w:bookmarkStart w:id="765" w:name="Tc_iuu0mqUqMkizYxueMvruZA_12_25"/>
      <w:bookmarkStart w:id="766" w:name="Tc_l5da_EgKcUSh-o4O_fVXfQ_12_17"/>
      <w:bookmarkStart w:id="767" w:name="Tc_k6n_JPVXLE6tldc8F1UwBQ_12_8"/>
      <w:bookmarkStart w:id="768" w:name="Tc_wZfDqAjqF0KU-2jtOMKBLg_12_5"/>
      <w:bookmarkStart w:id="769" w:name="Tc_60iRODeGLUmWwZYZIg6RlQ_12_0"/>
      <w:bookmarkStart w:id="770" w:name="Tc_b9qCVi3FCUC9TK8LlRcxxA_11_25"/>
      <w:bookmarkStart w:id="771" w:name="Tc_zzAlvrGt00mwZ9-UzZcWQA_11_22"/>
      <w:bookmarkStart w:id="772" w:name="Tc__R3Kb7LFeEe_kR_GgUlJxw_11_19"/>
      <w:bookmarkStart w:id="773" w:name="Tc_m-nkI9efU0-Yxl8q_Tjqzg_11_17"/>
      <w:bookmarkStart w:id="774" w:name="Tc_Gy9kHV8fi0umgfcAvrJ5Dw_11_11"/>
      <w:bookmarkStart w:id="775" w:name="Tc_zvVt5HNlLUuqktP8BbQv9g_11_8"/>
      <w:bookmarkStart w:id="776" w:name="Tc_ufErhR7MskOMvPKfrQEV8w_11_5"/>
      <w:bookmarkStart w:id="777" w:name="Tc_1uysddEgwUyn7AjpUpJNVg_11_0"/>
      <w:bookmarkStart w:id="778" w:name="Tc_doOJ_xVaokm-pttmCqabHA_10_25"/>
      <w:bookmarkStart w:id="779" w:name="Tc_357nthvTskeNbCidf-kc1w_10_22"/>
      <w:bookmarkStart w:id="780" w:name="Tc_OV9AwYy8sk6lZ60i8p7fBQ_10_19"/>
      <w:bookmarkStart w:id="781" w:name="Tc_E_c1etwlZk-X4LIDW6ji1Q_10_14"/>
      <w:bookmarkStart w:id="782" w:name="Tc_AdgIgc5c2Ua9rLf12T5OCQ_10_11"/>
      <w:bookmarkStart w:id="783" w:name="Tc_0WT4Ut-NAEi1-lMnAtuGYQ_10_8"/>
      <w:bookmarkStart w:id="784" w:name="Tc_GQxWHWD6w0qfPyiBdMEn8g_10_5"/>
      <w:bookmarkStart w:id="785" w:name="Tc_LIISMvc_FUWBhMJJzPoYiA_10_0"/>
      <w:bookmarkStart w:id="786" w:name="Tc_IJD071MqR0WpdKGsA1reBg_9_22"/>
      <w:bookmarkStart w:id="787" w:name="Tc_rp85R3z5Ik2HlLQhg-9PUg_9_19"/>
      <w:bookmarkStart w:id="788" w:name="Tc_jTQSZxUZOkyjAUCRhgQjKw_9_17"/>
      <w:bookmarkStart w:id="789" w:name="Tc_LZ2NsA5TJUOrGAHNYQ8nNQ_9_11"/>
      <w:bookmarkStart w:id="790" w:name="Tc_a8zQpK5uaU2iU5WN1clnPQ_9_8"/>
      <w:bookmarkStart w:id="791" w:name="Tc_rp163g9ZIEWkJWdenYugeA_9_5"/>
      <w:bookmarkStart w:id="792" w:name="Tc_Hv4eV4rLwESjCiHZplQk-Q_9_0"/>
      <w:bookmarkStart w:id="793" w:name="Tc_EFtC7URHS0WSiH5f9gTfBQ_8_24"/>
      <w:bookmarkStart w:id="794" w:name="Tc_Xv-gxjQMVkWt7nJ2fAfdeg_8_21"/>
      <w:bookmarkStart w:id="795" w:name="Tc_dfeYCf8X_0amUc5JQrxzAA_8_16"/>
      <w:bookmarkStart w:id="796" w:name="Tc_KAQbb29fCk64_lcywpFHOw_8_13"/>
      <w:bookmarkStart w:id="797" w:name="Tc_ks7uXjAdkEq3h9MnCYLGZw_8_10"/>
      <w:bookmarkStart w:id="798" w:name="Tc_wTFSTr2byU6H9JHmlb5olw_8_7"/>
      <w:bookmarkStart w:id="799" w:name="Tc_t6BCYrkjoUiDJsGxRSvtxQ_8_2"/>
      <w:bookmarkStart w:id="800" w:name="Tc_CLbm5SLCCkqwVOMyUqhGYQ_8_0"/>
      <w:bookmarkStart w:id="801" w:name="Tc_0TVReVM-sEq8qwhZCuuIWg_7_0"/>
      <w:bookmarkStart w:id="802" w:name="Tc_EIBN4MjmHEKyM0f297EOJQ_6_0"/>
      <w:bookmarkStart w:id="803" w:name="Tc_G6OP7VyKW0ug6zqlN6muqA_5_24"/>
      <w:bookmarkStart w:id="804" w:name="Tc_YWkv_prtPUGfvd5oi2e-oA_5_21"/>
      <w:bookmarkStart w:id="805" w:name="Tc_alVcU-PqjkunXMTDnJzyKA_5_19"/>
      <w:bookmarkStart w:id="806" w:name="Tc_3qE7MqUZVE2A7s1dUPopJw_5_16"/>
      <w:bookmarkStart w:id="807" w:name="Tc_0rqpO-Q4o0qUTsltn4C2QQ_5_13"/>
      <w:bookmarkStart w:id="808" w:name="Tc_nIQjqtDZ6USIk9UeUjL_Iw_5_10"/>
      <w:bookmarkStart w:id="809" w:name="Tc_Ajozr7mUQUa9EWq4J80HSg_5_7"/>
      <w:bookmarkStart w:id="810" w:name="Tc_fMe26zY9y0ajas3b1q_qsw_5_5"/>
      <w:bookmarkStart w:id="811" w:name="Tc_Tep3av2QykaG6g813yMqug_5_2"/>
      <w:bookmarkStart w:id="812" w:name="Tc_wjUOkNTSdUKu8R1JsY55zA_4_24"/>
      <w:bookmarkStart w:id="813" w:name="Tc_6ddNQmSWeUi-8Yx2a5FEFw_4_19"/>
      <w:bookmarkStart w:id="814" w:name="Tc_MG3XXR0AHUiRF9CIb6SxXQ_4_16"/>
      <w:bookmarkStart w:id="815" w:name="Tc_vwSIrmzIR0uaIzAzfQHBoQ_4_13"/>
      <w:bookmarkStart w:id="816" w:name="Tc_0aSQt8eSfkKUgOBJ0AWhSw_4_10"/>
      <w:bookmarkStart w:id="817" w:name="Tc_XIx9k_rC8kus5EwfuAniuw_4_5"/>
      <w:bookmarkStart w:id="818" w:name="Tc_yQHt5oW3zkyVpxwRn118HA_3_16"/>
      <w:bookmarkStart w:id="819" w:name="Tc_QJ_fs0F_QUeUdEIAc4q8bQ_3_10"/>
      <w:bookmarkStart w:id="820" w:name="Tc_VYYFksH2vUiF1ALZnbEJTg_2_16"/>
      <w:bookmarkStart w:id="821" w:name="Tc_02nUkBtI5UO2sY_oi196MA_1_5"/>
      <w:bookmarkStart w:id="822" w:name="_11e400a8_cf16_4754_b7c5_7f85e3eeb58d"/>
      <w:bookmarkStart w:id="823" w:name="Tc_68MWI7xx1k2xAlQevCWjCA_25_24"/>
      <w:bookmarkStart w:id="824" w:name="Tc_i9mc8M_koUaZsXlaI4bkWA_25_21"/>
      <w:bookmarkStart w:id="825" w:name="Tc_CP5bc_bCPUSAy0Gd7zPZUA_25_16"/>
      <w:bookmarkStart w:id="826" w:name="Tc_lw0a5fefJk-bQ7tKXogFeQ_25_13"/>
      <w:bookmarkStart w:id="827" w:name="Tc_WreFKmrnXkCEfXgjiWueJg_25_10"/>
      <w:bookmarkStart w:id="828" w:name="Tc_78280j5QTUixl94QZCboNQ_25_7"/>
      <w:bookmarkStart w:id="829" w:name="Tc_eYvZAZwVgUiPzXWo1_I9SA_25_2"/>
      <w:bookmarkStart w:id="830" w:name="Tc_NusvVLHFeESKRER1fsv5Wg_25_0"/>
      <w:bookmarkStart w:id="831" w:name="Tc_vdR-cPOTeUaCXVY3PExgZw_24_22"/>
      <w:bookmarkStart w:id="832" w:name="Tc_eoSj_lTo50eMx2GXwtQDwQ_24_17"/>
      <w:bookmarkStart w:id="833" w:name="Tc_LEczRxkDlkeE93r5WiPEIA_24_14"/>
      <w:bookmarkStart w:id="834" w:name="Tc_QEyS1_ykBkeQ4KmSfe32SA_24_11"/>
      <w:bookmarkStart w:id="835" w:name="Tc_g564ddltT0yXbaYIpt6S3Q_24_8"/>
      <w:bookmarkStart w:id="836" w:name="Tc_UkobNbwxYkaVo4zc-YbQVw_24_5"/>
      <w:bookmarkStart w:id="837" w:name="Tc_XyMtdpdGl0uf6JHJ2WEvrg_24_0"/>
      <w:bookmarkStart w:id="838" w:name="Tc_g_QDfdNVA0KMC6Rm67F6rA_23_25"/>
      <w:bookmarkStart w:id="839" w:name="Tc_Cae0WrD2Uke0UyPhqygagw_23_17"/>
      <w:bookmarkStart w:id="840" w:name="Tc_dO7TdjXyOk2IcSuAiUz5-g_23_8"/>
      <w:bookmarkStart w:id="841" w:name="Tc_lAC8YkVuA0SK2D1aez6hhw_23_5"/>
      <w:bookmarkStart w:id="842" w:name="Tc_lIjGz1LyZESy1ZUXLmcndA_23_0"/>
      <w:bookmarkStart w:id="843" w:name="Tc_nMGe2jNVPEyElS33Rs6xYA_22_25"/>
      <w:bookmarkStart w:id="844" w:name="Tc_M5HjCQAmbUyszjYqVgFVYw_22_22"/>
      <w:bookmarkStart w:id="845" w:name="Tc_4OOijWrqFkezq6bC5mB0ig_22_19"/>
      <w:bookmarkStart w:id="846" w:name="Tc_Ho5NbJC4gkSXWx2ZUHl1uw_22_17"/>
      <w:bookmarkStart w:id="847" w:name="Tc_qrsHMM7e_02dE8GagIhxeg_22_11"/>
      <w:bookmarkStart w:id="848" w:name="Tc_rlr5Q6r5WE2NgIskxmh3Yg_22_8"/>
      <w:bookmarkStart w:id="849" w:name="Tc_7VCRYA2zrESCSaDnwRYxDw_22_5"/>
      <w:bookmarkStart w:id="850" w:name="Tc_1RXk_xyHTUC2NtwN2ulGmA_22_0"/>
      <w:bookmarkStart w:id="851" w:name="Tc_DFCetrkWekKl5ooAEXsWGw_21_25"/>
      <w:bookmarkStart w:id="852" w:name="Tc_TF1J3id960ipUOOIq4JlhA_21_22"/>
      <w:bookmarkStart w:id="853" w:name="Tc__mDmpDBI-0y6RQlH8nFtSg_21_19"/>
      <w:bookmarkStart w:id="854" w:name="Tc_8ytKyexzXEW0Iql5M1wlBA_21_14"/>
      <w:bookmarkStart w:id="855" w:name="Tc_xrZFUtZnukaX4F9CBVbcuw_21_11"/>
      <w:bookmarkStart w:id="856" w:name="Tc_32d2rUeslkeO4MxdQIO-0g_21_8"/>
      <w:bookmarkStart w:id="857" w:name="Tc_K9ZqQBJT-Uamz82AFXT1CQ_21_5"/>
      <w:bookmarkStart w:id="858" w:name="Tc_Cwq6hWhlv0GozL6JXRPVmA_21_0"/>
      <w:bookmarkStart w:id="859" w:name="Tc_CFQIQ8UdNEeTzzXmR5z26A_20_22"/>
      <w:bookmarkStart w:id="860" w:name="Tc_iX1_C8Z24USUe-cAPU9r7w_20_19"/>
      <w:bookmarkStart w:id="861" w:name="Tc_YMUM6xW9pk6eKQjMMeecdQ_20_17"/>
      <w:bookmarkStart w:id="862" w:name="Tc_SoYWfAtivEqNITZNii1s1w_20_11"/>
      <w:bookmarkStart w:id="863" w:name="Tc_fL0zng8JX0yrnK0JMfT92A_20_8"/>
      <w:bookmarkStart w:id="864" w:name="Tc_NHdk9B8rKk2joU_emLFiEw_20_5"/>
      <w:bookmarkStart w:id="865" w:name="Tc_F648SR7KiEOPNe6SU64Tdw_20_0"/>
      <w:bookmarkStart w:id="866" w:name="Tc_aWpTL3-MWE-1Gt6eq8CpXA_19_24"/>
      <w:bookmarkStart w:id="867" w:name="Tc_RHShqFICYk6TvLjJaWunFA_19_21"/>
      <w:bookmarkStart w:id="868" w:name="Tc_nzqenMdE9Eau46dy-Y3tIA_19_16"/>
      <w:bookmarkStart w:id="869" w:name="Tc_hqX9fFdBdk6QqtqSroT3dg_19_13"/>
      <w:bookmarkStart w:id="870" w:name="Tc_csmi08mI6kOvHowm3qpN5Q_19_10"/>
      <w:bookmarkStart w:id="871" w:name="Tc_oAmpEY_z10mG5QLPiXHHlg_19_7"/>
      <w:bookmarkStart w:id="872" w:name="Tc_M1eCWKNYNUiRDycFnh9Pmw_19_2"/>
      <w:bookmarkStart w:id="873" w:name="Tc_cEghbCBNhUusVyL_Xknwgw_19_0"/>
      <w:bookmarkStart w:id="874" w:name="Tc_sbH3_z-L_0Go01YDKRgJ9w_18_0"/>
      <w:bookmarkStart w:id="875" w:name="Tc_qqR7z-2Ya0mTGFsmNabyUA_16_24"/>
      <w:bookmarkStart w:id="876" w:name="Tc_wN2nq-SSwkS6HpAFHpa0oQ_16_21"/>
      <w:bookmarkStart w:id="877" w:name="Tc_6MPrvas87UOpyxVJpKs_lw_16_16"/>
      <w:bookmarkStart w:id="878" w:name="Tc_phujG1IA_EC6V_lSg44SAg_16_13"/>
      <w:bookmarkStart w:id="879" w:name="Tc_ZfzVuwPdKkmsDnJIgY2e7g_16_10"/>
      <w:bookmarkStart w:id="880" w:name="Tc_Gl-IcFFyXE2eKK9o8Az39g_16_7"/>
      <w:bookmarkStart w:id="881" w:name="Tc_E_lbSipIZkusVOeDudo0Jg_16_2"/>
      <w:bookmarkStart w:id="882" w:name="Tc_MDf-4B4N0EKStvm1YYPRfw_16_0"/>
      <w:bookmarkStart w:id="883" w:name="Tc_LNwizF6gnEWDuTK6GiuyLw_15_22"/>
      <w:bookmarkStart w:id="884" w:name="Tc_IZ9rP09Cgk60R_0JMaPvaQ_15_17"/>
      <w:bookmarkStart w:id="885" w:name="Tc_N6N2i2ZQUEWNqf1Dy_7Zbg_15_14"/>
      <w:bookmarkStart w:id="886" w:name="Tc__pUi2j0ITka6hG-_GP7ovw_15_11"/>
      <w:bookmarkStart w:id="887" w:name="Tc_LYxLv49CTEOmoBe4xS79wQ_15_8"/>
      <w:bookmarkStart w:id="888" w:name="Tc_QmZLx3x7yE-0CoubZjJlfQ_15_5"/>
      <w:bookmarkStart w:id="889" w:name="Tc_YhoFoyto4ku0f5xHe5F3xw_15_0"/>
      <w:bookmarkStart w:id="890" w:name="Tc_r9JXQh_x8kO1LIkw-EQUlw_14_25"/>
      <w:bookmarkStart w:id="891" w:name="Tc_NqUiXSvUcEC1sQwLaBMB3A_14_14"/>
      <w:bookmarkStart w:id="892" w:name="Tc_hIrKoo1T9U-OnOhIIO0Row_14_8"/>
      <w:bookmarkStart w:id="893" w:name="Tc_XjTmaneLR0C2ohuHjTN7NA_14_5"/>
      <w:bookmarkStart w:id="894" w:name="Tc_ut7r2AzIVEOMshELS6KDpg_14_0"/>
      <w:bookmarkStart w:id="895" w:name="Tc_sZJE2BUKnEy7ud9n0L1zWQ_13_25"/>
      <w:bookmarkStart w:id="896" w:name="Tc_3Yd4alqjokGigdPFShvPTA_13_17"/>
      <w:bookmarkStart w:id="897" w:name="Tc_zGK_geJG4ku_UgFp7EOT_Q_13_14"/>
      <w:bookmarkStart w:id="898" w:name="Tc_wRvWL4vvekeEZKWN7Rx0hw_13_11"/>
      <w:bookmarkStart w:id="899" w:name="Tc_RgyDYSCvK0-7COAhV_ytFA_13_8"/>
      <w:bookmarkStart w:id="900" w:name="Tc_Mg3NtZAfxEek65x-MxJ9ig_13_5"/>
      <w:bookmarkStart w:id="901" w:name="Tc_3kiECA5TnECEwnt5v_U_8Q_13_0"/>
      <w:bookmarkStart w:id="902" w:name="Tc_iuu0mqUqMkizYxueMvruZA_12_25"/>
      <w:bookmarkStart w:id="903" w:name="Tc_l5da_EgKcUSh-o4O_fVXfQ_12_17"/>
      <w:bookmarkStart w:id="904" w:name="Tc_k6n_JPVXLE6tldc8F1UwBQ_12_8"/>
      <w:bookmarkStart w:id="905" w:name="Tc_wZfDqAjqF0KU-2jtOMKBLg_12_5"/>
      <w:bookmarkStart w:id="906" w:name="Tc_60iRODeGLUmWwZYZIg6RlQ_12_0"/>
      <w:bookmarkStart w:id="907" w:name="Tc_b9qCVi3FCUC9TK8LlRcxxA_11_25"/>
      <w:bookmarkStart w:id="908" w:name="Tc_zzAlvrGt00mwZ9-UzZcWQA_11_22"/>
      <w:bookmarkStart w:id="909" w:name="Tc__R3Kb7LFeEe_kR_GgUlJxw_11_19"/>
      <w:bookmarkStart w:id="910" w:name="Tc_m-nkI9efU0-Yxl8q_Tjqzg_11_17"/>
      <w:bookmarkStart w:id="911" w:name="Tc_Gy9kHV8fi0umgfcAvrJ5Dw_11_11"/>
      <w:bookmarkStart w:id="912" w:name="Tc_zvVt5HNlLUuqktP8BbQv9g_11_8"/>
      <w:bookmarkStart w:id="913" w:name="Tc_ufErhR7MskOMvPKfrQEV8w_11_5"/>
      <w:bookmarkStart w:id="914" w:name="Tc_1uysddEgwUyn7AjpUpJNVg_11_0"/>
      <w:bookmarkStart w:id="915" w:name="Tc_doOJ_xVaokm-pttmCqabHA_10_25"/>
      <w:bookmarkStart w:id="916" w:name="Tc_357nthvTskeNbCidf-kc1w_10_22"/>
      <w:bookmarkStart w:id="917" w:name="Tc_OV9AwYy8sk6lZ60i8p7fBQ_10_19"/>
      <w:bookmarkStart w:id="918" w:name="Tc_E_c1etwlZk-X4LIDW6ji1Q_10_14"/>
      <w:bookmarkStart w:id="919" w:name="Tc_AdgIgc5c2Ua9rLf12T5OCQ_10_11"/>
      <w:bookmarkStart w:id="920" w:name="Tc_0WT4Ut-NAEi1-lMnAtuGYQ_10_8"/>
      <w:bookmarkStart w:id="921" w:name="Tc_GQxWHWD6w0qfPyiBdMEn8g_10_5"/>
      <w:bookmarkStart w:id="922" w:name="Tc_LIISMvc_FUWBhMJJzPoYiA_10_0"/>
      <w:bookmarkStart w:id="923" w:name="Tc_IJD071MqR0WpdKGsA1reBg_9_22"/>
      <w:bookmarkStart w:id="924" w:name="Tc_rp85R3z5Ik2HlLQhg-9PUg_9_19"/>
      <w:bookmarkStart w:id="925" w:name="Tc_jTQSZxUZOkyjAUCRhgQjKw_9_17"/>
      <w:bookmarkStart w:id="926" w:name="Tc_LZ2NsA5TJUOrGAHNYQ8nNQ_9_11"/>
      <w:bookmarkStart w:id="927" w:name="Tc_a8zQpK5uaU2iU5WN1clnPQ_9_8"/>
      <w:bookmarkStart w:id="928" w:name="Tc_rp163g9ZIEWkJWdenYugeA_9_5"/>
      <w:bookmarkStart w:id="929" w:name="Tc_Hv4eV4rLwESjCiHZplQk-Q_9_0"/>
      <w:bookmarkStart w:id="930" w:name="Tc_EFtC7URHS0WSiH5f9gTfBQ_8_24"/>
      <w:bookmarkStart w:id="931" w:name="Tc_Xv-gxjQMVkWt7nJ2fAfdeg_8_21"/>
      <w:bookmarkStart w:id="932" w:name="Tc_dfeYCf8X_0amUc5JQrxzAA_8_16"/>
      <w:bookmarkStart w:id="933" w:name="Tc_KAQbb29fCk64_lcywpFHOw_8_13"/>
      <w:bookmarkStart w:id="934" w:name="Tc_ks7uXjAdkEq3h9MnCYLGZw_8_10"/>
      <w:bookmarkStart w:id="935" w:name="Tc_wTFSTr2byU6H9JHmlb5olw_8_7"/>
      <w:bookmarkStart w:id="936" w:name="Tc_t6BCYrkjoUiDJsGxRSvtxQ_8_2"/>
      <w:bookmarkStart w:id="937" w:name="Tc_CLbm5SLCCkqwVOMyUqhGYQ_8_0"/>
      <w:bookmarkStart w:id="938" w:name="Tc_0TVReVM-sEq8qwhZCuuIWg_7_0"/>
      <w:bookmarkStart w:id="939" w:name="Tc_EIBN4MjmHEKyM0f297EOJQ_6_0"/>
      <w:bookmarkStart w:id="940" w:name="Tc_G6OP7VyKW0ug6zqlN6muqA_5_24"/>
      <w:bookmarkStart w:id="941" w:name="Tc_YWkv_prtPUGfvd5oi2e-oA_5_21"/>
      <w:bookmarkStart w:id="942" w:name="Tc_alVcU-PqjkunXMTDnJzyKA_5_19"/>
      <w:bookmarkStart w:id="943" w:name="Tc_3qE7MqUZVE2A7s1dUPopJw_5_16"/>
      <w:bookmarkStart w:id="944" w:name="Tc_0rqpO-Q4o0qUTsltn4C2QQ_5_13"/>
      <w:bookmarkStart w:id="945" w:name="Tc_nIQjqtDZ6USIk9UeUjL_Iw_5_10"/>
      <w:bookmarkStart w:id="946" w:name="Tc_Ajozr7mUQUa9EWq4J80HSg_5_7"/>
      <w:bookmarkStart w:id="947" w:name="Tc_fMe26zY9y0ajas3b1q_qsw_5_5"/>
      <w:bookmarkStart w:id="948" w:name="Tc_Tep3av2QykaG6g813yMqug_5_2"/>
      <w:bookmarkStart w:id="949" w:name="Tc_wjUOkNTSdUKu8R1JsY55zA_4_24"/>
      <w:bookmarkStart w:id="950" w:name="Tc_6ddNQmSWeUi-8Yx2a5FEFw_4_19"/>
      <w:bookmarkStart w:id="951" w:name="Tc_MG3XXR0AHUiRF9CIb6SxXQ_4_16"/>
      <w:bookmarkStart w:id="952" w:name="Tc_vwSIrmzIR0uaIzAzfQHBoQ_4_13"/>
      <w:bookmarkStart w:id="953" w:name="Tc_0aSQt8eSfkKUgOBJ0AWhSw_4_10"/>
      <w:bookmarkStart w:id="954" w:name="Tc_XIx9k_rC8kus5EwfuAniuw_4_5"/>
      <w:bookmarkStart w:id="955" w:name="Tc_yQHt5oW3zkyVpxwRn118HA_3_16"/>
      <w:bookmarkStart w:id="956" w:name="Tc_QJ_fs0F_QUeUdEIAc4q8bQ_3_10"/>
      <w:bookmarkStart w:id="957" w:name="Tc_VYYFksH2vUiF1ALZnbEJTg_2_16"/>
      <w:bookmarkStart w:id="958" w:name="Tc_02nUkBtI5UO2sY_oi196MA_1_5"/>
      <w:bookmarkStart w:id="959" w:name="_11e400a8_cf16_4754_b7c5_7f85e3eeb58d"/>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tbl>
      <w:tblPr>
        <w:tblW w:w="10675" w:type="dxa"/>
        <w:jc w:val="left"/>
        <w:tblInd w:w="0" w:type="dxa"/>
        <w:tblLayout w:type="fixed"/>
        <w:tblCellMar>
          <w:top w:w="0" w:type="dxa"/>
          <w:left w:w="0" w:type="dxa"/>
          <w:bottom w:w="0" w:type="dxa"/>
          <w:right w:w="0" w:type="dxa"/>
        </w:tblCellMar>
      </w:tblPr>
      <w:tblGrid>
        <w:gridCol w:w="1171"/>
        <w:gridCol w:w="109"/>
        <w:gridCol w:w="196"/>
        <w:gridCol w:w="571"/>
        <w:gridCol w:w="226"/>
        <w:gridCol w:w="691"/>
        <w:gridCol w:w="226"/>
        <w:gridCol w:w="249"/>
        <w:gridCol w:w="442"/>
        <w:gridCol w:w="226"/>
        <w:gridCol w:w="224"/>
        <w:gridCol w:w="587"/>
        <w:gridCol w:w="226"/>
        <w:gridCol w:w="196"/>
        <w:gridCol w:w="601"/>
        <w:gridCol w:w="226"/>
        <w:gridCol w:w="339"/>
        <w:gridCol w:w="757"/>
        <w:gridCol w:w="226"/>
        <w:gridCol w:w="751"/>
        <w:gridCol w:w="226"/>
        <w:gridCol w:w="196"/>
        <w:gridCol w:w="661"/>
        <w:gridCol w:w="226"/>
        <w:gridCol w:w="375"/>
        <w:gridCol w:w="751"/>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43585" cy="175260"/>
                      <wp:effectExtent l="0" t="0" r="0" b="0"/>
                      <wp:wrapNone/>
                      <wp:docPr id="70" name="Frame7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2"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62585" cy="175260"/>
                      <wp:effectExtent l="0" t="0" r="0" b="0"/>
                      <wp:wrapNone/>
                      <wp:docPr id="73" name="Frame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3510" cy="175260"/>
                      <wp:effectExtent l="0" t="0" r="0" b="0"/>
                      <wp:wrapNone/>
                      <wp:docPr id="74" name="Frame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8785" cy="175260"/>
                      <wp:effectExtent l="0" t="0" r="0" b="0"/>
                      <wp:wrapNone/>
                      <wp:docPr id="75" name="Frame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3510" cy="175260"/>
                      <wp:effectExtent l="0" t="0" r="0" b="0"/>
                      <wp:wrapNone/>
                      <wp:docPr id="76" name="Frame7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58115" cy="175260"/>
                      <wp:effectExtent l="0" t="0" r="0" b="0"/>
                      <wp:wrapNone/>
                      <wp:docPr id="77" name="Frame7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80670" cy="175260"/>
                      <wp:effectExtent l="0" t="0" r="0" b="0"/>
                      <wp:wrapNone/>
                      <wp:docPr id="78" name="Frame7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3510" cy="175260"/>
                      <wp:effectExtent l="0" t="0" r="0" b="0"/>
                      <wp:wrapNone/>
                      <wp:docPr id="79" name="Frame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2240" cy="175260"/>
                      <wp:effectExtent l="0" t="0" r="0" b="0"/>
                      <wp:wrapNone/>
                      <wp:docPr id="80" name="Frame8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72745" cy="175260"/>
                      <wp:effectExtent l="0" t="0" r="0" b="0"/>
                      <wp:wrapNone/>
                      <wp:docPr id="81" name="Frame81"/>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3510" cy="175260"/>
                      <wp:effectExtent l="0" t="0" r="0" b="0"/>
                      <wp:wrapNone/>
                      <wp:docPr id="82" name="Frame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81635" cy="175260"/>
                      <wp:effectExtent l="0" t="0" r="0" b="0"/>
                      <wp:wrapNone/>
                      <wp:docPr id="84" name="Frame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3510" cy="175260"/>
                      <wp:effectExtent l="0" t="0" r="0" b="0"/>
                      <wp:wrapNone/>
                      <wp:docPr id="85" name="Frame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5265" cy="175260"/>
                      <wp:effectExtent l="0" t="0" r="0" b="0"/>
                      <wp:wrapNone/>
                      <wp:docPr id="86" name="Frame86"/>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80695" cy="175260"/>
                      <wp:effectExtent l="0" t="0" r="0" b="0"/>
                      <wp:wrapNone/>
                      <wp:docPr id="87" name="Frame87"/>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3510" cy="175260"/>
                      <wp:effectExtent l="0" t="0" r="0" b="0"/>
                      <wp:wrapNone/>
                      <wp:docPr id="88" name="Frame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76885" cy="175260"/>
                      <wp:effectExtent l="0" t="0" r="0" b="0"/>
                      <wp:wrapNone/>
                      <wp:docPr id="89" name="Frame8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3510" cy="175260"/>
                      <wp:effectExtent l="0" t="0" r="0" b="0"/>
                      <wp:wrapNone/>
                      <wp:docPr id="90" name="Frame9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19735" cy="175260"/>
                      <wp:effectExtent l="0" t="0" r="0" b="0"/>
                      <wp:wrapNone/>
                      <wp:docPr id="92" name="Frame9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3510" cy="175260"/>
                      <wp:effectExtent l="0" t="0" r="0" b="0"/>
                      <wp:wrapNone/>
                      <wp:docPr id="93" name="Frame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38125" cy="175260"/>
                      <wp:effectExtent l="0" t="0" r="0" b="0"/>
                      <wp:wrapNone/>
                      <wp:docPr id="94" name="Frame9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76885" cy="175260"/>
                      <wp:effectExtent l="0" t="0" r="0" b="0"/>
                      <wp:wrapNone/>
                      <wp:docPr id="95" name="Frame9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05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Waste Management, Inc. Stockholders’ Equity</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22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2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226" w:type="dxa"/>
            <w:tcBorders/>
            <w:vAlign w:val="center"/>
          </w:tcPr>
          <w:p>
            <w:pPr>
              <w:pStyle w:val="TableContents"/>
              <w:bidi w:val="0"/>
              <w:spacing w:before="0" w:after="0"/>
              <w:ind w:left="0" w:right="0" w:hanging="0"/>
              <w:jc w:val="left"/>
              <w:rPr/>
            </w:pPr>
            <w:r>
              <w:rPr/>
              <w:t>​</w:t>
            </w:r>
          </w:p>
        </w:tc>
        <w:tc>
          <w:tcPr>
            <w:tcW w:w="18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Treasury Stock</w:t>
            </w:r>
          </w:p>
        </w:tc>
        <w:tc>
          <w:tcPr>
            <w:tcW w:w="2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Noncontrolling</w: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c>
          <w:tcPr>
            <w:tcW w:w="2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226"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2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Income (Loss) </w:t>
            </w:r>
          </w:p>
        </w:tc>
        <w:tc>
          <w:tcPr>
            <w:tcW w:w="2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26" w:type="dxa"/>
            <w:tcBorders/>
            <w:vAlign w:val="center"/>
          </w:tcPr>
          <w:p>
            <w:pPr>
              <w:pStyle w:val="TableContents"/>
              <w:bidi w:val="0"/>
              <w:spacing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2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Interests</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442"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587"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center"/>
              <w:rPr/>
            </w:pPr>
            <w:r>
              <w:rPr/>
              <w:t>​</w:t>
            </w:r>
          </w:p>
        </w:tc>
        <w:tc>
          <w:tcPr>
            <w:tcW w:w="757"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center"/>
              <w:rPr/>
            </w:pPr>
            <w:r>
              <w:rPr/>
              <w:t>​</w:t>
            </w:r>
          </w:p>
        </w:tc>
        <w:tc>
          <w:tcPr>
            <w:tcW w:w="58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center"/>
              <w:rPr/>
            </w:pPr>
            <w:r>
              <w:rPr/>
              <w:t>​</w:t>
            </w:r>
          </w:p>
        </w:tc>
        <w:tc>
          <w:tcPr>
            <w:tcW w:w="75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9,991</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630,282</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17,232</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(227,341)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(12,914)</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 net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1,509</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of $1.89 per common share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transactions,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repurchase program</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9,926</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630,282</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17,977</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(230,315)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(13,851)</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December 31, 2024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8,254</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630,282</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15,858</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2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(228,788)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(12,993)</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 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1,364</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2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of $1.65 per common share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transactions,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2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9,202</w:t>
            </w:r>
          </w:p>
        </w:tc>
        <w:tc>
          <w:tcPr>
            <w:tcW w:w="22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630,282</w:t>
            </w:r>
          </w:p>
        </w:tc>
        <w:tc>
          <w:tcPr>
            <w:tcW w:w="2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2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16,553</w:t>
            </w:r>
          </w:p>
        </w:tc>
        <w:tc>
          <w:tcPr>
            <w:tcW w:w="226" w:type="dxa"/>
            <w:tcBorders/>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226" w:type="dxa"/>
            <w:tcBorders/>
            <w:vAlign w:val="center"/>
          </w:tcPr>
          <w:p>
            <w:pPr>
              <w:pStyle w:val="TableContents"/>
              <w:bidi w:val="0"/>
              <w:spacing w:before="0" w:after="0"/>
              <w:ind w:left="0" w:right="0" w:hanging="0"/>
              <w:jc w:val="left"/>
              <w:rPr/>
            </w:pPr>
            <w:r>
              <w:rPr/>
              <w:t> </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(227,680)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(12,933)</w:t>
            </w:r>
          </w:p>
        </w:tc>
        <w:tc>
          <w:tcPr>
            <w:tcW w:w="2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Renewable Energy segment, we are also a leading developer, operator and owner of landfill gas-to-energy facilities in the U.S. and Canada that produce renewable electricity and renewable natural gas (“RNG”), which is a significant source of fuel that we allocate to our natural gas fleet.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 We also provide additional services not managed through our five reportable segments, which are presented as Corporate and Other. Refer to Note 7 for further discussion.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as of June 30, 2026 for the three and six months ended June 30, 2026 and 2025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generally recognize revenue as services are performed or products are delivered. For example, revenue typically is recognized as waste is collected; tons are received at our landfills, transfer stations or processing facilities; or recycling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other commodities, such as RNG, electricity and capacity, Renewable Identification Numbers (“RINs”) and Renewable Energy Credits (“RECs”), are sold. Compliance services revenues are recognized over the contractual service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also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months, when the related services are performed.</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Contract Acquisition Costs</w:t>
      </w:r>
    </w:p>
    <w:p>
      <w:pPr>
        <w:pStyle w:val="TextBody"/>
        <w:bidi w:val="0"/>
        <w:spacing w:lineRule="atLeast" w:line="222" w:before="0" w:after="240"/>
        <w:ind w:left="0" w:right="0" w:firstLine="360"/>
        <w:jc w:val="both"/>
        <w:rPr>
          <w:rFonts w:ascii="Times New Roman;Times;serif" w:hAnsi="Times New Roman;Times;serif"/>
          <w:sz w:val="20"/>
        </w:rPr>
      </w:pPr>
      <w:r>
        <w:rPr>
          <w:rFonts w:ascii="Times New Roman;Times;serif" w:hAnsi="Times New Roman;Times;serif"/>
          <w:sz w:val="20"/>
        </w:rPr>
        <w:t>Our incremental</w:t>
      </w:r>
      <w:r>
        <w:rPr>
          <w:rFonts w:ascii="Times New Roman;Times;serif" w:hAnsi="Times New Roman;Times;serif"/>
          <w:spacing w:val="-3"/>
          <w:sz w:val="20"/>
        </w:rPr>
        <w:t xml:space="preserve"> </w:t>
      </w:r>
      <w:r>
        <w:rPr>
          <w:rFonts w:ascii="Times New Roman;Times;serif" w:hAnsi="Times New Roman;Times;serif"/>
          <w:sz w:val="20"/>
        </w:rPr>
        <w:t>direct</w:t>
      </w:r>
      <w:r>
        <w:rPr>
          <w:rFonts w:ascii="Times New Roman;Times;serif" w:hAnsi="Times New Roman;Times;serif"/>
          <w:spacing w:val="-3"/>
          <w:sz w:val="20"/>
        </w:rPr>
        <w:t xml:space="preserve"> </w:t>
      </w:r>
      <w:r>
        <w:rPr>
          <w:rFonts w:ascii="Times New Roman;Times;serif" w:hAnsi="Times New Roman;Times;serif"/>
          <w:sz w:val="20"/>
        </w:rPr>
        <w:t>costs</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obtaining</w:t>
      </w:r>
      <w:r>
        <w:rPr>
          <w:rFonts w:ascii="Times New Roman;Times;serif" w:hAnsi="Times New Roman;Times;serif"/>
          <w:spacing w:val="-2"/>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contract,</w:t>
      </w:r>
      <w:r>
        <w:rPr>
          <w:rFonts w:ascii="Times New Roman;Times;serif" w:hAnsi="Times New Roman;Times;serif"/>
          <w:spacing w:val="-3"/>
          <w:sz w:val="20"/>
        </w:rPr>
        <w:t xml:space="preserve"> </w:t>
      </w:r>
      <w:r>
        <w:rPr>
          <w:rFonts w:ascii="Times New Roman;Times;serif" w:hAnsi="Times New Roman;Times;serif"/>
          <w:sz w:val="20"/>
        </w:rPr>
        <w:t>which</w:t>
      </w:r>
      <w:r>
        <w:rPr>
          <w:rFonts w:ascii="Times New Roman;Times;serif" w:hAnsi="Times New Roman;Times;serif"/>
          <w:spacing w:val="-2"/>
          <w:sz w:val="20"/>
        </w:rPr>
        <w:t xml:space="preserve"> </w:t>
      </w:r>
      <w:r>
        <w:rPr>
          <w:rFonts w:ascii="Times New Roman;Times;serif" w:hAnsi="Times New Roman;Times;serif"/>
          <w:sz w:val="20"/>
        </w:rPr>
        <w:t>consist</w:t>
      </w:r>
      <w:r>
        <w:rPr>
          <w:rFonts w:ascii="Times New Roman;Times;serif" w:hAnsi="Times New Roman;Times;serif"/>
          <w:spacing w:val="-4"/>
          <w:sz w:val="20"/>
        </w:rPr>
        <w:t xml:space="preserve"> </w:t>
      </w:r>
      <w:r>
        <w:rPr>
          <w:rFonts w:ascii="Times New Roman;Times;serif" w:hAnsi="Times New Roman;Times;serif"/>
          <w:sz w:val="20"/>
        </w:rPr>
        <w:t>primarily</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sales</w:t>
      </w:r>
      <w:r>
        <w:rPr>
          <w:rFonts w:ascii="Times New Roman;Times;serif" w:hAnsi="Times New Roman;Times;serif"/>
          <w:spacing w:val="-3"/>
          <w:sz w:val="20"/>
        </w:rPr>
        <w:t xml:space="preserve"> </w:t>
      </w:r>
      <w:r>
        <w:rPr>
          <w:rFonts w:ascii="Times New Roman;Times;serif" w:hAnsi="Times New Roman;Times;serif"/>
          <w:sz w:val="20"/>
        </w:rPr>
        <w:t>incentives,</w:t>
      </w:r>
      <w:r>
        <w:rPr>
          <w:rFonts w:ascii="Times New Roman;Times;serif" w:hAnsi="Times New Roman;Times;serif"/>
          <w:spacing w:val="-3"/>
          <w:sz w:val="20"/>
        </w:rPr>
        <w:t xml:space="preserve"> </w:t>
      </w:r>
      <w:r>
        <w:rPr>
          <w:rFonts w:ascii="Times New Roman;Times;serif" w:hAnsi="Times New Roman;Times;serif"/>
          <w:sz w:val="20"/>
        </w:rPr>
        <w:t>are</w:t>
      </w:r>
      <w:r>
        <w:rPr>
          <w:rFonts w:ascii="Times New Roman;Times;serif" w:hAnsi="Times New Roman;Times;serif"/>
          <w:spacing w:val="-4"/>
          <w:sz w:val="20"/>
        </w:rPr>
        <w:t xml:space="preserve"> </w:t>
      </w:r>
      <w:r>
        <w:rPr>
          <w:rFonts w:ascii="Times New Roman;Times;serif" w:hAnsi="Times New Roman;Times;serif"/>
          <w:sz w:val="20"/>
        </w:rPr>
        <w:t>generally</w:t>
      </w:r>
      <w:r>
        <w:rPr>
          <w:rFonts w:ascii="Times New Roman;Times;serif" w:hAnsi="Times New Roman;Times;serif"/>
          <w:spacing w:val="-2"/>
          <w:sz w:val="20"/>
        </w:rPr>
        <w:t xml:space="preserve"> </w:t>
      </w:r>
      <w:r>
        <w:rPr>
          <w:rFonts w:ascii="Times New Roman;Times;serif" w:hAnsi="Times New Roman;Times;serif"/>
          <w:sz w:val="20"/>
        </w:rPr>
        <w:t>deferred and</w:t>
      </w:r>
      <w:r>
        <w:rPr>
          <w:rFonts w:ascii="Times New Roman;Times;serif" w:hAnsi="Times New Roman;Times;serif"/>
          <w:spacing w:val="-2"/>
          <w:sz w:val="20"/>
        </w:rPr>
        <w:t xml:space="preserve"> </w:t>
      </w:r>
      <w:r>
        <w:rPr>
          <w:rFonts w:ascii="Times New Roman;Times;serif" w:hAnsi="Times New Roman;Times;serif"/>
          <w:sz w:val="20"/>
        </w:rPr>
        <w:t>amortized</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selling,</w:t>
      </w:r>
      <w:r>
        <w:rPr>
          <w:rFonts w:ascii="Times New Roman;Times;serif" w:hAnsi="Times New Roman;Times;serif"/>
          <w:spacing w:val="-3"/>
          <w:sz w:val="20"/>
        </w:rPr>
        <w:t xml:space="preserve"> </w:t>
      </w:r>
      <w:r>
        <w:rPr>
          <w:rFonts w:ascii="Times New Roman;Times;serif" w:hAnsi="Times New Roman;Times;serif"/>
          <w:sz w:val="20"/>
        </w:rPr>
        <w:t>general</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administrative</w:t>
      </w:r>
      <w:r>
        <w:rPr>
          <w:rFonts w:ascii="Times New Roman;Times;serif" w:hAnsi="Times New Roman;Times;serif"/>
          <w:spacing w:val="-2"/>
          <w:sz w:val="20"/>
        </w:rPr>
        <w:t xml:space="preserve"> </w:t>
      </w:r>
      <w:r>
        <w:rPr>
          <w:rFonts w:ascii="Times New Roman;Times;serif" w:hAnsi="Times New Roman;Times;serif"/>
          <w:sz w:val="20"/>
        </w:rPr>
        <w:t>expense</w:t>
      </w:r>
      <w:r>
        <w:rPr>
          <w:rFonts w:ascii="Times New Roman;Times;serif" w:hAnsi="Times New Roman;Times;serif"/>
          <w:spacing w:val="-2"/>
          <w:sz w:val="20"/>
        </w:rPr>
        <w:t xml:space="preserve"> </w:t>
      </w:r>
      <w:r>
        <w:rPr>
          <w:rFonts w:ascii="Times New Roman;Times;serif" w:hAnsi="Times New Roman;Times;serif"/>
          <w:sz w:val="20"/>
        </w:rPr>
        <w:t>over</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estimated</w:t>
      </w:r>
      <w:r>
        <w:rPr>
          <w:rFonts w:ascii="Times New Roman;Times;serif" w:hAnsi="Times New Roman;Times;serif"/>
          <w:spacing w:val="-1"/>
          <w:sz w:val="20"/>
        </w:rPr>
        <w:t xml:space="preserve"> </w:t>
      </w:r>
      <w:r>
        <w:rPr>
          <w:rFonts w:ascii="Times New Roman;Times;serif" w:hAnsi="Times New Roman;Times;serif"/>
          <w:sz w:val="20"/>
        </w:rPr>
        <w:t>life</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relevant</w:t>
      </w:r>
      <w:r>
        <w:rPr>
          <w:rFonts w:ascii="Times New Roman;Times;serif" w:hAnsi="Times New Roman;Times;serif"/>
          <w:spacing w:val="-2"/>
          <w:sz w:val="20"/>
        </w:rPr>
        <w:t xml:space="preserve"> </w:t>
      </w:r>
      <w:r>
        <w:rPr>
          <w:rFonts w:ascii="Times New Roman;Times;serif" w:hAnsi="Times New Roman;Times;serif"/>
          <w:sz w:val="20"/>
        </w:rPr>
        <w:t>customer</w:t>
      </w:r>
      <w:r>
        <w:rPr>
          <w:rFonts w:ascii="Times New Roman;Times;serif" w:hAnsi="Times New Roman;Times;serif"/>
          <w:spacing w:val="-2"/>
          <w:sz w:val="20"/>
        </w:rPr>
        <w:t xml:space="preserve"> </w:t>
      </w:r>
      <w:r>
        <w:rPr>
          <w:rFonts w:ascii="Times New Roman;Times;serif" w:hAnsi="Times New Roman;Times;serif"/>
          <w:sz w:val="20"/>
        </w:rPr>
        <w:t>relationship,</w:t>
      </w:r>
      <w:r>
        <w:rPr>
          <w:rFonts w:ascii="Times New Roman;Times;serif" w:hAnsi="Times New Roman;Times;serif"/>
          <w:spacing w:val="-2"/>
          <w:sz w:val="20"/>
        </w:rPr>
        <w:t xml:space="preserve"> </w:t>
      </w:r>
      <w:r>
        <w:rPr>
          <w:rFonts w:ascii="Times New Roman;Times;serif" w:hAnsi="Times New Roman;Times;serif"/>
          <w:sz w:val="20"/>
        </w:rPr>
        <w:t>ranging</w:t>
      </w:r>
      <w:r>
        <w:rPr>
          <w:rFonts w:ascii="Times New Roman;Times;serif" w:hAnsi="Times New Roman;Times;serif"/>
          <w:spacing w:val="14"/>
          <w:sz w:val="20"/>
        </w:rPr>
        <w:t xml:space="preserve"> </w:t>
      </w:r>
      <w:r>
        <w:rPr>
          <w:rFonts w:ascii="Times New Roman;Times;serif" w:hAnsi="Times New Roman;Times;serif"/>
          <w:sz w:val="20"/>
        </w:rPr>
        <w:t>from</w:t>
      </w:r>
      <w:r>
        <w:rPr>
          <w:rFonts w:ascii="Times New Roman;Times;serif" w:hAnsi="Times New Roman;Times;serif"/>
          <w:spacing w:val="13"/>
          <w:sz w:val="20"/>
        </w:rPr>
        <w:t xml:space="preserve"> </w:t>
      </w:r>
      <w:r>
        <w:rPr>
          <w:rFonts w:ascii="Times New Roman;Times;serif" w:hAnsi="Times New Roman;Times;serif"/>
          <w:b w:val="false"/>
          <w:i w:val="false"/>
          <w:caps w:val="false"/>
          <w:smallCaps w:val="false"/>
          <w:sz w:val="20"/>
        </w:rPr>
        <w:t>five</w:t>
      </w:r>
      <w:r>
        <w:rPr>
          <w:rFonts w:ascii="Times New Roman;Times;serif" w:hAnsi="Times New Roman;Times;serif"/>
          <w:spacing w:val="15"/>
          <w:sz w:val="20"/>
        </w:rPr>
        <w:t xml:space="preserve"> </w:t>
      </w:r>
      <w:r>
        <w:rPr>
          <w:rFonts w:ascii="Times New Roman;Times;serif" w:hAnsi="Times New Roman;Times;serif"/>
          <w:sz w:val="20"/>
        </w:rPr>
        <w:t>to</w:t>
      </w:r>
      <w:r>
        <w:rPr>
          <w:rFonts w:ascii="Times New Roman;Times;serif" w:hAnsi="Times New Roman;Times;serif"/>
          <w:spacing w:val="14"/>
          <w:sz w:val="20"/>
        </w:rPr>
        <w:t xml:space="preserve"> </w:t>
      </w:r>
      <w:r>
        <w:rPr>
          <w:rFonts w:ascii="Times New Roman;Times;serif" w:hAnsi="Times New Roman;Times;serif"/>
          <w:sz w:val="20"/>
        </w:rPr>
        <w:t>16</w:t>
      </w:r>
      <w:r>
        <w:rPr>
          <w:rFonts w:ascii="Times New Roman;Times;serif" w:hAnsi="Times New Roman;Times;serif"/>
          <w:spacing w:val="14"/>
          <w:sz w:val="20"/>
        </w:rPr>
        <w:t xml:space="preserve"> </w:t>
      </w:r>
      <w:r>
        <w:rPr>
          <w:rFonts w:ascii="Times New Roman;Times;serif" w:hAnsi="Times New Roman;Times;serif"/>
          <w:sz w:val="20"/>
        </w:rPr>
        <w:t>years.</w:t>
      </w:r>
      <w:r>
        <w:rPr>
          <w:rFonts w:ascii="Times New Roman;Times;serif" w:hAnsi="Times New Roman;Times;serif"/>
          <w:spacing w:val="14"/>
          <w:sz w:val="20"/>
        </w:rPr>
        <w:t xml:space="preserve"> </w:t>
      </w:r>
      <w:r>
        <w:rPr>
          <w:rFonts w:ascii="Times New Roman;Times;serif" w:hAnsi="Times New Roman;Times;serif"/>
          <w:sz w:val="20"/>
        </w:rPr>
        <w:t>Contract</w:t>
      </w:r>
      <w:r>
        <w:rPr>
          <w:rFonts w:ascii="Times New Roman;Times;serif" w:hAnsi="Times New Roman;Times;serif"/>
          <w:spacing w:val="14"/>
          <w:sz w:val="20"/>
        </w:rPr>
        <w:t xml:space="preserve"> </w:t>
      </w:r>
      <w:r>
        <w:rPr>
          <w:rFonts w:ascii="Times New Roman;Times;serif" w:hAnsi="Times New Roman;Times;serif"/>
          <w:sz w:val="20"/>
        </w:rPr>
        <w:t>acquisition</w:t>
      </w:r>
      <w:r>
        <w:rPr>
          <w:rFonts w:ascii="Times New Roman;Times;serif" w:hAnsi="Times New Roman;Times;serif"/>
          <w:spacing w:val="14"/>
          <w:sz w:val="20"/>
        </w:rPr>
        <w:t xml:space="preserve"> </w:t>
      </w:r>
      <w:r>
        <w:rPr>
          <w:rFonts w:ascii="Times New Roman;Times;serif" w:hAnsi="Times New Roman;Times;serif"/>
          <w:sz w:val="20"/>
        </w:rPr>
        <w:t>costs</w:t>
      </w:r>
      <w:r>
        <w:rPr>
          <w:rFonts w:ascii="Times New Roman;Times;serif" w:hAnsi="Times New Roman;Times;serif"/>
          <w:spacing w:val="14"/>
          <w:sz w:val="20"/>
        </w:rPr>
        <w:t xml:space="preserve"> </w:t>
      </w:r>
      <w:r>
        <w:rPr>
          <w:rFonts w:ascii="Times New Roman;Times;serif" w:hAnsi="Times New Roman;Times;serif"/>
          <w:sz w:val="20"/>
        </w:rPr>
        <w:t>that</w:t>
      </w:r>
      <w:r>
        <w:rPr>
          <w:rFonts w:ascii="Times New Roman;Times;serif" w:hAnsi="Times New Roman;Times;serif"/>
          <w:spacing w:val="16"/>
          <w:sz w:val="20"/>
        </w:rPr>
        <w:t xml:space="preserve"> </w:t>
      </w:r>
      <w:r>
        <w:rPr>
          <w:rFonts w:ascii="Times New Roman;Times;serif" w:hAnsi="Times New Roman;Times;serif"/>
          <w:sz w:val="20"/>
        </w:rPr>
        <w:t>are</w:t>
      </w:r>
      <w:r>
        <w:rPr>
          <w:rFonts w:ascii="Times New Roman;Times;serif" w:hAnsi="Times New Roman;Times;serif"/>
          <w:spacing w:val="13"/>
          <w:sz w:val="20"/>
        </w:rPr>
        <w:t xml:space="preserve"> </w:t>
      </w:r>
      <w:r>
        <w:rPr>
          <w:rFonts w:ascii="Times New Roman;Times;serif" w:hAnsi="Times New Roman;Times;serif"/>
          <w:sz w:val="20"/>
        </w:rPr>
        <w:t>paid</w:t>
      </w:r>
      <w:r>
        <w:rPr>
          <w:rFonts w:ascii="Times New Roman;Times;serif" w:hAnsi="Times New Roman;Times;serif"/>
          <w:spacing w:val="15"/>
          <w:sz w:val="20"/>
        </w:rPr>
        <w:t xml:space="preserve"> </w:t>
      </w:r>
      <w:r>
        <w:rPr>
          <w:rFonts w:ascii="Times New Roman;Times;serif" w:hAnsi="Times New Roman;Times;serif"/>
          <w:sz w:val="20"/>
        </w:rPr>
        <w:t>to</w:t>
      </w:r>
      <w:r>
        <w:rPr>
          <w:rFonts w:ascii="Times New Roman;Times;serif" w:hAnsi="Times New Roman;Times;serif"/>
          <w:spacing w:val="14"/>
          <w:sz w:val="20"/>
        </w:rPr>
        <w:t xml:space="preserve"> </w:t>
      </w:r>
      <w:r>
        <w:rPr>
          <w:rFonts w:ascii="Times New Roman;Times;serif" w:hAnsi="Times New Roman;Times;serif"/>
          <w:sz w:val="20"/>
        </w:rPr>
        <w:t>the</w:t>
      </w:r>
      <w:r>
        <w:rPr>
          <w:rFonts w:ascii="Times New Roman;Times;serif" w:hAnsi="Times New Roman;Times;serif"/>
          <w:spacing w:val="14"/>
          <w:sz w:val="20"/>
        </w:rPr>
        <w:t xml:space="preserve"> </w:t>
      </w:r>
      <w:r>
        <w:rPr>
          <w:rFonts w:ascii="Times New Roman;Times;serif" w:hAnsi="Times New Roman;Times;serif"/>
          <w:sz w:val="20"/>
        </w:rPr>
        <w:t>customer</w:t>
      </w:r>
      <w:r>
        <w:rPr>
          <w:rFonts w:ascii="Times New Roman;Times;serif" w:hAnsi="Times New Roman;Times;serif"/>
          <w:spacing w:val="13"/>
          <w:sz w:val="20"/>
        </w:rPr>
        <w:t xml:space="preserve"> </w:t>
      </w:r>
      <w:r>
        <w:rPr>
          <w:rFonts w:ascii="Times New Roman;Times;serif" w:hAnsi="Times New Roman;Times;serif"/>
          <w:sz w:val="20"/>
        </w:rPr>
        <w:t>are</w:t>
      </w:r>
      <w:r>
        <w:rPr>
          <w:rFonts w:ascii="Times New Roman;Times;serif" w:hAnsi="Times New Roman;Times;serif"/>
          <w:spacing w:val="13"/>
          <w:sz w:val="20"/>
        </w:rPr>
        <w:t xml:space="preserve"> </w:t>
      </w:r>
      <w:r>
        <w:rPr>
          <w:rFonts w:ascii="Times New Roman;Times;serif" w:hAnsi="Times New Roman;Times;serif"/>
          <w:sz w:val="20"/>
        </w:rPr>
        <w:t>deferred</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4"/>
          <w:sz w:val="20"/>
        </w:rPr>
        <w:t xml:space="preserve"> </w:t>
      </w:r>
      <w:r>
        <w:rPr>
          <w:rFonts w:ascii="Times New Roman;Times;serif" w:hAnsi="Times New Roman;Times;serif"/>
          <w:sz w:val="20"/>
        </w:rPr>
        <w:t>amortized</w:t>
      </w:r>
      <w:r>
        <w:rPr>
          <w:rFonts w:ascii="Times New Roman;Times;serif" w:hAnsi="Times New Roman;Times;serif"/>
          <w:spacing w:val="14"/>
          <w:sz w:val="20"/>
        </w:rPr>
        <w:t xml:space="preserve"> </w:t>
      </w:r>
      <w:r>
        <w:rPr>
          <w:rFonts w:ascii="Times New Roman;Times;serif" w:hAnsi="Times New Roman;Times;serif"/>
          <w:sz w:val="20"/>
        </w:rPr>
        <w:t>as</w:t>
      </w:r>
      <w:r>
        <w:rPr>
          <w:rFonts w:ascii="Times New Roman;Times;serif" w:hAnsi="Times New Roman;Times;serif"/>
          <w:spacing w:val="14"/>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reduction in revenue</w:t>
      </w:r>
      <w:r>
        <w:rPr>
          <w:rFonts w:ascii="Times New Roman;Times;serif" w:hAnsi="Times New Roman;Times;serif"/>
          <w:spacing w:val="-1"/>
          <w:sz w:val="20"/>
        </w:rPr>
        <w:t xml:space="preserve"> </w:t>
      </w:r>
      <w:r>
        <w:rPr>
          <w:rFonts w:ascii="Times New Roman;Times;serif" w:hAnsi="Times New Roman;Times;serif"/>
          <w:sz w:val="20"/>
        </w:rPr>
        <w:t>over the contract life.</w:t>
      </w:r>
      <w:r>
        <w:rPr>
          <w:rFonts w:ascii="Times New Roman;Times;serif" w:hAnsi="Times New Roman;Times;serif"/>
          <w:spacing w:val="-1"/>
          <w:sz w:val="20"/>
        </w:rPr>
        <w:t xml:space="preserve"> </w:t>
      </w:r>
      <w:r>
        <w:rPr>
          <w:rFonts w:ascii="Times New Roman;Times;serif" w:hAnsi="Times New Roman;Times;serif"/>
          <w:sz w:val="20"/>
        </w:rPr>
        <w:t>Our contract acquisition costs are classified as current or noncurrent based on</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timing</w:t>
      </w:r>
      <w:r>
        <w:rPr>
          <w:rFonts w:ascii="Times New Roman;Times;serif" w:hAnsi="Times New Roman;Times;serif"/>
          <w:spacing w:val="18"/>
          <w:sz w:val="20"/>
        </w:rPr>
        <w:t xml:space="preserve"> </w:t>
      </w:r>
      <w:r>
        <w:rPr>
          <w:rFonts w:ascii="Times New Roman;Times;serif" w:hAnsi="Times New Roman;Times;serif"/>
          <w:sz w:val="20"/>
        </w:rPr>
        <w:t>of</w:t>
      </w:r>
      <w:r>
        <w:rPr>
          <w:rFonts w:ascii="Times New Roman;Times;serif" w:hAnsi="Times New Roman;Times;serif"/>
          <w:spacing w:val="17"/>
          <w:sz w:val="20"/>
        </w:rPr>
        <w:t xml:space="preserve"> </w:t>
      </w:r>
      <w:r>
        <w:rPr>
          <w:rFonts w:ascii="Times New Roman;Times;serif" w:hAnsi="Times New Roman;Times;serif"/>
          <w:sz w:val="20"/>
        </w:rPr>
        <w:t>when</w:t>
      </w:r>
      <w:r>
        <w:rPr>
          <w:rFonts w:ascii="Times New Roman;Times;serif" w:hAnsi="Times New Roman;Times;serif"/>
          <w:spacing w:val="18"/>
          <w:sz w:val="20"/>
        </w:rPr>
        <w:t xml:space="preserve"> </w:t>
      </w:r>
      <w:r>
        <w:rPr>
          <w:rFonts w:ascii="Times New Roman;Times;serif" w:hAnsi="Times New Roman;Times;serif"/>
          <w:sz w:val="20"/>
        </w:rPr>
        <w:t>we</w:t>
      </w:r>
      <w:r>
        <w:rPr>
          <w:rFonts w:ascii="Times New Roman;Times;serif" w:hAnsi="Times New Roman;Times;serif"/>
          <w:spacing w:val="17"/>
          <w:sz w:val="20"/>
        </w:rPr>
        <w:t xml:space="preserve"> </w:t>
      </w:r>
      <w:r>
        <w:rPr>
          <w:rFonts w:ascii="Times New Roman;Times;serif" w:hAnsi="Times New Roman;Times;serif"/>
          <w:sz w:val="20"/>
        </w:rPr>
        <w:t>expect</w:t>
      </w:r>
      <w:r>
        <w:rPr>
          <w:rFonts w:ascii="Times New Roman;Times;serif" w:hAnsi="Times New Roman;Times;serif"/>
          <w:spacing w:val="18"/>
          <w:sz w:val="20"/>
        </w:rPr>
        <w:t xml:space="preserve"> </w:t>
      </w:r>
      <w:r>
        <w:rPr>
          <w:rFonts w:ascii="Times New Roman;Times;serif" w:hAnsi="Times New Roman;Times;serif"/>
          <w:sz w:val="20"/>
        </w:rPr>
        <w:t>to</w:t>
      </w:r>
      <w:r>
        <w:rPr>
          <w:rFonts w:ascii="Times New Roman;Times;serif" w:hAnsi="Times New Roman;Times;serif"/>
          <w:spacing w:val="18"/>
          <w:sz w:val="20"/>
        </w:rPr>
        <w:t xml:space="preserve"> </w:t>
      </w:r>
      <w:r>
        <w:rPr>
          <w:rFonts w:ascii="Times New Roman;Times;serif" w:hAnsi="Times New Roman;Times;serif"/>
          <w:sz w:val="20"/>
        </w:rPr>
        <w:t>recognize</w:t>
      </w:r>
      <w:r>
        <w:rPr>
          <w:rFonts w:ascii="Times New Roman;Times;serif" w:hAnsi="Times New Roman;Times;serif"/>
          <w:spacing w:val="18"/>
          <w:sz w:val="20"/>
        </w:rPr>
        <w:t xml:space="preserve"> </w:t>
      </w:r>
      <w:r>
        <w:rPr>
          <w:rFonts w:ascii="Times New Roman;Times;serif" w:hAnsi="Times New Roman;Times;serif"/>
          <w:sz w:val="20"/>
        </w:rPr>
        <w:t>amortization</w:t>
      </w:r>
      <w:r>
        <w:rPr>
          <w:rFonts w:ascii="Times New Roman;Times;serif" w:hAnsi="Times New Roman;Times;serif"/>
          <w:spacing w:val="17"/>
          <w:sz w:val="20"/>
        </w:rPr>
        <w:t xml:space="preserve"> </w:t>
      </w:r>
      <w:r>
        <w:rPr>
          <w:rFonts w:ascii="Times New Roman;Times;serif" w:hAnsi="Times New Roman;Times;serif"/>
          <w:sz w:val="20"/>
        </w:rPr>
        <w:t>and</w:t>
      </w:r>
      <w:r>
        <w:rPr>
          <w:rFonts w:ascii="Times New Roman;Times;serif" w:hAnsi="Times New Roman;Times;serif"/>
          <w:spacing w:val="18"/>
          <w:sz w:val="20"/>
        </w:rPr>
        <w:t xml:space="preserve"> </w:t>
      </w:r>
      <w:r>
        <w:rPr>
          <w:rFonts w:ascii="Times New Roman;Times;serif" w:hAnsi="Times New Roman;Times;serif"/>
          <w:sz w:val="20"/>
        </w:rPr>
        <w:t>are</w:t>
      </w:r>
      <w:r>
        <w:rPr>
          <w:rFonts w:ascii="Times New Roman;Times;serif" w:hAnsi="Times New Roman;Times;serif"/>
          <w:spacing w:val="17"/>
          <w:sz w:val="20"/>
        </w:rPr>
        <w:t xml:space="preserve"> </w:t>
      </w:r>
      <w:r>
        <w:rPr>
          <w:rFonts w:ascii="Times New Roman;Times;serif" w:hAnsi="Times New Roman;Times;serif"/>
          <w:sz w:val="20"/>
        </w:rPr>
        <w:t>included</w:t>
      </w:r>
      <w:r>
        <w:rPr>
          <w:rFonts w:ascii="Times New Roman;Times;serif" w:hAnsi="Times New Roman;Times;serif"/>
          <w:spacing w:val="18"/>
          <w:sz w:val="20"/>
        </w:rPr>
        <w:t xml:space="preserve"> </w:t>
      </w:r>
      <w:r>
        <w:rPr>
          <w:rFonts w:ascii="Times New Roman;Times;serif" w:hAnsi="Times New Roman;Times;serif"/>
          <w:sz w:val="20"/>
        </w:rPr>
        <w:t>in</w:t>
      </w:r>
      <w:r>
        <w:rPr>
          <w:rFonts w:ascii="Times New Roman;Times;serif" w:hAnsi="Times New Roman;Times;serif"/>
          <w:spacing w:val="18"/>
          <w:sz w:val="20"/>
        </w:rPr>
        <w:t xml:space="preserve"> </w:t>
      </w:r>
      <w:r>
        <w:rPr>
          <w:rFonts w:ascii="Times New Roman;Times;serif" w:hAnsi="Times New Roman;Times;serif"/>
          <w:sz w:val="20"/>
        </w:rPr>
        <w:t>other</w:t>
      </w:r>
      <w:r>
        <w:rPr>
          <w:rFonts w:ascii="Times New Roman;Times;serif" w:hAnsi="Times New Roman;Times;serif"/>
          <w:spacing w:val="18"/>
          <w:sz w:val="20"/>
        </w:rPr>
        <w:t xml:space="preserve"> </w:t>
      </w:r>
      <w:r>
        <w:rPr>
          <w:rFonts w:ascii="Times New Roman;Times;serif" w:hAnsi="Times New Roman;Times;serif"/>
          <w:sz w:val="20"/>
        </w:rPr>
        <w:t>assets</w:t>
      </w:r>
      <w:r>
        <w:rPr>
          <w:rFonts w:ascii="Times New Roman;Times;serif" w:hAnsi="Times New Roman;Times;serif"/>
          <w:spacing w:val="18"/>
          <w:sz w:val="20"/>
        </w:rPr>
        <w:t xml:space="preserve"> </w:t>
      </w:r>
      <w:r>
        <w:rPr>
          <w:rFonts w:ascii="Times New Roman;Times;serif" w:hAnsi="Times New Roman;Times;serif"/>
          <w:sz w:val="20"/>
        </w:rPr>
        <w:t>in</w:t>
      </w:r>
      <w:r>
        <w:rPr>
          <w:rFonts w:ascii="Times New Roman;Times;serif" w:hAnsi="Times New Roman;Times;serif"/>
          <w:spacing w:val="18"/>
          <w:sz w:val="20"/>
        </w:rPr>
        <w:t xml:space="preserve"> </w:t>
      </w:r>
      <w:r>
        <w:rPr>
          <w:rFonts w:ascii="Times New Roman;Times;serif" w:hAnsi="Times New Roman;Times;serif"/>
          <w:sz w:val="20"/>
        </w:rPr>
        <w:t>our</w:t>
      </w:r>
      <w:r>
        <w:rPr>
          <w:rFonts w:ascii="Times New Roman;Times;serif" w:hAnsi="Times New Roman;Times;serif"/>
          <w:spacing w:val="18"/>
          <w:sz w:val="20"/>
        </w:rPr>
        <w:t xml:space="preserve"> Condensed </w:t>
      </w:r>
      <w:r>
        <w:rPr>
          <w:rFonts w:ascii="Times New Roman;Times;serif" w:hAnsi="Times New Roman;Times;serif"/>
          <w:sz w:val="20"/>
        </w:rPr>
        <w:t>Consolidated</w:t>
      </w:r>
      <w:r>
        <w:rPr>
          <w:rFonts w:ascii="Times New Roman;Times;serif" w:hAnsi="Times New Roman;Times;serif"/>
          <w:spacing w:val="18"/>
          <w:sz w:val="20"/>
        </w:rPr>
        <w:t xml:space="preserve"> </w:t>
      </w:r>
      <w:r>
        <w:rPr>
          <w:rFonts w:ascii="Times New Roman;Times;serif" w:hAnsi="Times New Roman;Times;serif"/>
          <w:sz w:val="20"/>
        </w:rPr>
        <w:t xml:space="preserve">Balance </w:t>
      </w:r>
      <w:r>
        <w:rPr>
          <w:rFonts w:ascii="Times New Roman;Times;serif" w:hAnsi="Times New Roman;Times;serif"/>
          <w:spacing w:val="-2"/>
          <w:sz w:val="20"/>
        </w:rPr>
        <w:t>Sheets.</w:t>
      </w:r>
      <w:r>
        <w:rPr>
          <w:rFonts w:ascii="Times New Roman;Times;serif" w:hAnsi="Times New Roman;Times;serif"/>
          <w:sz w:val="20"/>
        </w:rPr>
        <w:t xml:space="preserve"> As of June 30, 2026 and December 31, 2025, we had $230 million and $237 million, respectively, of deferred contract costs, of which $184 million and $177 million, respectively, were related to deferred sales incentives. </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Amounts for our operating lease right-of-use assets are recorded in other long-term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 </w:t>
      </w:r>
    </w:p>
    <w:p>
      <w:pPr>
        <w:pStyle w:val="TextBody"/>
        <w:shd w:fill="FFFFFF" w:val="clear"/>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Concentrations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us to concentrations of credit risk consist primarily of cash and cash equivalents, investments held within restricted funds, and accounts and other receivables.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necessary, reclassifications have been made to our prior period financial information to conform with the current year presentation, including the reclassification of interest accretion on landfill and environmental remediation liabilities from operating expenses to depreciation, depletion, amortization and accretion in our Condensed Consolidated Statements of Operations. These reclassifications are not material to our Condensed Consolidated Financial Statements.</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r>
        <w:rPr/>
        <w:t>​</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Adoption of New Accounting Standards in 2026</w:t>
      </w:r>
    </w:p>
    <w:p>
      <w:pPr>
        <w:pStyle w:val="TextBody"/>
        <w:bidi w:val="0"/>
        <w:spacing w:before="0" w:after="0"/>
        <w:ind w:left="0" w:right="0" w:firstLine="144"/>
        <w:jc w:val="left"/>
        <w:rPr>
          <w:rFonts w:ascii="Times New Roman;Times;serif" w:hAnsi="Times New Roman;Times;serif"/>
          <w:i/>
          <w:sz w:val="20"/>
        </w:rPr>
      </w:pPr>
      <w:r>
        <w:rPr>
          <w:rFonts w:ascii="Times New Roman;Times;serif" w:hAnsi="Times New Roman;Times;serif"/>
          <w:i/>
          <w:sz w:val="20"/>
        </w:rPr>
        <w:t>Improvements to Measurement of Credit Losses for Accounts Receivable and Contract Assets</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2025, the Financial Accounting Standards Board (“FASB”) issued Accounting Standards Update (“ASU”) 2025-05, “Financial Instruments – Credit Losses (Topic 326): Measurement of Credit Losses for Account Receivable and Contract Assets” (“ASU 2025-05”), which simplifies the estimation of expected credit losses for current accounts receivable and current contract assets arising from transactions accounted for under Accounting Standards Codification 606, Revenue from Contracts with Customers. The amendments permit entities to elect a practical expedient to assume the current conditions as of the balance sheet date will remain unchanged for the remaining life of the asset when developing a reasonable and supportable forecast for purposes of estimating expected credit losses. The Company adopted ASU 2025-05 on a prospective basis and elected the practical expedient during the quarter ended March 31, 2026. The adoption of the amended guidance did not have a material impact on our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960" w:name="Tc_b5k6I21Z6Uiq451twIOOzw_9_5"/>
      <w:bookmarkStart w:id="961" w:name="Tc_XUTsSyUZQ0W-miTOxJPmSg_9_2"/>
      <w:bookmarkStart w:id="962" w:name="Tc_aWSxQWwItkmQSA2yc4qJ1g_9_0"/>
      <w:bookmarkStart w:id="963" w:name="Tc_Tikbi9fnPEyWmYDovrXaLQ_8_6"/>
      <w:bookmarkStart w:id="964" w:name="Tc_lm9mUevv4027Cx3hcB8-VA_8_0"/>
      <w:bookmarkStart w:id="965" w:name="Tc_pyGjN8iD7Uaqyn2nqx9QwA_7_0"/>
      <w:bookmarkStart w:id="966" w:name="Tc_ebSaOCEEpUelMvzvgbQBQw_6_6"/>
      <w:bookmarkStart w:id="967" w:name="Tc_L_C95MG5xUiks9vxiLO14g_6_0"/>
      <w:bookmarkStart w:id="968" w:name="Tc_8Hm3fHhLS0eCsSCj_-l9pA_5_0"/>
      <w:bookmarkStart w:id="969" w:name="Tc_kES9cTJX-keWSl3B1rgHgQ_4_6"/>
      <w:bookmarkStart w:id="970" w:name="Tc_bn4poV_Ew0in7JRcTbpwIw_4_0"/>
      <w:bookmarkStart w:id="971" w:name="Tc_UBkPGctdMkm60p9iakAv7g_3_5"/>
      <w:bookmarkStart w:id="972" w:name="Tc_qkqF4e8rYUmXqFUMXNX2cA_3_2"/>
      <w:bookmarkStart w:id="973" w:name="Tc_0f59px9_q0aISO7prClh7A_3_0"/>
      <w:bookmarkStart w:id="974" w:name="Tc_YZZShf1VOEyxbRD5MNm1Vg_2_5"/>
      <w:bookmarkStart w:id="975" w:name="Tc_YnbRvwKZwUKxsVIKoL5Fwg_2_2"/>
      <w:bookmarkStart w:id="976" w:name="Tc_sInHM-ZpV0Cl-P43TUD07w_1_5"/>
      <w:bookmarkStart w:id="977" w:name="_ba1b1787_aa25_42ad_afb5_c6eda05d3c17"/>
      <w:bookmarkStart w:id="978" w:name="Tc_d9Q989uxkE20Faxa_UGsqA_6_17"/>
      <w:bookmarkStart w:id="979" w:name="Tc_9LjVcnJr0kqdqStJav0tZQ_6_14"/>
      <w:bookmarkStart w:id="980" w:name="Tc_t9Sx1RSPRkGudMqBIATO5g_6_11"/>
      <w:bookmarkStart w:id="981" w:name="Tc_hEpGFmphJEGbK3HBCbCLWA_6_8"/>
      <w:bookmarkStart w:id="982" w:name="Tc_H053Bcc4j0yDdYZtQ9h6uQ_6_5"/>
      <w:bookmarkStart w:id="983" w:name="Tc_ECieKo2UCEuVNoofyCGFAA_6_2"/>
      <w:bookmarkStart w:id="984" w:name="Tc_EM1sy4P6BEKIBPrwmdyBDg_4_17"/>
      <w:bookmarkStart w:id="985" w:name="Tc_VT8RCZLKPUmyb_Ic1su-kA_4_14"/>
      <w:bookmarkStart w:id="986" w:name="Tc_8fyZuuLSUUmI9nw5WmI_8g_4_11"/>
      <w:bookmarkStart w:id="987" w:name="Tc_fKeC-LD9Cki-kO_ZfnDC4A_4_8"/>
      <w:bookmarkStart w:id="988" w:name="Tc_JswxNoDJWkejD_ieUF8foA_4_5"/>
      <w:bookmarkStart w:id="989" w:name="Tc_5X8Pp_IQmkCBqd5TLISz5A_4_2"/>
      <w:bookmarkStart w:id="990" w:name="Tc_YJmapqiNEUaDl62NJLNusg_3_17"/>
      <w:bookmarkStart w:id="991" w:name="Tc_57XuDhy-0UuAtQ6gF1AgJg_3_14"/>
      <w:bookmarkStart w:id="992" w:name="Tc_FELgBPS5QE2_nbFouiyvfQ_3_11"/>
      <w:bookmarkStart w:id="993" w:name="Tc_VX2cil-byUue3_4rL58d9g_3_8"/>
      <w:bookmarkStart w:id="994" w:name="Tc_x2CyrIkqSESuC9Vbqcrvyg_3_5"/>
      <w:bookmarkStart w:id="995" w:name="Tc_j5WUfwbf5ECNbZ7yMuPcBg_3_2"/>
      <w:bookmarkStart w:id="996" w:name="Tc_DniweFumm0uUWFVRT7OGGg_2_14"/>
      <w:bookmarkStart w:id="997" w:name="Tc_sxY0Ok08iUGmRVA1vrT5dw_2_5"/>
      <w:bookmarkStart w:id="998" w:name="Tc_e9QFv6iQY0Wa6s-hkqLDIw_1_11"/>
      <w:bookmarkStart w:id="999" w:name="Tc_ueSueiEJxkSC12K25p150A_1_2"/>
      <w:bookmarkStart w:id="1000" w:name="_6fcaaeb4_de11_46d4_873a_ca515f59560c"/>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Pr>
          <w:rFonts w:ascii="Times New Roman;Times;serif" w:hAnsi="Times New Roman;Times;serif"/>
          <w:b/>
          <w:sz w:val="20"/>
        </w:rPr>
        <w:t>2.    Landfill and Environmental Remediation Liabilities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Liabilities for landfill and environmental remediation costs are presented in the table below (in millions):</w:t>
      </w:r>
    </w:p>
    <w:tbl>
      <w:tblPr>
        <w:tblW w:w="10205" w:type="dxa"/>
        <w:jc w:val="left"/>
        <w:tblInd w:w="0" w:type="dxa"/>
        <w:tblLayout w:type="fixed"/>
        <w:tblCellMar>
          <w:top w:w="0" w:type="dxa"/>
          <w:left w:w="0" w:type="dxa"/>
          <w:bottom w:w="0" w:type="dxa"/>
          <w:right w:w="0" w:type="dxa"/>
        </w:tblCellMar>
      </w:tblPr>
      <w:tblGrid>
        <w:gridCol w:w="2524"/>
        <w:gridCol w:w="346"/>
        <w:gridCol w:w="211"/>
        <w:gridCol w:w="571"/>
        <w:gridCol w:w="346"/>
        <w:gridCol w:w="395"/>
        <w:gridCol w:w="791"/>
        <w:gridCol w:w="346"/>
        <w:gridCol w:w="211"/>
        <w:gridCol w:w="571"/>
        <w:gridCol w:w="346"/>
        <w:gridCol w:w="211"/>
        <w:gridCol w:w="571"/>
        <w:gridCol w:w="346"/>
        <w:gridCol w:w="395"/>
        <w:gridCol w:w="791"/>
        <w:gridCol w:w="346"/>
        <w:gridCol w:w="211"/>
        <w:gridCol w:w="676"/>
      </w:tblGrid>
      <w:tr>
        <w:trPr/>
        <w:tc>
          <w:tcPr>
            <w:tcW w:w="2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02740" cy="175260"/>
                      <wp:effectExtent l="0" t="0" r="0" b="0"/>
                      <wp:wrapNone/>
                      <wp:docPr id="96" name="Frame96"/>
                      <a:graphic xmlns:a="http://schemas.openxmlformats.org/drawingml/2006/main">
                        <a:graphicData uri="http://schemas.microsoft.com/office/word/2010/wordprocessingShape">
                          <wps:wsp>
                            <wps:cNvSpPr txBox="1"/>
                            <wps:spPr>
                              <a:xfrm>
                                <a:off x="0" y="0"/>
                                <a:ext cx="160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62585" cy="175260"/>
                      <wp:effectExtent l="0" t="0" r="0" b="0"/>
                      <wp:wrapNone/>
                      <wp:docPr id="99" name="Frame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50825" cy="175260"/>
                      <wp:effectExtent l="0" t="0" r="0" b="0"/>
                      <wp:wrapNone/>
                      <wp:docPr id="101" name="Frame101"/>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02285" cy="175260"/>
                      <wp:effectExtent l="0" t="0" r="0" b="0"/>
                      <wp:wrapNone/>
                      <wp:docPr id="102" name="Frame10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260"/>
                      <wp:effectExtent l="0" t="0" r="0" b="0"/>
                      <wp:wrapNone/>
                      <wp:docPr id="105" name="Frame1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62585" cy="175260"/>
                      <wp:effectExtent l="0" t="0" r="0" b="0"/>
                      <wp:wrapNone/>
                      <wp:docPr id="108" name="Frame1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50825" cy="175260"/>
                      <wp:effectExtent l="0" t="0" r="0" b="0"/>
                      <wp:wrapNone/>
                      <wp:docPr id="110" name="Frame110"/>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2285" cy="175260"/>
                      <wp:effectExtent l="0" t="0" r="0" b="0"/>
                      <wp:wrapNone/>
                      <wp:docPr id="111" name="Frame11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14" name="Frame1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35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5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Environmental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Environmental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Landfill</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Remediation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Landfill</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Remediation</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 accrued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252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w:t>
            </w:r>
          </w:p>
        </w:tc>
        <w:tc>
          <w:tcPr>
            <w:tcW w:w="346"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w:t>
            </w:r>
          </w:p>
        </w:tc>
        <w:tc>
          <w:tcPr>
            <w:tcW w:w="346"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25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46"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c>
          <w:tcPr>
            <w:tcW w:w="346"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3,536</w:t>
            </w:r>
          </w:p>
        </w:tc>
      </w:tr>
    </w:tbl>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changes to landfill and environmental remediation liabilities for the six months ended June 30, 2026 are reflected in the table below (in millions):</w:t>
      </w:r>
    </w:p>
    <w:tbl>
      <w:tblPr>
        <w:tblW w:w="6771" w:type="dxa"/>
        <w:jc w:val="left"/>
        <w:tblInd w:w="0" w:type="dxa"/>
        <w:tblLayout w:type="fixed"/>
        <w:tblCellMar>
          <w:top w:w="0" w:type="dxa"/>
          <w:left w:w="0" w:type="dxa"/>
          <w:bottom w:w="0" w:type="dxa"/>
          <w:right w:w="0" w:type="dxa"/>
        </w:tblCellMar>
      </w:tblPr>
      <w:tblGrid>
        <w:gridCol w:w="4066"/>
        <w:gridCol w:w="346"/>
        <w:gridCol w:w="211"/>
        <w:gridCol w:w="571"/>
        <w:gridCol w:w="346"/>
        <w:gridCol w:w="352"/>
        <w:gridCol w:w="879"/>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581910" cy="175260"/>
                      <wp:effectExtent l="0" t="0" r="0" b="0"/>
                      <wp:wrapNone/>
                      <wp:docPr id="115" name="Frame115"/>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2585" cy="175260"/>
                      <wp:effectExtent l="0" t="0" r="0" b="0"/>
                      <wp:wrapNone/>
                      <wp:docPr id="118" name="Frame1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3520" cy="175260"/>
                      <wp:effectExtent l="0" t="0" r="0" b="0"/>
                      <wp:wrapNone/>
                      <wp:docPr id="120" name="Frame12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58165" cy="175260"/>
                      <wp:effectExtent l="0" t="0" r="0" b="0"/>
                      <wp:wrapNone/>
                      <wp:docPr id="121" name="Frame121"/>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Environmental</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Landfill</w:t>
            </w:r>
          </w:p>
        </w:tc>
        <w:tc>
          <w:tcPr>
            <w:tcW w:w="346" w:type="dxa"/>
            <w:tcBorders/>
            <w:vAlign w:val="center"/>
          </w:tcPr>
          <w:p>
            <w:pPr>
              <w:pStyle w:val="TableContents"/>
              <w:bidi w:val="0"/>
              <w:spacing w:before="0" w:after="1"/>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Remediation</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Obligations incurred and capitalized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  ​</w:t>
            </w:r>
          </w:p>
        </w:tc>
        <w:tc>
          <w:tcPr>
            <w:tcW w:w="352"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Obligations settled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1"/>
              <w:ind w:left="0" w:right="0" w:hanging="0"/>
              <w:jc w:val="left"/>
              <w:rPr/>
            </w:pPr>
            <w:r>
              <w:rPr/>
              <w:t>  ​</w:t>
            </w:r>
          </w:p>
        </w:tc>
        <w:tc>
          <w:tcPr>
            <w:tcW w:w="352"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accretion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1"/>
              <w:ind w:left="0" w:right="0" w:hanging="0"/>
              <w:jc w:val="left"/>
              <w:rPr/>
            </w:pPr>
            <w:r>
              <w:rPr/>
              <w:t>  ​</w:t>
            </w:r>
          </w:p>
        </w:tc>
        <w:tc>
          <w:tcPr>
            <w:tcW w:w="352"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Revisions in estimates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  ​</w:t>
            </w:r>
          </w:p>
        </w:tc>
        <w:tc>
          <w:tcPr>
            <w:tcW w:w="352"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Acquisitions, divestitures and other adjustments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  ​</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3,339</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230</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13 for additional information related to these trusts.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01" w:name="Tc_8JmAfr7-REO_uo4ct08IgQ_12_5"/>
      <w:bookmarkStart w:id="1002" w:name="Tc_7zA5tbah4U6tfOQ7RsE5Iw_12_2"/>
      <w:bookmarkStart w:id="1003" w:name="Tc_DGeh7ijatUy7smn1R8KyNQ_12_0"/>
      <w:bookmarkStart w:id="1004" w:name="Tc_tFXfdrvpgUqkc6Y6DvqPNw_11_0"/>
      <w:bookmarkStart w:id="1005" w:name="Tc_Y6lNoMOxCkSc4_E7aJg38g_9_0"/>
      <w:bookmarkStart w:id="1006" w:name="Tc_J7ZVF_tp_0qhsgylkSWP4A_8_0"/>
      <w:bookmarkStart w:id="1007" w:name="Tc_d3M8sZpFrU-qGRoZL1YP1w_7_0"/>
      <w:bookmarkStart w:id="1008" w:name="Tc_Iu57Zq-OJ02WKEHKEcWinA_6_6"/>
      <w:bookmarkStart w:id="1009" w:name="Tc_b-M75oNy9EeEtaF9z60JJQ_6_0"/>
      <w:bookmarkStart w:id="1010" w:name="Tc_jCt4W1gtYU2Xl9e9rxHIJg_5_0"/>
      <w:bookmarkStart w:id="1011" w:name="Tc_JJWenzUwHkyebxGRGljeGw_4_0"/>
      <w:bookmarkStart w:id="1012" w:name="Tc_sRdmXCLcrkSvlMNQdei-vA_3_5"/>
      <w:bookmarkStart w:id="1013" w:name="Tc_cVEULh4QJEiaz9sz4UeF3g_3_2"/>
      <w:bookmarkStart w:id="1014" w:name="Tc_6qF7O1Z2tkmWYJvAPSovKA_3_0"/>
      <w:bookmarkStart w:id="1015" w:name="Tc_On1hgzyJUEyUZE6sR0-WIw_2_5"/>
      <w:bookmarkStart w:id="1016" w:name="Tc_TU-Nv-xa4UaEe_-2phOyRg_2_2"/>
      <w:bookmarkStart w:id="1017" w:name="Tc_lOt6MytPgEuRTU4bp5YFpg_1_5"/>
      <w:bookmarkStart w:id="1018" w:name="Tc_8gghc3h8uUOuvlP-sXFkCg_1_2"/>
      <w:bookmarkStart w:id="1019" w:name="_e143d463_9ee4_4757_ba3d_6eb12b86ed46"/>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rFonts w:ascii="Times New Roman;Times;serif" w:hAnsi="Times New Roman;Times;serif"/>
          <w:b/>
          <w:sz w:val="20"/>
        </w:rPr>
        <w:t>3.    Debt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major components of debt at principal amounts as of each balance sheet date (in millions) and provides the maturities and interest rate ranges of each major category as of June 30, 2026:</w:t>
      </w:r>
    </w:p>
    <w:tbl>
      <w:tblPr>
        <w:tblW w:w="10205" w:type="dxa"/>
        <w:jc w:val="left"/>
        <w:tblInd w:w="0" w:type="dxa"/>
        <w:tblLayout w:type="fixed"/>
        <w:tblCellMar>
          <w:top w:w="0" w:type="dxa"/>
          <w:left w:w="0" w:type="dxa"/>
          <w:bottom w:w="0" w:type="dxa"/>
          <w:right w:w="0" w:type="dxa"/>
        </w:tblCellMar>
      </w:tblPr>
      <w:tblGrid>
        <w:gridCol w:w="7495"/>
        <w:gridCol w:w="346"/>
        <w:gridCol w:w="211"/>
        <w:gridCol w:w="676"/>
        <w:gridCol w:w="346"/>
        <w:gridCol w:w="237"/>
        <w:gridCol w:w="894"/>
      </w:tblGrid>
      <w:tr>
        <w:trPr/>
        <w:tc>
          <w:tcPr>
            <w:tcW w:w="7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759325" cy="175260"/>
                      <wp:effectExtent l="0" t="0" r="0" b="0"/>
                      <wp:wrapNone/>
                      <wp:docPr id="122" name="Frame122"/>
                      <a:graphic xmlns:a="http://schemas.openxmlformats.org/drawingml/2006/main">
                        <a:graphicData uri="http://schemas.microsoft.com/office/word/2010/wordprocessingShape">
                          <wps:wsp>
                            <wps:cNvSpPr txBox="1"/>
                            <wps:spPr>
                              <a:xfrm>
                                <a:off x="0" y="0"/>
                                <a:ext cx="4759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5" name="Frame1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0495" cy="175260"/>
                      <wp:effectExtent l="0" t="0" r="0" b="0"/>
                      <wp:wrapNone/>
                      <wp:docPr id="127" name="Frame12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67690" cy="175260"/>
                      <wp:effectExtent l="0" t="0" r="0" b="0"/>
                      <wp:wrapNone/>
                      <wp:docPr id="128" name="Frame128"/>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 program (weighted average interest rate of 3.95% as of June 30, 2026 and 4.05%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maturing through 2054, interest rates ranging from 1.15% to 7.75% (weighted average interest rate of 4.27% as of June 30, 2026 and 4.28% as of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17,483</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17,498</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Canadian senior notes, C$500 million, redeemed July 2026, interest rate of 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Canadian senior notes, C$700 million, maturing July 2033, interest rate of 3.944%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pPr>
            <w:r>
              <w:rPr/>
              <w:t>—</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Tax-exempt bonds, maturing through 2055, fixed and variable interest rates ranging from 0.70% to 4.60% (weighted average interest rate of 3.33% as of June 30, 2026 and 3.41%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 and other, maturing through 2075 (weighted average interest rate of 4.90% as of June 30, 2026 and 4.83% as of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issuance costs, discounts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74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23,356</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22,907</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22,281</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22,196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r>
        <w:rPr/>
        <w:t>​</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Debt Classification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we had approximately $3.8 billion of debt maturing within the next 12 months, including (i) $2.0 billion of tax-exempt bonds with term interest rate periods that expire within the next 12 months, which is prior to their scheduled maturities; (ii) $1.1 billion of short-term borrowings under our commercial paper program (net of related discount on issuance); (iii) $223 million of 7.10% senior notes that mature in August 2026; (iv) $352 million of 2.60% Canadian senior notes that the Company elected to redeem in July 2026 and (v) $206 million of other debt with scheduled maturities within the next 12 months. As of June 30, 2026, we have classified $2.7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$1.1 billion of debt maturing in the next 12 months is classified as current obligations. </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Access to and Utilization of Credit Facilities and Commercial Paper Program</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$3.5 Billion Revolving Credit Facility —</w:t>
      </w:r>
      <w:r>
        <w:rPr>
          <w:rFonts w:ascii="Times New Roman;Times;serif" w:hAnsi="Times New Roman;Times;serif"/>
          <w:sz w:val="20"/>
        </w:rPr>
        <w:t xml:space="preserve"> Our $3.5 billion revolving credit facility, maturing May 2029, provides us with credit capacity to be used for cash borrowings, to support letters of credit and to support our commercial paper program. The interest rates we pay on outstanding U.S. or Canadian loans are based on a secured overnight financing rate administered by the Federal Reserve Bank of New York (“SOFR”)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June 30, 2026, we had no outstanding borrowings under this facility. We had $1.1 billion of outstanding borrowings (net of related discount on issuance) under our commercial paper program and $226 million of letters of credit issued, both supported by the facility, leaving unused and available credit capacity of $2.2 billion as of June 30, 2026. WM Holdings, Inc. (“WM Holdings”), a wholly-owned subsidiary of WMI, guarantees all the obligations under the $3.5 billion revolving credit facility.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Commercial Paper Program</w:t>
      </w:r>
      <w:r>
        <w:rPr>
          <w:rFonts w:ascii="Times New Roman;Times;serif" w:hAnsi="Times New Roman;Times;serif"/>
          <w:sz w:val="20"/>
        </w:rPr>
        <w:t> — We have a commercial paper program that enables us to borrow funds for up to 397 days at competitive interest rates. The rates we pay for outstanding borrowings are based on the term of the notes. The commercial paper program is fully supported by our $3.5 billion revolving credit facility. As of June 30, 2026, we had $1.1 billion of outstanding borrowings (net of related discount on issuance) under our commercial paper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Other Letter of Credit Lines —</w:t>
      </w:r>
      <w:r>
        <w:rPr>
          <w:rFonts w:ascii="Times New Roman;Times;serif" w:hAnsi="Times New Roman;Times;serif"/>
          <w:sz w:val="20"/>
        </w:rPr>
        <w:t> As of June 30, 2026, we had utilized $944 million of other uncommitted letter of credit lines, with terms maturing through December 2029.</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Debt Borrowings and Repayments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Canadian Senior Notes — </w:t>
      </w:r>
      <w:r>
        <w:rPr>
          <w:rFonts w:ascii="Times New Roman;Times;serif" w:hAnsi="Times New Roman;Times;serif"/>
          <w:sz w:val="20"/>
        </w:rPr>
        <w:t>In June 2026, Waste Management of Canada Corporation, an indirect wholly-owned subsidiary of WM, issued C$700 million, or $493 million, of 3.944% senior notes due July 15, 2033, all of which are fully and unconditionally guaranteed on a senior unsecured basis by WM and WM Holdings. The net proceeds from the debt issuance were C$696 million, or $490 million, which were used to redeem the previously outstanding C$500 million 2.60% Canadian senior notes that would have matured in September 2026, and we intend to use the remainder of the proceeds for general corporate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Commercial Paper Program </w:t>
      </w:r>
      <w:r>
        <w:rPr>
          <w:rFonts w:ascii="Times New Roman;Times;serif" w:hAnsi="Times New Roman;Times;serif"/>
          <w:sz w:val="20"/>
        </w:rPr>
        <w:t>— During the six months ended June 30, 2026, we made cash repayments of $12.4 billion, which were partially offset by $12.3 billion of cash borrowings (net of related discount on issuance) used for general corporate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Financing Leases and Other</w:t>
      </w:r>
      <w:r>
        <w:rPr>
          <w:rFonts w:ascii="Times New Roman;Times;serif" w:hAnsi="Times New Roman;Times;serif"/>
          <w:sz w:val="20"/>
        </w:rPr>
        <w:t xml:space="preserve"> — The decrease in our financing leases and other debt obligations for the six months ended June 30, 2026 is due to $98 million of cash repayments of debt at maturity, partially offset by new, non-cash, finance lease activity of $97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0" w:name="Narr_20eBxxCoG0-2xCfGS63RcQ"/>
      <w:bookmarkEnd w:id="1020"/>
      <w:r>
        <w:rPr>
          <w:rFonts w:ascii="Times New Roman;Times;serif" w:hAnsi="Times New Roman;Times;serif"/>
          <w:b/>
          <w:sz w:val="20"/>
        </w:rPr>
        <w:t>4.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effective income tax rate was 23.2% and 21.2% for the three and six months ended June 30, 2026, respectively, compared to 21.7% and 20.5% for the three and six months ended June 30, 2025, respectively. The increase in our effective income tax rate when comparing the three and six months ended June 30, 2026 and 2025 was primarily driven by a decrease in investment tax credits and an increase in pre-tax income, partially offset by the recognition of clean fuel production tax credits at our RNG facilities. We evaluate our effective income tax rate at each interim period and adjust it as facts and circumstances warrant.</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Investments Qualifying for Federal Tax Credits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Renewable Natural Gas </w:t>
      </w:r>
      <w:r>
        <w:rPr>
          <w:rFonts w:ascii="Times New Roman;Times;serif" w:hAnsi="Times New Roman;Times;serif"/>
          <w:sz w:val="20"/>
        </w:rPr>
        <w:t>— Through our Renewable Energy segment, we have invested in building landfill gas-to-energy facilities in the U.S. and Canada that produce renewable electricity and RNG. Our RNG facilities in the U.S. qualify for investment tax credits and clean fuel production tax credits, pursuant to Sections 48 and 45Z of the Internal Revenue Code, which we expect to realize through 2027 and 2029,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six months ended June 30, 2026, we recognized a reduction in our income tax expense of $29 million and $53 million, respectively, due to investment tax credits from our RNG investments compared to $43 million and $89 million, respectively, for the comparable prior year periods.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six months ended June 30, 2026, we recognized a reduction in our income tax expense of $9 million and $44 million, respectively, related to clean fuel production tax credits from our RNG production and sales activity, with $17 million attributable to production and sales during the first half of 2026 and $27 million attributable to 2025 operations. The timing of the recognition of these production tax credits resulted from the issuance of proposed Treasury regulations during the first quarter of 2026 that clarified the qualification of our RNG sales for the credit.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Low-Income Housing </w:t>
      </w:r>
      <w:r>
        <w:rPr>
          <w:rFonts w:ascii="Times New Roman;Times;serif" w:hAnsi="Times New Roman;Times;serif"/>
          <w:sz w:val="20"/>
        </w:rPr>
        <w:t>— We have significant financial interests in entities established to invest in and manage low-income housing properties. We support the operations of these entities in exchange for a pro-rata share of the tax credits they generate. The low-income housing investments qualify for federal tax credits that we expect to realize through 2038 pursuant to Sections 42 and 45D of the Internal Revenue Code.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six months ended June 30, 2026, we recognized income tax expense of $26 million and $48 million, respectively, related to amortization under ASU 2023-02 and a reduction in our income tax expense of $35 million and $65 million, respectively, primarily due to federal tax credits realized from these investments. In addition, during the three and six months ended June 30, 2026, we recognized interest expense of $7 million and $15 million, respectively, associated with our investments in low-income housing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and six months ended June 30, 2025, we recognized income tax expense of $25 million and $45 million, respectively, related to amortization under ASU 2023-02 and a reduction in our income tax expense of $35 million and $62 million, respectively, primarily due to federal tax credits realized from these investments. In addition, during the three and six months ended June 30, 2025, we recognized interest expense of $8 million and $17 million, respectively, associated with our investments in low-income housing properties.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13 for additional information related to these unconsolidated variable interest entities.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1" w:name="Tc_wdQfOH5_ikKINwJkMwLQFA_10_0"/>
      <w:bookmarkStart w:id="1022" w:name="Tc_RqhmphnYs0u2doCXbTynrA_9_0"/>
      <w:bookmarkStart w:id="1023" w:name="Tc_wvQOqOVvu0S6BbUSDB9fAA_8_0"/>
      <w:bookmarkStart w:id="1024" w:name="Tc_soZS7Pgzdkeu8DPjKYIrlQ_7_0"/>
      <w:bookmarkStart w:id="1025" w:name="Tc_A5gBcy1420yNS4-vmPy5HQ_6_0"/>
      <w:bookmarkStart w:id="1026" w:name="Tc_GQEzIwDg-0mxOSMxzOqNIg_5_4"/>
      <w:bookmarkStart w:id="1027" w:name="Tc_fZM-Gp2ad06ISXM4GKKBgg_5_0"/>
      <w:bookmarkStart w:id="1028" w:name="Tc_AVEqJtAzR0a6vAJ5Toj9sw_4_0"/>
      <w:bookmarkStart w:id="1029" w:name="Tc_jlpyrHU_lEm9HtvoTCOeLA_3_8"/>
      <w:bookmarkStart w:id="1030" w:name="Tc_CLvR8DqrJEeAieUWKaLr0w_3_6"/>
      <w:bookmarkStart w:id="1031" w:name="Tc_58ip0Y9lC0eidirdWoqi0Q_3_4"/>
      <w:bookmarkStart w:id="1032" w:name="Tc_ggcbQdqxrUaqQtD81HMz2g_3_2"/>
      <w:bookmarkStart w:id="1033" w:name="Tc_-43jFvJsZEGAyzJPX7Hl-g_2_6"/>
      <w:bookmarkStart w:id="1034" w:name="Tc_ZHITUKHPCUOSo1MTa4LNbQ_2_2"/>
      <w:bookmarkStart w:id="1035" w:name="Tc_LMYb1do7qkCd1wD9LnPJEw_1_6"/>
      <w:bookmarkStart w:id="1036" w:name="Tc_x1hRdODLdUqJDd6M3r_Gng_1_2"/>
      <w:bookmarkStart w:id="1037" w:name="_2021488e_1b70_43e6_b39d_9f7cf37c06fb"/>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b/>
          <w:sz w:val="20"/>
        </w:rPr>
        <w:t>5.    Earnings Per Share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Basic and diluted earnings per share for the three and six months ended June 30 were computed using the following common share data (shares in millions):</w:t>
      </w:r>
    </w:p>
    <w:tbl>
      <w:tblPr>
        <w:tblW w:w="10205" w:type="dxa"/>
        <w:jc w:val="left"/>
        <w:tblInd w:w="0" w:type="dxa"/>
        <w:tblLayout w:type="fixed"/>
        <w:tblCellMar>
          <w:top w:w="0" w:type="dxa"/>
          <w:left w:w="0" w:type="dxa"/>
          <w:bottom w:w="0" w:type="dxa"/>
          <w:right w:w="0" w:type="dxa"/>
        </w:tblCellMar>
      </w:tblPr>
      <w:tblGrid>
        <w:gridCol w:w="6376"/>
        <w:gridCol w:w="346"/>
        <w:gridCol w:w="615"/>
        <w:gridCol w:w="372"/>
        <w:gridCol w:w="615"/>
        <w:gridCol w:w="346"/>
        <w:gridCol w:w="571"/>
        <w:gridCol w:w="346"/>
        <w:gridCol w:w="618"/>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048760" cy="175260"/>
                      <wp:effectExtent l="0" t="0" r="0" b="0"/>
                      <wp:wrapNone/>
                      <wp:docPr id="129" name="Frame129"/>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90525" cy="175260"/>
                      <wp:effectExtent l="0" t="0" r="0" b="0"/>
                      <wp:wrapNone/>
                      <wp:docPr id="131" name="Frame131"/>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36220" cy="175260"/>
                      <wp:effectExtent l="0" t="0" r="0" b="0"/>
                      <wp:wrapNone/>
                      <wp:docPr id="132" name="Frame13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90525" cy="175260"/>
                      <wp:effectExtent l="0" t="0" r="0" b="0"/>
                      <wp:wrapNone/>
                      <wp:docPr id="133" name="Frame133"/>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62585" cy="175260"/>
                      <wp:effectExtent l="0" t="0" r="0" b="0"/>
                      <wp:wrapNone/>
                      <wp:docPr id="135" name="Frame1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92430" cy="175260"/>
                      <wp:effectExtent l="0" t="0" r="0" b="0"/>
                      <wp:wrapNone/>
                      <wp:docPr id="137" name="Frame137"/>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2"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53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53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2" w:type="dxa"/>
            <w:tcBorders/>
            <w:vAlign w:val="center"/>
          </w:tcPr>
          <w:p>
            <w:pPr>
              <w:pStyle w:val="TableContents"/>
              <w:bidi w:val="0"/>
              <w:spacing w:before="0" w:after="0"/>
              <w:ind w:left="0" w:right="0" w:hanging="0"/>
              <w:jc w:val="left"/>
              <w:rPr/>
            </w:pPr>
            <w:r>
              <w:rPr/>
              <w:t>  ​ ​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common shares outstanding at end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w:t>
            </w:r>
          </w:p>
        </w:tc>
        <w:tc>
          <w:tcPr>
            <w:tcW w:w="372"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w:t>
            </w:r>
          </w:p>
        </w:tc>
        <w:tc>
          <w:tcPr>
            <w:tcW w:w="346" w:type="dxa"/>
            <w:tcBorders/>
            <w:shd w:fill="CCEEFF" w:val="clear"/>
            <w:vAlign w:val="center"/>
          </w:tcPr>
          <w:p>
            <w:pPr>
              <w:pStyle w:val="TableContents"/>
              <w:bidi w:val="0"/>
              <w:spacing w:before="0" w:after="0"/>
              <w:ind w:left="0" w:right="0" w:hanging="0"/>
              <w:jc w:val="left"/>
              <w:rPr/>
            </w:pPr>
            <w:r>
              <w:rPr/>
              <w:t> </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using weighted average common shares outstanding</w:t>
            </w:r>
          </w:p>
        </w:tc>
        <w:tc>
          <w:tcPr>
            <w:tcW w:w="346"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72"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 </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basic common shares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w:t>
            </w:r>
          </w:p>
        </w:tc>
        <w:tc>
          <w:tcPr>
            <w:tcW w:w="372"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402.3</w:t>
            </w:r>
          </w:p>
        </w:tc>
        <w:tc>
          <w:tcPr>
            <w:tcW w:w="346" w:type="dxa"/>
            <w:tcBorders/>
            <w:shd w:fill="CCEEFF" w:val="clear"/>
            <w:vAlign w:val="center"/>
          </w:tcPr>
          <w:p>
            <w:pPr>
              <w:pStyle w:val="TableContents"/>
              <w:bidi w:val="0"/>
              <w:spacing w:before="0" w:after="0"/>
              <w:ind w:left="0" w:right="0" w:hanging="0"/>
              <w:jc w:val="left"/>
              <w:rPr/>
            </w:pPr>
            <w:r>
              <w:rPr/>
              <w:t> </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equity-based compensation awards and other contingently issuable shares</w:t>
            </w:r>
          </w:p>
        </w:tc>
        <w:tc>
          <w:tcPr>
            <w:tcW w:w="346"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72"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diluted common shares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72" w:type="dxa"/>
            <w:tcBorders/>
            <w:shd w:fill="CCEEFF" w:val="clear"/>
            <w:vAlign w:val="center"/>
          </w:tcPr>
          <w:p>
            <w:pPr>
              <w:pStyle w:val="TableContents"/>
              <w:bidi w:val="0"/>
              <w:spacing w:before="0" w:after="0"/>
              <w:ind w:left="0" w:right="0" w:hanging="0"/>
              <w:jc w:val="left"/>
              <w:rPr/>
            </w:pPr>
            <w:r>
              <w:rPr/>
              <w:t> </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w:t>
            </w:r>
          </w:p>
        </w:tc>
        <w:tc>
          <w:tcPr>
            <w:tcW w:w="346" w:type="dxa"/>
            <w:tcBorders/>
            <w:shd w:fill="CCEEFF" w:val="clear"/>
            <w:vAlign w:val="center"/>
          </w:tcPr>
          <w:p>
            <w:pPr>
              <w:pStyle w:val="TableContents"/>
              <w:bidi w:val="0"/>
              <w:spacing w:before="0" w:after="0"/>
              <w:ind w:left="0" w:right="0" w:hanging="0"/>
              <w:jc w:val="left"/>
              <w:rPr/>
            </w:pPr>
            <w:r>
              <w:rPr/>
              <w:t> </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Potentially issuable shares</w:t>
            </w:r>
          </w:p>
        </w:tc>
        <w:tc>
          <w:tcPr>
            <w:tcW w:w="346"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72"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anti-dilutive potentially issuable shares excluded from diluted common shares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72"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 </w:t>
            </w:r>
          </w:p>
        </w:tc>
        <w:tc>
          <w:tcPr>
            <w:tcW w:w="61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Refer to the Condensed Consolidated Statements of Operations for net income attributable to Waste Management, Inc.</w:t>
      </w:r>
    </w:p>
    <w:p>
      <w:pPr>
        <w:pStyle w:val="TextBody"/>
        <w:bidi w:val="0"/>
        <w:spacing w:before="0" w:after="0"/>
        <w:ind w:left="0" w:right="0" w:firstLine="72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6.    Commitments and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Financial Instruments —</w:t>
      </w:r>
      <w:r>
        <w:rPr>
          <w:rFonts w:ascii="Times New Roman;Times;serif" w:hAnsi="Times New Roman;Times;serif"/>
          <w:sz w:val="20"/>
        </w:rPr>
        <w:t xml:space="preserve"> We have obtained letters of credit, surety bonds and insurance policies and have established 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Insurance —</w:t>
      </w:r>
      <w:r>
        <w:rPr>
          <w:rFonts w:ascii="Times New Roman;Times;serif" w:hAnsi="Times New Roman;Times;serif"/>
          <w:sz w:val="20"/>
        </w:rPr>
        <w:t xml:space="preserve"> We carry insurance coverage for protection of our assets and operations from certain risks including 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expect the impact of any known casualty, property, environmental or other contingency to have a material impact on our financial condition, results of operations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Guarantees —</w:t>
      </w:r>
      <w:r>
        <w:rPr>
          <w:rFonts w:ascii="Times New Roman;Times;serif" w:hAnsi="Times New Roman;Times;serif"/>
          <w:sz w:val="20"/>
        </w:rPr>
        <w:t xml:space="preserve"> In the ordinary course of our business, WMI and WM Holdings enter into guarantee agreements 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18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Environmental Matters —</w:t>
      </w:r>
      <w:r>
        <w:rPr>
          <w:rFonts w:ascii="Times New Roman;Times;serif" w:hAnsi="Times New Roman;Times;serif"/>
          <w:sz w:val="20"/>
        </w:rPr>
        <w:t xml:space="preserve"> 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$16 million higher than the $230 million recorded in the Condensed Consolidated Balance Sheet as of June 30, 2026.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we had been notified by the government that we are a PRP in connection with 75 locations listed on the Environmental Protection Agency’s (“EPA’s”) Superfund National Priorities List, or NPL. Of the 75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In November 2024, MIMC and IPC publicly issued a proposed revised full remedial design that was approved by the EPA in September 2025. The EPA issued a Unilateral Administrative Order for the site cleanup in April 2026. The issuance of this order was anticipated, and MIMC and IPC have communicated to the EPA their intention to comply. The recorded liability as of June 30, 2026, and December 31, 2025, was approximately $100 million. MIMC’s ultimate liability could be materially different from current estimates, including potential increases resulting from MIMC’s continued engagement with the EPA as construction contracting and planning proceed.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The following matter is disclosed in accordance with that requirement. We do not currently believe that the eventual outcome of this matter will have a material adverse effect on the Company’s business, financial condition, results of operations or cash flows.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26, 2026, the Delaware Department of Natural Resources and Environmental Control issued an order against Delaware Recyclable Products, Inc., an indirect, wholly-owned subsidiary of WMI, alleging certain environmental violations related to landfill cover and erosion control, stormwater management, the management of prohibited waste, and other permitting and operational matters. The order seeks compliance with a modified permit, certain remedial actions and the payment of an administrative penalty. Our appeal of this order is pending.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Litigation —</w:t>
      </w:r>
      <w:r>
        <w:rPr>
          <w:rFonts w:ascii="Times New Roman;Times;serif" w:hAnsi="Times New Roman;Times;serif"/>
          <w:sz w:val="20"/>
        </w:rPr>
        <w:t xml:space="preserve"> We are subject to various proceedings, 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actions will have a material adverse effect on the Company’s business, financial condition, results of operations or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11, 2020, Stericycle, Inc. (“Stericycle”), a now wholly-owned subsidiary, received an administrative subpoena from the U.S. Drug Enforcement Administration, which executed a search warrant at a facility in Rancho Cordova, California and an administrative inspection warrant at a facility in Indianapolis, Indiana for materials related to Stericycle’s now-divested Domestic Environmental Solutions business of collecting, transporting, and destroying controlled substances from retail customers (the “ESOL Retail Controlled Substances Business”). On that same day, agents from the California Department of Toxic Substances Control executed a separate search warrant at the Rancho Cordova facility. Since that time, the U.S. Attorney’s Office for the Eastern District of California has been overseeing criminal and civil investigations of the ESOL Retail Controlled Substances Business. Stericycle cooperated with the investigations, which were limited to the period of Stericycle’s historical operation and ownership of the ESOL Retail Controlled Substances Business from 2015 through 2020. In May 2026, Stericycle entered into certain settlement agreements, including a one-year deferred prosecution agreement, with the U.S. Department of Justice resolving the criminal and civil investigations. Stericycle has made the agreed-upon penalty and settlement payments and is subject to certain continuing compliance, reporting and cooperation obligations during the term of the deferred prosecution agreement. We do not currently believe this matter will have a material adverse effect on the Company’s business, financial condition, results of operations or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Multiemployer Defined Benefit Pension Plans —</w:t>
      </w:r>
      <w:r>
        <w:rPr>
          <w:rFonts w:ascii="Times New Roman;Times;serif" w:hAnsi="Times New Roman;Times;serif"/>
          <w:sz w:val="20"/>
        </w:rPr>
        <w:t xml:space="preserve"> About 15% of our workforce is covered by collective bargaining agreements with various local unions across the U.S. and Canada, and certain parts of Europe.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Tax Matters —</w:t>
      </w:r>
      <w:r>
        <w:rPr>
          <w:rFonts w:ascii="Times New Roman;Times;serif" w:hAnsi="Times New Roman;Times;serif"/>
          <w:sz w:val="20"/>
        </w:rPr>
        <w:t xml:space="preserve">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fourth quarter of 2022, the Company received a notice of tax due for the 2017 tax year related to a remaining disagreement with the IRS, and in response to that notice, the Company placed a deposit of approximately $103 million with the IRS. The Company filed a claim for refund of the entire deposit in the fourth quarter of 2024 and received a partial refund of approximately $14 million plus interest from the IRS in the second quarter of 2026. We expect to litigate any denial of the claim for refund of the remaining deposit. As of June 30, 2026 and December 31, 2025, the IRS deposit of $89 million and $103 million, respectively, was classified as a component of other long-term assets in the Company’s Condensed Consolidated Balance Sheets.</w:t>
      </w:r>
    </w:p>
    <w:p>
      <w:pPr>
        <w:pStyle w:val="TextBody"/>
        <w:bidi w:val="0"/>
        <w:spacing w:before="0" w:after="240"/>
        <w:ind w:left="0" w:right="0" w:hanging="0"/>
        <w:jc w:val="left"/>
        <w:rPr>
          <w:rFonts w:ascii="Times New Roman;Times;serif" w:hAnsi="Times New Roman;Times;serif"/>
          <w:b/>
          <w:sz w:val="20"/>
        </w:rPr>
      </w:pPr>
      <w:bookmarkStart w:id="1038" w:name="Tc_iL_agWOioUWlOSz2oXcizg_38_0"/>
      <w:bookmarkStart w:id="1039" w:name="Tc_g1qxA98umEK4Owz2L8UAvg_37_24"/>
      <w:bookmarkStart w:id="1040" w:name="Tc_hw1ANeD31UmHny9SSPBkbQ_37_21"/>
      <w:bookmarkStart w:id="1041" w:name="Tc_sn1Vnb7bek2WkpVlUwpJxA_37_18"/>
      <w:bookmarkStart w:id="1042" w:name="Tc_UJJeKX8HDEaSWCyLE2LakA_37_0"/>
      <w:bookmarkStart w:id="1043" w:name="Tc_hFr64GGrYEiUvmvLPgnLLw_35_26"/>
      <w:bookmarkStart w:id="1044" w:name="Tc_Dv2iz16CrEW-cP84Wm3ZwA_35_23"/>
      <w:bookmarkStart w:id="1045" w:name="Tc_4dHtyDi33E6Yho7tS4rAtw_35_20"/>
      <w:bookmarkStart w:id="1046" w:name="Tc_a5-m7jP7Q0KJjJ5-f91cZA_35_17"/>
      <w:bookmarkStart w:id="1047" w:name="Tc_9xJXNtsYpUu4X5-CtSGLwg_35_14"/>
      <w:bookmarkStart w:id="1048" w:name="Tc_IwlUCEDqJUWfAkh0nCU58Q_35_11"/>
      <w:bookmarkStart w:id="1049" w:name="Tc_ZCLcAFHqukWiz1uAmga-Gg_35_8"/>
      <w:bookmarkStart w:id="1050" w:name="Tc_qKyPmAbo90SPWDJq428SJQ_35_5"/>
      <w:bookmarkStart w:id="1051" w:name="Tc_9QSb36koskyNXt96smHJmg_35_2"/>
      <w:bookmarkStart w:id="1052" w:name="Tc_ff2ozEOsM0-w88i0waEueg_35_0"/>
      <w:bookmarkStart w:id="1053" w:name="Tc_uvqQGLKL1UiI2gA_2wFuQg_34_18"/>
      <w:bookmarkStart w:id="1054" w:name="Tc_KeMKEMVvFky6FQQu9GtG_g_34_0"/>
      <w:bookmarkStart w:id="1055" w:name="Tc_i_kB03HqmEqAFFIOLXeMbA_33_0"/>
      <w:bookmarkStart w:id="1056" w:name="Tc_T7MTI7BPf02dga0GKeHCtg_32_18"/>
      <w:bookmarkStart w:id="1057" w:name="Tc_GK0ATKFru0yZHQnmKp_XZA_32_6"/>
      <w:bookmarkStart w:id="1058" w:name="Tc_kihLwT9ekk6xoXBKF5fFcQ_32_0"/>
      <w:bookmarkStart w:id="1059" w:name="Tc_6k_EPf6hik-R8ag6dK-luA_31_0"/>
      <w:bookmarkStart w:id="1060" w:name="Tc_jvN9tOVdG02G6VFkb1Imyw_30_0"/>
      <w:bookmarkStart w:id="1061" w:name="Tc_SuMjXKe6fkW26JjidyEmJw_29_0"/>
      <w:bookmarkStart w:id="1062" w:name="Tc_wL4kExn1oUKyikvQ9kOV9A_28_0"/>
      <w:bookmarkStart w:id="1063" w:name="Tc_lcXGS757O0GdK1hDAyK_fQ_27_26"/>
      <w:bookmarkStart w:id="1064" w:name="Tc_8pVt4tqP5EGYumwd7yAOpw_27_23"/>
      <w:bookmarkStart w:id="1065" w:name="Tc_InxACCnBVkq1ROdk9E2o-g_27_20"/>
      <w:bookmarkStart w:id="1066" w:name="Tc_DTFmhRrEeEWQdAExPnqLWw_27_17"/>
      <w:bookmarkStart w:id="1067" w:name="Tc_psFnRiIZV0uEMMxebvkxmg_27_14"/>
      <w:bookmarkStart w:id="1068" w:name="Tc_EdDeCQbw9kG0ueFa0DxA6w_27_11"/>
      <w:bookmarkStart w:id="1069" w:name="Tc_bvjMMmIo6kmNdg0cNaHuXA_27_8"/>
      <w:bookmarkStart w:id="1070" w:name="Tc_zEr0cRG-FU-6g1HvkNhEMA_27_5"/>
      <w:bookmarkStart w:id="1071" w:name="Tc_LyWcDsPfY0WWvlGk9RkBSw_27_2"/>
      <w:bookmarkStart w:id="1072" w:name="Tc_pJg-wIvvlEiV4HHbN3WgzQ_27_0"/>
      <w:bookmarkStart w:id="1073" w:name="Tc_wAbd8VcaF0C5T6D06qOrNA_26_0"/>
      <w:bookmarkStart w:id="1074" w:name="Tc_eqKPlPZFU0yDah352x1kug_25_0"/>
      <w:bookmarkStart w:id="1075" w:name="Tc_GGX1VbaE0kqW926rE8qQig_24_26"/>
      <w:bookmarkStart w:id="1076" w:name="Tc_RshkYCVIdkOsea_5QWWRWQ_24_23"/>
      <w:bookmarkStart w:id="1077" w:name="Tc_sazhILdulkKKf3rq4vXLDg_24_20"/>
      <w:bookmarkStart w:id="1078" w:name="Tc_UP7BjY04wkKGYHWZ0IekWw_24_17"/>
      <w:bookmarkStart w:id="1079" w:name="Tc_BLRMeLonIUKZvZoE3_NBLg_24_14"/>
      <w:bookmarkStart w:id="1080" w:name="Tc_JStVxaPZK0ug55OdeZjB0Q_24_11"/>
      <w:bookmarkStart w:id="1081" w:name="Tc_o44D-tCgVk-c54uBv5k5vA_24_8"/>
      <w:bookmarkStart w:id="1082" w:name="Tc_oeg4uFmEoUaSZDpctVoMxQ_24_5"/>
      <w:bookmarkStart w:id="1083" w:name="Tc_WozZ4Lpy10yy49wKO4u9uw_24_2"/>
      <w:bookmarkStart w:id="1084" w:name="Tc_iWGDoVTBz02ixEnRc-AREQ_23_26"/>
      <w:bookmarkStart w:id="1085" w:name="Tc_ZmQ7Z99RYUuzKoy9ajZOJA_23_23"/>
      <w:bookmarkStart w:id="1086" w:name="Tc_JgJ4zel9Z0i2gJyQQVJNkA_23_20"/>
      <w:bookmarkStart w:id="1087" w:name="Tc_ldbFVQV6JUGn0SnVJe6RYw_23_17"/>
      <w:bookmarkStart w:id="1088" w:name="Tc_YKKsDH7R90y5y9w7JDubuQ_23_14"/>
      <w:bookmarkStart w:id="1089" w:name="Tc_ZMS_kmsDwEae30NYrEDB7A_23_11"/>
      <w:bookmarkStart w:id="1090" w:name="Tc_azVqPL1waEKX6mTyxTK_9g_23_8"/>
      <w:bookmarkStart w:id="1091" w:name="Tc_YljT1yf8jkKAuLGzlNQ6mg_23_5"/>
      <w:bookmarkStart w:id="1092" w:name="Tc_ZnCo8NzYPEyYfUtS5zmemg_23_2"/>
      <w:bookmarkStart w:id="1093" w:name="Tc_xv7K5w4jkE6on5OyoKZIHw_22_26"/>
      <w:bookmarkStart w:id="1094" w:name="Tc_nZwFshD49UKCQhzOrdwsBw_22_23"/>
      <w:bookmarkStart w:id="1095" w:name="Tc_Ld2PIzRxsECI1VNiUNBMjg_22_20"/>
      <w:bookmarkStart w:id="1096" w:name="Tc_vF2HllJTwk6jywJJa4j41w_22_17"/>
      <w:bookmarkStart w:id="1097" w:name="Tc_GLDTEWwCh0mODH26mhhtDg_22_14"/>
      <w:bookmarkStart w:id="1098" w:name="Tc_r2iNL5piB0GGdTT-O0NXEw_22_8"/>
      <w:bookmarkStart w:id="1099" w:name="Tc_9hzAUNxeP0yZTD3LkMFc4A_22_5"/>
      <w:bookmarkStart w:id="1100" w:name="Tc_bNQV42Mt9ECaw-bC9Sb3Uw_22_2"/>
      <w:bookmarkStart w:id="1101" w:name="Tc_cy5l02D0T0Gjb2aQHdIawQ_21_20"/>
      <w:bookmarkStart w:id="1102" w:name="Tc_gccZTEXvFUuyoSdc-D4oeA_19_0"/>
      <w:bookmarkStart w:id="1103" w:name="Tc_xmoiEZVsWEqc6vbLpzz-aA_18_24"/>
      <w:bookmarkStart w:id="1104" w:name="Tc_ogXt79x4-kKkuknU4Wh4AQ_18_21"/>
      <w:bookmarkStart w:id="1105" w:name="Tc_jov-M57yWUWZWJnXzFgZEg_18_18"/>
      <w:bookmarkStart w:id="1106" w:name="Tc_aO3U2a2cRE22WS6IZFnHhQ_18_0"/>
      <w:bookmarkStart w:id="1107" w:name="Tc_eTDm6nQxKEWsnh-t10FwQA_16_26"/>
      <w:bookmarkStart w:id="1108" w:name="Tc_kk8-uE5lx0K5bJqze3YgNQ_16_23"/>
      <w:bookmarkStart w:id="1109" w:name="Tc_dGLp4CKr0kaGZEBMIuFUQQ_16_20"/>
      <w:bookmarkStart w:id="1110" w:name="Tc_oNFcYlCmBkWHxmaGLuNAtw_16_17"/>
      <w:bookmarkStart w:id="1111" w:name="Tc_Q8s02Y_vrEK61748wYW4EQ_16_14"/>
      <w:bookmarkStart w:id="1112" w:name="Tc_BOMZmdq7OESfcTm5SDUbZw_16_11"/>
      <w:bookmarkStart w:id="1113" w:name="Tc_rJX3Qq9er0-ti-w4cuyW1w_16_8"/>
      <w:bookmarkStart w:id="1114" w:name="Tc_oZElLZxZxUa8YlD31Jp6Gw_16_5"/>
      <w:bookmarkStart w:id="1115" w:name="Tc_6m0AzUKeGkKQkLEft9Q4mg_16_2"/>
      <w:bookmarkStart w:id="1116" w:name="Tc_4JH5oZAzJ0OlJgkRlJsHTA_16_0"/>
      <w:bookmarkStart w:id="1117" w:name="Tc_2PblgWVfn0u_vUV2Mex2Ww_15_0"/>
      <w:bookmarkStart w:id="1118" w:name="Tc_IHM8uUtfpkeIIAKVR5pW1A_14_0"/>
      <w:bookmarkStart w:id="1119" w:name="Tc_278GjpMl1kS3gNVKfShieQ_13_18"/>
      <w:bookmarkStart w:id="1120" w:name="Tc_k6BzE9naQEiI1lO7EOQYNg_13_6"/>
      <w:bookmarkStart w:id="1121" w:name="Tc_yC6rjCxXBkyV5dkgm43qrQ_13_0"/>
      <w:bookmarkStart w:id="1122" w:name="Tc_KQA7-1_ow0Kbx9iRSjANHQ_12_0"/>
      <w:bookmarkStart w:id="1123" w:name="Tc_mqtSmZczBEidxqLeDGVsVg_11_18"/>
      <w:bookmarkStart w:id="1124" w:name="Tc_50V4O3rLC0yXeVAci6rY9w_11_0"/>
      <w:bookmarkStart w:id="1125" w:name="Tc_i6IEKokoLEGL6nBmNt12Tg_10_18"/>
      <w:bookmarkStart w:id="1126" w:name="Tc_FuYsS2qhX0-iUI_EPEhODQ_10_0"/>
      <w:bookmarkStart w:id="1127" w:name="Tc_OOAYpgmK30yU3s2ONFVKiQ_9_18"/>
      <w:bookmarkStart w:id="1128" w:name="Tc_hfiXPixz6UCLp31YY08oYw_9_0"/>
      <w:bookmarkStart w:id="1129" w:name="Tc_GtAWBBBRvkGPeHplGAJ0tw_8_26"/>
      <w:bookmarkStart w:id="1130" w:name="Tc_Y7dcTclVvU6maOL6uXO_fg_8_23"/>
      <w:bookmarkStart w:id="1131" w:name="Tc_o6lI03JJlUKbcxZeFtIAAg_8_20"/>
      <w:bookmarkStart w:id="1132" w:name="Tc_kkma2Ps5aEim9HDuMAEQEQ_8_18"/>
      <w:bookmarkStart w:id="1133" w:name="Tc_4u_hkIKAqUeuJg_BMqaiMg_8_17"/>
      <w:bookmarkStart w:id="1134" w:name="Tc_YUpelZSO_kqBbZekvLCCWQ_8_14"/>
      <w:bookmarkStart w:id="1135" w:name="Tc_RGFKyQ6sZkaJZcVpTR0R0Q_8_11"/>
      <w:bookmarkStart w:id="1136" w:name="Tc_kY4mJ_zQREy58OZSct3eJA_8_8"/>
      <w:bookmarkStart w:id="1137" w:name="Tc_5J1ejHCa9kaEW4PHs_CUjw_8_5"/>
      <w:bookmarkStart w:id="1138" w:name="Tc_5JiLfeJ4Tk6rTESiAzcZNw_8_2"/>
      <w:bookmarkStart w:id="1139" w:name="Tc_37zizNmyOEel9Etq6-4Xuw_8_0"/>
      <w:bookmarkStart w:id="1140" w:name="Tc_g987AUOF80mszQ15ZbizSg_7_0"/>
      <w:bookmarkStart w:id="1141" w:name="Tc_98mH3_k7qkmLa7VdkYPQew_6_0"/>
      <w:bookmarkStart w:id="1142" w:name="Tc_raYW5RTMp06vhySw63oHVQ_5_0"/>
      <w:bookmarkStart w:id="1143" w:name="Tc_LlBtfeJaVUiELrqcbTd_0w_4_26"/>
      <w:bookmarkStart w:id="1144" w:name="Tc_tBT5thTO_U2DI4CMZ5RQNQ_4_23"/>
      <w:bookmarkStart w:id="1145" w:name="Tc_U04MopfwkECVpXMvO-4cMg_4_20"/>
      <w:bookmarkStart w:id="1146" w:name="Tc_1ISfG4BWxk2-Wg7xvZSFJg_4_17"/>
      <w:bookmarkStart w:id="1147" w:name="Tc_A72G8qmF9Eyle8O7MshjDw_4_14"/>
      <w:bookmarkStart w:id="1148" w:name="Tc_ggvh-RfTwU2rvyiBVzO2sw_4_11"/>
      <w:bookmarkStart w:id="1149" w:name="Tc_hqRRqRETBUyzN_iB5hrMcg_4_8"/>
      <w:bookmarkStart w:id="1150" w:name="Tc_IA8Xm5F180uDcvqplIj8Bg_4_5"/>
      <w:bookmarkStart w:id="1151" w:name="Tc_HpNHSl04UUKpN470-aMdaA_4_2"/>
      <w:bookmarkStart w:id="1152" w:name="Tc_p4ioQ3zfVkCUGVJ7hb26MQ_3_26"/>
      <w:bookmarkStart w:id="1153" w:name="Tc_s2UN0tR71ECm9Zg47dACWg_3_23"/>
      <w:bookmarkStart w:id="1154" w:name="Tc_HfioGbmtAUuhtbiZmMEmIA_3_20"/>
      <w:bookmarkStart w:id="1155" w:name="Tc_jysbDEcJU0mzZyTZqav2FQ_3_17"/>
      <w:bookmarkStart w:id="1156" w:name="Tc_Cwm-pHHJ9k6m3eZ2F5ePUw_3_14"/>
      <w:bookmarkStart w:id="1157" w:name="Tc_29fjDGFjUUSLKWutrtLifA_3_11"/>
      <w:bookmarkStart w:id="1158" w:name="Tc_-6m_0f-puke-02rF4HQ7tQ_3_8"/>
      <w:bookmarkStart w:id="1159" w:name="Tc_Ve6OcawhDUmXX2jZ3S6K4Q_3_5"/>
      <w:bookmarkStart w:id="1160" w:name="Tc_S-iB3Ie1J0i9HjKRmfD_gw_3_2"/>
      <w:bookmarkStart w:id="1161" w:name="Tc_IBotczwX6kalHycem6q99Q_2_26"/>
      <w:bookmarkStart w:id="1162" w:name="Tc_mXT6oWJo_kqK_o-Qx6Hx_w_2_23"/>
      <w:bookmarkStart w:id="1163" w:name="Tc_ETZMjE5yLEOgWMFIu09wow_2_20"/>
      <w:bookmarkStart w:id="1164" w:name="Tc_2XVJu-lEU0O-muBXnmJDJQ_2_17"/>
      <w:bookmarkStart w:id="1165" w:name="Tc_LuKZJwaOEUm3iN3xeYUxMw_2_14"/>
      <w:bookmarkStart w:id="1166" w:name="Tc_-CxX_wEBS06IUOGbmbE7cg_2_8"/>
      <w:bookmarkStart w:id="1167" w:name="Tc_fdpWburlWke5rUUWZdmR-A_2_5"/>
      <w:bookmarkStart w:id="1168" w:name="Tc_xiRol24HOECpd10lKSgcMA_2_2"/>
      <w:bookmarkStart w:id="1169" w:name="Tc_LR6TEDA_p0Kwif0_9Nh7YQ_1_20"/>
      <w:bookmarkStart w:id="1170" w:name="_7917f0b5_cc53_4e9a_9f28_7884498d3c5c"/>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r>
        <w:rPr>
          <w:rFonts w:ascii="Times New Roman;Times;serif" w:hAnsi="Times New Roman;Times;serif"/>
          <w:b/>
          <w:sz w:val="20"/>
        </w:rPr>
        <w:t xml:space="preserve">7.    Segment and Related Information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senior management evaluates, oversees and manages the financial performance of our business through five reportable segments, referred to as (i) East Tier; (ii) West Tier; (iii) Recycling Processing and Sales; (iv) Renewable Energy and (v) Healthcare Solutions. Our East and West Tiers along with Other Ancillary services that are not managed through our Tier segments, but that support our collection and disposal operations, form our “Collection and Disposal” business. We also provide additional services not managed through our five reportable segments, which are presented as Corporate and Other.</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Summarized financial information concerning our reportable segments for the three and six months ended June 30 is shown in the following table (in millions): </w:t>
      </w:r>
    </w:p>
    <w:tbl>
      <w:tblPr>
        <w:tblW w:w="10444" w:type="dxa"/>
        <w:jc w:val="left"/>
        <w:tblInd w:w="0" w:type="dxa"/>
        <w:tblLayout w:type="fixed"/>
        <w:tblCellMar>
          <w:top w:w="0" w:type="dxa"/>
          <w:left w:w="0" w:type="dxa"/>
          <w:bottom w:w="0" w:type="dxa"/>
          <w:right w:w="0" w:type="dxa"/>
        </w:tblCellMar>
      </w:tblPr>
      <w:tblGrid>
        <w:gridCol w:w="916"/>
        <w:gridCol w:w="226"/>
        <w:gridCol w:w="211"/>
        <w:gridCol w:w="510"/>
        <w:gridCol w:w="226"/>
        <w:gridCol w:w="277"/>
        <w:gridCol w:w="669"/>
        <w:gridCol w:w="226"/>
        <w:gridCol w:w="197"/>
        <w:gridCol w:w="524"/>
        <w:gridCol w:w="226"/>
        <w:gridCol w:w="197"/>
        <w:gridCol w:w="524"/>
        <w:gridCol w:w="226"/>
        <w:gridCol w:w="353"/>
        <w:gridCol w:w="653"/>
        <w:gridCol w:w="226"/>
        <w:gridCol w:w="242"/>
        <w:gridCol w:w="464"/>
        <w:gridCol w:w="226"/>
        <w:gridCol w:w="319"/>
        <w:gridCol w:w="582"/>
        <w:gridCol w:w="226"/>
        <w:gridCol w:w="242"/>
        <w:gridCol w:w="584"/>
        <w:gridCol w:w="226"/>
        <w:gridCol w:w="284"/>
        <w:gridCol w:w="662"/>
      </w:tblGrid>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81660" cy="175260"/>
                      <wp:effectExtent l="0" t="0" r="0" b="0"/>
                      <wp:wrapNone/>
                      <wp:docPr id="138" name="Frame13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3510" cy="175260"/>
                      <wp:effectExtent l="0" t="0" r="0" b="0"/>
                      <wp:wrapNone/>
                      <wp:docPr id="139" name="Frame1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23850" cy="175260"/>
                      <wp:effectExtent l="0" t="0" r="0" b="0"/>
                      <wp:wrapNone/>
                      <wp:docPr id="141" name="Frame141"/>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43510" cy="175260"/>
                      <wp:effectExtent l="0" t="0" r="0" b="0"/>
                      <wp:wrapNone/>
                      <wp:docPr id="142" name="Frame1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75895" cy="175260"/>
                      <wp:effectExtent l="0" t="0" r="0" b="0"/>
                      <wp:wrapNone/>
                      <wp:docPr id="143" name="Frame14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24815" cy="175260"/>
                      <wp:effectExtent l="0" t="0" r="0" b="0"/>
                      <wp:wrapNone/>
                      <wp:docPr id="144" name="Frame144"/>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3510" cy="175260"/>
                      <wp:effectExtent l="0" t="0" r="0" b="0"/>
                      <wp:wrapNone/>
                      <wp:docPr id="145" name="Frame1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5095" cy="175260"/>
                      <wp:effectExtent l="0" t="0" r="0" b="0"/>
                      <wp:wrapNone/>
                      <wp:docPr id="146" name="Frame146"/>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32740" cy="175260"/>
                      <wp:effectExtent l="0" t="0" r="0" b="0"/>
                      <wp:wrapNone/>
                      <wp:docPr id="147" name="Frame147"/>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3510" cy="175260"/>
                      <wp:effectExtent l="0" t="0" r="0" b="0"/>
                      <wp:wrapNone/>
                      <wp:docPr id="148" name="Frame1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25095" cy="175260"/>
                      <wp:effectExtent l="0" t="0" r="0" b="0"/>
                      <wp:wrapNone/>
                      <wp:docPr id="149" name="Frame149"/>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32740" cy="175260"/>
                      <wp:effectExtent l="0" t="0" r="0" b="0"/>
                      <wp:wrapNone/>
                      <wp:docPr id="150" name="Frame150"/>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3510" cy="175260"/>
                      <wp:effectExtent l="0" t="0" r="0" b="0"/>
                      <wp:wrapNone/>
                      <wp:docPr id="151" name="Frame1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4155" cy="175260"/>
                      <wp:effectExtent l="0" t="0" r="0" b="0"/>
                      <wp:wrapNone/>
                      <wp:docPr id="152" name="Frame152"/>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14655" cy="175260"/>
                      <wp:effectExtent l="0" t="0" r="0" b="0"/>
                      <wp:wrapNone/>
                      <wp:docPr id="153" name="Frame153"/>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3510" cy="175260"/>
                      <wp:effectExtent l="0" t="0" r="0" b="0"/>
                      <wp:wrapNone/>
                      <wp:docPr id="154" name="Frame1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53670" cy="175260"/>
                      <wp:effectExtent l="0" t="0" r="0" b="0"/>
                      <wp:wrapNone/>
                      <wp:docPr id="155" name="Frame15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4640" cy="175260"/>
                      <wp:effectExtent l="0" t="0" r="0" b="0"/>
                      <wp:wrapNone/>
                      <wp:docPr id="156" name="Frame156"/>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3510" cy="175260"/>
                      <wp:effectExtent l="0" t="0" r="0" b="0"/>
                      <wp:wrapNone/>
                      <wp:docPr id="157" name="Frame1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2565" cy="175260"/>
                      <wp:effectExtent l="0" t="0" r="0" b="0"/>
                      <wp:wrapNone/>
                      <wp:docPr id="158" name="Frame15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69570" cy="175260"/>
                      <wp:effectExtent l="0" t="0" r="0" b="0"/>
                      <wp:wrapNone/>
                      <wp:docPr id="159" name="Frame159"/>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3510" cy="175260"/>
                      <wp:effectExtent l="0" t="0" r="0" b="0"/>
                      <wp:wrapNone/>
                      <wp:docPr id="160" name="Frame1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3670" cy="175260"/>
                      <wp:effectExtent l="0" t="0" r="0" b="0"/>
                      <wp:wrapNone/>
                      <wp:docPr id="161" name="Frame16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70840" cy="175260"/>
                      <wp:effectExtent l="0" t="0" r="0" b="0"/>
                      <wp:wrapNone/>
                      <wp:docPr id="162" name="Frame162"/>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3510" cy="175260"/>
                      <wp:effectExtent l="0" t="0" r="0" b="0"/>
                      <wp:wrapNone/>
                      <wp:docPr id="163" name="Frame1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80340" cy="175260"/>
                      <wp:effectExtent l="0" t="0" r="0" b="0"/>
                      <wp:wrapNone/>
                      <wp:docPr id="164" name="Frame164"/>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20370" cy="175260"/>
                      <wp:effectExtent l="0" t="0" r="0" b="0"/>
                      <wp:wrapNone/>
                      <wp:docPr id="165" name="Frame165"/>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1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10"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97" w:type="dxa"/>
            <w:tcBorders/>
            <w:vAlign w:val="center"/>
          </w:tcPr>
          <w:p>
            <w:pPr>
              <w:pStyle w:val="TableContents"/>
              <w:bidi w:val="0"/>
              <w:spacing w:before="0" w:after="1"/>
              <w:ind w:left="0" w:right="0" w:hanging="0"/>
              <w:jc w:val="center"/>
              <w:rPr/>
            </w:pPr>
            <w:r>
              <w:rPr/>
              <w:t>​</w:t>
            </w:r>
          </w:p>
        </w:tc>
        <w:tc>
          <w:tcPr>
            <w:tcW w:w="52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97" w:type="dxa"/>
            <w:tcBorders/>
            <w:vAlign w:val="center"/>
          </w:tcPr>
          <w:p>
            <w:pPr>
              <w:pStyle w:val="TableContents"/>
              <w:bidi w:val="0"/>
              <w:spacing w:before="0" w:after="1"/>
              <w:ind w:left="0" w:right="0" w:hanging="0"/>
              <w:jc w:val="center"/>
              <w:rPr/>
            </w:pPr>
            <w:r>
              <w:rPr/>
              <w:t>​</w:t>
            </w:r>
          </w:p>
        </w:tc>
        <w:tc>
          <w:tcPr>
            <w:tcW w:w="52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353" w:type="dxa"/>
            <w:tcBorders/>
            <w:vAlign w:val="center"/>
          </w:tcPr>
          <w:p>
            <w:pPr>
              <w:pStyle w:val="TableContents"/>
              <w:bidi w:val="0"/>
              <w:spacing w:before="0" w:after="1"/>
              <w:ind w:left="0" w:right="0" w:hanging="0"/>
              <w:jc w:val="center"/>
              <w:rPr/>
            </w:pPr>
            <w:r>
              <w:rPr/>
              <w:t>​</w:t>
            </w:r>
          </w:p>
        </w:tc>
        <w:tc>
          <w:tcPr>
            <w:tcW w:w="653"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Depreciation, </w:t>
            </w:r>
          </w:p>
        </w:tc>
        <w:tc>
          <w:tcPr>
            <w:tcW w:w="226" w:type="dxa"/>
            <w:tcBorders/>
            <w:vAlign w:val="center"/>
          </w:tcPr>
          <w:p>
            <w:pPr>
              <w:pStyle w:val="TableContents"/>
              <w:bidi w:val="0"/>
              <w:spacing w:before="0" w:after="1"/>
              <w:ind w:left="0" w:right="0" w:hanging="0"/>
              <w:jc w:val="center"/>
              <w:rPr/>
            </w:pPr>
            <w:r>
              <w:rPr/>
              <w:t> </w:t>
            </w:r>
          </w:p>
        </w:tc>
        <w:tc>
          <w:tcPr>
            <w:tcW w:w="242" w:type="dxa"/>
            <w:tcBorders/>
            <w:vAlign w:val="center"/>
          </w:tcPr>
          <w:p>
            <w:pPr>
              <w:pStyle w:val="TableContents"/>
              <w:bidi w:val="0"/>
              <w:spacing w:before="0" w:after="1"/>
              <w:ind w:left="0" w:right="0" w:hanging="0"/>
              <w:jc w:val="center"/>
              <w:rPr/>
            </w:pPr>
            <w:r>
              <w:rPr/>
              <w:t>​</w:t>
            </w:r>
          </w:p>
        </w:tc>
        <w:tc>
          <w:tcPr>
            <w:tcW w:w="58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center"/>
              <w:rPr/>
            </w:pPr>
            <w:r>
              <w:rPr/>
              <w:t>​</w:t>
            </w:r>
          </w:p>
        </w:tc>
        <w:tc>
          <w:tcPr>
            <w:tcW w:w="662" w:type="dxa"/>
            <w:tcBorders/>
            <w:vAlign w:val="center"/>
          </w:tcPr>
          <w:p>
            <w:pPr>
              <w:pStyle w:val="TableContents"/>
              <w:bidi w:val="0"/>
              <w:spacing w:before="0" w:after="1"/>
              <w:ind w:left="0" w:right="0" w:hanging="0"/>
              <w:jc w:val="center"/>
              <w:rPr/>
            </w:pPr>
            <w:r>
              <w:rPr/>
              <w:t>​</w:t>
            </w:r>
          </w:p>
        </w:tc>
      </w:tr>
      <w:tr>
        <w:trPr/>
        <w:tc>
          <w:tcPr>
            <w:tcW w:w="91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22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Intercompany</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Gross</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Selling, </w:t>
            </w:r>
          </w:p>
        </w:tc>
        <w:tc>
          <w:tcPr>
            <w:tcW w:w="22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Depletion, </w:t>
            </w:r>
          </w:p>
        </w:tc>
        <w:tc>
          <w:tcPr>
            <w:tcW w:w="226" w:type="dxa"/>
            <w:tcBorders/>
            <w:vAlign w:val="center"/>
          </w:tcPr>
          <w:p>
            <w:pPr>
              <w:pStyle w:val="TableContents"/>
              <w:bidi w:val="0"/>
              <w:spacing w:before="0" w:after="1"/>
              <w:ind w:left="0" w:right="0" w:hanging="0"/>
              <w:jc w:val="center"/>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226" w:type="dxa"/>
            <w:tcBorders/>
            <w:vAlign w:val="center"/>
          </w:tcPr>
          <w:p>
            <w:pPr>
              <w:pStyle w:val="TableContents"/>
              <w:bidi w:val="0"/>
              <w:spacing w:before="0" w:after="1"/>
              <w:ind w:left="0" w:right="0" w:hanging="0"/>
              <w:jc w:val="center"/>
              <w:rPr/>
            </w:pPr>
            <w:r>
              <w:rPr/>
              <w:t>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r>
      <w:tr>
        <w:trPr/>
        <w:tc>
          <w:tcPr>
            <w:tcW w:w="91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General and</w:t>
            </w:r>
          </w:p>
        </w:tc>
        <w:tc>
          <w:tcPr>
            <w:tcW w:w="22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2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Amortization</w:t>
            </w:r>
          </w:p>
        </w:tc>
        <w:tc>
          <w:tcPr>
            <w:tcW w:w="226" w:type="dxa"/>
            <w:tcBorders/>
            <w:vAlign w:val="center"/>
          </w:tcPr>
          <w:p>
            <w:pPr>
              <w:pStyle w:val="TableContents"/>
              <w:bidi w:val="0"/>
              <w:spacing w:before="0" w:after="1"/>
              <w:ind w:left="0" w:right="0" w:hanging="0"/>
              <w:jc w:val="center"/>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from</w:t>
            </w:r>
          </w:p>
        </w:tc>
        <w:tc>
          <w:tcPr>
            <w:tcW w:w="226" w:type="dxa"/>
            <w:tcBorders/>
            <w:vAlign w:val="center"/>
          </w:tcPr>
          <w:p>
            <w:pPr>
              <w:pStyle w:val="TableContents"/>
              <w:bidi w:val="0"/>
              <w:spacing w:before="0" w:after="1"/>
              <w:ind w:left="0" w:right="0" w:hanging="0"/>
              <w:jc w:val="center"/>
              <w:rPr/>
            </w:pPr>
            <w:r>
              <w:rPr/>
              <w:t>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Expenditures</w:t>
            </w:r>
          </w:p>
        </w:tc>
      </w:tr>
      <w:tr>
        <w:trPr/>
        <w:tc>
          <w:tcPr>
            <w:tcW w:w="91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Revenues</w:t>
            </w:r>
          </w:p>
        </w:tc>
        <w:tc>
          <w:tcPr>
            <w:tcW w:w="2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Revenues(a)</w:t>
            </w:r>
          </w:p>
        </w:tc>
        <w:tc>
          <w:tcPr>
            <w:tcW w:w="226" w:type="dxa"/>
            <w:tcBorders/>
            <w:vAlign w:val="center"/>
          </w:tcPr>
          <w:p>
            <w:pPr>
              <w:pStyle w:val="TableContents"/>
              <w:bidi w:val="0"/>
              <w:spacing w:before="0" w:after="1"/>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Revenues</w:t>
            </w:r>
          </w:p>
        </w:tc>
        <w:tc>
          <w:tcPr>
            <w:tcW w:w="226" w:type="dxa"/>
            <w:tcBorders/>
            <w:vAlign w:val="center"/>
          </w:tcPr>
          <w:p>
            <w:pPr>
              <w:pStyle w:val="TableContents"/>
              <w:bidi w:val="0"/>
              <w:spacing w:before="0" w:after="1"/>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Expenses</w:t>
            </w:r>
          </w:p>
        </w:tc>
        <w:tc>
          <w:tcPr>
            <w:tcW w:w="2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Administrative</w:t>
            </w:r>
          </w:p>
        </w:tc>
        <w:tc>
          <w:tcPr>
            <w:tcW w:w="226" w:type="dxa"/>
            <w:tcBorders/>
            <w:vAlign w:val="center"/>
          </w:tcPr>
          <w:p>
            <w:pPr>
              <w:pStyle w:val="TableContents"/>
              <w:bidi w:val="0"/>
              <w:spacing w:before="0" w:after="1"/>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Expenses(b)</w:t>
            </w:r>
          </w:p>
        </w:tc>
        <w:tc>
          <w:tcPr>
            <w:tcW w:w="2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and Accretion </w:t>
            </w:r>
          </w:p>
        </w:tc>
        <w:tc>
          <w:tcPr>
            <w:tcW w:w="226" w:type="dxa"/>
            <w:tcBorders/>
            <w:vAlign w:val="center"/>
          </w:tcPr>
          <w:p>
            <w:pPr>
              <w:pStyle w:val="TableContents"/>
              <w:bidi w:val="0"/>
              <w:spacing w:before="0" w:after="1"/>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Operations(c)</w:t>
            </w:r>
          </w:p>
        </w:tc>
        <w:tc>
          <w:tcPr>
            <w:tcW w:w="2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Three Months Ended June 30:</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 </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 </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left"/>
              <w:rPr/>
            </w:pPr>
            <w:r>
              <w:rPr/>
              <w:t>​</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Collection and Disposal:</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 </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 </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 </w:t>
            </w:r>
          </w:p>
        </w:tc>
        <w:tc>
          <w:tcPr>
            <w:tcW w:w="353"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 </w:t>
            </w:r>
          </w:p>
        </w:tc>
        <w:tc>
          <w:tcPr>
            <w:tcW w:w="319"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pPr>
            <w:r>
              <w:rPr/>
              <w:t>  ​</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East Tier</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2,406</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663</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3,069</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1,888</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306</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784</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302</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West Tier</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2,291</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582</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2,873</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1,769</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46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252</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761</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293</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Other Ancillary </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782</w:t>
            </w:r>
          </w:p>
        </w:tc>
        <w:tc>
          <w:tcPr>
            <w:tcW w:w="2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w:t>
            </w:r>
          </w:p>
        </w:tc>
        <w:tc>
          <w:tcPr>
            <w:tcW w:w="2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840</w:t>
            </w:r>
          </w:p>
        </w:tc>
        <w:tc>
          <w:tcPr>
            <w:tcW w:w="2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w:t>
            </w:r>
          </w:p>
        </w:tc>
        <w:tc>
          <w:tcPr>
            <w:tcW w:w="22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2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2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Collection and Disposal(e)(f)(g)</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5,479</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1,303</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6,782</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4,457</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46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565</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1,550</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Recycling Processing and Sales(e) </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403</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491</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385</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46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Renewable Energy(f)</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Healthcare Solutions(g)(h)</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638</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742</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506</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Corporate and Other(f)</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335</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(382)</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6,684</w:t>
            </w:r>
          </w:p>
        </w:tc>
        <w:tc>
          <w:tcPr>
            <w:tcW w:w="22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1,503</w:t>
            </w:r>
          </w:p>
        </w:tc>
        <w:tc>
          <w:tcPr>
            <w:tcW w:w="226" w:type="dxa"/>
            <w:tcBorders/>
            <w:vAlign w:val="center"/>
          </w:tcPr>
          <w:p>
            <w:pPr>
              <w:pStyle w:val="TableContents"/>
              <w:bidi w:val="0"/>
              <w:spacing w:before="0" w:after="1"/>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8,187</w:t>
            </w:r>
          </w:p>
        </w:tc>
        <w:tc>
          <w:tcPr>
            <w:tcW w:w="226" w:type="dxa"/>
            <w:tcBorders/>
            <w:vAlign w:val="center"/>
          </w:tcPr>
          <w:p>
            <w:pPr>
              <w:pStyle w:val="TableContents"/>
              <w:bidi w:val="0"/>
              <w:spacing w:before="0" w:after="1"/>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5,451</w:t>
            </w:r>
          </w:p>
        </w:tc>
        <w:tc>
          <w:tcPr>
            <w:tcW w:w="226" w:type="dxa"/>
            <w:tcBorders/>
            <w:vAlign w:val="center"/>
          </w:tcPr>
          <w:p>
            <w:pPr>
              <w:pStyle w:val="TableContents"/>
              <w:bidi w:val="0"/>
              <w:spacing w:before="0" w:after="1"/>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690</w:t>
            </w:r>
          </w:p>
        </w:tc>
        <w:tc>
          <w:tcPr>
            <w:tcW w:w="2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777</w:t>
            </w:r>
          </w:p>
        </w:tc>
        <w:tc>
          <w:tcPr>
            <w:tcW w:w="2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1,253</w:t>
            </w:r>
          </w:p>
        </w:tc>
        <w:tc>
          <w:tcPr>
            <w:tcW w:w="22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723</w:t>
            </w:r>
          </w:p>
        </w:tc>
      </w:tr>
      <w:tr>
        <w:trPr/>
        <w:tc>
          <w:tcPr>
            <w:tcW w:w="91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pPr>
            <w:r>
              <w:rPr/>
              <w:t>​</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Intercompany Elimination(a)</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(1,503)</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(1,496)</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6,684</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3,955</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683</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4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777</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5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1,253</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pPr>
            <w:r>
              <w:rPr/>
              <w:t>​</w:t>
            </w:r>
          </w:p>
        </w:tc>
      </w:tr>
      <w:tr>
        <w:trPr/>
        <w:tc>
          <w:tcPr>
            <w:tcW w:w="91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r>
      <w:tr>
        <w:trPr/>
        <w:tc>
          <w:tcPr>
            <w:tcW w:w="91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Depreciation, </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left"/>
              <w:rPr/>
            </w:pPr>
            <w:r>
              <w:rPr/>
              <w:t>​</w:t>
            </w:r>
          </w:p>
        </w:tc>
      </w:tr>
      <w:tr>
        <w:trPr/>
        <w:tc>
          <w:tcPr>
            <w:tcW w:w="91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22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Intercompany</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Gross</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Selling, </w:t>
            </w:r>
          </w:p>
        </w:tc>
        <w:tc>
          <w:tcPr>
            <w:tcW w:w="22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Depletion, </w:t>
            </w:r>
          </w:p>
        </w:tc>
        <w:tc>
          <w:tcPr>
            <w:tcW w:w="226" w:type="dxa"/>
            <w:tcBorders/>
            <w:vAlign w:val="center"/>
          </w:tcPr>
          <w:p>
            <w:pPr>
              <w:pStyle w:val="TableContents"/>
              <w:bidi w:val="0"/>
              <w:spacing w:before="0" w:after="1"/>
              <w:ind w:left="0" w:right="0" w:hanging="0"/>
              <w:jc w:val="center"/>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226" w:type="dxa"/>
            <w:tcBorders/>
            <w:vAlign w:val="center"/>
          </w:tcPr>
          <w:p>
            <w:pPr>
              <w:pStyle w:val="TableContents"/>
              <w:bidi w:val="0"/>
              <w:spacing w:before="0" w:after="1"/>
              <w:ind w:left="0" w:right="0" w:hanging="0"/>
              <w:jc w:val="center"/>
              <w:rPr/>
            </w:pPr>
            <w:r>
              <w:rPr/>
              <w:t>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r>
      <w:tr>
        <w:trPr/>
        <w:tc>
          <w:tcPr>
            <w:tcW w:w="91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21"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shd w:fill="CCEEFF" w:val="clear"/>
            <w:vAlign w:val="center"/>
          </w:tcPr>
          <w:p>
            <w:pPr>
              <w:pStyle w:val="TableContents"/>
              <w:bidi w:val="0"/>
              <w:spacing w:before="0" w:after="1"/>
              <w:ind w:left="0" w:right="0" w:hanging="0"/>
              <w:jc w:val="left"/>
              <w:rPr/>
            </w:pPr>
            <w:r>
              <w:rPr/>
              <w:t>​</w:t>
            </w:r>
          </w:p>
        </w:tc>
        <w:tc>
          <w:tcPr>
            <w:tcW w:w="721"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shd w:fill="CCEEFF" w:val="clear"/>
            <w:vAlign w:val="center"/>
          </w:tcPr>
          <w:p>
            <w:pPr>
              <w:pStyle w:val="TableContents"/>
              <w:bidi w:val="0"/>
              <w:spacing w:before="0" w:after="1"/>
              <w:ind w:left="0" w:right="0" w:hanging="0"/>
              <w:jc w:val="left"/>
              <w:rPr/>
            </w:pPr>
            <w:r>
              <w:rPr/>
              <w:t>​</w:t>
            </w:r>
          </w:p>
        </w:tc>
        <w:tc>
          <w:tcPr>
            <w:tcW w:w="721"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shd w:fill="CCEEFF" w:val="clear"/>
            <w:vAlign w:val="center"/>
          </w:tcPr>
          <w:p>
            <w:pPr>
              <w:pStyle w:val="TableContents"/>
              <w:bidi w:val="0"/>
              <w:spacing w:before="0" w:after="1"/>
              <w:ind w:left="0" w:right="0" w:hanging="0"/>
              <w:jc w:val="left"/>
              <w:rPr/>
            </w:pPr>
            <w:r>
              <w:rPr/>
              <w:t>​</w:t>
            </w:r>
          </w:p>
        </w:tc>
        <w:tc>
          <w:tcPr>
            <w:tcW w:w="1006"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General and</w:t>
            </w:r>
          </w:p>
        </w:tc>
        <w:tc>
          <w:tcPr>
            <w:tcW w:w="226" w:type="dxa"/>
            <w:tcBorders/>
            <w:shd w:fill="CCEEFF" w:val="clear"/>
            <w:vAlign w:val="center"/>
          </w:tcPr>
          <w:p>
            <w:pPr>
              <w:pStyle w:val="TableContents"/>
              <w:bidi w:val="0"/>
              <w:spacing w:before="0" w:after="1"/>
              <w:ind w:left="0" w:right="0" w:hanging="0"/>
              <w:jc w:val="left"/>
              <w:rPr/>
            </w:pPr>
            <w:r>
              <w:rPr/>
              <w:t>​</w:t>
            </w:r>
          </w:p>
        </w:tc>
        <w:tc>
          <w:tcPr>
            <w:tcW w:w="706"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Amortization</w:t>
            </w:r>
          </w:p>
        </w:tc>
        <w:tc>
          <w:tcPr>
            <w:tcW w:w="226" w:type="dxa"/>
            <w:tcBorders/>
            <w:shd w:fill="CCEEFF" w:val="clear"/>
            <w:vAlign w:val="center"/>
          </w:tcPr>
          <w:p>
            <w:pPr>
              <w:pStyle w:val="TableContents"/>
              <w:bidi w:val="0"/>
              <w:spacing w:before="0" w:after="1"/>
              <w:ind w:left="0" w:right="0" w:hanging="0"/>
              <w:jc w:val="center"/>
              <w:rPr/>
            </w:pPr>
            <w:r>
              <w:rPr/>
              <w:t> </w:t>
            </w:r>
          </w:p>
        </w:tc>
        <w:tc>
          <w:tcPr>
            <w:tcW w:w="826"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from</w:t>
            </w:r>
          </w:p>
        </w:tc>
        <w:tc>
          <w:tcPr>
            <w:tcW w:w="226" w:type="dxa"/>
            <w:tcBorders/>
            <w:shd w:fill="CCEEFF" w:val="clear"/>
            <w:vAlign w:val="center"/>
          </w:tcPr>
          <w:p>
            <w:pPr>
              <w:pStyle w:val="TableContents"/>
              <w:bidi w:val="0"/>
              <w:spacing w:before="0" w:after="1"/>
              <w:ind w:left="0" w:right="0" w:hanging="0"/>
              <w:jc w:val="center"/>
              <w:rPr/>
            </w:pPr>
            <w:r>
              <w:rPr/>
              <w:t> </w:t>
            </w:r>
          </w:p>
        </w:tc>
        <w:tc>
          <w:tcPr>
            <w:tcW w:w="946"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Expenditures</w:t>
            </w:r>
          </w:p>
        </w:tc>
      </w:tr>
      <w:tr>
        <w:trPr/>
        <w:tc>
          <w:tcPr>
            <w:tcW w:w="91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Revenues</w:t>
            </w:r>
          </w:p>
        </w:tc>
        <w:tc>
          <w:tcPr>
            <w:tcW w:w="2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Revenues(a)</w:t>
            </w:r>
          </w:p>
        </w:tc>
        <w:tc>
          <w:tcPr>
            <w:tcW w:w="226" w:type="dxa"/>
            <w:tcBorders/>
            <w:vAlign w:val="center"/>
          </w:tcPr>
          <w:p>
            <w:pPr>
              <w:pStyle w:val="TableContents"/>
              <w:bidi w:val="0"/>
              <w:spacing w:before="0" w:after="1"/>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Revenues</w:t>
            </w:r>
          </w:p>
        </w:tc>
        <w:tc>
          <w:tcPr>
            <w:tcW w:w="226" w:type="dxa"/>
            <w:tcBorders/>
            <w:vAlign w:val="center"/>
          </w:tcPr>
          <w:p>
            <w:pPr>
              <w:pStyle w:val="TableContents"/>
              <w:bidi w:val="0"/>
              <w:spacing w:before="0" w:after="1"/>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Expenses</w:t>
            </w:r>
          </w:p>
        </w:tc>
        <w:tc>
          <w:tcPr>
            <w:tcW w:w="2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Administrative</w:t>
            </w:r>
          </w:p>
        </w:tc>
        <w:tc>
          <w:tcPr>
            <w:tcW w:w="226" w:type="dxa"/>
            <w:tcBorders/>
            <w:vAlign w:val="center"/>
          </w:tcPr>
          <w:p>
            <w:pPr>
              <w:pStyle w:val="TableContents"/>
              <w:bidi w:val="0"/>
              <w:spacing w:before="0" w:after="1"/>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Expenses(b)</w:t>
            </w:r>
          </w:p>
        </w:tc>
        <w:tc>
          <w:tcPr>
            <w:tcW w:w="2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and Accretion </w:t>
            </w:r>
          </w:p>
        </w:tc>
        <w:tc>
          <w:tcPr>
            <w:tcW w:w="226" w:type="dxa"/>
            <w:tcBorders/>
            <w:vAlign w:val="center"/>
          </w:tcPr>
          <w:p>
            <w:pPr>
              <w:pStyle w:val="TableContents"/>
              <w:bidi w:val="0"/>
              <w:spacing w:before="0" w:after="1"/>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Operations(c)</w:t>
            </w:r>
          </w:p>
        </w:tc>
        <w:tc>
          <w:tcPr>
            <w:tcW w:w="2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10"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center"/>
              <w:rPr/>
            </w:pPr>
            <w:r>
              <w:rPr/>
              <w:t>​</w:t>
            </w:r>
          </w:p>
        </w:tc>
        <w:tc>
          <w:tcPr>
            <w:tcW w:w="669"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center"/>
              <w:rPr/>
            </w:pPr>
            <w:r>
              <w:rPr/>
              <w:t>​</w:t>
            </w:r>
          </w:p>
        </w:tc>
        <w:tc>
          <w:tcPr>
            <w:tcW w:w="524"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center"/>
              <w:rPr/>
            </w:pPr>
            <w:r>
              <w:rPr/>
              <w:t>​</w:t>
            </w:r>
          </w:p>
        </w:tc>
        <w:tc>
          <w:tcPr>
            <w:tcW w:w="524"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center"/>
              <w:rPr/>
            </w:pPr>
            <w:r>
              <w:rPr/>
              <w:t>​</w:t>
            </w:r>
          </w:p>
        </w:tc>
        <w:tc>
          <w:tcPr>
            <w:tcW w:w="653"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center"/>
              <w:rPr/>
            </w:pPr>
            <w:r>
              <w:rPr/>
              <w:t>​</w:t>
            </w:r>
          </w:p>
        </w:tc>
        <w:tc>
          <w:tcPr>
            <w:tcW w:w="464"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center"/>
              <w:rPr/>
            </w:pPr>
            <w:r>
              <w:rPr/>
              <w:t>​</w:t>
            </w:r>
          </w:p>
        </w:tc>
        <w:tc>
          <w:tcPr>
            <w:tcW w:w="582"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center"/>
              <w:rPr/>
            </w:pPr>
            <w:r>
              <w:rPr/>
              <w:t>​</w:t>
            </w:r>
          </w:p>
        </w:tc>
        <w:tc>
          <w:tcPr>
            <w:tcW w:w="584"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center"/>
              <w:rPr/>
            </w:pPr>
            <w:r>
              <w:rPr/>
              <w:t>​</w:t>
            </w:r>
          </w:p>
        </w:tc>
        <w:tc>
          <w:tcPr>
            <w:tcW w:w="662" w:type="dxa"/>
            <w:tcBorders/>
            <w:shd w:fill="CCEEFF" w:val="clear"/>
            <w:vAlign w:val="center"/>
          </w:tcPr>
          <w:p>
            <w:pPr>
              <w:pStyle w:val="TableContents"/>
              <w:bidi w:val="0"/>
              <w:spacing w:before="0" w:after="1"/>
              <w:ind w:left="0" w:right="0" w:hanging="0"/>
              <w:jc w:val="center"/>
              <w:rPr/>
            </w:pPr>
            <w:r>
              <w:rPr/>
              <w:t>​</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Collection and Disposal:</w:t>
            </w:r>
          </w:p>
        </w:tc>
        <w:tc>
          <w:tcPr>
            <w:tcW w:w="2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353"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 </w:t>
            </w:r>
          </w:p>
        </w:tc>
        <w:tc>
          <w:tcPr>
            <w:tcW w:w="319"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  ​</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East Tier</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2,292</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630</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2,922</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1,815</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721</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360</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West Tier</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2,251</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554</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2,805</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1,706</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46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254</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335</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Other Ancillary </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738</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789</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753</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Collection and Disposal(e)(f)(g)</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5,281</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1,235</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6,516</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4,274</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46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550</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1,461</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707</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Recycling Processing and Sales(e) </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381</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482</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398</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46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Renewable Energy(f)</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Healthcare Solutions(g)(h)</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646</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760</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Corporate and Other(f)</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2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2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22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331</w:t>
            </w:r>
          </w:p>
        </w:tc>
        <w:tc>
          <w:tcPr>
            <w:tcW w:w="2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(349)</w:t>
            </w:r>
          </w:p>
        </w:tc>
        <w:tc>
          <w:tcPr>
            <w:tcW w:w="2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6,430</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1,458</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7,888</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5,254</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703</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744</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1,151</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815</w:t>
            </w:r>
          </w:p>
        </w:tc>
      </w:tr>
      <w:tr>
        <w:trPr/>
        <w:tc>
          <w:tcPr>
            <w:tcW w:w="91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color w:val="FF0000"/>
              </w:rPr>
            </w:pPr>
            <w:r>
              <w:rPr>
                <w:color w:val="FF0000"/>
              </w:rPr>
              <w:t>​</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Intercompany Elimination(a)</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(1,458)</w:t>
            </w:r>
          </w:p>
        </w:tc>
        <w:tc>
          <w:tcPr>
            <w:tcW w:w="2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5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(1,451)</w:t>
            </w:r>
          </w:p>
        </w:tc>
        <w:tc>
          <w:tcPr>
            <w:tcW w:w="2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pPr>
            <w:r>
              <w:rPr/>
              <w:t>​</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6,430</w:t>
            </w:r>
          </w:p>
        </w:tc>
        <w:tc>
          <w:tcPr>
            <w:tcW w:w="2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5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3,803</w:t>
            </w:r>
          </w:p>
        </w:tc>
        <w:tc>
          <w:tcPr>
            <w:tcW w:w="2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6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696</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5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744</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1,151</w:t>
            </w:r>
          </w:p>
        </w:tc>
        <w:tc>
          <w:tcPr>
            <w:tcW w:w="2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71" w:name="Tc_RkTKlCAzjkufOlMPJwgi7A_38_0"/>
      <w:bookmarkStart w:id="1172" w:name="Tc_wvaW5aTA8UOAOcDtTswXdA_37_24"/>
      <w:bookmarkStart w:id="1173" w:name="Tc_7pKv_4pCvUyEqB_VQcuJOA_37_21"/>
      <w:bookmarkStart w:id="1174" w:name="Tc_y3KcN8qQXECibKNdLChy9A_37_18"/>
      <w:bookmarkStart w:id="1175" w:name="Tc_WDBWRn0q4EuZUu16mGOEGA_37_0"/>
      <w:bookmarkStart w:id="1176" w:name="Tc_ggpMHSniakeygcKpiko9ZA_35_26"/>
      <w:bookmarkStart w:id="1177" w:name="Tc_yIK_MoSwyUiAC_odWnjIbA_35_23"/>
      <w:bookmarkStart w:id="1178" w:name="Tc_AwqzuNB3tUaI3mQpMJti_g_35_20"/>
      <w:bookmarkStart w:id="1179" w:name="Tc_1ECBz5ctQ06dgU9P0Xcxlw_35_17"/>
      <w:bookmarkStart w:id="1180" w:name="Tc_n0_hq3iRCUGypTFwzDUJeQ_35_14"/>
      <w:bookmarkStart w:id="1181" w:name="Tc_AefRTgLvWEC7ORtJZRrnjQ_35_11"/>
      <w:bookmarkStart w:id="1182" w:name="Tc_sCus7LTmFEeLziHZfpmRDQ_35_8"/>
      <w:bookmarkStart w:id="1183" w:name="Tc_-yxz9bZXkUGh268QAhc9Mg_35_5"/>
      <w:bookmarkStart w:id="1184" w:name="Tc_zWxVBnB7ik6uJd0VAgIfnw_35_2"/>
      <w:bookmarkStart w:id="1185" w:name="Tc_LroDjd8SzU2E-f-OaEDeSg_35_0"/>
      <w:bookmarkStart w:id="1186" w:name="Tc_bw-XEV3hbkOrYFGYjpyzcQ_34_0"/>
      <w:bookmarkStart w:id="1187" w:name="Tc_K9Sed0vOXU-C-Pn_HpBQMQ_33_0"/>
      <w:bookmarkStart w:id="1188" w:name="Tc_6yUi7wyUO0eA0vcZ_la_Qw_32_18"/>
      <w:bookmarkStart w:id="1189" w:name="Tc_EbezIDX8_EmgsgIq1K6Qhw_32_0"/>
      <w:bookmarkStart w:id="1190" w:name="Tc_77Ivz5xMakG7SdXOZ0g06A_31_0"/>
      <w:bookmarkStart w:id="1191" w:name="Tc_WfD7tyckFk66xgdCFKUyXQ_30_0"/>
      <w:bookmarkStart w:id="1192" w:name="Tc_vOtApQZCEEiNP_xF3pB2aw_29_0"/>
      <w:bookmarkStart w:id="1193" w:name="Tc_1QGhhVbQbkedVlpDImKbBA_28_0"/>
      <w:bookmarkStart w:id="1194" w:name="Tc_Si76QZEvGkuWpR9WDDRCuA_27_26"/>
      <w:bookmarkStart w:id="1195" w:name="Tc_tOe5BLyXXUmPDL_P51rNuQ_27_23"/>
      <w:bookmarkStart w:id="1196" w:name="Tc_yCe1lMQnRU6Smu8aD8XiaA_27_20"/>
      <w:bookmarkStart w:id="1197" w:name="Tc_CreImAdUg0KN6diaJE3OvQ_27_17"/>
      <w:bookmarkStart w:id="1198" w:name="Tc_otSvUm16lE2VcCMIzcSf1w_27_14"/>
      <w:bookmarkStart w:id="1199" w:name="Tc_ByeiNSTouU6rBN7hNUww1w_27_11"/>
      <w:bookmarkStart w:id="1200" w:name="Tc_2cyJIf2D1EKMXEmzZA6M4A_27_8"/>
      <w:bookmarkStart w:id="1201" w:name="Tc_QPxW-osKvka2gx7hwMNl2g_27_5"/>
      <w:bookmarkStart w:id="1202" w:name="Tc_S0ehAMrGOUGVTz06rbslzg_27_2"/>
      <w:bookmarkStart w:id="1203" w:name="Tc_Fb37CyYWc06wWOgJsY5cOg_27_0"/>
      <w:bookmarkStart w:id="1204" w:name="Tc_bW7LM2ZUY0exFKNfh4B1mA_26_0"/>
      <w:bookmarkStart w:id="1205" w:name="Tc_8MnjPZUH8U2LUSJdtEcrkw_25_0"/>
      <w:bookmarkStart w:id="1206" w:name="Tc_S0PUgMDlt0W6iLXoUbkIUg_24_26"/>
      <w:bookmarkStart w:id="1207" w:name="Tc_YZ3bozONeUGkDZoNDMs15Q_24_23"/>
      <w:bookmarkStart w:id="1208" w:name="Tc_4IGZU1jB3kSLE9anziI4pA_24_20"/>
      <w:bookmarkStart w:id="1209" w:name="Tc_ep1xg2L39EePF-cRIFK8wg_24_17"/>
      <w:bookmarkStart w:id="1210" w:name="Tc_z5tGiw1rmUGgrJ4o-F0ULA_24_14"/>
      <w:bookmarkStart w:id="1211" w:name="Tc_sDwSSIS25EKLKSJLdrLn1w_24_11"/>
      <w:bookmarkStart w:id="1212" w:name="Tc_3U9ybkoxAkqhKomXPf0IyA_24_8"/>
      <w:bookmarkStart w:id="1213" w:name="Tc_7mHBQkqH-Umkmlod7rW5LA_24_5"/>
      <w:bookmarkStart w:id="1214" w:name="Tc_JNODqLbprEKOmHzHaC9tOw_24_2"/>
      <w:bookmarkStart w:id="1215" w:name="Tc_CAD6lrAbgUeSLVH1PBXCfQ_23_26"/>
      <w:bookmarkStart w:id="1216" w:name="Tc_PmEpQR5s4k6UonfldPVW1g_23_23"/>
      <w:bookmarkStart w:id="1217" w:name="Tc_b_QdnGFS9UmapN7bOT55iw_23_20"/>
      <w:bookmarkStart w:id="1218" w:name="Tc_Fs_7z_0R80-vArZ57a4V1g_23_17"/>
      <w:bookmarkStart w:id="1219" w:name="Tc_KxuszQytQU6MmJrt6p1rzg_23_14"/>
      <w:bookmarkStart w:id="1220" w:name="Tc_Go11i7gTdky1RaEf2CTNBg_23_11"/>
      <w:bookmarkStart w:id="1221" w:name="Tc_uUu3ME-SXEaPpJ-1smQQvA_23_8"/>
      <w:bookmarkStart w:id="1222" w:name="Tc_stp9G9SdRUOryqSB-KTzmA_23_5"/>
      <w:bookmarkStart w:id="1223" w:name="Tc_oDpAYw6VL0q8HYA4jWAp9g_23_2"/>
      <w:bookmarkStart w:id="1224" w:name="Tc_AlyLs8Y3xkaPT2b2h9MblQ_22_26"/>
      <w:bookmarkStart w:id="1225" w:name="Tc_LyMkz396o0G1LkNhq2w0Ng_22_23"/>
      <w:bookmarkStart w:id="1226" w:name="Tc_SwT_VlJzgU2G4v0IUHm7wQ_22_20"/>
      <w:bookmarkStart w:id="1227" w:name="Tc_QtFa-5sv4k2l3bBAi7x0Jw_22_17"/>
      <w:bookmarkStart w:id="1228" w:name="Tc_7_o0auSBOUm8bOCVxOR0rg_22_14"/>
      <w:bookmarkStart w:id="1229" w:name="Tc_dOWzkWmx1EWMw_3aIAvmZA_22_8"/>
      <w:bookmarkStart w:id="1230" w:name="Tc_7xw1_UJmSkGK2UsvdBrVbQ_22_5"/>
      <w:bookmarkStart w:id="1231" w:name="Tc_fgHMLB_4CEak8OQQNZpNtA_22_2"/>
      <w:bookmarkStart w:id="1232" w:name="Tc_izzofQ4orkqeWGq9c5enDg_21_20"/>
      <w:bookmarkStart w:id="1233" w:name="Tc_Y9vAY3KRw0uenkMLXnGN0g_19_0"/>
      <w:bookmarkStart w:id="1234" w:name="Tc_9-ccIut8nkq9kpLOdicbUg_18_24"/>
      <w:bookmarkStart w:id="1235" w:name="Tc_GQtOtLnNRUGWidbDtxxFLA_18_21"/>
      <w:bookmarkStart w:id="1236" w:name="Tc_q-DDXJSY_kmICN7w5IDU2Q_18_18"/>
      <w:bookmarkStart w:id="1237" w:name="Tc_wXPt5Df0NEawENuyTposGg_18_0"/>
      <w:bookmarkStart w:id="1238" w:name="Tc_MqwYPPSHak21OKcSfOknJQ_16_26"/>
      <w:bookmarkStart w:id="1239" w:name="Tc_sluLKCUijUmMfn4iCj9nWg_16_23"/>
      <w:bookmarkStart w:id="1240" w:name="Tc_cftOPEoVPEmQkq0OJCpWeA_16_20"/>
      <w:bookmarkStart w:id="1241" w:name="Tc_imwKIcjl_UuT13PF9NekNw_16_17"/>
      <w:bookmarkStart w:id="1242" w:name="Tc_M0idLtgwhEW_cRWaur8TTA_16_14"/>
      <w:bookmarkStart w:id="1243" w:name="Tc_Fn3Dv73oKkCpi7pS2wE7eg_16_11"/>
      <w:bookmarkStart w:id="1244" w:name="Tc_pCHqhgcFuUOv2wfNKAPsRA_16_8"/>
      <w:bookmarkStart w:id="1245" w:name="Tc_3pPsCbwSZkqmDpSc8d74IA_16_5"/>
      <w:bookmarkStart w:id="1246" w:name="Tc_uFsdM571HUeTvca5ROaUOQ_16_2"/>
      <w:bookmarkStart w:id="1247" w:name="Tc__P2UEf0fB0-rw7zxiqf6rw_16_0"/>
      <w:bookmarkStart w:id="1248" w:name="Tc__IoGLruZ-UO_jaXA6hEsrg_15_0"/>
      <w:bookmarkStart w:id="1249" w:name="Tc_ciJyWwJuOUq9Cp7X5tYCfw_14_0"/>
      <w:bookmarkStart w:id="1250" w:name="Tc_qXf_8Q8PtU-PGw9VIBlVaQ_13_18"/>
      <w:bookmarkStart w:id="1251" w:name="Tc_QTmfjaMIo0u5ixEaMiQlOA_13_0"/>
      <w:bookmarkStart w:id="1252" w:name="Tc_aVGFWXsx0kyNG3rrFZ7OJw_12_0"/>
      <w:bookmarkStart w:id="1253" w:name="Tc_MsrWzi5DTEay6KOVtklcTg_11_0"/>
      <w:bookmarkStart w:id="1254" w:name="Tc_ick8j0JHgEaT5TmjHGkIDw_10_18"/>
      <w:bookmarkStart w:id="1255" w:name="Tc_R58AtDsn2U2ohe3KVD0xZQ_10_0"/>
      <w:bookmarkStart w:id="1256" w:name="Tc_Ov8viuw0CEiwPGZyjBuaDQ_9_0"/>
      <w:bookmarkStart w:id="1257" w:name="Tc_o-FgSLJ_X02SlB0MU66i2Q_8_26"/>
      <w:bookmarkStart w:id="1258" w:name="Tc_iZRN2vQYPESO2rFwdI-ZTQ_8_23"/>
      <w:bookmarkStart w:id="1259" w:name="Tc_V1D1hIMb2E26BGibE6r1cw_8_20"/>
      <w:bookmarkStart w:id="1260" w:name="Tc_QmjY8Hyk9UStDkVGb-rqag_8_18"/>
      <w:bookmarkStart w:id="1261" w:name="Tc_nIEdqJ2CPEezE8h9lksj7w_8_17"/>
      <w:bookmarkStart w:id="1262" w:name="Tc_WkgibfZJtESm-oGrVmvrIQ_8_14"/>
      <w:bookmarkStart w:id="1263" w:name="Tc_gF1TOk1x0UaSllW02ySjow_8_11"/>
      <w:bookmarkStart w:id="1264" w:name="Tc_Am4B1qqgpEeF8IC0rZZRKw_8_8"/>
      <w:bookmarkStart w:id="1265" w:name="Tc_9iu_6roDZUaA4YiUbuFlSg_8_5"/>
      <w:bookmarkStart w:id="1266" w:name="Tc_KawgPfUoZES-KMJXe8JvbA_8_2"/>
      <w:bookmarkStart w:id="1267" w:name="Tc_17oRVhcl30SnGAy7I7ppIw_8_0"/>
      <w:bookmarkStart w:id="1268" w:name="Tc_xlbmfQnRyUm1HIKKQfv4gg_7_0"/>
      <w:bookmarkStart w:id="1269" w:name="Tc_v0yzCSLALEyb-CNVRmtFiw_6_0"/>
      <w:bookmarkStart w:id="1270" w:name="Tc_MzzAEBo0U0ye5oIodGMwvQ_5_0"/>
      <w:bookmarkStart w:id="1271" w:name="Tc_33UlEzVmp0il4UdOY1JVgA_4_26"/>
      <w:bookmarkStart w:id="1272" w:name="Tc_BVoNr2JuPUqF8Y4sPJ_5vw_4_23"/>
      <w:bookmarkStart w:id="1273" w:name="Tc__tt1XI78CUKRCN9LR_HHgA_4_20"/>
      <w:bookmarkStart w:id="1274" w:name="Tc_7fldC6mHHkqwkODXMwiNbg_4_17"/>
      <w:bookmarkStart w:id="1275" w:name="Tc_inLinztUJ0WLwM-13n3Yyg_4_14"/>
      <w:bookmarkStart w:id="1276" w:name="Tc_M8CJPTNrXkmDeqmePxoV6A_4_11"/>
      <w:bookmarkStart w:id="1277" w:name="Tc_trGUz7rNfUKwcH-jYZZbcQ_4_8"/>
      <w:bookmarkStart w:id="1278" w:name="Tc_7hugldzQhkmgX09u5Vcusg_4_5"/>
      <w:bookmarkStart w:id="1279" w:name="Tc_P6tURQxSKEqwl8AeGxsuXw_4_2"/>
      <w:bookmarkStart w:id="1280" w:name="Tc_a2iGSVjkHUqPEmE--R70kQ_3_26"/>
      <w:bookmarkStart w:id="1281" w:name="Tc_7wPIyYbzH0WgDVIf4MMAkA_3_23"/>
      <w:bookmarkStart w:id="1282" w:name="Tc_dmCy8jAmE0yZ0n1csKxF-g_3_20"/>
      <w:bookmarkStart w:id="1283" w:name="Tc_BrqOKgGWpkK2n12ncB7weA_3_17"/>
      <w:bookmarkStart w:id="1284" w:name="Tc_o-6Do4ObLkWIeQA1hq0GyQ_3_14"/>
      <w:bookmarkStart w:id="1285" w:name="Tc_SJSf1E5VnEyBOFql6PX1eg_3_11"/>
      <w:bookmarkStart w:id="1286" w:name="Tc_bH9SEUbLc0eNk_DJ7c2efQ_3_8"/>
      <w:bookmarkStart w:id="1287" w:name="Tc_z_PLNiz_qk204Ssrm139pw_3_5"/>
      <w:bookmarkStart w:id="1288" w:name="Tc_UIV5KG2HyU-vWylap-VHOg_3_2"/>
      <w:bookmarkStart w:id="1289" w:name="Tc_lMB29zBo20KIebOOrLXnHQ_2_26"/>
      <w:bookmarkStart w:id="1290" w:name="Tc_Tj0o_0hukE-b79U9EHxSFg_2_23"/>
      <w:bookmarkStart w:id="1291" w:name="Tc_iARGnxJdX0mvoeYXxxeG5Q_2_20"/>
      <w:bookmarkStart w:id="1292" w:name="Tc_gmPferDsoka7ENHdMpX8gw_2_17"/>
      <w:bookmarkStart w:id="1293" w:name="Tc_zYfpeNFiWkClMziKjjiCYQ_2_14"/>
      <w:bookmarkStart w:id="1294" w:name="Tc_l3ECtR9wlkWuLt3UqPQJpA_2_8"/>
      <w:bookmarkStart w:id="1295" w:name="Tc_4Q7hyFkXakypriU3l6h8RQ_2_5"/>
      <w:bookmarkStart w:id="1296" w:name="Tc_iKngZi7LiESPJLOXq276fA_2_2"/>
      <w:bookmarkStart w:id="1297" w:name="Tc_crseMxDb5ESHtOFA-hiIuA_1_20"/>
      <w:bookmarkStart w:id="1298" w:name="_5beef763_b994_4840_9879_38b1c152748a"/>
      <w:bookmarkStart w:id="1299" w:name="Tc_RkTKlCAzjkufOlMPJwgi7A_38_0"/>
      <w:bookmarkStart w:id="1300" w:name="Tc_wvaW5aTA8UOAOcDtTswXdA_37_24"/>
      <w:bookmarkStart w:id="1301" w:name="Tc_7pKv_4pCvUyEqB_VQcuJOA_37_21"/>
      <w:bookmarkStart w:id="1302" w:name="Tc_y3KcN8qQXECibKNdLChy9A_37_18"/>
      <w:bookmarkStart w:id="1303" w:name="Tc_WDBWRn0q4EuZUu16mGOEGA_37_0"/>
      <w:bookmarkStart w:id="1304" w:name="Tc_ggpMHSniakeygcKpiko9ZA_35_26"/>
      <w:bookmarkStart w:id="1305" w:name="Tc_yIK_MoSwyUiAC_odWnjIbA_35_23"/>
      <w:bookmarkStart w:id="1306" w:name="Tc_AwqzuNB3tUaI3mQpMJti_g_35_20"/>
      <w:bookmarkStart w:id="1307" w:name="Tc_1ECBz5ctQ06dgU9P0Xcxlw_35_17"/>
      <w:bookmarkStart w:id="1308" w:name="Tc_n0_hq3iRCUGypTFwzDUJeQ_35_14"/>
      <w:bookmarkStart w:id="1309" w:name="Tc_AefRTgLvWEC7ORtJZRrnjQ_35_11"/>
      <w:bookmarkStart w:id="1310" w:name="Tc_sCus7LTmFEeLziHZfpmRDQ_35_8"/>
      <w:bookmarkStart w:id="1311" w:name="Tc_-yxz9bZXkUGh268QAhc9Mg_35_5"/>
      <w:bookmarkStart w:id="1312" w:name="Tc_zWxVBnB7ik6uJd0VAgIfnw_35_2"/>
      <w:bookmarkStart w:id="1313" w:name="Tc_LroDjd8SzU2E-f-OaEDeSg_35_0"/>
      <w:bookmarkStart w:id="1314" w:name="Tc_bw-XEV3hbkOrYFGYjpyzcQ_34_0"/>
      <w:bookmarkStart w:id="1315" w:name="Tc_K9Sed0vOXU-C-Pn_HpBQMQ_33_0"/>
      <w:bookmarkStart w:id="1316" w:name="Tc_6yUi7wyUO0eA0vcZ_la_Qw_32_18"/>
      <w:bookmarkStart w:id="1317" w:name="Tc_EbezIDX8_EmgsgIq1K6Qhw_32_0"/>
      <w:bookmarkStart w:id="1318" w:name="Tc_77Ivz5xMakG7SdXOZ0g06A_31_0"/>
      <w:bookmarkStart w:id="1319" w:name="Tc_WfD7tyckFk66xgdCFKUyXQ_30_0"/>
      <w:bookmarkStart w:id="1320" w:name="Tc_vOtApQZCEEiNP_xF3pB2aw_29_0"/>
      <w:bookmarkStart w:id="1321" w:name="Tc_1QGhhVbQbkedVlpDImKbBA_28_0"/>
      <w:bookmarkStart w:id="1322" w:name="Tc_Si76QZEvGkuWpR9WDDRCuA_27_26"/>
      <w:bookmarkStart w:id="1323" w:name="Tc_tOe5BLyXXUmPDL_P51rNuQ_27_23"/>
      <w:bookmarkStart w:id="1324" w:name="Tc_yCe1lMQnRU6Smu8aD8XiaA_27_20"/>
      <w:bookmarkStart w:id="1325" w:name="Tc_CreImAdUg0KN6diaJE3OvQ_27_17"/>
      <w:bookmarkStart w:id="1326" w:name="Tc_otSvUm16lE2VcCMIzcSf1w_27_14"/>
      <w:bookmarkStart w:id="1327" w:name="Tc_ByeiNSTouU6rBN7hNUww1w_27_11"/>
      <w:bookmarkStart w:id="1328" w:name="Tc_2cyJIf2D1EKMXEmzZA6M4A_27_8"/>
      <w:bookmarkStart w:id="1329" w:name="Tc_QPxW-osKvka2gx7hwMNl2g_27_5"/>
      <w:bookmarkStart w:id="1330" w:name="Tc_S0ehAMrGOUGVTz06rbslzg_27_2"/>
      <w:bookmarkStart w:id="1331" w:name="Tc_Fb37CyYWc06wWOgJsY5cOg_27_0"/>
      <w:bookmarkStart w:id="1332" w:name="Tc_bW7LM2ZUY0exFKNfh4B1mA_26_0"/>
      <w:bookmarkStart w:id="1333" w:name="Tc_8MnjPZUH8U2LUSJdtEcrkw_25_0"/>
      <w:bookmarkStart w:id="1334" w:name="Tc_S0PUgMDlt0W6iLXoUbkIUg_24_26"/>
      <w:bookmarkStart w:id="1335" w:name="Tc_YZ3bozONeUGkDZoNDMs15Q_24_23"/>
      <w:bookmarkStart w:id="1336" w:name="Tc_4IGZU1jB3kSLE9anziI4pA_24_20"/>
      <w:bookmarkStart w:id="1337" w:name="Tc_ep1xg2L39EePF-cRIFK8wg_24_17"/>
      <w:bookmarkStart w:id="1338" w:name="Tc_z5tGiw1rmUGgrJ4o-F0ULA_24_14"/>
      <w:bookmarkStart w:id="1339" w:name="Tc_sDwSSIS25EKLKSJLdrLn1w_24_11"/>
      <w:bookmarkStart w:id="1340" w:name="Tc_3U9ybkoxAkqhKomXPf0IyA_24_8"/>
      <w:bookmarkStart w:id="1341" w:name="Tc_7mHBQkqH-Umkmlod7rW5LA_24_5"/>
      <w:bookmarkStart w:id="1342" w:name="Tc_JNODqLbprEKOmHzHaC9tOw_24_2"/>
      <w:bookmarkStart w:id="1343" w:name="Tc_CAD6lrAbgUeSLVH1PBXCfQ_23_26"/>
      <w:bookmarkStart w:id="1344" w:name="Tc_PmEpQR5s4k6UonfldPVW1g_23_23"/>
      <w:bookmarkStart w:id="1345" w:name="Tc_b_QdnGFS9UmapN7bOT55iw_23_20"/>
      <w:bookmarkStart w:id="1346" w:name="Tc_Fs_7z_0R80-vArZ57a4V1g_23_17"/>
      <w:bookmarkStart w:id="1347" w:name="Tc_KxuszQytQU6MmJrt6p1rzg_23_14"/>
      <w:bookmarkStart w:id="1348" w:name="Tc_Go11i7gTdky1RaEf2CTNBg_23_11"/>
      <w:bookmarkStart w:id="1349" w:name="Tc_uUu3ME-SXEaPpJ-1smQQvA_23_8"/>
      <w:bookmarkStart w:id="1350" w:name="Tc_stp9G9SdRUOryqSB-KTzmA_23_5"/>
      <w:bookmarkStart w:id="1351" w:name="Tc_oDpAYw6VL0q8HYA4jWAp9g_23_2"/>
      <w:bookmarkStart w:id="1352" w:name="Tc_AlyLs8Y3xkaPT2b2h9MblQ_22_26"/>
      <w:bookmarkStart w:id="1353" w:name="Tc_LyMkz396o0G1LkNhq2w0Ng_22_23"/>
      <w:bookmarkStart w:id="1354" w:name="Tc_SwT_VlJzgU2G4v0IUHm7wQ_22_20"/>
      <w:bookmarkStart w:id="1355" w:name="Tc_QtFa-5sv4k2l3bBAi7x0Jw_22_17"/>
      <w:bookmarkStart w:id="1356" w:name="Tc_7_o0auSBOUm8bOCVxOR0rg_22_14"/>
      <w:bookmarkStart w:id="1357" w:name="Tc_dOWzkWmx1EWMw_3aIAvmZA_22_8"/>
      <w:bookmarkStart w:id="1358" w:name="Tc_7xw1_UJmSkGK2UsvdBrVbQ_22_5"/>
      <w:bookmarkStart w:id="1359" w:name="Tc_fgHMLB_4CEak8OQQNZpNtA_22_2"/>
      <w:bookmarkStart w:id="1360" w:name="Tc_izzofQ4orkqeWGq9c5enDg_21_20"/>
      <w:bookmarkStart w:id="1361" w:name="Tc_Y9vAY3KRw0uenkMLXnGN0g_19_0"/>
      <w:bookmarkStart w:id="1362" w:name="Tc_9-ccIut8nkq9kpLOdicbUg_18_24"/>
      <w:bookmarkStart w:id="1363" w:name="Tc_GQtOtLnNRUGWidbDtxxFLA_18_21"/>
      <w:bookmarkStart w:id="1364" w:name="Tc_q-DDXJSY_kmICN7w5IDU2Q_18_18"/>
      <w:bookmarkStart w:id="1365" w:name="Tc_wXPt5Df0NEawENuyTposGg_18_0"/>
      <w:bookmarkStart w:id="1366" w:name="Tc_MqwYPPSHak21OKcSfOknJQ_16_26"/>
      <w:bookmarkStart w:id="1367" w:name="Tc_sluLKCUijUmMfn4iCj9nWg_16_23"/>
      <w:bookmarkStart w:id="1368" w:name="Tc_cftOPEoVPEmQkq0OJCpWeA_16_20"/>
      <w:bookmarkStart w:id="1369" w:name="Tc_imwKIcjl_UuT13PF9NekNw_16_17"/>
      <w:bookmarkStart w:id="1370" w:name="Tc_M0idLtgwhEW_cRWaur8TTA_16_14"/>
      <w:bookmarkStart w:id="1371" w:name="Tc_Fn3Dv73oKkCpi7pS2wE7eg_16_11"/>
      <w:bookmarkStart w:id="1372" w:name="Tc_pCHqhgcFuUOv2wfNKAPsRA_16_8"/>
      <w:bookmarkStart w:id="1373" w:name="Tc_3pPsCbwSZkqmDpSc8d74IA_16_5"/>
      <w:bookmarkStart w:id="1374" w:name="Tc_uFsdM571HUeTvca5ROaUOQ_16_2"/>
      <w:bookmarkStart w:id="1375" w:name="Tc__P2UEf0fB0-rw7zxiqf6rw_16_0"/>
      <w:bookmarkStart w:id="1376" w:name="Tc__IoGLruZ-UO_jaXA6hEsrg_15_0"/>
      <w:bookmarkStart w:id="1377" w:name="Tc_ciJyWwJuOUq9Cp7X5tYCfw_14_0"/>
      <w:bookmarkStart w:id="1378" w:name="Tc_qXf_8Q8PtU-PGw9VIBlVaQ_13_18"/>
      <w:bookmarkStart w:id="1379" w:name="Tc_QTmfjaMIo0u5ixEaMiQlOA_13_0"/>
      <w:bookmarkStart w:id="1380" w:name="Tc_aVGFWXsx0kyNG3rrFZ7OJw_12_0"/>
      <w:bookmarkStart w:id="1381" w:name="Tc_MsrWzi5DTEay6KOVtklcTg_11_0"/>
      <w:bookmarkStart w:id="1382" w:name="Tc_ick8j0JHgEaT5TmjHGkIDw_10_18"/>
      <w:bookmarkStart w:id="1383" w:name="Tc_R58AtDsn2U2ohe3KVD0xZQ_10_0"/>
      <w:bookmarkStart w:id="1384" w:name="Tc_Ov8viuw0CEiwPGZyjBuaDQ_9_0"/>
      <w:bookmarkStart w:id="1385" w:name="Tc_o-FgSLJ_X02SlB0MU66i2Q_8_26"/>
      <w:bookmarkStart w:id="1386" w:name="Tc_iZRN2vQYPESO2rFwdI-ZTQ_8_23"/>
      <w:bookmarkStart w:id="1387" w:name="Tc_V1D1hIMb2E26BGibE6r1cw_8_20"/>
      <w:bookmarkStart w:id="1388" w:name="Tc_QmjY8Hyk9UStDkVGb-rqag_8_18"/>
      <w:bookmarkStart w:id="1389" w:name="Tc_nIEdqJ2CPEezE8h9lksj7w_8_17"/>
      <w:bookmarkStart w:id="1390" w:name="Tc_WkgibfZJtESm-oGrVmvrIQ_8_14"/>
      <w:bookmarkStart w:id="1391" w:name="Tc_gF1TOk1x0UaSllW02ySjow_8_11"/>
      <w:bookmarkStart w:id="1392" w:name="Tc_Am4B1qqgpEeF8IC0rZZRKw_8_8"/>
      <w:bookmarkStart w:id="1393" w:name="Tc_9iu_6roDZUaA4YiUbuFlSg_8_5"/>
      <w:bookmarkStart w:id="1394" w:name="Tc_KawgPfUoZES-KMJXe8JvbA_8_2"/>
      <w:bookmarkStart w:id="1395" w:name="Tc_17oRVhcl30SnGAy7I7ppIw_8_0"/>
      <w:bookmarkStart w:id="1396" w:name="Tc_xlbmfQnRyUm1HIKKQfv4gg_7_0"/>
      <w:bookmarkStart w:id="1397" w:name="Tc_v0yzCSLALEyb-CNVRmtFiw_6_0"/>
      <w:bookmarkStart w:id="1398" w:name="Tc_MzzAEBo0U0ye5oIodGMwvQ_5_0"/>
      <w:bookmarkStart w:id="1399" w:name="Tc_33UlEzVmp0il4UdOY1JVgA_4_26"/>
      <w:bookmarkStart w:id="1400" w:name="Tc_BVoNr2JuPUqF8Y4sPJ_5vw_4_23"/>
      <w:bookmarkStart w:id="1401" w:name="Tc__tt1XI78CUKRCN9LR_HHgA_4_20"/>
      <w:bookmarkStart w:id="1402" w:name="Tc_7fldC6mHHkqwkODXMwiNbg_4_17"/>
      <w:bookmarkStart w:id="1403" w:name="Tc_inLinztUJ0WLwM-13n3Yyg_4_14"/>
      <w:bookmarkStart w:id="1404" w:name="Tc_M8CJPTNrXkmDeqmePxoV6A_4_11"/>
      <w:bookmarkStart w:id="1405" w:name="Tc_trGUz7rNfUKwcH-jYZZbcQ_4_8"/>
      <w:bookmarkStart w:id="1406" w:name="Tc_7hugldzQhkmgX09u5Vcusg_4_5"/>
      <w:bookmarkStart w:id="1407" w:name="Tc_P6tURQxSKEqwl8AeGxsuXw_4_2"/>
      <w:bookmarkStart w:id="1408" w:name="Tc_a2iGSVjkHUqPEmE--R70kQ_3_26"/>
      <w:bookmarkStart w:id="1409" w:name="Tc_7wPIyYbzH0WgDVIf4MMAkA_3_23"/>
      <w:bookmarkStart w:id="1410" w:name="Tc_dmCy8jAmE0yZ0n1csKxF-g_3_20"/>
      <w:bookmarkStart w:id="1411" w:name="Tc_BrqOKgGWpkK2n12ncB7weA_3_17"/>
      <w:bookmarkStart w:id="1412" w:name="Tc_o-6Do4ObLkWIeQA1hq0GyQ_3_14"/>
      <w:bookmarkStart w:id="1413" w:name="Tc_SJSf1E5VnEyBOFql6PX1eg_3_11"/>
      <w:bookmarkStart w:id="1414" w:name="Tc_bH9SEUbLc0eNk_DJ7c2efQ_3_8"/>
      <w:bookmarkStart w:id="1415" w:name="Tc_z_PLNiz_qk204Ssrm139pw_3_5"/>
      <w:bookmarkStart w:id="1416" w:name="Tc_UIV5KG2HyU-vWylap-VHOg_3_2"/>
      <w:bookmarkStart w:id="1417" w:name="Tc_lMB29zBo20KIebOOrLXnHQ_2_26"/>
      <w:bookmarkStart w:id="1418" w:name="Tc_Tj0o_0hukE-b79U9EHxSFg_2_23"/>
      <w:bookmarkStart w:id="1419" w:name="Tc_iARGnxJdX0mvoeYXxxeG5Q_2_20"/>
      <w:bookmarkStart w:id="1420" w:name="Tc_gmPferDsoka7ENHdMpX8gw_2_17"/>
      <w:bookmarkStart w:id="1421" w:name="Tc_zYfpeNFiWkClMziKjjiCYQ_2_14"/>
      <w:bookmarkStart w:id="1422" w:name="Tc_l3ECtR9wlkWuLt3UqPQJpA_2_8"/>
      <w:bookmarkStart w:id="1423" w:name="Tc_4Q7hyFkXakypriU3l6h8RQ_2_5"/>
      <w:bookmarkStart w:id="1424" w:name="Tc_iKngZi7LiESPJLOXq276fA_2_2"/>
      <w:bookmarkStart w:id="1425" w:name="Tc_crseMxDb5ESHtOFA-hiIuA_1_20"/>
      <w:bookmarkStart w:id="1426" w:name="_5beef763_b994_4840_9879_38b1c152748a"/>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p>
    <w:tbl>
      <w:tblPr>
        <w:tblW w:w="10444" w:type="dxa"/>
        <w:jc w:val="left"/>
        <w:tblInd w:w="0" w:type="dxa"/>
        <w:tblLayout w:type="fixed"/>
        <w:tblCellMar>
          <w:top w:w="0" w:type="dxa"/>
          <w:left w:w="0" w:type="dxa"/>
          <w:bottom w:w="0" w:type="dxa"/>
          <w:right w:w="0" w:type="dxa"/>
        </w:tblCellMar>
      </w:tblPr>
      <w:tblGrid>
        <w:gridCol w:w="916"/>
        <w:gridCol w:w="226"/>
        <w:gridCol w:w="188"/>
        <w:gridCol w:w="533"/>
        <w:gridCol w:w="226"/>
        <w:gridCol w:w="277"/>
        <w:gridCol w:w="669"/>
        <w:gridCol w:w="226"/>
        <w:gridCol w:w="188"/>
        <w:gridCol w:w="533"/>
        <w:gridCol w:w="226"/>
        <w:gridCol w:w="188"/>
        <w:gridCol w:w="533"/>
        <w:gridCol w:w="226"/>
        <w:gridCol w:w="295"/>
        <w:gridCol w:w="711"/>
        <w:gridCol w:w="226"/>
        <w:gridCol w:w="242"/>
        <w:gridCol w:w="464"/>
        <w:gridCol w:w="226"/>
        <w:gridCol w:w="272"/>
        <w:gridCol w:w="629"/>
        <w:gridCol w:w="226"/>
        <w:gridCol w:w="242"/>
        <w:gridCol w:w="584"/>
        <w:gridCol w:w="226"/>
        <w:gridCol w:w="258"/>
        <w:gridCol w:w="688"/>
      </w:tblGrid>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81660" cy="175260"/>
                      <wp:effectExtent l="0" t="0" r="0" b="0"/>
                      <wp:wrapNone/>
                      <wp:docPr id="166" name="Frame16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3510" cy="175260"/>
                      <wp:effectExtent l="0" t="0" r="0" b="0"/>
                      <wp:wrapNone/>
                      <wp:docPr id="167" name="Frame1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19380" cy="175260"/>
                      <wp:effectExtent l="0" t="0" r="0" b="0"/>
                      <wp:wrapNone/>
                      <wp:docPr id="168" name="Frame168"/>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38455" cy="175260"/>
                      <wp:effectExtent l="0" t="0" r="0" b="0"/>
                      <wp:wrapNone/>
                      <wp:docPr id="169" name="Frame169"/>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43510" cy="175260"/>
                      <wp:effectExtent l="0" t="0" r="0" b="0"/>
                      <wp:wrapNone/>
                      <wp:docPr id="170" name="Frame1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75895" cy="175260"/>
                      <wp:effectExtent l="0" t="0" r="0" b="0"/>
                      <wp:wrapNone/>
                      <wp:docPr id="171" name="Frame17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4815" cy="175260"/>
                      <wp:effectExtent l="0" t="0" r="0" b="0"/>
                      <wp:wrapNone/>
                      <wp:docPr id="172" name="Frame172"/>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3510" cy="175260"/>
                      <wp:effectExtent l="0" t="0" r="0" b="0"/>
                      <wp:wrapNone/>
                      <wp:docPr id="173" name="Frame1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19380" cy="175260"/>
                      <wp:effectExtent l="0" t="0" r="0" b="0"/>
                      <wp:wrapNone/>
                      <wp:docPr id="174" name="Frame174"/>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38455" cy="175260"/>
                      <wp:effectExtent l="0" t="0" r="0" b="0"/>
                      <wp:wrapNone/>
                      <wp:docPr id="175" name="Frame175"/>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3510" cy="175260"/>
                      <wp:effectExtent l="0" t="0" r="0" b="0"/>
                      <wp:wrapNone/>
                      <wp:docPr id="176" name="Frame17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19380" cy="175260"/>
                      <wp:effectExtent l="0" t="0" r="0" b="0"/>
                      <wp:wrapNone/>
                      <wp:docPr id="177" name="Frame177"/>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38455" cy="175260"/>
                      <wp:effectExtent l="0" t="0" r="0" b="0"/>
                      <wp:wrapNone/>
                      <wp:docPr id="178" name="Frame178"/>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3510" cy="175260"/>
                      <wp:effectExtent l="0" t="0" r="0" b="0"/>
                      <wp:wrapNone/>
                      <wp:docPr id="179" name="Frame1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87325" cy="175260"/>
                      <wp:effectExtent l="0" t="0" r="0" b="0"/>
                      <wp:wrapNone/>
                      <wp:docPr id="180" name="Frame18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51485" cy="175260"/>
                      <wp:effectExtent l="0" t="0" r="0" b="0"/>
                      <wp:wrapNone/>
                      <wp:docPr id="181" name="Frame181"/>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3510" cy="175260"/>
                      <wp:effectExtent l="0" t="0" r="0" b="0"/>
                      <wp:wrapNone/>
                      <wp:docPr id="182" name="Frame1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53670" cy="175260"/>
                      <wp:effectExtent l="0" t="0" r="0" b="0"/>
                      <wp:wrapNone/>
                      <wp:docPr id="183" name="Frame18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94640" cy="175260"/>
                      <wp:effectExtent l="0" t="0" r="0" b="0"/>
                      <wp:wrapNone/>
                      <wp:docPr id="184" name="Frame184"/>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3510" cy="175260"/>
                      <wp:effectExtent l="0" t="0" r="0" b="0"/>
                      <wp:wrapNone/>
                      <wp:docPr id="185" name="Frame1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72720" cy="175260"/>
                      <wp:effectExtent l="0" t="0" r="0" b="0"/>
                      <wp:wrapNone/>
                      <wp:docPr id="186" name="Frame186"/>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99415" cy="175260"/>
                      <wp:effectExtent l="0" t="0" r="0" b="0"/>
                      <wp:wrapNone/>
                      <wp:docPr id="187" name="Frame187"/>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3510" cy="175260"/>
                      <wp:effectExtent l="0" t="0" r="0" b="0"/>
                      <wp:wrapNone/>
                      <wp:docPr id="188" name="Frame1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53670" cy="175260"/>
                      <wp:effectExtent l="0" t="0" r="0" b="0"/>
                      <wp:wrapNone/>
                      <wp:docPr id="189" name="Frame18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70840" cy="175260"/>
                      <wp:effectExtent l="0" t="0" r="0" b="0"/>
                      <wp:wrapNone/>
                      <wp:docPr id="190" name="Frame190"/>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3510" cy="175260"/>
                      <wp:effectExtent l="0" t="0" r="0" b="0"/>
                      <wp:wrapNone/>
                      <wp:docPr id="191" name="Frame1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3830" cy="175260"/>
                      <wp:effectExtent l="0" t="0" r="0" b="0"/>
                      <wp:wrapNone/>
                      <wp:docPr id="192" name="Frame19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36880" cy="175260"/>
                      <wp:effectExtent l="0" t="0" r="0" b="0"/>
                      <wp:wrapNone/>
                      <wp:docPr id="193" name="Frame193"/>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center"/>
              <w:rPr/>
            </w:pPr>
            <w:r>
              <w:rPr/>
              <w:t>​</w:t>
            </w:r>
          </w:p>
        </w:tc>
        <w:tc>
          <w:tcPr>
            <w:tcW w:w="533"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88" w:type="dxa"/>
            <w:tcBorders/>
            <w:vAlign w:val="center"/>
          </w:tcPr>
          <w:p>
            <w:pPr>
              <w:pStyle w:val="TableContents"/>
              <w:bidi w:val="0"/>
              <w:spacing w:before="0" w:after="0"/>
              <w:ind w:left="0" w:right="0" w:hanging="0"/>
              <w:jc w:val="center"/>
              <w:rPr/>
            </w:pPr>
            <w:r>
              <w:rPr/>
              <w:t>​</w:t>
            </w:r>
          </w:p>
        </w:tc>
        <w:tc>
          <w:tcPr>
            <w:tcW w:w="533"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88" w:type="dxa"/>
            <w:tcBorders/>
            <w:vAlign w:val="center"/>
          </w:tcPr>
          <w:p>
            <w:pPr>
              <w:pStyle w:val="TableContents"/>
              <w:bidi w:val="0"/>
              <w:spacing w:before="0" w:after="0"/>
              <w:ind w:left="0" w:right="0" w:hanging="0"/>
              <w:jc w:val="center"/>
              <w:rPr/>
            </w:pPr>
            <w:r>
              <w:rPr/>
              <w:t>​</w:t>
            </w:r>
          </w:p>
        </w:tc>
        <w:tc>
          <w:tcPr>
            <w:tcW w:w="533"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95" w:type="dxa"/>
            <w:tcBorders/>
            <w:vAlign w:val="center"/>
          </w:tcPr>
          <w:p>
            <w:pPr>
              <w:pStyle w:val="TableContents"/>
              <w:bidi w:val="0"/>
              <w:spacing w:before="0" w:after="0"/>
              <w:ind w:left="0" w:right="0" w:hanging="0"/>
              <w:jc w:val="center"/>
              <w:rPr/>
            </w:pPr>
            <w:r>
              <w:rPr/>
              <w:t>​</w:t>
            </w:r>
          </w:p>
        </w:tc>
        <w:tc>
          <w:tcPr>
            <w:tcW w:w="7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42"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Depreciation, </w:t>
            </w:r>
          </w:p>
        </w:tc>
        <w:tc>
          <w:tcPr>
            <w:tcW w:w="226" w:type="dxa"/>
            <w:tcBorders/>
            <w:vAlign w:val="center"/>
          </w:tcPr>
          <w:p>
            <w:pPr>
              <w:pStyle w:val="TableContents"/>
              <w:bidi w:val="0"/>
              <w:spacing w:before="0" w:after="0"/>
              <w:ind w:left="0" w:right="0" w:hanging="0"/>
              <w:jc w:val="center"/>
              <w:rPr/>
            </w:pPr>
            <w:r>
              <w:rPr/>
              <w:t> </w:t>
            </w:r>
          </w:p>
        </w:tc>
        <w:tc>
          <w:tcPr>
            <w:tcW w:w="242" w:type="dxa"/>
            <w:tcBorders/>
            <w:vAlign w:val="center"/>
          </w:tcPr>
          <w:p>
            <w:pPr>
              <w:pStyle w:val="TableContents"/>
              <w:bidi w:val="0"/>
              <w:spacing w:before="0" w:after="0"/>
              <w:ind w:left="0" w:right="0" w:hanging="0"/>
              <w:jc w:val="center"/>
              <w:rPr/>
            </w:pPr>
            <w:r>
              <w:rPr/>
              <w:t>​</w:t>
            </w:r>
          </w:p>
        </w:tc>
        <w:tc>
          <w:tcPr>
            <w:tcW w:w="58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pPr>
            <w:r>
              <w:rPr/>
              <w:t>​</w:t>
            </w:r>
          </w:p>
        </w:tc>
      </w:tr>
      <w:tr>
        <w:trPr/>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2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Intercompany</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Gross</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Selling, </w:t>
            </w:r>
          </w:p>
        </w:tc>
        <w:tc>
          <w:tcPr>
            <w:tcW w:w="22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Depletion, </w:t>
            </w:r>
          </w:p>
        </w:tc>
        <w:tc>
          <w:tcPr>
            <w:tcW w:w="22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2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r>
      <w:tr>
        <w:trPr/>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General and</w:t>
            </w:r>
          </w:p>
        </w:tc>
        <w:tc>
          <w:tcPr>
            <w:tcW w:w="22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2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Amortization</w:t>
            </w:r>
          </w:p>
        </w:tc>
        <w:tc>
          <w:tcPr>
            <w:tcW w:w="2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from</w:t>
            </w:r>
          </w:p>
        </w:tc>
        <w:tc>
          <w:tcPr>
            <w:tcW w:w="2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Expenditures</w:t>
            </w:r>
          </w:p>
        </w:tc>
      </w:tr>
      <w:tr>
        <w:trPr/>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Revenues</w:t>
            </w:r>
          </w:p>
        </w:tc>
        <w:tc>
          <w:tcPr>
            <w:tcW w:w="2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Revenues(a)</w:t>
            </w:r>
          </w:p>
        </w:tc>
        <w:tc>
          <w:tcPr>
            <w:tcW w:w="2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Revenues</w:t>
            </w:r>
          </w:p>
        </w:tc>
        <w:tc>
          <w:tcPr>
            <w:tcW w:w="2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Expenses</w:t>
            </w:r>
          </w:p>
        </w:tc>
        <w:tc>
          <w:tcPr>
            <w:tcW w:w="2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Administrative</w:t>
            </w:r>
          </w:p>
        </w:tc>
        <w:tc>
          <w:tcPr>
            <w:tcW w:w="226" w:type="dxa"/>
            <w:tcBorders/>
            <w:vAlign w:val="center"/>
          </w:tcPr>
          <w:p>
            <w:pPr>
              <w:pStyle w:val="TableContents"/>
              <w:bidi w:val="0"/>
              <w:spacing w:before="0" w:after="0"/>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Expenses(b)</w:t>
            </w:r>
          </w:p>
        </w:tc>
        <w:tc>
          <w:tcPr>
            <w:tcW w:w="2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Accretion </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Operations(c)</w:t>
            </w:r>
          </w:p>
        </w:tc>
        <w:tc>
          <w:tcPr>
            <w:tcW w:w="2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Six Months Ended June 30:</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Collection and Disposal:</w:t>
            </w:r>
          </w:p>
        </w:tc>
        <w:tc>
          <w:tcPr>
            <w:tcW w:w="226"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272"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  ​</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East Tier</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4,605</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1,263</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5,868</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3,589</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591</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1,507</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481</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West Tier</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4,441</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1,119</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5,560</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3,418</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4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491</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1,498</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529</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Ancillary </w:t>
            </w:r>
          </w:p>
        </w:tc>
        <w:tc>
          <w:tcPr>
            <w:tcW w:w="22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1,514</w:t>
            </w:r>
          </w:p>
        </w:tc>
        <w:tc>
          <w:tcPr>
            <w:tcW w:w="2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w:t>
            </w:r>
          </w:p>
        </w:tc>
        <w:tc>
          <w:tcPr>
            <w:tcW w:w="22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1,629</w:t>
            </w:r>
          </w:p>
        </w:tc>
        <w:tc>
          <w:tcPr>
            <w:tcW w:w="22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1,553</w:t>
            </w:r>
          </w:p>
        </w:tc>
        <w:tc>
          <w:tcPr>
            <w:tcW w:w="2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2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2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Collection and Disposal(e)(f)(g)</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10,560</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2,497</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13,057</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8,560</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4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1,096</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3,010</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1,043</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Recycling Processing and Sales(e) </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771</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946</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753</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Renewable Energy(f)</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Healthcare Solutions(g)(h)</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1,252</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1,463</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1,006</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Corporate and Other(f)</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690</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(782)</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w:t>
            </w:r>
          </w:p>
        </w:tc>
        <w:tc>
          <w:tcPr>
            <w:tcW w:w="226" w:type="dxa"/>
            <w:tcBorders/>
            <w:vAlign w:val="center"/>
          </w:tcPr>
          <w:p>
            <w:pPr>
              <w:pStyle w:val="TableContents"/>
              <w:bidi w:val="0"/>
              <w:spacing w:before="0" w:after="0"/>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12,911</w:t>
            </w:r>
          </w:p>
        </w:tc>
        <w:tc>
          <w:tcPr>
            <w:tcW w:w="2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2,901</w:t>
            </w:r>
          </w:p>
        </w:tc>
        <w:tc>
          <w:tcPr>
            <w:tcW w:w="226" w:type="dxa"/>
            <w:tcBorders/>
            <w:vAlign w:val="center"/>
          </w:tcPr>
          <w:p>
            <w:pPr>
              <w:pStyle w:val="TableContents"/>
              <w:bidi w:val="0"/>
              <w:spacing w:before="0" w:after="0"/>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15,812</w:t>
            </w:r>
          </w:p>
        </w:tc>
        <w:tc>
          <w:tcPr>
            <w:tcW w:w="226" w:type="dxa"/>
            <w:tcBorders/>
            <w:vAlign w:val="center"/>
          </w:tcPr>
          <w:p>
            <w:pPr>
              <w:pStyle w:val="TableContents"/>
              <w:bidi w:val="0"/>
              <w:spacing w:before="0" w:after="0"/>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10,537</w:t>
            </w:r>
          </w:p>
        </w:tc>
        <w:tc>
          <w:tcPr>
            <w:tcW w:w="2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1,403</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226"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1,512</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2,366</w:t>
            </w:r>
          </w:p>
        </w:tc>
        <w:tc>
          <w:tcPr>
            <w:tcW w:w="2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1,261</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Intercompany Elimination(a)</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(2,901)</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(2,888)</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12,911</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7,649</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1,390</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1,512</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2,366</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Depreciation, </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2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Intercompany</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Gross</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Selling, </w:t>
            </w:r>
          </w:p>
        </w:tc>
        <w:tc>
          <w:tcPr>
            <w:tcW w:w="226" w:type="dxa"/>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Depletion, </w:t>
            </w:r>
          </w:p>
        </w:tc>
        <w:tc>
          <w:tcPr>
            <w:tcW w:w="22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2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shd w:fill="CCEEFF" w:val="clear"/>
            <w:vAlign w:val="center"/>
          </w:tcPr>
          <w:p>
            <w:pPr>
              <w:pStyle w:val="TableContents"/>
              <w:bidi w:val="0"/>
              <w:spacing w:before="0" w:after="0"/>
              <w:ind w:left="0" w:right="0" w:hanging="0"/>
              <w:jc w:val="left"/>
              <w:rPr/>
            </w:pPr>
            <w:r>
              <w:rPr/>
              <w:t>​</w:t>
            </w:r>
          </w:p>
        </w:tc>
        <w:tc>
          <w:tcPr>
            <w:tcW w:w="94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General and</w:t>
            </w:r>
          </w:p>
        </w:tc>
        <w:tc>
          <w:tcPr>
            <w:tcW w:w="226" w:type="dxa"/>
            <w:tcBorders/>
            <w:shd w:fill="CCEEFF" w:val="clear"/>
            <w:vAlign w:val="center"/>
          </w:tcPr>
          <w:p>
            <w:pPr>
              <w:pStyle w:val="TableContents"/>
              <w:bidi w:val="0"/>
              <w:spacing w:before="0" w:after="0"/>
              <w:ind w:left="0" w:right="0" w:hanging="0"/>
              <w:jc w:val="left"/>
              <w:rPr/>
            </w:pPr>
            <w:r>
              <w:rPr/>
              <w:t>​</w:t>
            </w:r>
          </w:p>
        </w:tc>
        <w:tc>
          <w:tcPr>
            <w:tcW w:w="70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Amortization</w:t>
            </w:r>
          </w:p>
        </w:tc>
        <w:tc>
          <w:tcPr>
            <w:tcW w:w="226" w:type="dxa"/>
            <w:tcBorders/>
            <w:shd w:fill="CCEEFF" w:val="clear"/>
            <w:vAlign w:val="center"/>
          </w:tcPr>
          <w:p>
            <w:pPr>
              <w:pStyle w:val="TableContents"/>
              <w:bidi w:val="0"/>
              <w:spacing w:before="0" w:after="0"/>
              <w:ind w:left="0" w:right="0" w:hanging="0"/>
              <w:jc w:val="center"/>
              <w:rPr/>
            </w:pPr>
            <w:r>
              <w:rPr/>
              <w:t> </w:t>
            </w:r>
          </w:p>
        </w:tc>
        <w:tc>
          <w:tcPr>
            <w:tcW w:w="82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from</w:t>
            </w:r>
          </w:p>
        </w:tc>
        <w:tc>
          <w:tcPr>
            <w:tcW w:w="226" w:type="dxa"/>
            <w:tcBorders/>
            <w:shd w:fill="CCEEFF" w:val="clear"/>
            <w:vAlign w:val="center"/>
          </w:tcPr>
          <w:p>
            <w:pPr>
              <w:pStyle w:val="TableContents"/>
              <w:bidi w:val="0"/>
              <w:spacing w:before="0" w:after="0"/>
              <w:ind w:left="0" w:right="0" w:hanging="0"/>
              <w:jc w:val="center"/>
              <w:rPr/>
            </w:pPr>
            <w:r>
              <w:rPr/>
              <w:t> </w:t>
            </w:r>
          </w:p>
        </w:tc>
        <w:tc>
          <w:tcPr>
            <w:tcW w:w="94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Expenditures</w:t>
            </w:r>
          </w:p>
        </w:tc>
      </w:tr>
      <w:tr>
        <w:trPr/>
        <w:tc>
          <w:tcPr>
            <w:tcW w:w="91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Revenues</w:t>
            </w:r>
          </w:p>
        </w:tc>
        <w:tc>
          <w:tcPr>
            <w:tcW w:w="2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Revenues(a)</w:t>
            </w:r>
          </w:p>
        </w:tc>
        <w:tc>
          <w:tcPr>
            <w:tcW w:w="2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Revenues</w:t>
            </w:r>
          </w:p>
        </w:tc>
        <w:tc>
          <w:tcPr>
            <w:tcW w:w="2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Expenses</w:t>
            </w:r>
          </w:p>
        </w:tc>
        <w:tc>
          <w:tcPr>
            <w:tcW w:w="2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Administrative</w:t>
            </w:r>
          </w:p>
        </w:tc>
        <w:tc>
          <w:tcPr>
            <w:tcW w:w="226" w:type="dxa"/>
            <w:tcBorders/>
            <w:vAlign w:val="center"/>
          </w:tcPr>
          <w:p>
            <w:pPr>
              <w:pStyle w:val="TableContents"/>
              <w:bidi w:val="0"/>
              <w:spacing w:before="0" w:after="0"/>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Expenses(b)</w:t>
            </w:r>
          </w:p>
        </w:tc>
        <w:tc>
          <w:tcPr>
            <w:tcW w:w="2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Accretion </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Operations(c)</w:t>
            </w:r>
          </w:p>
        </w:tc>
        <w:tc>
          <w:tcPr>
            <w:tcW w:w="2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2025</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center"/>
              <w:rPr/>
            </w:pPr>
            <w:r>
              <w:rPr/>
              <w:t>​</w:t>
            </w:r>
          </w:p>
        </w:tc>
        <w:tc>
          <w:tcPr>
            <w:tcW w:w="533"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66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center"/>
              <w:rPr/>
            </w:pPr>
            <w:r>
              <w:rPr/>
              <w:t>​</w:t>
            </w:r>
          </w:p>
        </w:tc>
        <w:tc>
          <w:tcPr>
            <w:tcW w:w="533"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center"/>
              <w:rPr/>
            </w:pPr>
            <w:r>
              <w:rPr/>
              <w:t>​</w:t>
            </w:r>
          </w:p>
        </w:tc>
        <w:tc>
          <w:tcPr>
            <w:tcW w:w="533"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center"/>
              <w:rPr/>
            </w:pPr>
            <w:r>
              <w:rPr/>
              <w:t>​</w:t>
            </w:r>
          </w:p>
        </w:tc>
        <w:tc>
          <w:tcPr>
            <w:tcW w:w="71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464"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center"/>
              <w:rPr/>
            </w:pPr>
            <w:r>
              <w:rPr/>
              <w:t>​</w:t>
            </w:r>
          </w:p>
        </w:tc>
        <w:tc>
          <w:tcPr>
            <w:tcW w:w="62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584"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688" w:type="dxa"/>
            <w:tcBorders/>
            <w:shd w:fill="CCEEFF" w:val="clear"/>
            <w:vAlign w:val="center"/>
          </w:tcPr>
          <w:p>
            <w:pPr>
              <w:pStyle w:val="TableContents"/>
              <w:bidi w:val="0"/>
              <w:spacing w:before="0" w:after="0"/>
              <w:ind w:left="0" w:right="0" w:hanging="0"/>
              <w:jc w:val="center"/>
              <w:rPr/>
            </w:pPr>
            <w:r>
              <w:rPr/>
              <w: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Collection and Disposal:</w:t>
            </w:r>
          </w:p>
        </w:tc>
        <w:tc>
          <w:tcPr>
            <w:tcW w:w="22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  ​</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East Tier</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4,432</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1,188</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5,620</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3,488</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1,390</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557</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West Tier</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4,333</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1,060</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5,393</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3,298</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1,436</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557</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Ancillary </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1,438</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1,541</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1,471</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Collection and Disposal(e)(f)(g)</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10,203</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2,351</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12,554</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8,257</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406</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1,059</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2,806</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1,143</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Recycling Processing and Sales(e) </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765</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947</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786</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4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Renewable Energy(f)</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237</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Healthcare Solutions(g)(h)</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1,265</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1,481</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996</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305</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Corporate and Other(f)</w:t>
            </w:r>
          </w:p>
        </w:tc>
        <w:tc>
          <w:tcPr>
            <w:tcW w:w="22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2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649</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(697)</w:t>
            </w:r>
          </w:p>
        </w:tc>
        <w:tc>
          <w:tcPr>
            <w:tcW w:w="2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12,448</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2,766</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15,214</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10,169</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1,395</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1,435</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2,164</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1,456</w:t>
            </w:r>
          </w:p>
        </w:tc>
      </w:tr>
      <w:tr>
        <w:trPr/>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Intercompany Elimination(a)</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(2,766)</w:t>
            </w:r>
          </w:p>
        </w:tc>
        <w:tc>
          <w:tcPr>
            <w:tcW w:w="2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(2,754)</w:t>
            </w:r>
          </w:p>
        </w:tc>
        <w:tc>
          <w:tcPr>
            <w:tcW w:w="2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12,448</w:t>
            </w:r>
          </w:p>
        </w:tc>
        <w:tc>
          <w:tcPr>
            <w:tcW w:w="2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7,415</w:t>
            </w:r>
          </w:p>
        </w:tc>
        <w:tc>
          <w:tcPr>
            <w:tcW w:w="2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1,383</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w:t>
            </w:r>
          </w:p>
        </w:tc>
        <w:tc>
          <w:tcPr>
            <w:tcW w:w="2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1,435</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2,164</w:t>
            </w:r>
          </w:p>
        </w:tc>
        <w:tc>
          <w:tcPr>
            <w:tcW w:w="2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each segment’s intercompany activity, including transactions within a segment and between segments. Transactions within and between segments are generally made on a basis intended to reflect the market value of the service.</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 expenses include restructuring expenses, (gain) loss from divestitures, and asset impairments and unusual items, net.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items included in the determination of income from operations, the accounting policies of the segments are the same as those described in Note 1.</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non-cash items. Additionally, our Corporate and Other business recognizes construction work in progress for fleet purchases during the period. Capital expenditures are reported in our reportable segments at the time they are recorded within the segments’ property and equipment balances and, therefore, include timing differences for amounts accrued but not yet paid as well as amounts transferred from Corporate and Other for fleet placed in service.</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Certain fees related to the processing of recyclable material we collect are included within our Collection and Disposal business. The amounts in income from operations for the three and six months ended June 30, 2026 are $22</w:t>
            </w:r>
            <w:r>
              <w:rPr>
                <w:caps w:val="false"/>
                <w:smallCaps w:val="false"/>
              </w:rPr>
              <w:t xml:space="preserve"> </w:t>
            </w:r>
            <w:r>
              <w:rPr>
                <w:rFonts w:ascii="Times New Roman;Times;serif" w:hAnsi="Times New Roman;Times;serif"/>
                <w:b w:val="false"/>
                <w:i w:val="false"/>
                <w:caps w:val="false"/>
                <w:smallCaps w:val="false"/>
                <w:sz w:val="20"/>
              </w:rPr>
              <w:t>million and $40</w:t>
            </w:r>
            <w:r>
              <w:rPr>
                <w:caps w:val="false"/>
                <w:smallCaps w:val="false"/>
              </w:rPr>
              <w:t xml:space="preserve"> </w:t>
            </w:r>
            <w:r>
              <w:rPr>
                <w:rFonts w:ascii="Times New Roman;Times;serif" w:hAnsi="Times New Roman;Times;serif"/>
                <w:b w:val="false"/>
                <w:i w:val="false"/>
                <w:caps w:val="false"/>
                <w:smallCaps w:val="false"/>
                <w:sz w:val="20"/>
              </w:rPr>
              <w:t>million, respectively. The amounts in income from operations for the three and six months ended June 30, 2025 are $20</w:t>
            </w:r>
            <w:r>
              <w:rPr>
                <w:caps w:val="false"/>
                <w:smallCaps w:val="false"/>
              </w:rPr>
              <w:t xml:space="preserve"> </w:t>
            </w:r>
            <w:r>
              <w:rPr>
                <w:rFonts w:ascii="Times New Roman;Times;serif" w:hAnsi="Times New Roman;Times;serif"/>
                <w:b w:val="false"/>
                <w:i w:val="false"/>
                <w:caps w:val="false"/>
                <w:smallCaps w:val="false"/>
                <w:sz w:val="20"/>
              </w:rPr>
              <w:t>million and $40</w:t>
            </w:r>
            <w:r>
              <w:rPr>
                <w:caps w:val="false"/>
                <w:smallCaps w:val="false"/>
              </w:rPr>
              <w:t xml:space="preserve"> </w:t>
            </w:r>
            <w:r>
              <w:rPr>
                <w:rFonts w:ascii="Times New Roman;Times;serif" w:hAnsi="Times New Roman;Times;serif"/>
                <w:b w:val="false"/>
                <w:i w:val="false"/>
                <w:caps w:val="false"/>
                <w:smallCaps w:val="false"/>
                <w:sz w:val="20"/>
              </w:rPr>
              <w:t>million, respectively.</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Renewable Energy pays a 15%</w:t>
            </w:r>
            <w:r>
              <w:rPr>
                <w:caps w:val="false"/>
                <w:smallCaps w:val="false"/>
              </w:rPr>
              <w:t xml:space="preserve"> </w:t>
            </w:r>
            <w:r>
              <w:rPr>
                <w:rFonts w:ascii="Times New Roman;Times;serif" w:hAnsi="Times New Roman;Times;serif"/>
                <w:b w:val="false"/>
                <w:i w:val="false"/>
                <w:caps w:val="false"/>
                <w:smallCaps w:val="false"/>
                <w:sz w:val="20"/>
              </w:rPr>
              <w:t>intercompany royalty to our Collection and Disposal business and Corporate and Other for landfill gas. The total amount of royalties in gross and intercompany operating revenues for the East Tier, West Tier, and Corporate and Other and in operating expenses for Renewable Energy for the three and six months ended June 30, 2026 are $24</w:t>
            </w:r>
            <w:r>
              <w:rPr>
                <w:caps w:val="false"/>
                <w:smallCaps w:val="false"/>
              </w:rPr>
              <w:t xml:space="preserve"> </w:t>
            </w:r>
            <w:r>
              <w:rPr>
                <w:rFonts w:ascii="Times New Roman;Times;serif" w:hAnsi="Times New Roman;Times;serif"/>
                <w:b w:val="false"/>
                <w:i w:val="false"/>
                <w:caps w:val="false"/>
                <w:smallCaps w:val="false"/>
                <w:sz w:val="20"/>
              </w:rPr>
              <w:t>million and $48</w:t>
            </w:r>
            <w:r>
              <w:rPr>
                <w:caps w:val="false"/>
                <w:smallCaps w:val="false"/>
              </w:rPr>
              <w:t xml:space="preserve"> </w:t>
            </w:r>
            <w:r>
              <w:rPr>
                <w:rFonts w:ascii="Times New Roman;Times;serif" w:hAnsi="Times New Roman;Times;serif"/>
                <w:b w:val="false"/>
                <w:i w:val="false"/>
                <w:caps w:val="false"/>
                <w:smallCaps w:val="false"/>
                <w:sz w:val="20"/>
              </w:rPr>
              <w:t>million, respectively. The total amount of royalties in gross and intercompany operating revenues for the East Tier, West Tier, and Corporate and Other and in operating expenses for Renewable Energy for the three and six months ended June 30, 2025 are $17</w:t>
            </w:r>
            <w:r>
              <w:rPr>
                <w:caps w:val="false"/>
                <w:smallCaps w:val="false"/>
              </w:rPr>
              <w:t xml:space="preserve"> </w:t>
            </w:r>
            <w:r>
              <w:rPr>
                <w:rFonts w:ascii="Times New Roman;Times;serif" w:hAnsi="Times New Roman;Times;serif"/>
                <w:b w:val="false"/>
                <w:i w:val="false"/>
                <w:caps w:val="false"/>
                <w:smallCaps w:val="false"/>
                <w:sz w:val="20"/>
              </w:rPr>
              <w:t>million and $31</w:t>
            </w:r>
            <w:r>
              <w:rPr>
                <w:caps w:val="false"/>
                <w:smallCaps w:val="false"/>
              </w:rPr>
              <w:t xml:space="preserve"> </w:t>
            </w:r>
            <w:r>
              <w:rPr>
                <w:rFonts w:ascii="Times New Roman;Times;serif" w:hAnsi="Times New Roman;Times;serif"/>
                <w:b w:val="false"/>
                <w:i w:val="false"/>
                <w:caps w:val="false"/>
                <w:smallCaps w:val="false"/>
                <w:sz w:val="20"/>
              </w:rPr>
              <w:t>million,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27" w:name="Tc_gTDn3r2yvkulwtXZJzGwhg_13_5"/>
      <w:bookmarkStart w:id="1428" w:name="Tc_wzo7fKKBOk-TubCQjr-qeg_13_2"/>
      <w:bookmarkStart w:id="1429" w:name="Tc_tVqHxwtxqkyfoc5_qrCMuA_13_0"/>
      <w:bookmarkStart w:id="1430" w:name="Tc_a_WQULJlE0uQFuR8eoYIzg_12_0"/>
      <w:bookmarkStart w:id="1431" w:name="Tc_TkgbEfzSHU6sZEgZ3yL3dQ_11_0"/>
      <w:bookmarkStart w:id="1432" w:name="Tc_yoAb1Mx7_UiZALPiFOjSmw_10_0"/>
      <w:bookmarkStart w:id="1433" w:name="Tc_q_LuADXwUk-lje-7Iept9Q_9_0"/>
      <w:bookmarkStart w:id="1434" w:name="Tc_yYxAzRsO3ECpVDVvOaSP9g_8_0"/>
      <w:bookmarkStart w:id="1435" w:name="Tc_BY50bWKMTE-z174R5EhKrg_7_0"/>
      <w:bookmarkStart w:id="1436" w:name="Tc_59FYpO3uPEu7UcP04-kkFw_6_0"/>
      <w:bookmarkStart w:id="1437" w:name="Tc_78Y6pkNG9EqBTx4f6b2Clg_5_0"/>
      <w:bookmarkStart w:id="1438" w:name="Tc_Zn_EKC1ne0qkl4eheItmng_4_5"/>
      <w:bookmarkStart w:id="1439" w:name="Tc_SOjhWBkLnUeT3inDSYIEtw_4_2"/>
      <w:bookmarkStart w:id="1440" w:name="Tc_H-2T6Jo49ES_teEWxN6xvw_4_0"/>
      <w:bookmarkStart w:id="1441" w:name="Tc_Xc-wngJEQUCl68acOtMtAg_3_0"/>
      <w:bookmarkStart w:id="1442" w:name="Tc_M4Ua2uh14UmGEeva3kAXqg_2_5"/>
      <w:bookmarkStart w:id="1443" w:name="Tc_GJw58RxDQ0GQ4d0OF9B2kw_2_2"/>
      <w:bookmarkStart w:id="1444" w:name="Tc_dKFKRG4oTkelasU8N4E8Cw_1_5"/>
      <w:bookmarkStart w:id="1445" w:name="Tc_w9btqm3s5EiHh1zmckTWBA_1_2"/>
      <w:bookmarkStart w:id="1446" w:name="_f6e0d1d5_0a5b_4cf8_bb98_fbcfc1ff1c37"/>
      <w:bookmarkStart w:id="1447" w:name="Tc_gTDn3r2yvkulwtXZJzGwhg_13_5"/>
      <w:bookmarkStart w:id="1448" w:name="Tc_wzo7fKKBOk-TubCQjr-qeg_13_2"/>
      <w:bookmarkStart w:id="1449" w:name="Tc_tVqHxwtxqkyfoc5_qrCMuA_13_0"/>
      <w:bookmarkStart w:id="1450" w:name="Tc_a_WQULJlE0uQFuR8eoYIzg_12_0"/>
      <w:bookmarkStart w:id="1451" w:name="Tc_TkgbEfzSHU6sZEgZ3yL3dQ_11_0"/>
      <w:bookmarkStart w:id="1452" w:name="Tc_yoAb1Mx7_UiZALPiFOjSmw_10_0"/>
      <w:bookmarkStart w:id="1453" w:name="Tc_q_LuADXwUk-lje-7Iept9Q_9_0"/>
      <w:bookmarkStart w:id="1454" w:name="Tc_yYxAzRsO3ECpVDVvOaSP9g_8_0"/>
      <w:bookmarkStart w:id="1455" w:name="Tc_BY50bWKMTE-z174R5EhKrg_7_0"/>
      <w:bookmarkStart w:id="1456" w:name="Tc_59FYpO3uPEu7UcP04-kkFw_6_0"/>
      <w:bookmarkStart w:id="1457" w:name="Tc_78Y6pkNG9EqBTx4f6b2Clg_5_0"/>
      <w:bookmarkStart w:id="1458" w:name="Tc_Zn_EKC1ne0qkl4eheItmng_4_5"/>
      <w:bookmarkStart w:id="1459" w:name="Tc_SOjhWBkLnUeT3inDSYIEtw_4_2"/>
      <w:bookmarkStart w:id="1460" w:name="Tc_H-2T6Jo49ES_teEWxN6xvw_4_0"/>
      <w:bookmarkStart w:id="1461" w:name="Tc_Xc-wngJEQUCl68acOtMtAg_3_0"/>
      <w:bookmarkStart w:id="1462" w:name="Tc_M4Ua2uh14UmGEeva3kAXqg_2_5"/>
      <w:bookmarkStart w:id="1463" w:name="Tc_GJw58RxDQ0GQ4d0OF9B2kw_2_2"/>
      <w:bookmarkStart w:id="1464" w:name="Tc_dKFKRG4oTkelasU8N4E8Cw_1_5"/>
      <w:bookmarkStart w:id="1465" w:name="Tc_w9btqm3s5EiHh1zmckTWBA_1_2"/>
      <w:bookmarkStart w:id="1466" w:name="_f6e0d1d5_0a5b_4cf8_bb98_fbcfc1ff1c37"/>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Collection and Disposal business records intercompany operating revenue for collection and disposal services provided to Healthcare Solutions. The total amount of intercompany operating revenues reflected in our Collection and Disposal business and in operating expenses for Healthcare Solutions for the three and six months ended June 30, 2026 are $16</w:t>
            </w:r>
            <w:r>
              <w:rPr>
                <w:caps w:val="false"/>
                <w:smallCaps w:val="false"/>
              </w:rPr>
              <w:t xml:space="preserve"> </w:t>
            </w:r>
            <w:r>
              <w:rPr>
                <w:rFonts w:ascii="Times New Roman;Times;serif" w:hAnsi="Times New Roman;Times;serif"/>
                <w:b w:val="false"/>
                <w:i w:val="false"/>
                <w:caps w:val="false"/>
                <w:smallCaps w:val="false"/>
                <w:sz w:val="20"/>
              </w:rPr>
              <w:t>million and $36</w:t>
            </w:r>
            <w:r>
              <w:rPr>
                <w:caps w:val="false"/>
                <w:smallCaps w:val="false"/>
              </w:rPr>
              <w:t xml:space="preserve"> </w:t>
            </w:r>
            <w:r>
              <w:rPr>
                <w:rFonts w:ascii="Times New Roman;Times;serif" w:hAnsi="Times New Roman;Times;serif"/>
                <w:b w:val="false"/>
                <w:i w:val="false"/>
                <w:caps w:val="false"/>
                <w:smallCaps w:val="false"/>
                <w:sz w:val="20"/>
              </w:rPr>
              <w:t>million, respectively, and for three and six months ended June 30, 2025 are $12</w:t>
            </w:r>
            <w:r>
              <w:rPr>
                <w:caps w:val="false"/>
                <w:smallCaps w:val="false"/>
              </w:rPr>
              <w:t xml:space="preserve"> </w:t>
            </w:r>
            <w:r>
              <w:rPr>
                <w:rFonts w:ascii="Times New Roman;Times;serif" w:hAnsi="Times New Roman;Times;serif"/>
                <w:b w:val="false"/>
                <w:i w:val="false"/>
                <w:caps w:val="false"/>
                <w:smallCaps w:val="false"/>
                <w:sz w:val="20"/>
              </w:rPr>
              <w:t>million and $20</w:t>
            </w:r>
            <w:r>
              <w:rPr>
                <w:caps w:val="false"/>
                <w:smallCaps w:val="false"/>
              </w:rPr>
              <w:t xml:space="preserve"> </w:t>
            </w:r>
            <w:r>
              <w:rPr>
                <w:rFonts w:ascii="Times New Roman;Times;serif" w:hAnsi="Times New Roman;Times;serif"/>
                <w:b w:val="false"/>
                <w:i w:val="false"/>
                <w:caps w:val="false"/>
                <w:smallCaps w:val="false"/>
                <w:sz w:val="20"/>
              </w:rPr>
              <w:t>million, respectively.</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the three and six months ended June 30, 2025 were made to properly reflect intra-segment activity for each period. Intra-segment operating revenues and operating expenses within Healthcare Solutions for the three and six months ended June 30, 2026 are $101</w:t>
            </w:r>
            <w:r>
              <w:rPr>
                <w:caps w:val="false"/>
                <w:smallCaps w:val="false"/>
              </w:rPr>
              <w:t xml:space="preserve"> </w:t>
            </w:r>
            <w:r>
              <w:rPr>
                <w:rFonts w:ascii="Times New Roman;Times;serif" w:hAnsi="Times New Roman;Times;serif"/>
                <w:b w:val="false"/>
                <w:i w:val="false"/>
                <w:caps w:val="false"/>
                <w:smallCaps w:val="false"/>
                <w:sz w:val="20"/>
              </w:rPr>
              <w:t>million and $202</w:t>
            </w:r>
            <w:r>
              <w:rPr>
                <w:caps w:val="false"/>
                <w:smallCaps w:val="false"/>
              </w:rPr>
              <w:t xml:space="preserve"> </w:t>
            </w:r>
            <w:r>
              <w:rPr>
                <w:rFonts w:ascii="Times New Roman;Times;serif" w:hAnsi="Times New Roman;Times;serif"/>
                <w:b w:val="false"/>
                <w:i w:val="false"/>
                <w:caps w:val="false"/>
                <w:smallCaps w:val="false"/>
                <w:sz w:val="20"/>
              </w:rPr>
              <w:t>million, respectively. Intra-segment operating revenues and operating expenses within Healthcare Solutions for the three and six months ended June 30, 2025 are $113</w:t>
            </w:r>
            <w:r>
              <w:rPr>
                <w:caps w:val="false"/>
                <w:smallCaps w:val="false"/>
              </w:rPr>
              <w:t xml:space="preserve"> </w:t>
            </w:r>
            <w:r>
              <w:rPr>
                <w:rFonts w:ascii="Times New Roman;Times;serif" w:hAnsi="Times New Roman;Times;serif"/>
                <w:b w:val="false"/>
                <w:i w:val="false"/>
                <w:caps w:val="false"/>
                <w:smallCaps w:val="false"/>
                <w:sz w:val="20"/>
              </w:rPr>
              <w:t>million and $207</w:t>
            </w:r>
            <w:r>
              <w:rPr>
                <w:caps w:val="false"/>
                <w:smallCaps w:val="false"/>
              </w:rPr>
              <w:t xml:space="preserve"> </w:t>
            </w:r>
            <w:r>
              <w:rPr>
                <w:rFonts w:ascii="Times New Roman;Times;serif" w:hAnsi="Times New Roman;Times;serif"/>
                <w:b w:val="false"/>
                <w:i w:val="false"/>
                <w:caps w:val="false"/>
                <w:smallCaps w:val="false"/>
                <w:sz w:val="20"/>
              </w:rPr>
              <w:t>million, respectively.</w:t>
            </w:r>
          </w:p>
        </w:tc>
      </w:tr>
    </w:tbl>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Total assets by reportable segment are presented in the table below as follows (in millions):</w:t>
      </w:r>
    </w:p>
    <w:tbl>
      <w:tblPr>
        <w:tblW w:w="7475" w:type="dxa"/>
        <w:jc w:val="left"/>
        <w:tblInd w:w="0" w:type="dxa"/>
        <w:tblLayout w:type="fixed"/>
        <w:tblCellMar>
          <w:top w:w="0" w:type="dxa"/>
          <w:left w:w="0" w:type="dxa"/>
          <w:bottom w:w="0" w:type="dxa"/>
          <w:right w:w="0" w:type="dxa"/>
        </w:tblCellMar>
      </w:tblPr>
      <w:tblGrid>
        <w:gridCol w:w="4711"/>
        <w:gridCol w:w="346"/>
        <w:gridCol w:w="211"/>
        <w:gridCol w:w="676"/>
        <w:gridCol w:w="346"/>
        <w:gridCol w:w="248"/>
        <w:gridCol w:w="937"/>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991485" cy="175260"/>
                      <wp:effectExtent l="0" t="0" r="0" b="0"/>
                      <wp:wrapNone/>
                      <wp:docPr id="194" name="Frame194"/>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29260" cy="175260"/>
                      <wp:effectExtent l="0" t="0" r="0" b="0"/>
                      <wp:wrapNone/>
                      <wp:docPr id="197" name="Frame1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57480" cy="175260"/>
                      <wp:effectExtent l="0" t="0" r="0" b="0"/>
                      <wp:wrapNone/>
                      <wp:docPr id="199" name="Frame19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94995" cy="175260"/>
                      <wp:effectExtent l="0" t="0" r="0" b="0"/>
                      <wp:wrapNone/>
                      <wp:docPr id="200" name="Frame200"/>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 and Disposal: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East Tier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15,906</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16,099</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Tier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12,245</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Ancillary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Collection and Disposal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29,332</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29,145</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Recycling Processing and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Elimination of intercompany investments and advances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per Condensed Consolidated Balance Sheet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46,441</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45,835</w:t>
            </w:r>
          </w:p>
        </w:tc>
      </w:tr>
    </w:tbl>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bookmarkStart w:id="1467" w:name="Tc_us_sgg2raU-uY8LWGLNwzw_33_8"/>
      <w:bookmarkStart w:id="1468" w:name="Tc__FBUwS8LCUWAbe2LLmR38g_33_5"/>
      <w:bookmarkStart w:id="1469" w:name="Tc_Szb5M8bltUi1R_4iau4qIg_33_2"/>
      <w:bookmarkStart w:id="1470" w:name="Tc_USJFK4prtkKCtDN3AtFRuw_33_0"/>
      <w:bookmarkStart w:id="1471" w:name="Tc_CL_HRAfEN0mMW-2YlDK0IQ_32_0"/>
      <w:bookmarkStart w:id="1472" w:name="Tc_FJA5Mirf3UuAb2kAF3aTnQ_31_0"/>
      <w:bookmarkStart w:id="1473" w:name="Tc_EwhvG0s4406FmAdTZxqswg_30_6"/>
      <w:bookmarkStart w:id="1474" w:name="Tc_zzQjtSCabECTm0AfFDSsNw_30_0"/>
      <w:bookmarkStart w:id="1475" w:name="Tc_ahWpGyrg8kWNORGbOXkFyA_29_0"/>
      <w:bookmarkStart w:id="1476" w:name="Tc_QqTKO5F7kES8H2fF4c1efA_28_0"/>
      <w:bookmarkStart w:id="1477" w:name="Tc_hLhn54DEAkCPC3hhWiBSOg_27_0"/>
      <w:bookmarkStart w:id="1478" w:name="Tc_ZPrd_z9fd0adiLtJUJCTGA_26_0"/>
      <w:bookmarkStart w:id="1479" w:name="Tc_TxLGwJyhN0KEGQCOGfZ1BQ_25_0"/>
      <w:bookmarkStart w:id="1480" w:name="Tc_cRN7JRVRnkWbOAfW7pfJfQ_24_0"/>
      <w:bookmarkStart w:id="1481" w:name="Tc_vIpU95PgjUmD3RpmXmXFLA_23_0"/>
      <w:bookmarkStart w:id="1482" w:name="Tc_lpGTkZm5nU2VItGpQLF4lQ_22_0"/>
      <w:bookmarkStart w:id="1483" w:name="Tc_dl-lSZ7GFUmYzxsn0ucI4Q_21_8"/>
      <w:bookmarkStart w:id="1484" w:name="Tc_03VBtIfmxUa5POVR-NUg0A_21_5"/>
      <w:bookmarkStart w:id="1485" w:name="Tc_cpGbb5EcN0iY-H15fiShMg_21_2"/>
      <w:bookmarkStart w:id="1486" w:name="Tc_amYOocgvRUKiFLv_CDl2eA_21_0"/>
      <w:bookmarkStart w:id="1487" w:name="Tc_wStTQXrSC0uoqCxmKjnt7A_20_0"/>
      <w:bookmarkStart w:id="1488" w:name="Tc_s-c3MKuGA0K725ABePCarA_18_8"/>
      <w:bookmarkStart w:id="1489" w:name="Tc_oHTZtwBRi0a6y0yqtUhPnA_18_5"/>
      <w:bookmarkStart w:id="1490" w:name="Tc_x0eK-C1nCEqOVfUt6_IXLg_18_2"/>
      <w:bookmarkStart w:id="1491" w:name="Tc_3oPMTqg5akaX4z7IPVQu6w_18_0"/>
      <w:bookmarkStart w:id="1492" w:name="Tc_CqtyQa_EmUOfFZ-Dh5SbAA_17_0"/>
      <w:bookmarkStart w:id="1493" w:name="Tc_iSPqzQsKg0ayBlL9IuM6gg_16_0"/>
      <w:bookmarkStart w:id="1494" w:name="Tc_tE4BsOAd2k-aYJfL4Z3jnw_15_6"/>
      <w:bookmarkStart w:id="1495" w:name="Tc_qClGlM2fikeSnbnz_Qy2yA_15_0"/>
      <w:bookmarkStart w:id="1496" w:name="Tc_TqfLoFWQtk6P1hMTUmrdLw_14_0"/>
      <w:bookmarkStart w:id="1497" w:name="Tc_Hx9MwznI6EGa0Lt9G8i4cw_13_0"/>
      <w:bookmarkStart w:id="1498" w:name="Tc_fx6kMAFpGUKrahGCDSVU-g_12_0"/>
      <w:bookmarkStart w:id="1499" w:name="Tc_uvyw7nu8y06Ook8b9xUpDw_11_0"/>
      <w:bookmarkStart w:id="1500" w:name="Tc_2wnevSxmckCpTZG6O_LBGw_10_0"/>
      <w:bookmarkStart w:id="1501" w:name="Tc__Sn7z3QShUy1aODUSJZdnA_9_0"/>
      <w:bookmarkStart w:id="1502" w:name="Tc_W-01lXgMEUS05R6CYprPwA_8_0"/>
      <w:bookmarkStart w:id="1503" w:name="Tc_dtuzKmxTs0ualjW1YWoqkg_7_0"/>
      <w:bookmarkStart w:id="1504" w:name="Tc_RRrzJgvmjUmdYJg4lguNiw_6_8"/>
      <w:bookmarkStart w:id="1505" w:name="Tc_1XthiDWrrEickpWvxp20Fw_6_5"/>
      <w:bookmarkStart w:id="1506" w:name="Tc_XueZTdbHSEWapGehCxC_dA_6_2"/>
      <w:bookmarkStart w:id="1507" w:name="Tc_fHtxKhfZR0mbb_-W0KqAqA_6_0"/>
      <w:bookmarkStart w:id="1508" w:name="Tc_0YER6ghglUunmsvr_PCELw_5_0"/>
      <w:bookmarkStart w:id="1509" w:name="Tc_C5uAwHQu7Um_d_fDYpsqaQ_4_0"/>
      <w:bookmarkStart w:id="1510" w:name="Tc_7v1o3cgPvE-NHIjDPuSU6g_3_8"/>
      <w:bookmarkStart w:id="1511" w:name="Tc_ZJCJ5VB6kUKWcZkyPROP8Q_3_5"/>
      <w:bookmarkStart w:id="1512" w:name="Tc_elAN7AcgVkC1kg5qyUJKIg_3_2"/>
      <w:bookmarkStart w:id="1513" w:name="Tc_GkpDNbA5F0aF9Lgb10W7wg_2_8"/>
      <w:bookmarkStart w:id="1514" w:name="Tc_D4w5nHd_kUO98Et4PPBXXQ_2_5"/>
      <w:bookmarkStart w:id="1515" w:name="Tc_x2RR-0L9EkabjCrYJeX9Lg_2_2"/>
      <w:bookmarkStart w:id="1516" w:name="Tc_uGAb4rE_HEyJejbLhJP7Bg_1_8"/>
      <w:bookmarkStart w:id="1517" w:name="Tc_C9lLigv_mEOruMYNYWnt1w_1_5"/>
      <w:bookmarkStart w:id="1518" w:name="Tc_cx2rEGHKv0yRnW6J3QHIBQ_1_2"/>
      <w:bookmarkStart w:id="1519" w:name="_fc3c6e33_6482_4b91_aeef_a633a07a8f7e"/>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r>
        <w:rPr>
          <w:rFonts w:ascii="Times New Roman;Times;serif" w:hAnsi="Times New Roman;Times;serif"/>
          <w:sz w:val="20"/>
        </w:rPr>
        <w:t>The mix of operating revenues from our major lines of business for the three and six months ended June 30 are as follows (in millions):</w:t>
      </w:r>
    </w:p>
    <w:tbl>
      <w:tblPr>
        <w:tblW w:w="6607" w:type="dxa"/>
        <w:jc w:val="left"/>
        <w:tblInd w:w="0" w:type="dxa"/>
        <w:tblLayout w:type="fixed"/>
        <w:tblCellMar>
          <w:top w:w="0" w:type="dxa"/>
          <w:left w:w="0" w:type="dxa"/>
          <w:bottom w:w="0" w:type="dxa"/>
          <w:right w:w="0" w:type="dxa"/>
        </w:tblCellMar>
      </w:tblPr>
      <w:tblGrid>
        <w:gridCol w:w="2686"/>
        <w:gridCol w:w="346"/>
        <w:gridCol w:w="230"/>
        <w:gridCol w:w="626"/>
        <w:gridCol w:w="346"/>
        <w:gridCol w:w="303"/>
        <w:gridCol w:w="823"/>
        <w:gridCol w:w="346"/>
        <w:gridCol w:w="211"/>
        <w:gridCol w:w="690"/>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705610" cy="175260"/>
                      <wp:effectExtent l="0" t="0" r="0" b="0"/>
                      <wp:wrapNone/>
                      <wp:docPr id="201" name="Frame201"/>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6050" cy="175260"/>
                      <wp:effectExtent l="0" t="0" r="0" b="0"/>
                      <wp:wrapNone/>
                      <wp:docPr id="203" name="Frame20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97510" cy="175260"/>
                      <wp:effectExtent l="0" t="0" r="0" b="0"/>
                      <wp:wrapNone/>
                      <wp:docPr id="204" name="Frame204"/>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92405" cy="175260"/>
                      <wp:effectExtent l="0" t="0" r="0" b="0"/>
                      <wp:wrapNone/>
                      <wp:docPr id="206" name="Frame20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22605" cy="175260"/>
                      <wp:effectExtent l="0" t="0" r="0" b="0"/>
                      <wp:wrapNone/>
                      <wp:docPr id="207" name="Frame20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38150" cy="175260"/>
                      <wp:effectExtent l="0" t="0" r="0" b="0"/>
                      <wp:wrapNone/>
                      <wp:docPr id="210" name="Frame21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6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Revenues</w:t>
            </w:r>
            <w:r>
              <w:rPr>
                <w:rFonts w:ascii="Times New Roman;Times;serif" w:hAnsi="Times New Roman;Times;serif"/>
                <w:sz w:val="16"/>
              </w:rPr>
              <w:t xml:space="preserve"> </w:t>
            </w:r>
            <w:r>
              <w:rPr>
                <w:rFonts w:ascii="Times New Roman;Times;serif" w:hAnsi="Times New Roman;Times;serif"/>
                <w:b/>
                <w:sz w:val="16"/>
              </w:rPr>
              <w:t>(a)</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6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center"/>
              <w:rPr/>
            </w:pPr>
            <w:r>
              <w:rPr/>
              <w:t>​</w:t>
            </w:r>
          </w:p>
        </w:tc>
        <w:tc>
          <w:tcPr>
            <w:tcW w:w="82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90" w:type="dxa"/>
            <w:tcBorders/>
            <w:shd w:fill="CCEEFF" w:val="clear"/>
            <w:vAlign w:val="center"/>
          </w:tcPr>
          <w:p>
            <w:pPr>
              <w:pStyle w:val="TableContents"/>
              <w:bidi w:val="0"/>
              <w:spacing w:before="0" w:after="1"/>
              <w:ind w:left="0" w:right="0" w:hanging="0"/>
              <w:jc w:val="center"/>
              <w:rPr/>
            </w:pPr>
            <w:r>
              <w:rPr/>
              <w:t>​</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center"/>
              <w:rPr/>
            </w:pPr>
            <w:r>
              <w:rPr/>
              <w:t>​</w:t>
            </w:r>
          </w:p>
        </w:tc>
        <w:tc>
          <w:tcPr>
            <w:tcW w:w="6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center"/>
              <w:rPr/>
            </w:pPr>
            <w:r>
              <w:rPr/>
              <w:t>​</w:t>
            </w:r>
          </w:p>
        </w:tc>
        <w:tc>
          <w:tcPr>
            <w:tcW w:w="82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collection</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collection</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4,065</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4,639</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Landfill </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Collection and Disposal</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5,479</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Recycling Processing and Sales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 Solutions (b)</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6,684</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2025</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collection</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collection</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3,856</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4,389</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Landfill </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1,446</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Collection and Disposal</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5,281</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6,516</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Recycling Processing and Sales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 Solutions (b)</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6,430</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7,888</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20" w:name="Tc_JzcWN47HOkKrsAnJntToew_33_8"/>
      <w:bookmarkStart w:id="1521" w:name="Tc_AyH58JQdhEmFOkX5ALUJjQ_33_5"/>
      <w:bookmarkStart w:id="1522" w:name="Tc_Lqc2W8-3Ike9cHgeg4rmZA_33_2"/>
      <w:bookmarkStart w:id="1523" w:name="Tc_xKryH7G3CkOXPWnwBmw0EA_33_0"/>
      <w:bookmarkStart w:id="1524" w:name="Tc_8qwJtuBSIkWf1GXVHJBxCQ_32_0"/>
      <w:bookmarkStart w:id="1525" w:name="Tc_HPMZadjsiUOXp6LOhapvew_31_0"/>
      <w:bookmarkStart w:id="1526" w:name="Tc_Yj7SuTuZAkCYfEZbeuwwXw_30_0"/>
      <w:bookmarkStart w:id="1527" w:name="Tc_it14RHAuHEmasIZtYCdYkg_29_0"/>
      <w:bookmarkStart w:id="1528" w:name="Tc_X_jr2q-4PUuyVzkx9Uwtww_28_0"/>
      <w:bookmarkStart w:id="1529" w:name="Tc_I-PwcbU5QUWRtJuX7w6H3A_27_0"/>
      <w:bookmarkStart w:id="1530" w:name="Tc_pBeJ1V_qXEqDKyftVhlbMg_26_0"/>
      <w:bookmarkStart w:id="1531" w:name="Tc_WBeuY8GaM0SJiz4E3GPeyw_25_0"/>
      <w:bookmarkStart w:id="1532" w:name="Tc_rS8UIMc_c06bTmNLBaOcpA_24_0"/>
      <w:bookmarkStart w:id="1533" w:name="Tc_KHA95y5tgESRQf8vLmjKkg_23_0"/>
      <w:bookmarkStart w:id="1534" w:name="Tc_AcjNnFV6OEChZe32qZ8RtA_22_0"/>
      <w:bookmarkStart w:id="1535" w:name="Tc_aOX0Gs3mOkSD89ROwt3D-Q_21_8"/>
      <w:bookmarkStart w:id="1536" w:name="Tc_yeMCRKPSkke8sIdKvcoFsw_21_5"/>
      <w:bookmarkStart w:id="1537" w:name="Tc_PDUb2fScJUiAwwaZWqesHw_21_2"/>
      <w:bookmarkStart w:id="1538" w:name="Tc_MWSRBd2QnEetG_4XY-UHJg_21_0"/>
      <w:bookmarkStart w:id="1539" w:name="Tc_yWfJ1Bp2SU6iCCBdZEHMuA_20_0"/>
      <w:bookmarkStart w:id="1540" w:name="Tc_zMXVYEZSDkaIUGFIGkRH0w_18_8"/>
      <w:bookmarkStart w:id="1541" w:name="Tc_agDPVYBcsU-Y_7QQv3-wYQ_18_5"/>
      <w:bookmarkStart w:id="1542" w:name="Tc_z6H3aEbkuU21DbNAh-wtzQ_18_2"/>
      <w:bookmarkStart w:id="1543" w:name="Tc_yT-bpG--qkGHS6I6fqn1dQ_18_0"/>
      <w:bookmarkStart w:id="1544" w:name="Tc_oCn3n91vvUOHZyAH_A8guw_17_0"/>
      <w:bookmarkStart w:id="1545" w:name="Tc_LZvP1JwWxkmD6tbPqFFGTQ_16_0"/>
      <w:bookmarkStart w:id="1546" w:name="Tc_1P_gbU7qE0aWAqOlIFqSbw_15_0"/>
      <w:bookmarkStart w:id="1547" w:name="Tc_FgToz1FHyk-VXpsjMRNvyQ_14_0"/>
      <w:bookmarkStart w:id="1548" w:name="Tc__xbGoW1AJkmqHtL6BBhxug_13_0"/>
      <w:bookmarkStart w:id="1549" w:name="Tc_ASr5KVgOmki92y-aIIbbvA_12_0"/>
      <w:bookmarkStart w:id="1550" w:name="Tc_HlbB1JIq5k6QTQSBic923A_11_0"/>
      <w:bookmarkStart w:id="1551" w:name="Tc_7xTa6QaPSkyFFUMfu8vhtg_10_0"/>
      <w:bookmarkStart w:id="1552" w:name="Tc_8R_EL4d-i06ECqj8kW7aww_9_0"/>
      <w:bookmarkStart w:id="1553" w:name="Tc_L8kMMClj-UCLkcga4sXplA_8_0"/>
      <w:bookmarkStart w:id="1554" w:name="Tc_VfDH_b09fUKJfRoTP_WiyA_7_0"/>
      <w:bookmarkStart w:id="1555" w:name="Tc_vpEdTevHZ02qdqF_0-q0mg_6_8"/>
      <w:bookmarkStart w:id="1556" w:name="Tc_gmhiGi_LQ0m2_dTyx1ZeWg_6_5"/>
      <w:bookmarkStart w:id="1557" w:name="Tc_RnKMQaEaDkWxV9GHjlCcuA_6_2"/>
      <w:bookmarkStart w:id="1558" w:name="Tc_NOmep8wBC0mpswJt4u-FBw_6_0"/>
      <w:bookmarkStart w:id="1559" w:name="Tc_fFn7W1FX9U2NdY6_NKvkKA_5_0"/>
      <w:bookmarkStart w:id="1560" w:name="Tc_rk50Px3OGkiAiQf9-NNnIQ_4_0"/>
      <w:bookmarkStart w:id="1561" w:name="Tc_kDdbj3WDik6HWOheP6_F_Q_3_8"/>
      <w:bookmarkStart w:id="1562" w:name="Tc_X2eSkaFLY0ynHJbnYIN_GA_3_5"/>
      <w:bookmarkStart w:id="1563" w:name="Tc_W6vhKiqCPECy7hDxEhoTjg_3_2"/>
      <w:bookmarkStart w:id="1564" w:name="Tc_sH4In-y-e0ysAhWG1qJq2A_2_8"/>
      <w:bookmarkStart w:id="1565" w:name="Tc_ylNTB_eJvkq8_rLazf_b1w_2_5"/>
      <w:bookmarkStart w:id="1566" w:name="Tc__uNr9GWpb0uiHscJdIc9eQ_2_2"/>
      <w:bookmarkStart w:id="1567" w:name="Tc_yW26FnBvpUK7JES9mFeEag_1_8"/>
      <w:bookmarkStart w:id="1568" w:name="Tc_6R2nuBO2Z0CTMms7I16_vw_1_5"/>
      <w:bookmarkStart w:id="1569" w:name="Tc_XU2TVnbY0Ua-oAKj8Hnmdw_1_2"/>
      <w:bookmarkStart w:id="1570" w:name="_90ead6fc_5218_4339_8a2a_4318acd91516"/>
      <w:bookmarkStart w:id="1571" w:name="Tc_JzcWN47HOkKrsAnJntToew_33_8"/>
      <w:bookmarkStart w:id="1572" w:name="Tc_AyH58JQdhEmFOkX5ALUJjQ_33_5"/>
      <w:bookmarkStart w:id="1573" w:name="Tc_Lqc2W8-3Ike9cHgeg4rmZA_33_2"/>
      <w:bookmarkStart w:id="1574" w:name="Tc_xKryH7G3CkOXPWnwBmw0EA_33_0"/>
      <w:bookmarkStart w:id="1575" w:name="Tc_8qwJtuBSIkWf1GXVHJBxCQ_32_0"/>
      <w:bookmarkStart w:id="1576" w:name="Tc_HPMZadjsiUOXp6LOhapvew_31_0"/>
      <w:bookmarkStart w:id="1577" w:name="Tc_Yj7SuTuZAkCYfEZbeuwwXw_30_0"/>
      <w:bookmarkStart w:id="1578" w:name="Tc_it14RHAuHEmasIZtYCdYkg_29_0"/>
      <w:bookmarkStart w:id="1579" w:name="Tc_X_jr2q-4PUuyVzkx9Uwtww_28_0"/>
      <w:bookmarkStart w:id="1580" w:name="Tc_I-PwcbU5QUWRtJuX7w6H3A_27_0"/>
      <w:bookmarkStart w:id="1581" w:name="Tc_pBeJ1V_qXEqDKyftVhlbMg_26_0"/>
      <w:bookmarkStart w:id="1582" w:name="Tc_WBeuY8GaM0SJiz4E3GPeyw_25_0"/>
      <w:bookmarkStart w:id="1583" w:name="Tc_rS8UIMc_c06bTmNLBaOcpA_24_0"/>
      <w:bookmarkStart w:id="1584" w:name="Tc_KHA95y5tgESRQf8vLmjKkg_23_0"/>
      <w:bookmarkStart w:id="1585" w:name="Tc_AcjNnFV6OEChZe32qZ8RtA_22_0"/>
      <w:bookmarkStart w:id="1586" w:name="Tc_aOX0Gs3mOkSD89ROwt3D-Q_21_8"/>
      <w:bookmarkStart w:id="1587" w:name="Tc_yeMCRKPSkke8sIdKvcoFsw_21_5"/>
      <w:bookmarkStart w:id="1588" w:name="Tc_PDUb2fScJUiAwwaZWqesHw_21_2"/>
      <w:bookmarkStart w:id="1589" w:name="Tc_MWSRBd2QnEetG_4XY-UHJg_21_0"/>
      <w:bookmarkStart w:id="1590" w:name="Tc_yWfJ1Bp2SU6iCCBdZEHMuA_20_0"/>
      <w:bookmarkStart w:id="1591" w:name="Tc_zMXVYEZSDkaIUGFIGkRH0w_18_8"/>
      <w:bookmarkStart w:id="1592" w:name="Tc_agDPVYBcsU-Y_7QQv3-wYQ_18_5"/>
      <w:bookmarkStart w:id="1593" w:name="Tc_z6H3aEbkuU21DbNAh-wtzQ_18_2"/>
      <w:bookmarkStart w:id="1594" w:name="Tc_yT-bpG--qkGHS6I6fqn1dQ_18_0"/>
      <w:bookmarkStart w:id="1595" w:name="Tc_oCn3n91vvUOHZyAH_A8guw_17_0"/>
      <w:bookmarkStart w:id="1596" w:name="Tc_LZvP1JwWxkmD6tbPqFFGTQ_16_0"/>
      <w:bookmarkStart w:id="1597" w:name="Tc_1P_gbU7qE0aWAqOlIFqSbw_15_0"/>
      <w:bookmarkStart w:id="1598" w:name="Tc_FgToz1FHyk-VXpsjMRNvyQ_14_0"/>
      <w:bookmarkStart w:id="1599" w:name="Tc__xbGoW1AJkmqHtL6BBhxug_13_0"/>
      <w:bookmarkStart w:id="1600" w:name="Tc_ASr5KVgOmki92y-aIIbbvA_12_0"/>
      <w:bookmarkStart w:id="1601" w:name="Tc_HlbB1JIq5k6QTQSBic923A_11_0"/>
      <w:bookmarkStart w:id="1602" w:name="Tc_7xTa6QaPSkyFFUMfu8vhtg_10_0"/>
      <w:bookmarkStart w:id="1603" w:name="Tc_8R_EL4d-i06ECqj8kW7aww_9_0"/>
      <w:bookmarkStart w:id="1604" w:name="Tc_L8kMMClj-UCLkcga4sXplA_8_0"/>
      <w:bookmarkStart w:id="1605" w:name="Tc_VfDH_b09fUKJfRoTP_WiyA_7_0"/>
      <w:bookmarkStart w:id="1606" w:name="Tc_vpEdTevHZ02qdqF_0-q0mg_6_8"/>
      <w:bookmarkStart w:id="1607" w:name="Tc_gmhiGi_LQ0m2_dTyx1ZeWg_6_5"/>
      <w:bookmarkStart w:id="1608" w:name="Tc_RnKMQaEaDkWxV9GHjlCcuA_6_2"/>
      <w:bookmarkStart w:id="1609" w:name="Tc_NOmep8wBC0mpswJt4u-FBw_6_0"/>
      <w:bookmarkStart w:id="1610" w:name="Tc_fFn7W1FX9U2NdY6_NKvkKA_5_0"/>
      <w:bookmarkStart w:id="1611" w:name="Tc_rk50Px3OGkiAiQf9-NNnIQ_4_0"/>
      <w:bookmarkStart w:id="1612" w:name="Tc_kDdbj3WDik6HWOheP6_F_Q_3_8"/>
      <w:bookmarkStart w:id="1613" w:name="Tc_X2eSkaFLY0ynHJbnYIN_GA_3_5"/>
      <w:bookmarkStart w:id="1614" w:name="Tc_W6vhKiqCPECy7hDxEhoTjg_3_2"/>
      <w:bookmarkStart w:id="1615" w:name="Tc_sH4In-y-e0ysAhWG1qJq2A_2_8"/>
      <w:bookmarkStart w:id="1616" w:name="Tc_ylNTB_eJvkq8_rLazf_b1w_2_5"/>
      <w:bookmarkStart w:id="1617" w:name="Tc__uNr9GWpb0uiHscJdIc9eQ_2_2"/>
      <w:bookmarkStart w:id="1618" w:name="Tc_yW26FnBvpUK7JES9mFeEag_1_8"/>
      <w:bookmarkStart w:id="1619" w:name="Tc_6R2nuBO2Z0CTMms7I16_vw_1_5"/>
      <w:bookmarkStart w:id="1620" w:name="Tc_XU2TVnbY0Ua-oAKj8Hnmdw_1_2"/>
      <w:bookmarkStart w:id="1621" w:name="_90ead6fc_5218_4339_8a2a_4318acd91516"/>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p>
    <w:tbl>
      <w:tblPr>
        <w:tblW w:w="6739" w:type="dxa"/>
        <w:jc w:val="left"/>
        <w:tblInd w:w="0" w:type="dxa"/>
        <w:tblLayout w:type="fixed"/>
        <w:tblCellMar>
          <w:top w:w="0" w:type="dxa"/>
          <w:left w:w="0" w:type="dxa"/>
          <w:bottom w:w="0" w:type="dxa"/>
          <w:right w:w="0" w:type="dxa"/>
        </w:tblCellMar>
      </w:tblPr>
      <w:tblGrid>
        <w:gridCol w:w="2686"/>
        <w:gridCol w:w="346"/>
        <w:gridCol w:w="211"/>
        <w:gridCol w:w="676"/>
        <w:gridCol w:w="346"/>
        <w:gridCol w:w="303"/>
        <w:gridCol w:w="823"/>
        <w:gridCol w:w="346"/>
        <w:gridCol w:w="211"/>
        <w:gridCol w:w="79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705610" cy="175260"/>
                      <wp:effectExtent l="0" t="0" r="0" b="0"/>
                      <wp:wrapNone/>
                      <wp:docPr id="211" name="Frame211"/>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4" name="Frame2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92405" cy="175260"/>
                      <wp:effectExtent l="0" t="0" r="0" b="0"/>
                      <wp:wrapNone/>
                      <wp:docPr id="216" name="Frame21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22605" cy="175260"/>
                      <wp:effectExtent l="0" t="0" r="0" b="0"/>
                      <wp:wrapNone/>
                      <wp:docPr id="217" name="Frame21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02285" cy="175260"/>
                      <wp:effectExtent l="0" t="0" r="0" b="0"/>
                      <wp:wrapNone/>
                      <wp:docPr id="220" name="Frame22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 (a)</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 June 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center"/>
              <w:rPr/>
            </w:pPr>
            <w:r>
              <w:rPr/>
              <w:t>​</w:t>
            </w:r>
          </w:p>
        </w:tc>
        <w:tc>
          <w:tcPr>
            <w:tcW w:w="82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1" w:type="dxa"/>
            <w:tcBorders/>
            <w:shd w:fill="CCEEFF" w:val="clear"/>
            <w:vAlign w:val="center"/>
          </w:tcPr>
          <w:p>
            <w:pPr>
              <w:pStyle w:val="TableContents"/>
              <w:bidi w:val="0"/>
              <w:spacing w:before="0" w:after="0"/>
              <w:ind w:left="0" w:right="0" w:hanging="0"/>
              <w:jc w:val="center"/>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pPr>
            <w:r>
              <w:rPr/>
              <w:t>​</w:t>
            </w:r>
          </w:p>
        </w:tc>
        <w:tc>
          <w:tcPr>
            <w:tcW w:w="8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collection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Landfill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 and Disposal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13,057</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Recycling Processing and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 Solutions (b)</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15,812</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collection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7,602</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Landfill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 and Disposal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10,203</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Recycling Processing and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 Solutions (b)</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12,448</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15,214</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each segment’s intercompany activity, including transactions within a segment and between segments. Transactions within and between segments are generally made on a basis intended to reflect the market value of the service.</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the three and six months ended June 30, 2025 were made to properly reflect intra-segment activity for each period. Intra-segment operating revenues and operating expenses within Healthcare Solutions for the three and six months ended June 30, 2026 are $101</w:t>
            </w:r>
            <w:r>
              <w:rPr>
                <w:caps w:val="false"/>
                <w:smallCaps w:val="false"/>
              </w:rPr>
              <w:t xml:space="preserve"> </w:t>
            </w:r>
            <w:r>
              <w:rPr>
                <w:rFonts w:ascii="Times New Roman;Times;serif" w:hAnsi="Times New Roman;Times;serif"/>
                <w:b w:val="false"/>
                <w:i w:val="false"/>
                <w:caps w:val="false"/>
                <w:smallCaps w:val="false"/>
                <w:sz w:val="20"/>
              </w:rPr>
              <w:t>million and $202</w:t>
            </w:r>
            <w:r>
              <w:rPr>
                <w:caps w:val="false"/>
                <w:smallCaps w:val="false"/>
              </w:rPr>
              <w:t xml:space="preserve"> </w:t>
            </w:r>
            <w:r>
              <w:rPr>
                <w:rFonts w:ascii="Times New Roman;Times;serif" w:hAnsi="Times New Roman;Times;serif"/>
                <w:b w:val="false"/>
                <w:i w:val="false"/>
                <w:caps w:val="false"/>
                <w:smallCaps w:val="false"/>
                <w:sz w:val="20"/>
              </w:rPr>
              <w:t>million, respectively. Intra-segment operating revenues and operating expenses within Healthcare Solutions for the three and six months ended June 30, 2025 are $113</w:t>
            </w:r>
            <w:r>
              <w:rPr>
                <w:caps w:val="false"/>
                <w:smallCaps w:val="false"/>
              </w:rPr>
              <w:t xml:space="preserve"> </w:t>
            </w:r>
            <w:r>
              <w:rPr>
                <w:rFonts w:ascii="Times New Roman;Times;serif" w:hAnsi="Times New Roman;Times;serif"/>
                <w:b w:val="false"/>
                <w:i w:val="false"/>
                <w:caps w:val="false"/>
                <w:smallCaps w:val="false"/>
                <w:sz w:val="20"/>
              </w:rPr>
              <w:t>million and $207</w:t>
            </w:r>
            <w:r>
              <w:rPr>
                <w:caps w:val="false"/>
                <w:smallCaps w:val="false"/>
              </w:rPr>
              <w:t xml:space="preserve"> </w:t>
            </w:r>
            <w:r>
              <w:rPr>
                <w:rFonts w:ascii="Times New Roman;Times;serif" w:hAnsi="Times New Roman;Times;serif"/>
                <w:b w:val="false"/>
                <w:i w:val="false"/>
                <w:caps w:val="false"/>
                <w:smallCaps w:val="false"/>
                <w:sz w:val="20"/>
              </w:rPr>
              <w:t>million, respectively.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Service or operational disruptions caused by severe storms, extended periods of inclement weather or climate events can significantly affect the operating results of the geographic areas affected. Extreme weather events may also lead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supply chain disruption and delayed project development, or disruption of our customers’ businesses, reducing the amount of waste generated by their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t>
      </w:r>
    </w:p>
    <w:p>
      <w:pPr>
        <w:pStyle w:val="TextBody"/>
        <w:pBdr/>
        <w:bidi w:val="0"/>
        <w:spacing w:before="0" w:after="240"/>
        <w:ind w:left="0" w:right="0" w:hanging="180"/>
        <w:jc w:val="left"/>
        <w:rPr>
          <w:rFonts w:ascii="Times New Roman;Times;serif" w:hAnsi="Times New Roman;Times;serif"/>
          <w:b/>
          <w:sz w:val="20"/>
        </w:rPr>
      </w:pPr>
      <w:r>
        <w:rPr>
          <w:rFonts w:ascii="Times New Roman;Times;serif" w:hAnsi="Times New Roman;Times;serif"/>
          <w:b/>
          <w:sz w:val="20"/>
        </w:rPr>
        <w:t>8. Acquisitions and Divestitures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Acquisitions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we completed solid waste acquisitions for total consideration of $235 million, which included issuance of shares of our common stock valued at $144 million from treasury stock, $85 million in net cash paid and $6 million of other consideration, specifically purchase price holdbacks. In addition, we paid $13 million of holdbacks related to prior year acquisitions.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consideration for our 2026 acquisitions was primarily allocated to $27 million of property and equipment, $75 million of other intangible assets, primarily customer relationships, and $138 million of goodwill. The goodwill was primarily a result of expected synergies from combining the acquired businesses with our existing operations and substantially all was not tax deductible. We remain in the measurement period for our 2026 acquisitions, and adjustments to our preliminary purchase price allocation may occur.</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Divestitures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Proceeds from divestitures of businesses and other assets, net of cash divested, were $77 million and $103 million for the six months ended June 30, 2026 and 2025, respectively. Proceeds in 2026 primarily related to a business divestiture in our West Tier, which resulted in a gain of $34 million </w:t>
      </w:r>
      <w:r>
        <w:rPr>
          <w:rFonts w:ascii="Times New Roman;Times;serif" w:hAnsi="Times New Roman;Times;serif"/>
          <w:b w:val="false"/>
          <w:i w:val="false"/>
          <w:caps w:val="false"/>
          <w:smallCaps w:val="false"/>
          <w:sz w:val="20"/>
        </w:rPr>
        <w:t>recognized</w:t>
      </w:r>
      <w:r>
        <w:rPr>
          <w:rFonts w:ascii="Times New Roman;Times;serif" w:hAnsi="Times New Roman;Times;serif"/>
          <w:sz w:val="20"/>
        </w:rPr>
        <w:t xml:space="preserve"> in (gain) loss from divestitures, asset impairments and unusual items, net in our Condensed Consolidated Statements of Operations. Proceeds in 2025 primarily related to the January 2025 sale of our Healthcare Solutions segment’s Spain and Portugal subsidiaries. As the fair value of consideration transferred was equal to the carrying value of the divested Spain and Portugal subsidiaries, no gain or loss was recognized.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9.  (Gain) Loss from Divestitures, Asset Impairments and Unusual Items, Net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(Gain) loss from divestitures, asset impairments and unusual items, net for the three months ended June 30, 2026 was not material. (Gain) loss from divestitures, asset impairments and unusual items, net for the six months ended June 30, 2026 primarily relates to a $34 million </w:t>
      </w:r>
      <w:r>
        <w:rPr>
          <w:rFonts w:ascii="Times New Roman;Times;serif" w:hAnsi="Times New Roman;Times;serif"/>
          <w:b w:val="false"/>
          <w:i w:val="false"/>
          <w:caps w:val="false"/>
          <w:smallCaps w:val="false"/>
          <w:sz w:val="20"/>
        </w:rPr>
        <w:t>gain</w:t>
      </w:r>
      <w:r>
        <w:rPr>
          <w:rFonts w:ascii="Times New Roman;Times;serif" w:hAnsi="Times New Roman;Times;serif"/>
          <w:sz w:val="20"/>
        </w:rPr>
        <w:t xml:space="preserve"> on a business divestiture in our West Tier, offset by immaterial charges related to legal and remediation liabilities.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(Gain) loss from divestitures, asset impairments and unusual items, net for the three and six months ended June 30, 2025, primarily relates to a $16 million goodwill impairment charge to a business engaged in oil recovery and sludge processing services. This charge is reflected in Other Ancillary within our Collection and Disposal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22" w:name="Tc_JnzZyGWu3ESJK-1sbVzrsg_9_14"/>
      <w:bookmarkStart w:id="1623" w:name="Tc_TmHaoPM1MUWo5jtrsIK8yg_9_11"/>
      <w:bookmarkStart w:id="1624" w:name="Tc_Rb99ZJJ-KkyhmsGSGa93Rg_9_8"/>
      <w:bookmarkStart w:id="1625" w:name="Tc__0R_esdplkKUGY7obMk7_A_9_5"/>
      <w:bookmarkStart w:id="1626" w:name="Tc_UZ4_uI8hbEu5ZB9-G-Vjwg_9_2"/>
      <w:bookmarkStart w:id="1627" w:name="Tc_tH2NEOo8qE6XOoYGsRAC-w_9_0"/>
      <w:bookmarkStart w:id="1628" w:name="Tc_cg9pyOuUaUyW1GuqFnXbjQ_8_12"/>
      <w:bookmarkStart w:id="1629" w:name="Tc_X1RtPJp-wkyCBAdK75arDw_8_6"/>
      <w:bookmarkStart w:id="1630" w:name="Tc__FuWqxLrSkySA9QK9HIkFQ_8_0"/>
      <w:bookmarkStart w:id="1631" w:name="Tc_OMzt8VDhUkuUxQ7VjwPBxw_7_12"/>
      <w:bookmarkStart w:id="1632" w:name="Tc_76o61Y5IpECs_3k_VY1tOw_7_9"/>
      <w:bookmarkStart w:id="1633" w:name="Tc__AV3CUpnZE2wa8n60HtX9Q_7_6"/>
      <w:bookmarkStart w:id="1634" w:name="Tc_2TTRF1y76Euo_vwpYXwTtA_7_0"/>
      <w:bookmarkStart w:id="1635" w:name="Tc_IEF8xkl0cES87nQuO8yDpA_6_12"/>
      <w:bookmarkStart w:id="1636" w:name="Tc_yyrU3lK57UW1LMQwW9FX5Q_6_6"/>
      <w:bookmarkStart w:id="1637" w:name="Tc_2iZpVdr4FkSDa9IcNBqqlQ_6_0"/>
      <w:bookmarkStart w:id="1638" w:name="Tc_HJRyn4g7DU-TQzFXtvIjEw_5_14"/>
      <w:bookmarkStart w:id="1639" w:name="Tc_okHrFQQrqk2FdO-ROCridw_5_11"/>
      <w:bookmarkStart w:id="1640" w:name="Tc_DfEn4TYEykaodKwIQBExHA_5_8"/>
      <w:bookmarkStart w:id="1641" w:name="Tc__0I5SJz5z0-fZI34OwH2Ww_5_5"/>
      <w:bookmarkStart w:id="1642" w:name="Tc_Wmy0W3Rihk6ufbkPHS6Tcg_5_2"/>
      <w:bookmarkStart w:id="1643" w:name="Tc__SuNlOsrFUy4_O8SJ99zzg_5_0"/>
      <w:bookmarkStart w:id="1644" w:name="Tc_OEWVKtglnUGcF6PIiRfPdg_4_14"/>
      <w:bookmarkStart w:id="1645" w:name="Tc_sPTxGEZybUmzCGUTbqUQ1A_4_11"/>
      <w:bookmarkStart w:id="1646" w:name="Tc_bUDg-B0g4kSLp40TWpa_gw_4_8"/>
      <w:bookmarkStart w:id="1647" w:name="Tc_bv6wmFH8U0GJEsYF5hSpnA_4_5"/>
      <w:bookmarkStart w:id="1648" w:name="Tc_1mC80rHf0EGg-BQ5jPhQJw_4_2"/>
      <w:bookmarkStart w:id="1649" w:name="Tc_48SPttUnb06SYDWzdCgkeQ_3_11"/>
      <w:bookmarkStart w:id="1650" w:name="Tc__Y1YX_cA2k6X9CKtoE8NGA_3_8"/>
      <w:bookmarkStart w:id="1651" w:name="Tc_XCqHyQP3PECr_vGBzfpnpQ_3_5"/>
      <w:bookmarkStart w:id="1652" w:name="Tc_SSrgkayiok2CLJV-tWtnpg_3_2"/>
      <w:bookmarkStart w:id="1653" w:name="Tc_AUsg_0xrUkis5Grx9PFalw_2_11"/>
      <w:bookmarkStart w:id="1654" w:name="Tc_bieAw8MMjUi_zEU5jWQggQ_2_8"/>
      <w:bookmarkStart w:id="1655" w:name="Tc_V_Qv1k3M7E6QBX0GM4nyJw_2_5"/>
      <w:bookmarkStart w:id="1656" w:name="Tc_71-XCrlMW0Kk62O80u296w_1_11"/>
      <w:bookmarkStart w:id="1657" w:name="Tc_sYLrZe3Q-EO4XEMUL0ZFGA_1_8"/>
      <w:bookmarkStart w:id="1658" w:name="_cffff7d9_b28f_4a0c_897a_25414697d048"/>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r>
        <w:rPr>
          <w:rFonts w:ascii="Times New Roman;Times;serif" w:hAnsi="Times New Roman;Times;serif"/>
          <w:b/>
          <w:sz w:val="20"/>
        </w:rPr>
        <w:t xml:space="preserve">10.  Accumulated Other Comprehensive Income (Loss)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338"/>
        <w:gridCol w:w="286"/>
        <w:gridCol w:w="383"/>
        <w:gridCol w:w="578"/>
        <w:gridCol w:w="286"/>
        <w:gridCol w:w="307"/>
        <w:gridCol w:w="505"/>
        <w:gridCol w:w="286"/>
        <w:gridCol w:w="305"/>
        <w:gridCol w:w="701"/>
        <w:gridCol w:w="286"/>
        <w:gridCol w:w="357"/>
        <w:gridCol w:w="589"/>
        <w:gridCol w:w="346"/>
        <w:gridCol w:w="211"/>
        <w:gridCol w:w="441"/>
      </w:tblGrid>
      <w:tr>
        <w:trPr/>
        <w:tc>
          <w:tcPr>
            <w:tcW w:w="4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754630" cy="175260"/>
                      <wp:effectExtent l="0" t="0" r="0" b="0"/>
                      <wp:wrapNone/>
                      <wp:docPr id="221" name="Frame221"/>
                      <a:graphic xmlns:a="http://schemas.openxmlformats.org/drawingml/2006/main">
                        <a:graphicData uri="http://schemas.microsoft.com/office/word/2010/wordprocessingShape">
                          <wps:wsp>
                            <wps:cNvSpPr txBox="1"/>
                            <wps:spPr>
                              <a:xfrm>
                                <a:off x="0" y="0"/>
                                <a:ext cx="275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81610" cy="175260"/>
                      <wp:effectExtent l="0" t="0" r="0" b="0"/>
                      <wp:wrapNone/>
                      <wp:docPr id="222" name="Frame22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43205" cy="175260"/>
                      <wp:effectExtent l="0" t="0" r="0" b="0"/>
                      <wp:wrapNone/>
                      <wp:docPr id="223" name="Frame22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7030" cy="175260"/>
                      <wp:effectExtent l="0" t="0" r="0" b="0"/>
                      <wp:wrapNone/>
                      <wp:docPr id="224" name="Frame224"/>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1610" cy="175260"/>
                      <wp:effectExtent l="0" t="0" r="0" b="0"/>
                      <wp:wrapNone/>
                      <wp:docPr id="225" name="Frame22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94945" cy="175260"/>
                      <wp:effectExtent l="0" t="0" r="0" b="0"/>
                      <wp:wrapNone/>
                      <wp:docPr id="226" name="Frame22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20675" cy="175260"/>
                      <wp:effectExtent l="0" t="0" r="0" b="0"/>
                      <wp:wrapNone/>
                      <wp:docPr id="227" name="Frame227"/>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1610" cy="175260"/>
                      <wp:effectExtent l="0" t="0" r="0" b="0"/>
                      <wp:wrapNone/>
                      <wp:docPr id="228" name="Frame22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93675" cy="175260"/>
                      <wp:effectExtent l="0" t="0" r="0" b="0"/>
                      <wp:wrapNone/>
                      <wp:docPr id="229" name="Frame229"/>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45135" cy="175260"/>
                      <wp:effectExtent l="0" t="0" r="0" b="0"/>
                      <wp:wrapNone/>
                      <wp:docPr id="230" name="Frame230"/>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81610" cy="175260"/>
                      <wp:effectExtent l="0" t="0" r="0" b="0"/>
                      <wp:wrapNone/>
                      <wp:docPr id="231" name="Frame23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26695" cy="175260"/>
                      <wp:effectExtent l="0" t="0" r="0" b="0"/>
                      <wp:wrapNone/>
                      <wp:docPr id="232" name="Frame23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74015" cy="175260"/>
                      <wp:effectExtent l="0" t="0" r="0" b="0"/>
                      <wp:wrapNone/>
                      <wp:docPr id="233" name="Frame233"/>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80035" cy="175260"/>
                      <wp:effectExtent l="0" t="0" r="0" b="0"/>
                      <wp:wrapNone/>
                      <wp:docPr id="236" name="Frame236"/>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28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center"/>
              <w:rPr/>
            </w:pPr>
            <w:r>
              <w:rPr/>
              <w:t>​</w:t>
            </w:r>
          </w:p>
        </w:tc>
      </w:tr>
      <w:tr>
        <w:trPr/>
        <w:tc>
          <w:tcPr>
            <w:tcW w:w="433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w:t>
            </w:r>
          </w:p>
        </w:tc>
        <w:tc>
          <w:tcPr>
            <w:tcW w:w="28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28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center"/>
              <w:rPr/>
            </w:pPr>
            <w:r>
              <w:rPr/>
              <w:t>​</w:t>
            </w:r>
          </w:p>
        </w:tc>
      </w:tr>
      <w:tr>
        <w:trPr/>
        <w:tc>
          <w:tcPr>
            <w:tcW w:w="433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28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for-Sale</w:t>
            </w:r>
          </w:p>
        </w:tc>
        <w:tc>
          <w:tcPr>
            <w:tcW w:w="28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28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center"/>
              <w:rPr/>
            </w:pPr>
            <w:r>
              <w:rPr/>
              <w:t>​</w:t>
            </w:r>
          </w:p>
        </w:tc>
      </w:tr>
      <w:tr>
        <w:trPr/>
        <w:tc>
          <w:tcPr>
            <w:tcW w:w="433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286" w:type="dxa"/>
            <w:tcBorders/>
            <w:vAlign w:val="center"/>
          </w:tcPr>
          <w:p>
            <w:pPr>
              <w:pStyle w:val="TableContents"/>
              <w:bidi w:val="0"/>
              <w:spacing w:before="0" w:after="0"/>
              <w:ind w:left="0" w:right="0" w:hanging="0"/>
              <w:jc w:val="left"/>
              <w:rPr/>
            </w:pPr>
            <w:r>
              <w:rPr/>
              <w:t>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286" w:type="dxa"/>
            <w:tcBorders/>
            <w:vAlign w:val="center"/>
          </w:tcPr>
          <w:p>
            <w:pPr>
              <w:pStyle w:val="TableContents"/>
              <w:bidi w:val="0"/>
              <w:spacing w:before="0" w:after="0"/>
              <w:ind w:left="0" w:right="0" w:hanging="0"/>
              <w:jc w:val="left"/>
              <w:rPr/>
            </w:pPr>
            <w:r>
              <w:rPr/>
              <w:t>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286" w:type="dxa"/>
            <w:tcBorders/>
            <w:vAlign w:val="center"/>
          </w:tcPr>
          <w:p>
            <w:pPr>
              <w:pStyle w:val="TableContents"/>
              <w:bidi w:val="0"/>
              <w:spacing w:before="0" w:after="0"/>
              <w:ind w:left="0" w:right="0" w:hanging="0"/>
              <w:jc w:val="left"/>
              <w:rPr/>
            </w:pPr>
            <w:r>
              <w:rPr/>
              <w:t>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Obligations</w:t>
            </w:r>
          </w:p>
        </w:tc>
        <w:tc>
          <w:tcPr>
            <w:tcW w:w="346" w:type="dxa"/>
            <w:tcBorders/>
            <w:vAlign w:val="center"/>
          </w:tcPr>
          <w:p>
            <w:pPr>
              <w:pStyle w:val="TableContents"/>
              <w:bidi w:val="0"/>
              <w:spacing w:before="0" w:after="0"/>
              <w:ind w:left="0" w:right="0" w:hanging="0"/>
              <w:jc w:val="left"/>
              <w:rPr/>
            </w:pPr>
            <w:r>
              <w:rPr/>
              <w:t>  ​ ​ ​</w:t>
            </w:r>
          </w:p>
        </w:tc>
        <w:tc>
          <w:tcPr>
            <w:tcW w:w="6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28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8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8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28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 net of tax expense (benefit) of $0, $0, $0 and $0, respectively</w:t>
            </w:r>
          </w:p>
        </w:tc>
        <w:tc>
          <w:tcPr>
            <w:tcW w:w="28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8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28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4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 net of tax (expense) benefit of $0, $0, $0 and $0, respectively</w:t>
            </w:r>
          </w:p>
        </w:tc>
        <w:tc>
          <w:tcPr>
            <w:tcW w:w="286"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8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 period other comprehensive income (loss)</w:t>
            </w:r>
          </w:p>
        </w:tc>
        <w:tc>
          <w:tcPr>
            <w:tcW w:w="286"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8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28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286"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8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8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28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bl>
    <w:p>
      <w:pPr>
        <w:pStyle w:val="TextBody"/>
        <w:bidi w:val="0"/>
        <w:spacing w:before="0" w:after="0"/>
        <w:ind w:left="0" w:right="0" w:hanging="0"/>
        <w:jc w:val="left"/>
        <w:rPr/>
      </w:pPr>
      <w:r>
        <w:rPr/>
        <w:t>​</w:t>
      </w:r>
    </w:p>
    <w:p>
      <w:pPr>
        <w:pStyle w:val="TextBody"/>
        <w:bidi w:val="0"/>
        <w:spacing w:before="0" w:after="22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Common Stock Repurchase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repurchases shares of its common stock as part of capital allocation programs authorized by our Board of Directors. During the three months ended June 30, 2026, we repurchased 3.0 million shares of our common stock in open market transactions in compliance with Rule 10b5-1 and Rule 10b-18 of the Securities Exchange Act of 1934, as amended (the “Exchange Act”) for $671 million, inclusive of per-share commissions and taxes, for a weighted average price per share of $223.94. During the six months ended June 30, 2026, we repurchased 4.5 million shares of our common stock in open market transactions in compliance with Rule 10b5-1 and Rule 10b-18 of the Exchange Act for $1.0 billion, inclusive of per-share commissions and taxes, for a weighted average price per share of $227.89. These repurchases were made under the $3.0 billion Board of Directors authorization announced in December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the Company has remaining authorization for $2.0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leverage level, net earnings, financial condition and cash required for future business plans, growth and acquisitions.</w:t>
      </w:r>
    </w:p>
    <w:p>
      <w:pPr>
        <w:pStyle w:val="TextBody"/>
        <w:bidi w:val="0"/>
        <w:spacing w:before="0" w:after="180"/>
        <w:ind w:left="0" w:right="0" w:hanging="0"/>
        <w:jc w:val="left"/>
        <w:rPr>
          <w:rFonts w:ascii="Times New Roman;Times;serif" w:hAnsi="Times New Roman;Times;serif"/>
          <w:b/>
          <w:sz w:val="20"/>
        </w:rPr>
      </w:pPr>
      <w:bookmarkStart w:id="1659" w:name="Tc_L6ZaW3MvGkGK1TLHw7uw7w_8_5"/>
      <w:bookmarkStart w:id="1660" w:name="Tc_bZKzSuV7-E6sdjVuRJLSxw_8_2"/>
      <w:bookmarkStart w:id="1661" w:name="Tc__wkNWB0YP0edh04-IZ9Tmg_8_0"/>
      <w:bookmarkStart w:id="1662" w:name="Tc_3m25kii6Nk6PlBSHr-i1vA_7_0"/>
      <w:bookmarkStart w:id="1663" w:name="Tc_Beeeviqho0u5wya8rfPg2g_6_0"/>
      <w:bookmarkStart w:id="1664" w:name="Tc_zCfpOEzjUEOweiuSxaigjw_5_0"/>
      <w:bookmarkStart w:id="1665" w:name="Tc_GK3KjjVaPU2itGwtT4huxg_4_5"/>
      <w:bookmarkStart w:id="1666" w:name="Tc_w8mjrZerjEC6sT0mNrUijA_4_2"/>
      <w:bookmarkStart w:id="1667" w:name="Tc_Di0EQ-qlWk2S63octWStIg_4_0"/>
      <w:bookmarkStart w:id="1668" w:name="Tc_BDpGXuCGp0SWED5Ip-ipuw_3_0"/>
      <w:bookmarkStart w:id="1669" w:name="Tc_BMu8TEoQ2UKst2kyAhniOw_2_5"/>
      <w:bookmarkStart w:id="1670" w:name="Tc_H5Qn5y1zVkaOkSu3A4AHUQ_2_2"/>
      <w:bookmarkStart w:id="1671" w:name="Tc_8mkkHfuIpkacSPyDV2OJug_1_5"/>
      <w:bookmarkStart w:id="1672" w:name="Tc_pBQ5XPnlX0u9pdUe910prA_1_2"/>
      <w:bookmarkStart w:id="1673" w:name="_37f9ffac_cf14_48d6_a841_16f1c10828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r>
        <w:rPr>
          <w:rFonts w:ascii="Times New Roman;Times;serif" w:hAnsi="Times New Roman;Times;serif"/>
          <w:b/>
          <w:sz w:val="20"/>
        </w:rPr>
        <w:t>12.  Fair Value Measurements</w:t>
      </w:r>
    </w:p>
    <w:p>
      <w:pPr>
        <w:pStyle w:val="TextBody"/>
        <w:bidi w:val="0"/>
        <w:spacing w:before="0" w:after="180"/>
        <w:ind w:left="144" w:right="0" w:hanging="0"/>
        <w:jc w:val="left"/>
        <w:rPr>
          <w:rFonts w:ascii="Times New Roman;Times;serif" w:hAnsi="Times New Roman;Times;serif"/>
          <w:b/>
          <w:i/>
          <w:sz w:val="20"/>
        </w:rPr>
      </w:pPr>
      <w:r>
        <w:rPr>
          <w:rFonts w:ascii="Times New Roman;Times;serif" w:hAnsi="Times New Roman;Times;serif"/>
          <w:b/>
          <w:i/>
          <w:sz w:val="20"/>
        </w:rPr>
        <w:t>Assets and Liabilities Accounted for at Fair Value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Our assets and liabilities that are measured at fair value on a recurring basis include the following (in millions):</w:t>
      </w:r>
    </w:p>
    <w:p>
      <w:pPr>
        <w:pStyle w:val="TextBody"/>
        <w:bidi w:val="0"/>
        <w:spacing w:before="0" w:after="0"/>
        <w:ind w:left="0" w:right="0" w:hanging="0"/>
        <w:jc w:val="left"/>
        <w:rPr/>
      </w:pPr>
      <w:r>
        <w:rPr/>
        <w:t>​</w:t>
      </w:r>
    </w:p>
    <w:tbl>
      <w:tblPr>
        <w:tblW w:w="6470" w:type="dxa"/>
        <w:jc w:val="left"/>
        <w:tblInd w:w="0" w:type="dxa"/>
        <w:tblLayout w:type="fixed"/>
        <w:tblCellMar>
          <w:top w:w="0" w:type="dxa"/>
          <w:left w:w="0" w:type="dxa"/>
          <w:bottom w:w="0" w:type="dxa"/>
          <w:right w:w="0" w:type="dxa"/>
        </w:tblCellMar>
      </w:tblPr>
      <w:tblGrid>
        <w:gridCol w:w="3811"/>
        <w:gridCol w:w="346"/>
        <w:gridCol w:w="211"/>
        <w:gridCol w:w="571"/>
        <w:gridCol w:w="346"/>
        <w:gridCol w:w="338"/>
        <w:gridCol w:w="847"/>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19985" cy="175260"/>
                      <wp:effectExtent l="0" t="0" r="0" b="0"/>
                      <wp:wrapNone/>
                      <wp:docPr id="237" name="Frame237"/>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62585" cy="175260"/>
                      <wp:effectExtent l="0" t="0" r="0" b="0"/>
                      <wp:wrapNone/>
                      <wp:docPr id="240" name="Frame2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4630" cy="175260"/>
                      <wp:effectExtent l="0" t="0" r="0" b="0"/>
                      <wp:wrapNone/>
                      <wp:docPr id="242" name="Frame242"/>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37845" cy="175260"/>
                      <wp:effectExtent l="0" t="0" r="0" b="0"/>
                      <wp:wrapNone/>
                      <wp:docPr id="243" name="Frame243"/>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Quoted prices in active markets (Level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center"/>
              <w:rPr/>
            </w:pPr>
            <w:r>
              <w:rPr/>
              <w:t>​</w:t>
            </w:r>
          </w:p>
        </w:tc>
        <w:tc>
          <w:tcPr>
            <w:tcW w:w="847" w:type="dxa"/>
            <w:tcBorders/>
            <w:shd w:fill="CCEEFF" w:val="clear"/>
            <w:vAlign w:val="center"/>
          </w:tcPr>
          <w:p>
            <w:pPr>
              <w:pStyle w:val="TableContents"/>
              <w:bidi w:val="0"/>
              <w:spacing w:before="0" w:after="1"/>
              <w:ind w:left="0" w:right="0" w:hanging="0"/>
              <w:jc w:val="center"/>
              <w:rPr/>
            </w:pPr>
            <w:r>
              <w:rPr/>
              <w:t>​</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and money market funds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vAlign w:val="center"/>
          </w:tcPr>
          <w:p>
            <w:pPr>
              <w:pStyle w:val="TableContents"/>
              <w:bidi w:val="0"/>
              <w:spacing w:before="0" w:after="1"/>
              <w:ind w:left="0" w:right="0" w:hanging="0"/>
              <w:jc w:val="left"/>
              <w:rPr/>
            </w:pPr>
            <w:r>
              <w:rPr/>
              <w:t> </w:t>
            </w:r>
          </w:p>
        </w:tc>
        <w:tc>
          <w:tcPr>
            <w:tcW w:w="3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Significant other observable inputs (Level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center"/>
              <w:rPr/>
            </w:pPr>
            <w:r>
              <w:rPr/>
              <w:t>​</w:t>
            </w:r>
          </w:p>
        </w:tc>
        <w:tc>
          <w:tcPr>
            <w:tcW w:w="847" w:type="dxa"/>
            <w:tcBorders/>
            <w:vAlign w:val="center"/>
          </w:tcPr>
          <w:p>
            <w:pPr>
              <w:pStyle w:val="TableContents"/>
              <w:bidi w:val="0"/>
              <w:spacing w:before="0" w:after="1"/>
              <w:ind w:left="0" w:right="0" w:hanging="0"/>
              <w:jc w:val="center"/>
              <w:rPr/>
            </w:pPr>
            <w:r>
              <w:rPr/>
              <w:t>​</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(a)</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CCEEFF" w:val="clear"/>
            <w:vAlign w:val="center"/>
          </w:tcPr>
          <w:p>
            <w:pPr>
              <w:pStyle w:val="TableContents"/>
              <w:bidi w:val="0"/>
              <w:spacing w:before="0" w:after="1"/>
              <w:ind w:left="0" w:right="0" w:hanging="0"/>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346" w:type="dxa"/>
            <w:tcBorders/>
            <w:vAlign w:val="center"/>
          </w:tcPr>
          <w:p>
            <w:pPr>
              <w:pStyle w:val="TableContents"/>
              <w:bidi w:val="0"/>
              <w:spacing w:before="0" w:after="1"/>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707</w:t>
            </w:r>
          </w:p>
        </w:tc>
      </w:tr>
    </w:tbl>
    <w:tbl>
      <w:tblPr>
        <w:tblW w:w="9047" w:type="dxa"/>
        <w:jc w:val="left"/>
        <w:tblInd w:w="0" w:type="dxa"/>
        <w:tblLayout w:type="fixed"/>
        <w:tblCellMar>
          <w:top w:w="0" w:type="dxa"/>
          <w:left w:w="0" w:type="dxa"/>
          <w:bottom w:w="0" w:type="dxa"/>
          <w:right w:w="0" w:type="dxa"/>
        </w:tblCellMar>
      </w:tblPr>
      <w:tblGrid>
        <w:gridCol w:w="331"/>
        <w:gridCol w:w="871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available-for-sale securities primarily relate to debt securities with maturities over the next nine years.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r>
        <w:rPr/>
        <w:t>​</w:t>
      </w:r>
    </w:p>
    <w:p>
      <w:pPr>
        <w:pStyle w:val="TextBody"/>
        <w:bidi w:val="0"/>
        <w:spacing w:before="0" w:after="200"/>
        <w:ind w:left="144" w:right="0" w:hanging="0"/>
        <w:jc w:val="left"/>
        <w:rPr>
          <w:rFonts w:ascii="Times New Roman;Times;serif" w:hAnsi="Times New Roman;Times;serif"/>
          <w:b/>
          <w:i/>
          <w:sz w:val="20"/>
        </w:rPr>
      </w:pPr>
      <w:r>
        <w:rPr>
          <w:rFonts w:ascii="Times New Roman;Times;serif" w:hAnsi="Times New Roman;Times;serif"/>
          <w:b/>
          <w:i/>
          <w:sz w:val="20"/>
        </w:rPr>
        <w:t>Fair Value of Debt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 carrying value of our debt was $23.4 billion and $22.9 billion, respectively. The estimated fair value of our debt was approximately $22.6 billion and $22.5 billion as of June 30, 2026 and December 31, 2025, respectively.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June 30, 2026 and December 31, 2025. These amounts have not been revalued since those dates and current estimates of fair value could differ significantly from the amounts presented.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13.  Variable Interest Entities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is a description of our financial interests in unconsolidated and consolidated variable interest entities that we consider significant:</w:t>
      </w:r>
    </w:p>
    <w:p>
      <w:pPr>
        <w:pStyle w:val="TextBody"/>
        <w:bidi w:val="0"/>
        <w:spacing w:before="0" w:after="200"/>
        <w:ind w:left="144" w:right="0" w:hanging="0"/>
        <w:jc w:val="left"/>
        <w:rPr>
          <w:rFonts w:ascii="Times New Roman;Times;serif" w:hAnsi="Times New Roman;Times;serif"/>
          <w:b/>
          <w:i/>
          <w:sz w:val="20"/>
        </w:rPr>
      </w:pPr>
      <w:r>
        <w:rPr>
          <w:rFonts w:ascii="Times New Roman;Times;serif" w:hAnsi="Times New Roman;Times;serif"/>
          <w:b/>
          <w:i/>
          <w:sz w:val="20"/>
        </w:rPr>
        <w:t xml:space="preserve">Low-Income Housing Properties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consolidate our investments in entities established to manage low-income housing properties because we are not the primary beneficiary of these entities as we do not have the power to direct the activities of these entities. Our aggregate investment balance in these entities was $577 million and $624 million as of June 30, 2026 and December 31, 2025, respectively. The debt balance related to our investments in low-income housing properties was $565 million and $616 million as of June 30, 2026 and December 31, 2025, respectively. Additional information related to these investments is discussed in Note 4.</w:t>
      </w:r>
    </w:p>
    <w:p>
      <w:pPr>
        <w:pStyle w:val="TextBody"/>
        <w:bidi w:val="0"/>
        <w:spacing w:before="0" w:after="200"/>
        <w:ind w:left="144" w:right="0" w:hanging="0"/>
        <w:jc w:val="left"/>
        <w:rPr>
          <w:rFonts w:ascii="Times New Roman;Times;serif" w:hAnsi="Times New Roman;Times;serif"/>
          <w:b/>
          <w:i/>
          <w:sz w:val="20"/>
        </w:rPr>
      </w:pPr>
      <w:r>
        <w:rPr>
          <w:rFonts w:ascii="Times New Roman;Times;serif" w:hAnsi="Times New Roman;Times;serif"/>
          <w:b/>
          <w:i/>
          <w:sz w:val="20"/>
        </w:rPr>
        <w:t>Trust Funds for Final Capping, Closure, Post-Closure or Environmental Remediation Obligations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sz w:val="20"/>
        </w:rPr>
        <w:t>Unconsolidated Variable Interest Entities —</w:t>
      </w:r>
      <w:r>
        <w:rPr>
          <w:rFonts w:ascii="Times New Roman;Times;serif" w:hAnsi="Times New Roman;Times;serif"/>
          <w:sz w:val="20"/>
        </w:rPr>
        <w:t xml:space="preserve"> Trust funds that are established for both the benefit of the Company and 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other long-term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$133 million and $127 million as of June 30, 2026 and December 31, 2025, respectively.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Consolidated Variable Interest Entities —</w:t>
      </w:r>
      <w:r>
        <w:rPr>
          <w:rFonts w:ascii="Times New Roman;Times;serif" w:hAnsi="Times New Roman;Times;serif"/>
          <w:sz w:val="20"/>
        </w:rPr>
        <w:t xml:space="preserve"> Trust funds for which we are the sole beneficiary are consolidated because we are the primary beneficiary. These trust funds are recorded in restricted funds in our Condensed Consolidated Balance Sheets. Unrealized gains and losses on available-for-sale securities held by these trusts are recorded as a component of accumulated other comprehensive income (loss). These trusts had a fair value of $144 million and $140 million as of June 30, 2026 and December 31,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674" w:name="_2f40f176_ace6_422c_aae3_b01c787134c2"/>
      <w:bookmarkEnd w:id="1674"/>
      <w:r>
        <w:rPr>
          <w:rFonts w:ascii="Times New Roman;Times;serif" w:hAnsi="Times New Roman;Times;serif"/>
          <w:b/>
          <w:sz w:val="20"/>
        </w:rPr>
        <w:t>Item 2.    </w:t>
      </w:r>
      <w:r>
        <w:rPr>
          <w:rFonts w:ascii="Times New Roman;Times;serif" w:hAnsi="Times New Roman;Times;serif"/>
          <w:b/>
          <w:i/>
          <w:sz w:val="20"/>
        </w:rPr>
        <w:t>Management’s Discussion and Analysis of Financial Condition and</w:t>
      </w:r>
      <w:r>
        <w:rPr>
          <w:rFonts w:ascii="Times New Roman;Times;serif" w:hAnsi="Times New Roman;Times;serif"/>
          <w:b/>
          <w:sz w:val="20"/>
        </w:rPr>
        <w:t xml:space="preserve"> </w:t>
      </w:r>
      <w:r>
        <w:rPr>
          <w:rFonts w:ascii="Times New Roman;Times;serif" w:hAnsi="Times New Roman;Times;serif"/>
          <w:b/>
          <w:i/>
          <w:sz w:val="20"/>
        </w:rPr>
        <w:t xml:space="preserve">Results of Operations. </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2025.</w:t>
      </w:r>
    </w:p>
    <w:p>
      <w:pPr>
        <w:pStyle w:val="TextBody"/>
        <w:bidi w:val="0"/>
        <w:spacing w:before="0" w:after="0"/>
        <w:ind w:left="0" w:right="0" w:firstLine="432"/>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opinions, views or beliefs about current and future events, circumstances or performance. You should view these statements with caution. They are based on the facts and circumstances known to us as of the date the statements are made. These forward 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Inc. (“Stericycle”) (which is now presented as our Healthcare Solutions segment) and achieve the anticipated benefits therefrom, including synergies; legal, regulatory, operational, technological and other matters that may affect the costs and timing of our ability to integrate and deliver all of the expected benefits of the Stericycle acquisition; existing or new environmental and other regulations, including developments related to emerging contaminants, gas emissions, renewable energy, recyclables,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and pricing pressure; impacts from international trade restrictions and tariffs; competitive disposal alternatives, diversion of waste from landfills and declining waste volumes; changes in general economic conditions, capital markets or consumer trends; changing conditions in the recycling industry, including impacts on demand, pricing and availability of counterparties; changing conditions in the healthcare industry; adoption of new tax legislation; fuel shortages; failure to develop and protect new technology; failure of technology to perform as expected; inability to adapt and manage the benefits and risks of artificial intelligence; failure to prevent, detect and address cybersecurity incidents or comply with privacy regulations; negative outcomes of litigation or governmental proceedings, including those acquired through transactions; failure to maintain an effective system of internal control over financial reporting; and operational or management decisions or developments that result in impairment charges and other risks discussed in our filings with the SEC, including Part I, Item 1A of our Annual Report on Form 10-K for the year ended December 31, 2025. We assume no obligation to update any forward-looking statement, including financial estimates and forecasts, whether as a result of future events, circumstances or developments or otherwise. </w:t>
      </w:r>
    </w:p>
    <w:p>
      <w:pPr>
        <w:pStyle w:val="TextBody"/>
        <w:bidi w:val="0"/>
        <w:spacing w:before="0" w:after="0"/>
        <w:ind w:left="0" w:right="0" w:firstLine="432"/>
        <w:jc w:val="both"/>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North America’s leading provider of comprehensive environmental solutions, providing services throughout the United States (“U.S.”) and Canada. We partner with our customers and the communities we serve to manage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Renewable Energy segment, we are also a leading developer, operator and owner of landfill gas-to-energy facilities in the U.S. and Canada that produce renewable electricity and renewable natural gas (“RNG”), which is a significant source of fuel that we allocate to our natural gas fleet.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 We also provide additional services not managed through our five reportable segments, which are presented as Corporate and Other.</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Strategy</w:t>
      </w:r>
    </w:p>
    <w:p>
      <w:pPr>
        <w:pStyle w:val="TextBody"/>
        <w:bidi w:val="0"/>
        <w:spacing w:lineRule="atLeast" w:line="222" w:before="0" w:after="240"/>
        <w:ind w:left="0" w:right="0" w:firstLine="360"/>
        <w:jc w:val="both"/>
        <w:rPr>
          <w:rFonts w:ascii="Times New Roman;Times;serif" w:hAnsi="Times New Roman;Times;serif"/>
          <w:sz w:val="20"/>
        </w:rPr>
      </w:pPr>
      <w:r>
        <w:rPr>
          <w:rFonts w:ascii="Times New Roman;Times;serif" w:hAnsi="Times New Roman;Times;serif"/>
          <w:sz w:val="20"/>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are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customers will yield an attractive profit margin and enhanced service quality. We have furthered our strategy of focused differentiation and continuous improvement beyond our traditional waste operations through our sustainability growth strategy, which has positioned us to capitalize on the significant investments made in our Renewable Energy and Recycling Processing and Sales segments, while increasing automation and reducing labor dependency. In addition, our Healthcare Solutions segment provides a complementary business platform in medical waste, a sector with attractive near- and long-term growth dynamics, and in secure information destruction services to further our leading suite of comprehensive waste and environmental solutions. Furthermore, we continue to evaluate and plan to pursue emerging diversion technologies that may generate additional value.</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Business Environment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medical waste services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2026 Sustainability Report, providing details on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sustainability-related performance and outlining progress towards our 2030 sustainability goals. The 2026 Sustainability Report conveys the strong linkage between the Company’s sustainability goals and our growth strategy, inclusive of the expansion of the Company’s Recycling Processing and Sales and Renewable Energy segments. The information in this report can be found at sustainability.wm.com but it does not constitute a part of, and is not incorporated by reference into, this Quarterly Report on Form 10-Q.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can impact key financial metrics. We must dynamically manage our cost structure in response to volume changes and cost inflation.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on certain high-turnover jobs, particularly in customer experience, recycling and residential collection, while further elevating our customer self-service through digitalization and implementation of technologies to enhance the safety, reliability and efficiency within our collection operations.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sometimes experience margin pressures and variability in earnings and margins from our commodity-driven businesses, specifically within our Recycling Processing and Sales and Renewable Energy segments. During the first half of 2026, we continued to experience decreases in market prices for recycled commodities when compared to the prior year period. Additionally, we experienced declines in commodity prices from the prior year period that had an unfavorable impact on the Renewable Energy segment. We continue to take proactive steps to adjust our business models to protect against the down side risk of changes in commodity prices.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r>
        <w:rPr>
          <w:rFonts w:ascii="TimesNewRoman" w:hAnsi="TimesNewRoman"/>
          <w:sz w:val="20"/>
        </w:rPr>
        <w:t>.</w:t>
      </w:r>
    </w:p>
    <w:p>
      <w:pPr>
        <w:pStyle w:val="TextBody"/>
        <w:bidi w:val="0"/>
        <w:spacing w:before="0" w:after="240"/>
        <w:ind w:left="144" w:right="0" w:hanging="0"/>
        <w:jc w:val="left"/>
        <w:rPr>
          <w:rFonts w:ascii="Times New Roman;Times;serif" w:hAnsi="Times New Roman;Times;serif"/>
          <w:b/>
          <w:i/>
          <w:sz w:val="20"/>
        </w:rPr>
      </w:pPr>
      <w:bookmarkStart w:id="1675" w:name="_e570f5d5_47e0_4cd7_b8bd_c7a328954bfb"/>
      <w:bookmarkEnd w:id="1675"/>
      <w:r>
        <w:rPr>
          <w:rFonts w:ascii="Times New Roman;Times;serif" w:hAnsi="Times New Roman;Times;serif"/>
          <w:b/>
          <w:i/>
          <w:sz w:val="20"/>
        </w:rPr>
        <w:t>Current Quarter Financial Results</w:t>
      </w:r>
    </w:p>
    <w:p>
      <w:pPr>
        <w:pStyle w:val="TextBody"/>
        <w:bidi w:val="0"/>
        <w:spacing w:lineRule="atLeast" w:line="222"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second quarter of 2026, we continued to focus on our priorities to advance our strategy – growing the core business by focusing on customer lifetime value; delivering operational excellence and capitalizing on network advantages; capturing and enhancing returns from our investments in our Recycling Processing and Sales and Renewable Energy segments and driving accretive growth as we take our Healthcare Solutions segment from integration to scalable growth. We continue to invest in our people through paying a competitive market wage, investing in our digital platform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lineRule="atLeast" w:line="222" w:before="0" w:after="240"/>
        <w:ind w:left="0" w:right="0" w:hanging="0"/>
        <w:jc w:val="both"/>
        <w:rPr>
          <w:rFonts w:ascii="Times New Roman;Times;serif" w:hAnsi="Times New Roman;Times;serif"/>
          <w:sz w:val="20"/>
        </w:rPr>
      </w:pPr>
      <w:r>
        <w:rPr>
          <w:rFonts w:ascii="Times New Roman;Times;serif" w:hAnsi="Times New Roman;Times;serif"/>
          <w:sz w:val="20"/>
        </w:rPr>
        <w:t>and providing training for our team members. During the second quarter of 2026, we also allocated $1,038 million of available cash to our shareholders through dividends and common stock repurchases.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Key elements of our financial results for the second quarter of 2026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$6,684 million, compared to $6,430 million in the prior year period, an increase of $254 million, or 4.0%. The increase is primarily due to (i) higher yield in our Collection and Disposal business; (ii) increases in our energy surcharge due to higher fuel prices and (iii) volume growth in our Recycling Processing and Sales and Renewable Energy segments. These increases are partially offset by (i) lower collection and disposal volumes; (ii) volume declines in our Healthcare Solutions segment and (iii) a reduction in single-stream and brokerage recycled commodity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of $3,955 million, or 59.2% of revenues, compared to $3,803 million, or 59.1% of revenues, in the prior year period. The $152 million increase is primarily due to (i) higher fuel prices; (ii) annual employee wage increases and higher employee medical costs and (iii) growth in our Renewable Energy segment. These increases were offset by (i) the Company’s ability to flex spending with lower collection and special waste volumes and (ii) continued operating efficiency and cost control initiatives;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Selling, general and administrative expenses of $683 million, or 10.2% of revenues, compared to $696 million, or 10.8% of revenues, in the prior year period. The $13 million decrease is primarily due to lower professional fees and lower labor costs resulting from synergies achieved from our acquisitions, particularly Stericycle, partially offset by higher bad debt expenses;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of $1,253 million, or 18.7% of revenues, compared to $1,151 million, or 17.9% of revenues, in the prior year period. The $102 million increase is primarily due to (i) growth in our Collection and Disposal business driven by yield; (ii) benefits from the realization of synergies in our Healthcare Solutions segment and (iii) contributions from increased volumes in our Recycling Processing and Sales and Renewable Energy segments. These increases were partially offset by prior year earnings from wildfire clean-up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Waste Management, Inc. of $785 million, or $1.95 per diluted share, compared to $726 million, or $1.80 per diluted share, in the prior year period. The $59 million increase is primarily due to the increase in income from operations, discussed above, partially offset by higher income tax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cash provided by operating activities of $1,726 million compared to $1,545 million in the prior year period.  The $181 million increase in net cash provided by operating activities is primarily due to</w:t>
            </w:r>
            <w:r>
              <w:rPr>
                <w:caps w:val="false"/>
                <w:smallCaps w:val="false"/>
              </w:rPr>
              <w:t xml:space="preserve"> </w:t>
            </w:r>
            <w:r>
              <w:rPr>
                <w:rFonts w:ascii="Times New Roman;Times;serif" w:hAnsi="Times New Roman;Times;serif"/>
                <w:b w:val="false"/>
                <w:i w:val="false"/>
                <w:caps w:val="false"/>
                <w:smallCaps w:val="false"/>
                <w:sz w:val="20"/>
              </w:rPr>
              <w:t>(i) higher earnings, particularly driven by our Collection and Disposal business; (ii) favorable changes in working capital, net of effects from acquisitions and divestitures and (iii) lower cash taxes;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of $1,104 million compared to $818 million in the prior year period. The $286 million increase in free cash flow is primarily due to the increase in net cash provided by operating activities described above as well as a decrease in capital spending driven by (i) lower spend on collection vehicles and (ii) planned reductions in capital investment in our sustainability growth projects due to our transition from peak construction of this portfolio into a period of harvesting returns.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76" w:name="_6bfc3a3c_f112_4190_9220_0c65a409973e"/>
      <w:bookmarkEnd w:id="1676"/>
      <w:r>
        <w:rPr>
          <w:rFonts w:ascii="Times New Roman;Times;serif" w:hAnsi="Times New Roman;Times;serif"/>
          <w:b/>
          <w:sz w:val="20"/>
        </w:rPr>
        <w:t>Results of Operations</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Operating Revenues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mix of operating revenues for the three and six months ended June 30 are as follows (in millions):</w:t>
      </w:r>
    </w:p>
    <w:tbl>
      <w:tblPr>
        <w:tblW w:w="6607" w:type="dxa"/>
        <w:jc w:val="left"/>
        <w:tblInd w:w="0" w:type="dxa"/>
        <w:tblLayout w:type="fixed"/>
        <w:tblCellMar>
          <w:top w:w="0" w:type="dxa"/>
          <w:left w:w="0" w:type="dxa"/>
          <w:bottom w:w="0" w:type="dxa"/>
          <w:right w:w="0" w:type="dxa"/>
        </w:tblCellMar>
      </w:tblPr>
      <w:tblGrid>
        <w:gridCol w:w="2686"/>
        <w:gridCol w:w="346"/>
        <w:gridCol w:w="230"/>
        <w:gridCol w:w="626"/>
        <w:gridCol w:w="346"/>
        <w:gridCol w:w="303"/>
        <w:gridCol w:w="823"/>
        <w:gridCol w:w="346"/>
        <w:gridCol w:w="211"/>
        <w:gridCol w:w="690"/>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705610" cy="175260"/>
                      <wp:effectExtent l="0" t="0" r="0" b="0"/>
                      <wp:wrapNone/>
                      <wp:docPr id="244" name="Frame244"/>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6050" cy="175260"/>
                      <wp:effectExtent l="0" t="0" r="0" b="0"/>
                      <wp:wrapNone/>
                      <wp:docPr id="246" name="Frame2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97510" cy="175260"/>
                      <wp:effectExtent l="0" t="0" r="0" b="0"/>
                      <wp:wrapNone/>
                      <wp:docPr id="247" name="Frame247"/>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92405" cy="175260"/>
                      <wp:effectExtent l="0" t="0" r="0" b="0"/>
                      <wp:wrapNone/>
                      <wp:docPr id="249" name="Frame24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22605" cy="175260"/>
                      <wp:effectExtent l="0" t="0" r="0" b="0"/>
                      <wp:wrapNone/>
                      <wp:docPr id="250" name="Frame25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38150" cy="175260"/>
                      <wp:effectExtent l="0" t="0" r="0" b="0"/>
                      <wp:wrapNone/>
                      <wp:docPr id="253" name="Frame25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Revenues</w:t>
            </w:r>
            <w:r>
              <w:rPr>
                <w:rFonts w:ascii="Times New Roman;Times;serif" w:hAnsi="Times New Roman;Times;serif"/>
                <w:sz w:val="16"/>
              </w:rPr>
              <w:t xml:space="preserve"> </w:t>
            </w:r>
            <w:r>
              <w:rPr>
                <w:rFonts w:ascii="Times New Roman;Times;serif" w:hAnsi="Times New Roman;Times;serif"/>
                <w:b/>
                <w:sz w:val="16"/>
              </w:rPr>
              <w:t>(a)</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June 30:</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center"/>
              <w:rPr/>
            </w:pPr>
            <w:r>
              <w:rPr/>
              <w:t>​</w:t>
            </w:r>
          </w:p>
        </w:tc>
        <w:tc>
          <w:tcPr>
            <w:tcW w:w="82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0" w:type="dxa"/>
            <w:tcBorders/>
            <w:shd w:fill="CCEEFF" w:val="clear"/>
            <w:vAlign w:val="center"/>
          </w:tcPr>
          <w:p>
            <w:pPr>
              <w:pStyle w:val="TableContents"/>
              <w:bidi w:val="0"/>
              <w:spacing w:before="0" w:after="0"/>
              <w:ind w:left="0" w:right="0" w:hanging="0"/>
              <w:jc w:val="center"/>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pPr>
            <w:r>
              <w:rPr/>
              <w:t>​</w:t>
            </w:r>
          </w:p>
        </w:tc>
        <w:tc>
          <w:tcPr>
            <w:tcW w:w="8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0" w:type="dxa"/>
            <w:tcBorders/>
            <w:vAlign w:val="center"/>
          </w:tcPr>
          <w:p>
            <w:pPr>
              <w:pStyle w:val="TableContents"/>
              <w:bidi w:val="0"/>
              <w:spacing w:before="0" w:after="0"/>
              <w:ind w:left="0" w:right="0" w:hanging="0"/>
              <w:jc w:val="center"/>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collection</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4,065</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Landfill </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 and Disposal</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5,479</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Recycling Processing and Sales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 Solutions (b)</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6,684</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collection</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3,856</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Landfill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 and Disposal</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Recycling Processing and Sales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 Solutions (b)</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6,430</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7,888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tbl>
      <w:tblPr>
        <w:tblW w:w="6741" w:type="dxa"/>
        <w:jc w:val="left"/>
        <w:tblInd w:w="0" w:type="dxa"/>
        <w:tblLayout w:type="fixed"/>
        <w:tblCellMar>
          <w:top w:w="0" w:type="dxa"/>
          <w:left w:w="0" w:type="dxa"/>
          <w:bottom w:w="0" w:type="dxa"/>
          <w:right w:w="0" w:type="dxa"/>
        </w:tblCellMar>
      </w:tblPr>
      <w:tblGrid>
        <w:gridCol w:w="2686"/>
        <w:gridCol w:w="346"/>
        <w:gridCol w:w="211"/>
        <w:gridCol w:w="676"/>
        <w:gridCol w:w="346"/>
        <w:gridCol w:w="303"/>
        <w:gridCol w:w="823"/>
        <w:gridCol w:w="346"/>
        <w:gridCol w:w="211"/>
        <w:gridCol w:w="793"/>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705610" cy="175260"/>
                      <wp:effectExtent l="0" t="0" r="0" b="0"/>
                      <wp:wrapNone/>
                      <wp:docPr id="254" name="Frame254"/>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29260" cy="175260"/>
                      <wp:effectExtent l="0" t="0" r="0" b="0"/>
                      <wp:wrapNone/>
                      <wp:docPr id="257" name="Frame2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92405" cy="175260"/>
                      <wp:effectExtent l="0" t="0" r="0" b="0"/>
                      <wp:wrapNone/>
                      <wp:docPr id="259" name="Frame25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22605" cy="175260"/>
                      <wp:effectExtent l="0" t="0" r="0" b="0"/>
                      <wp:wrapNone/>
                      <wp:docPr id="260" name="Frame26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03555" cy="175260"/>
                      <wp:effectExtent l="0" t="0" r="0" b="0"/>
                      <wp:wrapNone/>
                      <wp:docPr id="263" name="Frame26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 (a)</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 June 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center"/>
              <w:rPr/>
            </w:pPr>
            <w:r>
              <w:rPr/>
              <w:t>​</w:t>
            </w:r>
          </w:p>
        </w:tc>
        <w:tc>
          <w:tcPr>
            <w:tcW w:w="82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3" w:type="dxa"/>
            <w:tcBorders/>
            <w:shd w:fill="CCEEFF" w:val="clear"/>
            <w:vAlign w:val="center"/>
          </w:tcPr>
          <w:p>
            <w:pPr>
              <w:pStyle w:val="TableContents"/>
              <w:bidi w:val="0"/>
              <w:spacing w:before="0" w:after="0"/>
              <w:ind w:left="0" w:right="0" w:hanging="0"/>
              <w:jc w:val="center"/>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pPr>
            <w:r>
              <w:rPr/>
              <w:t>​</w:t>
            </w:r>
          </w:p>
        </w:tc>
        <w:tc>
          <w:tcPr>
            <w:tcW w:w="8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collection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Landfill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 and Disposal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13,057</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Recycling Processing and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 Solutions (b)</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15,812</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collection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7,602</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Landfill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Collection and Disposal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10,203</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Recycling Processing and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 Solutions (b)</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12,448</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15,214</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each segment’s intercompany activity, including transactions within a segment and between segments. Transactions within and between segments are generally made on a basis intended to reflect the market value of the service.</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the three and six months ended June 30, 2025 were made to properly reflect intra-segment activity for each period. Intra-segment operating revenues and operating expenses within Healthcare Solutions for the three and six months ended June 30, 2026 are $101 million and $202 million, respectively. Intra-segment operating revenues and operating expenses within Healthcare Solutions for the three and six months ended June 30, 2025 are $113 million and $207 million, respectively.</w:t>
            </w:r>
          </w:p>
        </w:tc>
      </w:tr>
    </w:tbl>
    <w:p>
      <w:pPr>
        <w:pStyle w:val="TextBody"/>
        <w:bidi w:val="0"/>
        <w:spacing w:before="0" w:after="120"/>
        <w:ind w:left="0" w:right="0" w:hanging="0"/>
        <w:jc w:val="left"/>
        <w:rPr/>
      </w:pPr>
      <w:r>
        <w:rPr/>
        <w:t>​</w:t>
      </w:r>
    </w:p>
    <w:p>
      <w:pPr>
        <w:pStyle w:val="TextBody"/>
        <w:bidi w:val="0"/>
        <w:spacing w:before="0" w:after="24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following table provides details associated with the period-to-period change in revenues and average yield (dollars in millions):</w:t>
      </w:r>
    </w:p>
    <w:tbl>
      <w:tblPr>
        <w:tblW w:w="11121" w:type="dxa"/>
        <w:jc w:val="left"/>
        <w:tblInd w:w="0" w:type="dxa"/>
        <w:tblLayout w:type="fixed"/>
        <w:tblCellMar>
          <w:top w:w="0" w:type="dxa"/>
          <w:left w:w="0" w:type="dxa"/>
          <w:bottom w:w="0" w:type="dxa"/>
          <w:right w:w="0" w:type="dxa"/>
        </w:tblCellMar>
      </w:tblPr>
      <w:tblGrid>
        <w:gridCol w:w="1156"/>
        <w:gridCol w:w="346"/>
        <w:gridCol w:w="230"/>
        <w:gridCol w:w="461"/>
        <w:gridCol w:w="346"/>
        <w:gridCol w:w="826"/>
        <w:gridCol w:w="346"/>
        <w:gridCol w:w="226"/>
        <w:gridCol w:w="230"/>
        <w:gridCol w:w="461"/>
        <w:gridCol w:w="346"/>
        <w:gridCol w:w="871"/>
        <w:gridCol w:w="271"/>
        <w:gridCol w:w="346"/>
        <w:gridCol w:w="230"/>
        <w:gridCol w:w="461"/>
        <w:gridCol w:w="346"/>
        <w:gridCol w:w="826"/>
        <w:gridCol w:w="346"/>
        <w:gridCol w:w="226"/>
        <w:gridCol w:w="230"/>
        <w:gridCol w:w="461"/>
        <w:gridCol w:w="346"/>
        <w:gridCol w:w="871"/>
        <w:gridCol w:w="31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34060" cy="175260"/>
                      <wp:effectExtent l="0" t="0" r="0" b="0"/>
                      <wp:wrapNone/>
                      <wp:docPr id="264" name="Frame26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46050" cy="175260"/>
                      <wp:effectExtent l="0" t="0" r="0" b="0"/>
                      <wp:wrapNone/>
                      <wp:docPr id="266" name="Frame26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92735" cy="175260"/>
                      <wp:effectExtent l="0" t="0" r="0" b="0"/>
                      <wp:wrapNone/>
                      <wp:docPr id="267" name="Frame267"/>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24510" cy="175260"/>
                      <wp:effectExtent l="0" t="0" r="0" b="0"/>
                      <wp:wrapNone/>
                      <wp:docPr id="269" name="Frame26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3510" cy="175260"/>
                      <wp:effectExtent l="0" t="0" r="0" b="0"/>
                      <wp:wrapNone/>
                      <wp:docPr id="271" name="Frame2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46050" cy="175260"/>
                      <wp:effectExtent l="0" t="0" r="0" b="0"/>
                      <wp:wrapNone/>
                      <wp:docPr id="272" name="Frame27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92735" cy="175260"/>
                      <wp:effectExtent l="0" t="0" r="0" b="0"/>
                      <wp:wrapNone/>
                      <wp:docPr id="273" name="Frame27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53085" cy="175260"/>
                      <wp:effectExtent l="0" t="0" r="0" b="0"/>
                      <wp:wrapNone/>
                      <wp:docPr id="275" name="Frame27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72085" cy="175260"/>
                      <wp:effectExtent l="0" t="0" r="0" b="0"/>
                      <wp:wrapNone/>
                      <wp:docPr id="276" name="Frame27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46050" cy="175260"/>
                      <wp:effectExtent l="0" t="0" r="0" b="0"/>
                      <wp:wrapNone/>
                      <wp:docPr id="278" name="Frame27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92735" cy="175260"/>
                      <wp:effectExtent l="0" t="0" r="0" b="0"/>
                      <wp:wrapNone/>
                      <wp:docPr id="279" name="Frame279"/>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24510" cy="175260"/>
                      <wp:effectExtent l="0" t="0" r="0" b="0"/>
                      <wp:wrapNone/>
                      <wp:docPr id="281" name="Frame2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43510" cy="175260"/>
                      <wp:effectExtent l="0" t="0" r="0" b="0"/>
                      <wp:wrapNone/>
                      <wp:docPr id="283" name="Frame2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46050" cy="175260"/>
                      <wp:effectExtent l="0" t="0" r="0" b="0"/>
                      <wp:wrapNone/>
                      <wp:docPr id="284" name="Frame28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92735" cy="175260"/>
                      <wp:effectExtent l="0" t="0" r="0" b="0"/>
                      <wp:wrapNone/>
                      <wp:docPr id="285" name="Frame28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53085" cy="175260"/>
                      <wp:effectExtent l="0" t="0" r="0" b="0"/>
                      <wp:wrapNone/>
                      <wp:docPr id="287" name="Frame28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0660" cy="175260"/>
                      <wp:effectExtent l="0" t="0" r="0" b="0"/>
                      <wp:wrapNone/>
                      <wp:docPr id="288" name="Frame28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343"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Period-to-Period Change for the</w:t>
              <w:br/>
              <w:t>Three Months Ended</w:t>
              <w:br/>
              <w:t>June 30, 2026 vs. 2025</w:t>
            </w:r>
          </w:p>
        </w:tc>
        <w:tc>
          <w:tcPr>
            <w:tcW w:w="2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pPr>
            <w:r>
              <w:rPr/>
              <w:t>​</w:t>
            </w:r>
          </w:p>
        </w:tc>
        <w:tc>
          <w:tcPr>
            <w:tcW w:w="4113"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Period-to-Period Change for the</w:t>
              <w:br/>
              <w:t>Six Months Ended</w:t>
              <w:br/>
              <w:t>June 30, 2026 vs. 2025</w:t>
            </w:r>
          </w:p>
        </w:tc>
        <w:tc>
          <w:tcPr>
            <w:tcW w:w="316" w:type="dxa"/>
            <w:tcBorders/>
            <w:vAlign w:val="center"/>
          </w:tcPr>
          <w:p>
            <w:pPr>
              <w:pStyle w:val="TableContents"/>
              <w:bidi w:val="0"/>
              <w:spacing w:before="0" w:after="1"/>
              <w:ind w:left="0" w:right="0" w:hanging="0"/>
              <w:jc w:val="center"/>
              <w:rPr/>
            </w:pPr>
            <w:r>
              <w:rPr/>
              <w:t> </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 % of</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center"/>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 % of</w:t>
            </w:r>
          </w:p>
        </w:tc>
        <w:tc>
          <w:tcPr>
            <w:tcW w:w="2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 % of</w:t>
            </w:r>
          </w:p>
        </w:tc>
        <w:tc>
          <w:tcPr>
            <w:tcW w:w="346" w:type="dxa"/>
            <w:tcBorders/>
            <w:vAlign w:val="center"/>
          </w:tcPr>
          <w:p>
            <w:pPr>
              <w:pStyle w:val="TableContents"/>
              <w:bidi w:val="0"/>
              <w:spacing w:before="0" w:after="1"/>
              <w:ind w:left="0" w:right="0" w:hanging="0"/>
              <w:jc w:val="center"/>
              <w:rPr/>
            </w:pPr>
            <w:r>
              <w:rPr/>
              <w:t> </w:t>
            </w:r>
          </w:p>
        </w:tc>
        <w:tc>
          <w:tcPr>
            <w:tcW w:w="2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 % of</w:t>
            </w:r>
          </w:p>
        </w:tc>
        <w:tc>
          <w:tcPr>
            <w:tcW w:w="316" w:type="dxa"/>
            <w:tcBorders/>
            <w:vAlign w:val="center"/>
          </w:tcPr>
          <w:p>
            <w:pPr>
              <w:pStyle w:val="TableContents"/>
              <w:bidi w:val="0"/>
              <w:spacing w:before="0" w:after="1"/>
              <w:ind w:left="0" w:right="0" w:hanging="0"/>
              <w:jc w:val="center"/>
              <w:rPr/>
            </w:pPr>
            <w:r>
              <w:rPr/>
              <w:t> </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center"/>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346" w:type="dxa"/>
            <w:tcBorders/>
            <w:vAlign w:val="center"/>
          </w:tcPr>
          <w:p>
            <w:pPr>
              <w:pStyle w:val="TableContents"/>
              <w:bidi w:val="0"/>
              <w:spacing w:before="0" w:after="1"/>
              <w:ind w:left="0" w:right="0" w:hanging="0"/>
              <w:jc w:val="center"/>
              <w:rPr/>
            </w:pPr>
            <w:r>
              <w:rPr/>
              <w:t> </w:t>
            </w:r>
          </w:p>
        </w:tc>
        <w:tc>
          <w:tcPr>
            <w:tcW w:w="2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 </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Business(a)</w:t>
            </w:r>
          </w:p>
        </w:tc>
        <w:tc>
          <w:tcPr>
            <w:tcW w:w="346" w:type="dxa"/>
            <w:tcBorders/>
            <w:vAlign w:val="center"/>
          </w:tcPr>
          <w:p>
            <w:pPr>
              <w:pStyle w:val="TableContents"/>
              <w:bidi w:val="0"/>
              <w:spacing w:before="0" w:after="1"/>
              <w:ind w:left="0" w:right="0" w:hanging="0"/>
              <w:jc w:val="left"/>
              <w:rPr/>
            </w:pPr>
            <w:r>
              <w:rPr/>
              <w:t>  ​ ​ ​</w:t>
            </w:r>
          </w:p>
        </w:tc>
        <w:tc>
          <w:tcPr>
            <w:tcW w:w="2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Company(b)</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Business(a)</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Company(b)</w:t>
            </w:r>
          </w:p>
        </w:tc>
        <w:tc>
          <w:tcPr>
            <w:tcW w:w="316" w:type="dxa"/>
            <w:tcBorders/>
            <w:vAlign w:val="center"/>
          </w:tcPr>
          <w:p>
            <w:pPr>
              <w:pStyle w:val="TableContents"/>
              <w:bidi w:val="0"/>
              <w:spacing w:before="0" w:after="1"/>
              <w:ind w:left="0" w:right="0" w:hanging="0"/>
              <w:jc w:val="center"/>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Collection and Disposal</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Recycling Processing and Sales and Renewable Energy (c)</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 surcharge and mandated fees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average yield</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Volume (d)</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 Solutions (e)</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 revenue growth</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16"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Divestitures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by dividing the increase or decrease for the current year period by the prior year period’s related business revenues adjusted to exclude the impacts of divestitures for the current year period.</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by dividing the increase or decrease for the current year period by the prior year period’s total Company revenues adjusted to exclude the impacts of divestitures for the current year period.</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combined impact of commodity price variability in both our Recycling Processing and Sales and Renewable Energy segments, as well as changes in certain recycling fees charged by our collection and disposal operations.</w:t>
            </w:r>
          </w:p>
        </w:tc>
      </w:tr>
    </w:tbl>
    <w:tbl>
      <w:tblPr>
        <w:tblW w:w="5357" w:type="dxa"/>
        <w:jc w:val="left"/>
        <w:tblInd w:w="0" w:type="dxa"/>
        <w:tblLayout w:type="fixed"/>
        <w:tblCellMar>
          <w:top w:w="0" w:type="dxa"/>
          <w:left w:w="0" w:type="dxa"/>
          <w:bottom w:w="0" w:type="dxa"/>
          <w:right w:w="0" w:type="dxa"/>
        </w:tblCellMar>
      </w:tblPr>
      <w:tblGrid>
        <w:gridCol w:w="346"/>
        <w:gridCol w:w="50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activities from our Corporate and Other businesses.</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herein represent the change in our revenues from the combined impacts of yield and volume attributable to our Healthcare Solutions segment.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significant items affecting revenues during the three and six months ended June 30, 2026, as compared to the prior year periods, are summarized below:</w:t>
      </w:r>
    </w:p>
    <w:p>
      <w:pPr>
        <w:pStyle w:val="TextBody"/>
        <w:bidi w:val="0"/>
        <w:spacing w:before="0" w:after="240"/>
        <w:ind w:left="144" w:right="0" w:hanging="0"/>
        <w:jc w:val="left"/>
        <w:rPr>
          <w:rFonts w:ascii="Times New Roman;Times;serif" w:hAnsi="Times New Roman;Times;serif"/>
          <w:i/>
          <w:sz w:val="20"/>
        </w:rPr>
      </w:pPr>
      <w:r>
        <w:rPr>
          <w:rFonts w:ascii="Times New Roman;Times;serif" w:hAnsi="Times New Roman;Times;serif"/>
          <w:i/>
          <w:sz w:val="20"/>
        </w:rPr>
        <w:t>Average Yield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Collection and Disposal Average Yield</w:t>
      </w:r>
      <w:r>
        <w:rPr>
          <w:rFonts w:ascii="Times New Roman;Times;serif" w:hAnsi="Times New Roman;Times;serif"/>
          <w:sz w:val="20"/>
        </w:rPr>
        <w:t xml:space="preserve"> — This measure reflects the effect on our revenues from the pricing activities of 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details of our revenue growth from Collection and Disposal average yield are as follows (dollars in millions):</w:t>
      </w:r>
    </w:p>
    <w:tbl>
      <w:tblPr>
        <w:tblW w:w="8535" w:type="dxa"/>
        <w:jc w:val="left"/>
        <w:tblInd w:w="0" w:type="dxa"/>
        <w:tblLayout w:type="fixed"/>
        <w:tblCellMar>
          <w:top w:w="0" w:type="dxa"/>
          <w:left w:w="0" w:type="dxa"/>
          <w:bottom w:w="0" w:type="dxa"/>
          <w:right w:w="0" w:type="dxa"/>
        </w:tblCellMar>
      </w:tblPr>
      <w:tblGrid>
        <w:gridCol w:w="2566"/>
        <w:gridCol w:w="346"/>
        <w:gridCol w:w="255"/>
        <w:gridCol w:w="509"/>
        <w:gridCol w:w="709"/>
        <w:gridCol w:w="1000"/>
        <w:gridCol w:w="361"/>
        <w:gridCol w:w="255"/>
        <w:gridCol w:w="509"/>
        <w:gridCol w:w="709"/>
        <w:gridCol w:w="1000"/>
        <w:gridCol w:w="31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629410" cy="175260"/>
                      <wp:effectExtent l="0" t="0" r="0" b="0"/>
                      <wp:wrapNone/>
                      <wp:docPr id="289" name="Frame289"/>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61925" cy="175260"/>
                      <wp:effectExtent l="0" t="0" r="0" b="0"/>
                      <wp:wrapNone/>
                      <wp:docPr id="291" name="Frame29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23215" cy="175260"/>
                      <wp:effectExtent l="0" t="0" r="0" b="0"/>
                      <wp:wrapNone/>
                      <wp:docPr id="292" name="Frame292"/>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50215" cy="175260"/>
                      <wp:effectExtent l="0" t="0" r="0" b="0"/>
                      <wp:wrapNone/>
                      <wp:docPr id="293" name="Frame293"/>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35000" cy="175260"/>
                      <wp:effectExtent l="0" t="0" r="0" b="0"/>
                      <wp:wrapNone/>
                      <wp:docPr id="294" name="Frame294"/>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29235" cy="175260"/>
                      <wp:effectExtent l="0" t="0" r="0" b="0"/>
                      <wp:wrapNone/>
                      <wp:docPr id="295" name="Frame29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61925" cy="175260"/>
                      <wp:effectExtent l="0" t="0" r="0" b="0"/>
                      <wp:wrapNone/>
                      <wp:docPr id="296" name="Frame29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23215" cy="175260"/>
                      <wp:effectExtent l="0" t="0" r="0" b="0"/>
                      <wp:wrapNone/>
                      <wp:docPr id="297" name="Frame297"/>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50215" cy="175260"/>
                      <wp:effectExtent l="0" t="0" r="0" b="0"/>
                      <wp:wrapNone/>
                      <wp:docPr id="298" name="Frame298"/>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35000" cy="175260"/>
                      <wp:effectExtent l="0" t="0" r="0" b="0"/>
                      <wp:wrapNone/>
                      <wp:docPr id="299" name="Frame299"/>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0660" cy="175260"/>
                      <wp:effectExtent l="0" t="0" r="0" b="0"/>
                      <wp:wrapNone/>
                      <wp:docPr id="300" name="Frame3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7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Period-to-Period Change for the</w:t>
            </w:r>
          </w:p>
        </w:tc>
        <w:tc>
          <w:tcPr>
            <w:tcW w:w="361" w:type="dxa"/>
            <w:tcBorders/>
            <w:vAlign w:val="center"/>
          </w:tcPr>
          <w:p>
            <w:pPr>
              <w:pStyle w:val="TableContents"/>
              <w:bidi w:val="0"/>
              <w:spacing w:before="0" w:after="1"/>
              <w:ind w:left="0" w:right="0" w:hanging="0"/>
              <w:jc w:val="center"/>
              <w:rPr/>
            </w:pPr>
            <w:r>
              <w:rPr/>
              <w:t>​</w:t>
            </w:r>
          </w:p>
        </w:tc>
        <w:tc>
          <w:tcPr>
            <w:tcW w:w="247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Period-to-Period Change for the</w:t>
            </w:r>
          </w:p>
        </w:tc>
        <w:tc>
          <w:tcPr>
            <w:tcW w:w="316" w:type="dxa"/>
            <w:tcBorders/>
            <w:vAlign w:val="center"/>
          </w:tcPr>
          <w:p>
            <w:pPr>
              <w:pStyle w:val="TableContents"/>
              <w:bidi w:val="0"/>
              <w:spacing w:before="0" w:after="1"/>
              <w:ind w:left="0" w:right="0" w:hanging="0"/>
              <w:jc w:val="center"/>
              <w:rPr/>
            </w:pPr>
            <w:r>
              <w:rPr/>
              <w:t> </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7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center"/>
              <w:rPr/>
            </w:pPr>
            <w:r>
              <w:rPr/>
              <w:t>​</w:t>
            </w:r>
          </w:p>
        </w:tc>
        <w:tc>
          <w:tcPr>
            <w:tcW w:w="247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before="0" w:after="1"/>
              <w:ind w:left="0" w:right="0" w:hanging="0"/>
              <w:jc w:val="center"/>
              <w:rPr/>
            </w:pPr>
            <w:r>
              <w:rPr/>
              <w:t>​</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 vs. 2025</w:t>
            </w:r>
          </w:p>
        </w:tc>
        <w:tc>
          <w:tcPr>
            <w:tcW w:w="361" w:type="dxa"/>
            <w:tcBorders/>
            <w:vAlign w:val="center"/>
          </w:tcPr>
          <w:p>
            <w:pPr>
              <w:pStyle w:val="TableContents"/>
              <w:bidi w:val="0"/>
              <w:spacing w:before="0" w:after="1"/>
              <w:ind w:left="0" w:right="0" w:hanging="0"/>
              <w:jc w:val="center"/>
              <w:rPr/>
            </w:pPr>
            <w:r>
              <w:rPr/>
              <w:t> </w:t>
            </w:r>
          </w:p>
        </w:tc>
        <w:tc>
          <w:tcPr>
            <w:tcW w:w="24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 vs. 2025</w:t>
            </w:r>
          </w:p>
        </w:tc>
        <w:tc>
          <w:tcPr>
            <w:tcW w:w="316" w:type="dxa"/>
            <w:tcBorders/>
            <w:vAlign w:val="center"/>
          </w:tcPr>
          <w:p>
            <w:pPr>
              <w:pStyle w:val="TableContents"/>
              <w:bidi w:val="0"/>
              <w:spacing w:before="0" w:after="1"/>
              <w:ind w:left="0" w:right="0" w:hanging="0"/>
              <w:jc w:val="center"/>
              <w:rPr/>
            </w:pPr>
            <w:r>
              <w:rPr/>
              <w:t>​</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509" w:type="dxa"/>
            <w:tcBorders/>
            <w:vAlign w:val="center"/>
          </w:tcPr>
          <w:p>
            <w:pPr>
              <w:pStyle w:val="TableContents"/>
              <w:bidi w:val="0"/>
              <w:spacing w:before="0" w:after="1"/>
              <w:ind w:left="0" w:right="0" w:hanging="0"/>
              <w:jc w:val="center"/>
              <w:rPr/>
            </w:pPr>
            <w:r>
              <w:rPr/>
              <w:t>​</w:t>
            </w:r>
          </w:p>
        </w:tc>
        <w:tc>
          <w:tcPr>
            <w:tcW w:w="709" w:type="dxa"/>
            <w:tcBorders/>
            <w:vAlign w:val="center"/>
          </w:tcPr>
          <w:p>
            <w:pPr>
              <w:pStyle w:val="TableContents"/>
              <w:bidi w:val="0"/>
              <w:spacing w:before="0" w:after="1"/>
              <w:ind w:left="0" w:right="0" w:hanging="0"/>
              <w:jc w:val="center"/>
              <w:rPr/>
            </w:pPr>
            <w:r>
              <w:rPr/>
              <w:t>​</w:t>
            </w:r>
          </w:p>
        </w:tc>
        <w:tc>
          <w:tcPr>
            <w:tcW w:w="10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 % of</w:t>
            </w:r>
          </w:p>
        </w:tc>
        <w:tc>
          <w:tcPr>
            <w:tcW w:w="361" w:type="dxa"/>
            <w:tcBorders/>
            <w:vAlign w:val="center"/>
          </w:tcPr>
          <w:p>
            <w:pPr>
              <w:pStyle w:val="TableContents"/>
              <w:bidi w:val="0"/>
              <w:spacing w:before="0" w:after="1"/>
              <w:ind w:left="0" w:right="0" w:hanging="0"/>
              <w:jc w:val="center"/>
              <w:rPr/>
            </w:pPr>
            <w:r>
              <w:rPr/>
              <w:t> </w:t>
            </w:r>
          </w:p>
        </w:tc>
        <w:tc>
          <w:tcPr>
            <w:tcW w:w="255" w:type="dxa"/>
            <w:tcBorders/>
            <w:vAlign w:val="center"/>
          </w:tcPr>
          <w:p>
            <w:pPr>
              <w:pStyle w:val="TableContents"/>
              <w:bidi w:val="0"/>
              <w:spacing w:before="0" w:after="1"/>
              <w:ind w:left="0" w:right="0" w:hanging="0"/>
              <w:jc w:val="center"/>
              <w:rPr/>
            </w:pPr>
            <w:r>
              <w:rPr/>
              <w:t>​</w:t>
            </w:r>
          </w:p>
        </w:tc>
        <w:tc>
          <w:tcPr>
            <w:tcW w:w="509" w:type="dxa"/>
            <w:tcBorders/>
            <w:vAlign w:val="center"/>
          </w:tcPr>
          <w:p>
            <w:pPr>
              <w:pStyle w:val="TableContents"/>
              <w:bidi w:val="0"/>
              <w:spacing w:before="0" w:after="1"/>
              <w:ind w:left="0" w:right="0" w:hanging="0"/>
              <w:jc w:val="center"/>
              <w:rPr/>
            </w:pPr>
            <w:r>
              <w:rPr/>
              <w:t>​</w:t>
            </w:r>
          </w:p>
        </w:tc>
        <w:tc>
          <w:tcPr>
            <w:tcW w:w="709" w:type="dxa"/>
            <w:tcBorders/>
            <w:vAlign w:val="center"/>
          </w:tcPr>
          <w:p>
            <w:pPr>
              <w:pStyle w:val="TableContents"/>
              <w:bidi w:val="0"/>
              <w:spacing w:before="0" w:after="1"/>
              <w:ind w:left="0" w:right="0" w:hanging="0"/>
              <w:jc w:val="center"/>
              <w:rPr/>
            </w:pPr>
            <w:r>
              <w:rPr/>
              <w:t>​</w:t>
            </w:r>
          </w:p>
        </w:tc>
        <w:tc>
          <w:tcPr>
            <w:tcW w:w="10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 % of</w:t>
            </w:r>
          </w:p>
        </w:tc>
        <w:tc>
          <w:tcPr>
            <w:tcW w:w="316" w:type="dxa"/>
            <w:tcBorders/>
            <w:vAlign w:val="center"/>
          </w:tcPr>
          <w:p>
            <w:pPr>
              <w:pStyle w:val="TableContents"/>
              <w:bidi w:val="0"/>
              <w:spacing w:before="0" w:after="1"/>
              <w:ind w:left="0" w:right="0" w:hanging="0"/>
              <w:jc w:val="center"/>
              <w:rPr/>
            </w:pPr>
            <w:r>
              <w:rPr/>
              <w:t>​</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509" w:type="dxa"/>
            <w:tcBorders/>
            <w:vAlign w:val="center"/>
          </w:tcPr>
          <w:p>
            <w:pPr>
              <w:pStyle w:val="TableContents"/>
              <w:bidi w:val="0"/>
              <w:spacing w:before="0" w:after="1"/>
              <w:ind w:left="0" w:right="0" w:hanging="0"/>
              <w:jc w:val="center"/>
              <w:rPr/>
            </w:pPr>
            <w:r>
              <w:rPr/>
              <w:t>​</w:t>
            </w:r>
          </w:p>
        </w:tc>
        <w:tc>
          <w:tcPr>
            <w:tcW w:w="709" w:type="dxa"/>
            <w:tcBorders/>
            <w:vAlign w:val="center"/>
          </w:tcPr>
          <w:p>
            <w:pPr>
              <w:pStyle w:val="TableContents"/>
              <w:bidi w:val="0"/>
              <w:spacing w:before="0" w:after="1"/>
              <w:ind w:left="0" w:right="0" w:hanging="0"/>
              <w:jc w:val="center"/>
              <w:rPr/>
            </w:pPr>
            <w:r>
              <w:rPr/>
              <w:t>​</w:t>
            </w:r>
          </w:p>
        </w:tc>
        <w:tc>
          <w:tcPr>
            <w:tcW w:w="10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361" w:type="dxa"/>
            <w:tcBorders/>
            <w:vAlign w:val="center"/>
          </w:tcPr>
          <w:p>
            <w:pPr>
              <w:pStyle w:val="TableContents"/>
              <w:bidi w:val="0"/>
              <w:spacing w:before="0" w:after="1"/>
              <w:ind w:left="0" w:right="0" w:hanging="0"/>
              <w:jc w:val="center"/>
              <w:rPr/>
            </w:pPr>
            <w:r>
              <w:rPr/>
              <w:t> </w:t>
            </w:r>
          </w:p>
        </w:tc>
        <w:tc>
          <w:tcPr>
            <w:tcW w:w="255" w:type="dxa"/>
            <w:tcBorders/>
            <w:vAlign w:val="center"/>
          </w:tcPr>
          <w:p>
            <w:pPr>
              <w:pStyle w:val="TableContents"/>
              <w:bidi w:val="0"/>
              <w:spacing w:before="0" w:after="1"/>
              <w:ind w:left="0" w:right="0" w:hanging="0"/>
              <w:jc w:val="center"/>
              <w:rPr/>
            </w:pPr>
            <w:r>
              <w:rPr/>
              <w:t>​</w:t>
            </w:r>
          </w:p>
        </w:tc>
        <w:tc>
          <w:tcPr>
            <w:tcW w:w="509" w:type="dxa"/>
            <w:tcBorders/>
            <w:vAlign w:val="center"/>
          </w:tcPr>
          <w:p>
            <w:pPr>
              <w:pStyle w:val="TableContents"/>
              <w:bidi w:val="0"/>
              <w:spacing w:before="0" w:after="1"/>
              <w:ind w:left="0" w:right="0" w:hanging="0"/>
              <w:jc w:val="center"/>
              <w:rPr/>
            </w:pPr>
            <w:r>
              <w:rPr/>
              <w:t>​</w:t>
            </w:r>
          </w:p>
        </w:tc>
        <w:tc>
          <w:tcPr>
            <w:tcW w:w="709" w:type="dxa"/>
            <w:tcBorders/>
            <w:vAlign w:val="center"/>
          </w:tcPr>
          <w:p>
            <w:pPr>
              <w:pStyle w:val="TableContents"/>
              <w:bidi w:val="0"/>
              <w:spacing w:before="0" w:after="1"/>
              <w:ind w:left="0" w:right="0" w:hanging="0"/>
              <w:jc w:val="center"/>
              <w:rPr/>
            </w:pPr>
            <w:r>
              <w:rPr/>
              <w:t>​</w:t>
            </w:r>
          </w:p>
        </w:tc>
        <w:tc>
          <w:tcPr>
            <w:tcW w:w="10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316" w:type="dxa"/>
            <w:tcBorders/>
            <w:vAlign w:val="center"/>
          </w:tcPr>
          <w:p>
            <w:pPr>
              <w:pStyle w:val="TableContents"/>
              <w:bidi w:val="0"/>
              <w:spacing w:before="0" w:after="1"/>
              <w:ind w:left="0" w:right="0" w:hanging="0"/>
              <w:jc w:val="center"/>
              <w:rPr/>
            </w:pPr>
            <w:r>
              <w:rPr/>
              <w:t>​</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709" w:type="dxa"/>
            <w:tcBorders/>
            <w:vAlign w:val="center"/>
          </w:tcPr>
          <w:p>
            <w:pPr>
              <w:pStyle w:val="TableContents"/>
              <w:bidi w:val="0"/>
              <w:spacing w:before="0" w:after="1"/>
              <w:ind w:left="0" w:right="0" w:hanging="0"/>
              <w:jc w:val="center"/>
              <w:rPr/>
            </w:pPr>
            <w:r>
              <w:rPr/>
              <w:t>   ​ ​ ​  ​ ​</w:t>
            </w:r>
          </w:p>
        </w:tc>
        <w:tc>
          <w:tcPr>
            <w:tcW w:w="10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61" w:type="dxa"/>
            <w:tcBorders/>
            <w:vAlign w:val="center"/>
          </w:tcPr>
          <w:p>
            <w:pPr>
              <w:pStyle w:val="TableContents"/>
              <w:bidi w:val="0"/>
              <w:spacing w:before="0" w:after="1"/>
              <w:ind w:left="0" w:right="0" w:hanging="0"/>
              <w:jc w:val="center"/>
              <w:rPr/>
            </w:pPr>
            <w:r>
              <w:rPr/>
              <w:t>  ​ ​ ​</w:t>
            </w:r>
          </w:p>
        </w:tc>
        <w:tc>
          <w:tcPr>
            <w:tcW w:w="7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709" w:type="dxa"/>
            <w:tcBorders/>
            <w:vAlign w:val="center"/>
          </w:tcPr>
          <w:p>
            <w:pPr>
              <w:pStyle w:val="TableContents"/>
              <w:bidi w:val="0"/>
              <w:spacing w:before="0" w:after="1"/>
              <w:ind w:left="0" w:right="0" w:hanging="0"/>
              <w:jc w:val="center"/>
              <w:rPr/>
            </w:pPr>
            <w:r>
              <w:rPr/>
              <w:t>   ​ ​ ​  ​ ​</w:t>
            </w:r>
          </w:p>
        </w:tc>
        <w:tc>
          <w:tcPr>
            <w:tcW w:w="10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Business</w:t>
            </w:r>
          </w:p>
        </w:tc>
        <w:tc>
          <w:tcPr>
            <w:tcW w:w="316" w:type="dxa"/>
            <w:tcBorders/>
            <w:vAlign w:val="center"/>
          </w:tcPr>
          <w:p>
            <w:pPr>
              <w:pStyle w:val="TableContents"/>
              <w:bidi w:val="0"/>
              <w:spacing w:before="0" w:after="1"/>
              <w:ind w:left="0" w:right="0" w:hanging="0"/>
              <w:jc w:val="center"/>
              <w:rPr/>
            </w:pPr>
            <w:r>
              <w:rPr/>
              <w:t> </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709"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709"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5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709"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5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709"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vAlign w:val="center"/>
          </w:tcPr>
          <w:p>
            <w:pPr>
              <w:pStyle w:val="TableContents"/>
              <w:bidi w:val="0"/>
              <w:spacing w:before="0" w:after="1"/>
              <w:ind w:left="0" w:right="0" w:hanging="0"/>
              <w:jc w:val="left"/>
              <w:rPr/>
            </w:pPr>
            <w:r>
              <w:rPr/>
              <w:t>​</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709"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709"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collection</w:t>
            </w:r>
          </w:p>
        </w:tc>
        <w:tc>
          <w:tcPr>
            <w:tcW w:w="34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5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709"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5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709"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1"/>
              <w:ind w:left="0" w:right="0" w:hanging="0"/>
              <w:jc w:val="left"/>
              <w:rPr/>
            </w:pPr>
            <w:r>
              <w:rPr/>
              <w:t>​</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Landfill</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5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709"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5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709"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w:t>
            </w:r>
          </w:p>
        </w:tc>
        <w:tc>
          <w:tcPr>
            <w:tcW w:w="34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709"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709"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1"/>
              <w:ind w:left="0" w:right="0" w:hanging="0"/>
              <w:jc w:val="left"/>
              <w:rPr/>
            </w:pPr>
            <w:r>
              <w:rPr/>
              <w:t>​</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Collection and Disposal</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709"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709"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 xml:space="preserve">Our overall pricing efforts are focused on keeping pace with the increasing costs and capital intensity of our business. We continue to see yield growth in our landfill business primarily driven by municipal solid waste, which achieved average yield of 5.2% and 5.9% for the three and six months ended June 30, 2026, respectively. </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i/>
          <w:sz w:val="20"/>
        </w:rPr>
        <w:t>Recycling Processing and Sales and Renewable Energy</w:t>
      </w:r>
      <w:r>
        <w:rPr>
          <w:rFonts w:ascii="Times New Roman;Times;serif" w:hAnsi="Times New Roman;Times;serif"/>
          <w:sz w:val="20"/>
        </w:rPr>
        <w:t> — Recycling Processing and Sales revenues attributable to yield decreased $2 million and $30 million for the three and six months ended June 30, 2026, respectively, as compared to the prior year periods. Average market prices for single-stream recycled commodities declined by about 10% and 20% for the three and six months ended June 30, 2026, respectively, as compared to the prior year periods. Revenues attributable to yield in our Renewable Energy segment decreased $4 million and $13 million for the three and six months ended June 30, 2026, respectively, as compared to the prior year periods primarily due to lower RNG pricing, partially offset by higher electricity prices. While there may be short-term fluctuations in our commodity-driven businesses as prices change, we believe that our business models and processes appropriately mitigate the downside risk of changes in commodity prices.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Energy Surcharge and Mandated Fees — </w:t>
      </w:r>
      <w:r>
        <w:rPr>
          <w:rFonts w:ascii="Times New Roman;Times;serif" w:hAnsi="Times New Roman;Times;serif"/>
          <w:sz w:val="20"/>
        </w:rPr>
        <w:t xml:space="preserve">These fees increased $102 million and $122 million for the three and six months ended June 30, 2026, respectively, as compared to the prior year periods. The increase in energy surcharge revenues was primarily due to an increase of approximately 50% and 30% in market prices for diesel fuel for three and six months ended June 30, 2026, respectively, as compared to the prior year periods. </w:t>
      </w:r>
    </w:p>
    <w:p>
      <w:pPr>
        <w:pStyle w:val="TextBody"/>
        <w:bidi w:val="0"/>
        <w:spacing w:before="0" w:after="240"/>
        <w:ind w:left="144" w:right="0" w:hanging="0"/>
        <w:jc w:val="left"/>
        <w:rPr>
          <w:rFonts w:ascii="Times New Roman;Times;serif" w:hAnsi="Times New Roman;Times;serif"/>
          <w:i/>
          <w:sz w:val="20"/>
        </w:rPr>
      </w:pPr>
      <w:r>
        <w:rPr>
          <w:rFonts w:ascii="Times New Roman;Times;serif" w:hAnsi="Times New Roman;Times;serif"/>
          <w:i/>
          <w:sz w:val="20"/>
        </w:rPr>
        <w:t>Volume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revenues from volume (excluding volumes from acquisitions and divestitures, as well as Healthcare Solutions) decreased $22 million, or 0.3%, and $10 million, or 0.1%, for the three and six months ended June 30, 2026, respectively, as compared to the prior year periods.  Volume increased in both our Recycling Processing Sales and our Renewable Energy segments primarily due to contributions from recycling automation and growth projects and new renewable natural gas plants. These volume increases were largely offset by special waste volume declines compared to the prior year periods, which benefited from wildfire cleanup activities in the West Tier, and volume declines in our collection business primarily due to our intentional shedding of lower-margin residential business. Additionally, the six months ended June 30, 2026 was negatively impacted by harsh winter weather conditions in the first quarter of 2026. </w:t>
      </w:r>
    </w:p>
    <w:p>
      <w:pPr>
        <w:pStyle w:val="TextBody"/>
        <w:bidi w:val="0"/>
        <w:spacing w:before="0" w:after="240"/>
        <w:ind w:left="144" w:right="0" w:hanging="0"/>
        <w:jc w:val="left"/>
        <w:rPr>
          <w:rFonts w:ascii="Times New Roman;Times;serif" w:hAnsi="Times New Roman;Times;serif"/>
          <w:i/>
          <w:sz w:val="20"/>
        </w:rPr>
      </w:pPr>
      <w:r>
        <w:rPr>
          <w:rFonts w:ascii="Times New Roman;Times;serif" w:hAnsi="Times New Roman;Times;serif"/>
          <w:i/>
          <w:sz w:val="20"/>
        </w:rPr>
        <w:t>Healthcare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Revenues from our Healthcare Solutions segment for three and six months ended June 30, 2026, decreased $30 million, or 0.5%, and $42 million, or 0.3%, respectively, as compared to the prior year periods as contributions from pricing activities were more than offset by declines in volumes.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240"/>
        <w:ind w:left="144" w:right="0" w:hanging="0"/>
        <w:jc w:val="both"/>
        <w:rPr>
          <w:rFonts w:ascii="Times New Roman;Times;serif" w:hAnsi="Times New Roman;Times;serif"/>
          <w:sz w:val="20"/>
        </w:rPr>
      </w:pPr>
      <w:r>
        <w:rPr>
          <w:rFonts w:ascii="Times New Roman;Times;serif" w:hAnsi="Times New Roman;Times;serif"/>
          <w:i/>
          <w:sz w:val="20"/>
        </w:rPr>
        <w:t>Acquisitions and</w:t>
      </w:r>
      <w:r>
        <w:rPr>
          <w:rFonts w:ascii="Times New Roman;Times;serif" w:hAnsi="Times New Roman;Times;serif"/>
          <w:sz w:val="20"/>
        </w:rPr>
        <w:t xml:space="preserve"> </w:t>
      </w:r>
      <w:r>
        <w:rPr>
          <w:rFonts w:ascii="Times New Roman;Times;serif" w:hAnsi="Times New Roman;Times;serif"/>
          <w:i/>
          <w:sz w:val="20"/>
        </w:rPr>
        <w:t>Divestitures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Acquisitions and divestitures resulted in a net increase in revenues of $28 million, or 0.5%, and $59 million, or 0.5%, for the three and six months ended June 30, 2026, respectively, as compared to the prior year periods primarily due to our investments in tuck-in collection and disposal businesses.</w:t>
      </w:r>
    </w:p>
    <w:p>
      <w:pPr>
        <w:pStyle w:val="TextBody"/>
        <w:bidi w:val="0"/>
        <w:spacing w:before="0" w:after="240"/>
        <w:ind w:left="0" w:right="0" w:firstLine="180"/>
        <w:jc w:val="both"/>
        <w:rPr>
          <w:rFonts w:ascii="Times New Roman;Times;serif" w:hAnsi="Times New Roman;Times;serif"/>
          <w:b/>
          <w:i/>
          <w:sz w:val="20"/>
        </w:rPr>
      </w:pPr>
      <w:bookmarkStart w:id="1677" w:name="_e067eade_9a4a_43f0_8d27_0d5fc8f86066"/>
      <w:bookmarkEnd w:id="1677"/>
      <w:r>
        <w:rPr>
          <w:rFonts w:ascii="Times New Roman;Times;serif" w:hAnsi="Times New Roman;Times;serif"/>
          <w:b/>
          <w:i/>
          <w:sz w:val="20"/>
        </w:rPr>
        <w:t xml:space="preserve">Operating Expenses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major components of our operating expenses for the three and six months ended June 30 (in millions of dollars and as a percentage of revenues):</w:t>
      </w:r>
    </w:p>
    <w:tbl>
      <w:tblPr>
        <w:tblW w:w="10225" w:type="dxa"/>
        <w:jc w:val="left"/>
        <w:tblInd w:w="0" w:type="dxa"/>
        <w:tblLayout w:type="fixed"/>
        <w:tblCellMar>
          <w:top w:w="0" w:type="dxa"/>
          <w:left w:w="0" w:type="dxa"/>
          <w:bottom w:w="0" w:type="dxa"/>
          <w:right w:w="0" w:type="dxa"/>
        </w:tblCellMar>
      </w:tblPr>
      <w:tblGrid>
        <w:gridCol w:w="1261"/>
        <w:gridCol w:w="346"/>
        <w:gridCol w:w="211"/>
        <w:gridCol w:w="571"/>
        <w:gridCol w:w="346"/>
        <w:gridCol w:w="466"/>
        <w:gridCol w:w="271"/>
        <w:gridCol w:w="346"/>
        <w:gridCol w:w="211"/>
        <w:gridCol w:w="571"/>
        <w:gridCol w:w="346"/>
        <w:gridCol w:w="466"/>
        <w:gridCol w:w="346"/>
        <w:gridCol w:w="346"/>
        <w:gridCol w:w="211"/>
        <w:gridCol w:w="571"/>
        <w:gridCol w:w="346"/>
        <w:gridCol w:w="466"/>
        <w:gridCol w:w="271"/>
        <w:gridCol w:w="346"/>
        <w:gridCol w:w="211"/>
        <w:gridCol w:w="571"/>
        <w:gridCol w:w="346"/>
        <w:gridCol w:w="466"/>
        <w:gridCol w:w="31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800735" cy="175260"/>
                      <wp:effectExtent l="0" t="0" r="0" b="0"/>
                      <wp:wrapNone/>
                      <wp:docPr id="301" name="Frame30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62585" cy="175260"/>
                      <wp:effectExtent l="0" t="0" r="0" b="0"/>
                      <wp:wrapNone/>
                      <wp:docPr id="304" name="Frame3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95910" cy="175260"/>
                      <wp:effectExtent l="0" t="0" r="0" b="0"/>
                      <wp:wrapNone/>
                      <wp:docPr id="306" name="Frame30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72085" cy="175260"/>
                      <wp:effectExtent l="0" t="0" r="0" b="0"/>
                      <wp:wrapNone/>
                      <wp:docPr id="307" name="Frame30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62585" cy="175260"/>
                      <wp:effectExtent l="0" t="0" r="0" b="0"/>
                      <wp:wrapNone/>
                      <wp:docPr id="310" name="Frame3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95910" cy="175260"/>
                      <wp:effectExtent l="0" t="0" r="0" b="0"/>
                      <wp:wrapNone/>
                      <wp:docPr id="312" name="Frame31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62585" cy="175260"/>
                      <wp:effectExtent l="0" t="0" r="0" b="0"/>
                      <wp:wrapNone/>
                      <wp:docPr id="316" name="Frame3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95910" cy="175260"/>
                      <wp:effectExtent l="0" t="0" r="0" b="0"/>
                      <wp:wrapNone/>
                      <wp:docPr id="318" name="Frame31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72085" cy="175260"/>
                      <wp:effectExtent l="0" t="0" r="0" b="0"/>
                      <wp:wrapNone/>
                      <wp:docPr id="319" name="Frame3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2585" cy="175260"/>
                      <wp:effectExtent l="0" t="0" r="0" b="0"/>
                      <wp:wrapNone/>
                      <wp:docPr id="322" name="Frame3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95910" cy="175260"/>
                      <wp:effectExtent l="0" t="0" r="0" b="0"/>
                      <wp:wrapNone/>
                      <wp:docPr id="324" name="Frame32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0660" cy="175260"/>
                      <wp:effectExtent l="0" t="0" r="0" b="0"/>
                      <wp:wrapNone/>
                      <wp:docPr id="325" name="Frame32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0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0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and disposal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16"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and repairs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 and franchise fees and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Landfill operating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management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34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7,649</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7,415</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operating expenses for the three and six months ended June 30, 2026 increased as compared to the prior year periods, primarily due to (i) higher fuel prices; (ii) annual employee wage increases and higher employee medical costs and (iii) growth in our Renewable Energy segment. These increases were partially offset by (i) the Company’s ability to flex spending with lower collection and special waste volumes and (ii) continued operating efficiency and cost control initiatives.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items affecting operating expenses during the three and six months ended June 30, 2026, as compared to the prior year periods, are summarized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Labor and Related Benefits</w:t>
      </w:r>
      <w:r>
        <w:rPr>
          <w:rFonts w:ascii="Times New Roman;Times;serif" w:hAnsi="Times New Roman;Times;serif"/>
          <w:sz w:val="20"/>
        </w:rPr>
        <w:t xml:space="preserve"> —The increase in labor and related benefits costs was primarily due to annual employee wage increases and an increase in employee medical costs as compared with the prior year periods. These increases were partially offset by (i) the Company’s ability to flex spending with lower collection and special waste volumes; (ii) collection efficiency improvements and (iii) improved driver retention.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Transfer and Disposal Costs</w:t>
      </w:r>
      <w:r>
        <w:rPr>
          <w:rFonts w:ascii="Times New Roman;Times;serif" w:hAnsi="Times New Roman;Times;serif"/>
          <w:sz w:val="20"/>
        </w:rPr>
        <w:t xml:space="preserve"> — The decrease in transfer and disposal costs for the three and six months ended June 30, 2026, as compared to the prior year periods, was primarily due to lower residential volumes attributable to intentional shedding of lower-margin contracts. Lower transfer and disposal volumes caused by harsh winter weather during the first quarter of 2026 further contributed to the cost decrease for the six months ended June 30, 2026 as compared to the prior year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Maintenance and Repairs</w:t>
      </w:r>
      <w:r>
        <w:rPr>
          <w:rFonts w:ascii="Times New Roman;Times;serif" w:hAnsi="Times New Roman;Times;serif"/>
          <w:sz w:val="20"/>
        </w:rPr>
        <w:t xml:space="preserve"> — The increase in maintenance and repairs costs was primarily due to annual wage increases and increased maintenance technician headcount. The increase was partially offset by reduced demand for third-party services driven by fleet and operational optimization.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Subcontractor Costs</w:t>
      </w:r>
      <w:r>
        <w:rPr>
          <w:rFonts w:ascii="Times New Roman;Times;serif" w:hAnsi="Times New Roman;Times;serif"/>
          <w:sz w:val="20"/>
        </w:rPr>
        <w:t xml:space="preserve"> — The increase in subcontractor costs was primarily due to increases in market prices for diesel fuel as previously mentioned.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Cost of Goods Sold</w:t>
      </w:r>
      <w:r>
        <w:rPr>
          <w:rFonts w:ascii="Times New Roman;Times;serif" w:hAnsi="Times New Roman;Times;serif"/>
          <w:sz w:val="20"/>
        </w:rPr>
        <w:t xml:space="preserve"> — The decrease in cost of goods sold was primarily due to fluctuations in average market prices for single-stream recycling commodities discussed above. This decrease was partially offset by additional pipeline transportation costs attributable to new RNG facilities brought online during 2025 and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Fuel</w:t>
      </w:r>
      <w:r>
        <w:rPr>
          <w:rFonts w:ascii="Times New Roman;Times;serif" w:hAnsi="Times New Roman;Times;serif"/>
          <w:sz w:val="20"/>
        </w:rPr>
        <w:t xml:space="preserve"> — The increase in fuel costs was primarily due to the increases in average market prices for diesel fuel previously mentioned. This increase was partially offset by reduced fuel consumption due to declines in collection volumes.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Disposal and Franchise Fees and Taxes</w:t>
      </w:r>
      <w:r>
        <w:rPr>
          <w:rFonts w:ascii="Times New Roman;Times;serif" w:hAnsi="Times New Roman;Times;serif"/>
          <w:sz w:val="20"/>
        </w:rPr>
        <w:t xml:space="preserve"> — The increase in disposal and franchise fees and taxes was primarily due to an increase in landfill host fees and other fees and taxes paid to municipalities on our disposal volumes.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Landfill Operating Costs</w:t>
      </w:r>
      <w:r>
        <w:rPr>
          <w:rFonts w:ascii="Times New Roman;Times;serif" w:hAnsi="Times New Roman;Times;serif"/>
          <w:sz w:val="20"/>
        </w:rPr>
        <w:t xml:space="preserve"> — The increase in landfill operating costs was primarily due to higher leachate treatment costs </w:t>
      </w:r>
      <w:r>
        <w:rPr>
          <w:rFonts w:ascii="Times New Roman;Times;serif" w:hAnsi="Times New Roman;Times;serif"/>
          <w:sz w:val="20"/>
          <w:shd w:fill="FFFFFF" w:val="clear"/>
        </w:rPr>
        <w:t>in our West Tier</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Risk Management</w:t>
      </w:r>
      <w:r>
        <w:rPr>
          <w:rFonts w:ascii="Times New Roman;Times;serif" w:hAnsi="Times New Roman;Times;serif"/>
          <w:sz w:val="20"/>
        </w:rPr>
        <w:t xml:space="preserve"> — The increase in risk management costs was primarily due increased claims costs as compared to the prior year periods.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i/>
          <w:sz w:val="20"/>
        </w:rPr>
        <w:t>Other</w:t>
      </w:r>
      <w:r>
        <w:rPr>
          <w:rFonts w:ascii="Times New Roman;Times;serif" w:hAnsi="Times New Roman;Times;serif"/>
          <w:sz w:val="20"/>
        </w:rPr>
        <w:t> — The increase in other operating costs was primarily due to increased utility costs largely attributable to higher electricity prices and new RNG plants brought online during 2025 and 2026.</w:t>
      </w:r>
    </w:p>
    <w:p>
      <w:pPr>
        <w:pStyle w:val="TextBody"/>
        <w:bidi w:val="0"/>
        <w:spacing w:before="0" w:after="0"/>
        <w:ind w:left="0" w:right="0" w:firstLine="360"/>
        <w:jc w:val="both"/>
        <w:rPr/>
      </w:pPr>
      <w:r>
        <w:rPr/>
        <w:t>​</w:t>
      </w:r>
    </w:p>
    <w:p>
      <w:pPr>
        <w:pStyle w:val="TextBody"/>
        <w:bidi w:val="0"/>
        <w:spacing w:before="0" w:after="240"/>
        <w:ind w:left="144" w:right="0" w:hanging="0"/>
        <w:jc w:val="left"/>
        <w:rPr>
          <w:rFonts w:ascii="Times New Roman;Times;serif" w:hAnsi="Times New Roman;Times;serif"/>
          <w:b/>
          <w:i/>
          <w:sz w:val="20"/>
        </w:rPr>
      </w:pPr>
      <w:bookmarkStart w:id="1678" w:name="_b7fdcd95_651a_48d7_8137_df9f606da573"/>
      <w:bookmarkEnd w:id="1678"/>
      <w:r>
        <w:rPr>
          <w:rFonts w:ascii="Times New Roman;Times;serif" w:hAnsi="Times New Roman;Times;serif"/>
          <w:b/>
          <w:i/>
          <w:sz w:val="20"/>
        </w:rPr>
        <w:t>Selling, General and Administrative Expenses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major components of our selling, general and administrative expenses for the three and six months ended June 30 (in millions of dollars and as a percentage of revenues):</w:t>
      </w:r>
    </w:p>
    <w:tbl>
      <w:tblPr>
        <w:tblW w:w="10205" w:type="dxa"/>
        <w:jc w:val="left"/>
        <w:tblInd w:w="0" w:type="dxa"/>
        <w:tblLayout w:type="fixed"/>
        <w:tblCellMar>
          <w:top w:w="0" w:type="dxa"/>
          <w:left w:w="0" w:type="dxa"/>
          <w:bottom w:w="0" w:type="dxa"/>
          <w:right w:w="0" w:type="dxa"/>
        </w:tblCellMar>
      </w:tblPr>
      <w:tblGrid>
        <w:gridCol w:w="1616"/>
        <w:gridCol w:w="346"/>
        <w:gridCol w:w="211"/>
        <w:gridCol w:w="421"/>
        <w:gridCol w:w="346"/>
        <w:gridCol w:w="466"/>
        <w:gridCol w:w="271"/>
        <w:gridCol w:w="346"/>
        <w:gridCol w:w="211"/>
        <w:gridCol w:w="421"/>
        <w:gridCol w:w="346"/>
        <w:gridCol w:w="466"/>
        <w:gridCol w:w="271"/>
        <w:gridCol w:w="346"/>
        <w:gridCol w:w="211"/>
        <w:gridCol w:w="571"/>
        <w:gridCol w:w="346"/>
        <w:gridCol w:w="466"/>
        <w:gridCol w:w="271"/>
        <w:gridCol w:w="346"/>
        <w:gridCol w:w="211"/>
        <w:gridCol w:w="571"/>
        <w:gridCol w:w="346"/>
        <w:gridCol w:w="466"/>
        <w:gridCol w:w="316"/>
      </w:tblGrid>
      <w:tr>
        <w:trPr/>
        <w:tc>
          <w:tcPr>
            <w:tcW w:w="1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026160" cy="175260"/>
                      <wp:effectExtent l="0" t="0" r="0" b="0"/>
                      <wp:wrapNone/>
                      <wp:docPr id="326" name="Frame326"/>
                      <a:graphic xmlns:a="http://schemas.openxmlformats.org/drawingml/2006/main">
                        <a:graphicData uri="http://schemas.microsoft.com/office/word/2010/wordprocessingShape">
                          <wps:wsp>
                            <wps:cNvSpPr txBox="1"/>
                            <wps:spPr>
                              <a:xfrm>
                                <a:off x="0" y="0"/>
                                <a:ext cx="102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67335" cy="175260"/>
                      <wp:effectExtent l="0" t="0" r="0" b="0"/>
                      <wp:wrapNone/>
                      <wp:docPr id="329" name="Frame32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95910" cy="175260"/>
                      <wp:effectExtent l="0" t="0" r="0" b="0"/>
                      <wp:wrapNone/>
                      <wp:docPr id="331" name="Frame33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72085" cy="175260"/>
                      <wp:effectExtent l="0" t="0" r="0" b="0"/>
                      <wp:wrapNone/>
                      <wp:docPr id="332" name="Frame33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67335" cy="175260"/>
                      <wp:effectExtent l="0" t="0" r="0" b="0"/>
                      <wp:wrapNone/>
                      <wp:docPr id="335" name="Frame33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95910" cy="175260"/>
                      <wp:effectExtent l="0" t="0" r="0" b="0"/>
                      <wp:wrapNone/>
                      <wp:docPr id="337" name="Frame33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72085" cy="175260"/>
                      <wp:effectExtent l="0" t="0" r="0" b="0"/>
                      <wp:wrapNone/>
                      <wp:docPr id="338" name="Frame33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62585" cy="175260"/>
                      <wp:effectExtent l="0" t="0" r="0" b="0"/>
                      <wp:wrapNone/>
                      <wp:docPr id="341" name="Frame3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95910" cy="175260"/>
                      <wp:effectExtent l="0" t="0" r="0" b="0"/>
                      <wp:wrapNone/>
                      <wp:docPr id="343" name="Frame34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72085" cy="175260"/>
                      <wp:effectExtent l="0" t="0" r="0" b="0"/>
                      <wp:wrapNone/>
                      <wp:docPr id="344" name="Frame34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362585" cy="175260"/>
                      <wp:effectExtent l="0" t="0" r="0" b="0"/>
                      <wp:wrapNone/>
                      <wp:docPr id="347" name="Frame3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95910" cy="175260"/>
                      <wp:effectExtent l="0" t="0" r="0" b="0"/>
                      <wp:wrapNone/>
                      <wp:docPr id="349" name="Frame34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0660" cy="175260"/>
                      <wp:effectExtent l="0" t="0" r="0" b="0"/>
                      <wp:wrapNone/>
                      <wp:docPr id="350" name="Frame3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0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0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before="0" w:after="0"/>
              <w:ind w:left="0" w:right="0" w:hanging="0"/>
              <w:jc w:val="left"/>
              <w:rPr/>
            </w:pPr>
            <w:r>
              <w:rPr/>
              <w:t>​</w:t>
            </w:r>
          </w:p>
        </w:tc>
      </w:tr>
      <w:tr>
        <w:trPr/>
        <w:tc>
          <w:tcPr>
            <w:tcW w:w="1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0"/>
              <w:ind w:left="0" w:right="0" w:hanging="0"/>
              <w:jc w:val="left"/>
              <w:rPr/>
            </w:pPr>
            <w:r>
              <w:rPr/>
              <w:t>​</w:t>
            </w:r>
          </w:p>
        </w:tc>
      </w:tr>
      <w:tr>
        <w:trPr/>
        <w:tc>
          <w:tcPr>
            <w:tcW w:w="1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w:t>
            </w:r>
          </w:p>
        </w:tc>
      </w:tr>
      <w:tr>
        <w:trPr/>
        <w:tc>
          <w:tcPr>
            <w:tcW w:w="1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0"/>
              <w:ind w:left="0" w:right="0" w:hanging="0"/>
              <w:jc w:val="left"/>
              <w:rPr/>
            </w:pPr>
            <w:r>
              <w:rPr/>
              <w:t>​</w:t>
            </w:r>
          </w:p>
        </w:tc>
      </w:tr>
      <w:tr>
        <w:trPr/>
        <w:tc>
          <w:tcPr>
            <w:tcW w:w="1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bad debts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before="0" w:after="0"/>
              <w:ind w:left="0" w:right="0" w:hanging="0"/>
              <w:jc w:val="left"/>
              <w:rPr/>
            </w:pPr>
            <w:r>
              <w:rPr/>
              <w:t>​</w:t>
            </w:r>
          </w:p>
        </w:tc>
      </w:tr>
      <w:tr>
        <w:trPr/>
        <w:tc>
          <w:tcPr>
            <w:tcW w:w="1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decreased for the three months ended June 30, 2026, as compared to the prior year period, primarily due to decreases in professional fees and lower labor costs resulting from synergies achieved from our acquisitions, particularly Stericycle, partially offset by higher bad debt expenses. Selling, general and administrative expenses increased for the six months ended June 30, 2026, as compared to the prior year period, primarily due to increases in bad debt expenses and technology costs, partially offset by lower professional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items affecting selling, general and administrative expenses during the three and six months ended June 30, 2026, as compared to the prior year periods, are summarized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Labor and Related Benefits — </w:t>
      </w:r>
      <w:r>
        <w:rPr>
          <w:rFonts w:ascii="Times New Roman;Times;serif" w:hAnsi="Times New Roman;Times;serif"/>
          <w:sz w:val="20"/>
        </w:rPr>
        <w:t>The decrease in labor and related benefits costs for the three months ended June 30, 2026, as compared to the prior year period, was primarily due to a reduction in workforce as we achieved synergies from our acquisitions, particularly Stericycle, and lower annual incentive compensation costs. These decreases were partially offset by annual employee wage increases. The increase in labor and related benefits costs for the six months ended June 30, 2026, as compared to the prior year period, was primarily due to annual employee wage increases and higher long-term incentive compensation costs. These increases were partially offset by a reduction in workforce as we achieved synergies from our acquisitions, particularly Stericycle.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i/>
          <w:sz w:val="20"/>
        </w:rPr>
        <w:t>Professional Fees</w:t>
      </w:r>
      <w:r>
        <w:rPr>
          <w:rFonts w:ascii="Times New Roman;Times;serif" w:hAnsi="Times New Roman;Times;serif"/>
          <w:sz w:val="20"/>
        </w:rPr>
        <w:t> — The decrease in professional fees was primarily due to higher consulting costs incurred in the prior year periods to support the integration of Stericycle.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i/>
          <w:sz w:val="20"/>
        </w:rPr>
        <w:t xml:space="preserve">Provision for Bad Debts </w:t>
      </w:r>
      <w:r>
        <w:rPr>
          <w:rFonts w:ascii="Times New Roman;Times;serif" w:hAnsi="Times New Roman;Times;serif"/>
          <w:sz w:val="20"/>
        </w:rPr>
        <w:t>— The increase in provision for bad debts in both the three and six months ended June 30, 2026 was primarily due to increased receivable balances in our Collection and Disposal business driven by increased revenues. The increase for the six months ended June 30, 2026 as compared to the prior year period was also driven by favorable adjustments to the provision for bad debts that benefited the first quarter of 2025.</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i/>
          <w:sz w:val="20"/>
        </w:rPr>
        <w:t>Other —</w:t>
      </w:r>
      <w:r>
        <w:rPr>
          <w:rFonts w:ascii="Times New Roman;Times;serif" w:hAnsi="Times New Roman;Times;serif"/>
          <w:sz w:val="20"/>
        </w:rPr>
        <w:t> The decrease in other expenses for the three months ended June 30, 2026, as compared to the prior year period, was primarily due to lower litigation expenses. The increase in other expenses for the six months ended June 30, 2026, as compared to the prior year period, was primarily due to increased technology costs to support strategic initiatives.</w:t>
      </w:r>
    </w:p>
    <w:p>
      <w:pPr>
        <w:pStyle w:val="TextBody"/>
        <w:bidi w:val="0"/>
        <w:spacing w:before="0" w:after="0"/>
        <w:ind w:left="0" w:right="0" w:firstLine="360"/>
        <w:jc w:val="left"/>
        <w:rPr/>
      </w:pPr>
      <w:r>
        <w:rPr/>
        <w:t>​</w:t>
      </w:r>
    </w:p>
    <w:p>
      <w:pPr>
        <w:pStyle w:val="TextBody"/>
        <w:bidi w:val="0"/>
        <w:spacing w:before="0" w:after="240"/>
        <w:ind w:left="144" w:right="0" w:hanging="0"/>
        <w:jc w:val="left"/>
        <w:rPr>
          <w:rFonts w:ascii="Times New Roman;Times;serif" w:hAnsi="Times New Roman;Times;serif"/>
          <w:b/>
          <w:i/>
          <w:sz w:val="20"/>
        </w:rPr>
      </w:pPr>
      <w:bookmarkStart w:id="1679" w:name="_179aa2a1_72a2_4840_9c12_e4b9f0965581"/>
      <w:bookmarkEnd w:id="1679"/>
      <w:r>
        <w:rPr>
          <w:rFonts w:ascii="Times New Roman;Times;serif" w:hAnsi="Times New Roman;Times;serif"/>
          <w:b/>
          <w:i/>
          <w:sz w:val="20"/>
        </w:rPr>
        <w:t>Depreciation, Depletion, Amortization and Accretion Expenses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components of our depreciation, depletion, amortization and accretion expenses for the three and six months ended June 30 (in millions of dollars and as a percentage of revenues):</w:t>
      </w:r>
    </w:p>
    <w:tbl>
      <w:tblPr>
        <w:tblW w:w="10205" w:type="dxa"/>
        <w:jc w:val="left"/>
        <w:tblInd w:w="0" w:type="dxa"/>
        <w:tblLayout w:type="fixed"/>
        <w:tblCellMar>
          <w:top w:w="0" w:type="dxa"/>
          <w:left w:w="0" w:type="dxa"/>
          <w:bottom w:w="0" w:type="dxa"/>
          <w:right w:w="0" w:type="dxa"/>
        </w:tblCellMar>
      </w:tblPr>
      <w:tblGrid>
        <w:gridCol w:w="1357"/>
        <w:gridCol w:w="346"/>
        <w:gridCol w:w="211"/>
        <w:gridCol w:w="208"/>
        <w:gridCol w:w="213"/>
        <w:gridCol w:w="346"/>
        <w:gridCol w:w="466"/>
        <w:gridCol w:w="109"/>
        <w:gridCol w:w="271"/>
        <w:gridCol w:w="346"/>
        <w:gridCol w:w="211"/>
        <w:gridCol w:w="421"/>
        <w:gridCol w:w="346"/>
        <w:gridCol w:w="466"/>
        <w:gridCol w:w="346"/>
        <w:gridCol w:w="346"/>
        <w:gridCol w:w="211"/>
        <w:gridCol w:w="571"/>
        <w:gridCol w:w="346"/>
        <w:gridCol w:w="466"/>
        <w:gridCol w:w="271"/>
        <w:gridCol w:w="346"/>
        <w:gridCol w:w="211"/>
        <w:gridCol w:w="571"/>
        <w:gridCol w:w="346"/>
        <w:gridCol w:w="466"/>
        <w:gridCol w:w="391"/>
      </w:tblGrid>
      <w:tr>
        <w:trPr/>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861695" cy="175260"/>
                      <wp:effectExtent l="0" t="0" r="0" b="0"/>
                      <wp:wrapNone/>
                      <wp:docPr id="351" name="Frame351"/>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67335" cy="175260"/>
                      <wp:effectExtent l="0" t="0" r="0" b="0"/>
                      <wp:wrapNone/>
                      <wp:docPr id="354" name="Frame35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95910" cy="175260"/>
                      <wp:effectExtent l="0" t="0" r="0" b="0"/>
                      <wp:wrapNone/>
                      <wp:docPr id="356" name="Frame3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72085" cy="175260"/>
                      <wp:effectExtent l="0" t="0" r="0" b="0"/>
                      <wp:wrapNone/>
                      <wp:docPr id="357" name="Frame35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67335" cy="175260"/>
                      <wp:effectExtent l="0" t="0" r="0" b="0"/>
                      <wp:wrapNone/>
                      <wp:docPr id="360" name="Frame36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95910" cy="175260"/>
                      <wp:effectExtent l="0" t="0" r="0" b="0"/>
                      <wp:wrapNone/>
                      <wp:docPr id="362" name="Frame36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62585" cy="175260"/>
                      <wp:effectExtent l="0" t="0" r="0" b="0"/>
                      <wp:wrapNone/>
                      <wp:docPr id="366" name="Frame3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95910" cy="175260"/>
                      <wp:effectExtent l="0" t="0" r="0" b="0"/>
                      <wp:wrapNone/>
                      <wp:docPr id="368" name="Frame36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72085" cy="175260"/>
                      <wp:effectExtent l="0" t="0" r="0" b="0"/>
                      <wp:wrapNone/>
                      <wp:docPr id="369" name="Frame36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62585" cy="175260"/>
                      <wp:effectExtent l="0" t="0" r="0" b="0"/>
                      <wp:wrapNone/>
                      <wp:docPr id="372" name="Frame3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95910" cy="175260"/>
                      <wp:effectExtent l="0" t="0" r="0" b="0"/>
                      <wp:wrapNone/>
                      <wp:docPr id="374" name="Frame37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48285" cy="175260"/>
                      <wp:effectExtent l="0" t="0" r="0" b="0"/>
                      <wp:wrapNone/>
                      <wp:docPr id="375" name="Frame37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9" w:type="dxa"/>
            <w:gridSpan w:val="2"/>
            <w:tcBorders/>
            <w:vAlign w:val="center"/>
          </w:tcPr>
          <w:p>
            <w:pPr>
              <w:pStyle w:val="TableContents"/>
              <w:bidi w:val="0"/>
              <w:spacing w:before="0" w:after="0"/>
              <w:ind w:left="0" w:right="0" w:hanging="0"/>
              <w:jc w:val="center"/>
              <w:rPr/>
            </w:pPr>
            <w:r>
              <w:rPr/>
              <w:t>​</w:t>
            </w:r>
          </w:p>
        </w:tc>
        <w:tc>
          <w:tcPr>
            <w:tcW w:w="319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0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left"/>
              <w:rPr/>
            </w:pPr>
            <w:r>
              <w:rPr/>
              <w:t>​</w:t>
            </w:r>
          </w:p>
        </w:tc>
      </w:tr>
      <w:tr>
        <w:trPr/>
        <w:tc>
          <w:tcPr>
            <w:tcW w:w="13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19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13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1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tangible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46" w:type="dxa"/>
            <w:tcBorders/>
            <w:shd w:fill="CCEEFF" w:val="clear"/>
            <w:vAlign w:val="center"/>
          </w:tcPr>
          <w:p>
            <w:pPr>
              <w:pStyle w:val="TableContents"/>
              <w:bidi w:val="0"/>
              <w:spacing w:before="0" w:after="0"/>
              <w:ind w:left="0" w:right="0" w:hanging="0"/>
              <w:jc w:val="center"/>
              <w:rPr/>
            </w:pPr>
            <w:r>
              <w:rPr/>
              <w:t>  ​ ​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Depletion of landfill airspace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91" w:type="dxa"/>
            <w:tcBorders/>
            <w:vAlign w:val="center"/>
          </w:tcPr>
          <w:p>
            <w:pPr>
              <w:pStyle w:val="TableContents"/>
              <w:bidi w:val="0"/>
              <w:spacing w:before="0" w:after="0"/>
              <w:ind w:left="0" w:right="0" w:hanging="0"/>
              <w:jc w:val="left"/>
              <w:rPr/>
            </w:pPr>
            <w:r>
              <w:rPr/>
              <w:t>​</w:t>
            </w:r>
          </w:p>
        </w:tc>
      </w:tr>
      <w:tr>
        <w:trPr/>
        <w:tc>
          <w:tcPr>
            <w:tcW w:w="1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accretion on landfill and environmental remediation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91" w:type="dxa"/>
            <w:tcBorders/>
            <w:vAlign w:val="center"/>
          </w:tcPr>
          <w:p>
            <w:pPr>
              <w:pStyle w:val="TableContents"/>
              <w:bidi w:val="0"/>
              <w:spacing w:before="0" w:after="0"/>
              <w:ind w:left="0" w:right="0" w:hanging="0"/>
              <w:jc w:val="left"/>
              <w:rPr/>
            </w:pPr>
            <w:r>
              <w:rPr/>
              <w:t>​</w:t>
            </w:r>
          </w:p>
        </w:tc>
      </w:tr>
      <w:tr>
        <w:trPr/>
        <w:tc>
          <w:tcPr>
            <w:tcW w:w="13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increase in depreciation of tangible property and equipment for the three and six months ended June 30, 2026, as compared to the prior year periods, was primarily due to investments in capital assets placed in service during 2025 and 2026, particularly within our sustainability businesses. The increase in depletion of landfill airspace for the three and six months ended June 30, 2026, as compared to the prior year periods, was primarily due to changes in rates from revisions in landfill estimates within our East Tier. The decrease in amortization of intangible assets for the three and six months ended June 30, 2026, as compared to the prior year periods, was primarily due to the conclusion of amortization related to customer relationships and other intangibles acquired as a result of acquisitions during prior years within our East Tier. The increase in interest accretion on landfill and environmental remediation liabilities for the three and six months ended June 30, 2026, as compared to the prior year periods, was primarily due to revisions in landfill estimates.</w:t>
      </w:r>
    </w:p>
    <w:p>
      <w:pPr>
        <w:pStyle w:val="TextBody"/>
        <w:bidi w:val="0"/>
        <w:spacing w:before="0" w:after="240"/>
        <w:ind w:left="0" w:right="0" w:firstLine="180"/>
        <w:jc w:val="both"/>
        <w:rPr>
          <w:rFonts w:ascii="Times New Roman;Times;serif" w:hAnsi="Times New Roman;Times;serif"/>
          <w:b/>
          <w:i/>
          <w:sz w:val="20"/>
        </w:rPr>
      </w:pPr>
      <w:bookmarkStart w:id="1680" w:name="_c8f913dd_6c66_4402_b4a2_ba7c292e7ea2"/>
      <w:bookmarkEnd w:id="1680"/>
      <w:r>
        <w:rPr>
          <w:rFonts w:ascii="Times New Roman;Times;serif" w:hAnsi="Times New Roman;Times;serif"/>
          <w:b/>
          <w:i/>
          <w:sz w:val="20"/>
        </w:rPr>
        <w:t>Restructuring</w:t>
      </w:r>
    </w:p>
    <w:p>
      <w:pPr>
        <w:pStyle w:val="TextBody"/>
        <w:bidi w:val="0"/>
        <w:spacing w:before="0" w:after="240"/>
        <w:ind w:left="0" w:right="0" w:firstLine="180"/>
        <w:jc w:val="both"/>
        <w:rPr>
          <w:rFonts w:ascii="Times New Roman;Times;serif" w:hAnsi="Times New Roman;Times;serif"/>
          <w:sz w:val="20"/>
        </w:rPr>
      </w:pPr>
      <w:r>
        <w:rPr>
          <w:rFonts w:ascii="Times New Roman;Times;serif" w:hAnsi="Times New Roman;Times;serif"/>
          <w:sz w:val="20"/>
        </w:rPr>
        <w:t>Restructuring charges for the three and six months ended June 30, 2026 were not material. Restructuring charges for the three and six months ended June 30, 2025 were primarily due to employee costs related to integration of our November 2024 acquisition of Stericycle.</w:t>
      </w:r>
    </w:p>
    <w:p>
      <w:pPr>
        <w:pStyle w:val="TextBody"/>
        <w:bidi w:val="0"/>
        <w:spacing w:before="0" w:after="240"/>
        <w:ind w:left="0" w:right="0" w:firstLine="180"/>
        <w:jc w:val="both"/>
        <w:rPr>
          <w:rFonts w:ascii="Times New Roman;Times;serif" w:hAnsi="Times New Roman;Times;serif"/>
          <w:b/>
          <w:i/>
          <w:sz w:val="20"/>
        </w:rPr>
      </w:pPr>
      <w:bookmarkStart w:id="1681" w:name="_df9141d6_20e8_4427_b33e_cde32aa84e97"/>
      <w:bookmarkEnd w:id="1681"/>
      <w:r>
        <w:rPr>
          <w:rFonts w:ascii="Times New Roman;Times;serif" w:hAnsi="Times New Roman;Times;serif"/>
          <w:b/>
          <w:i/>
          <w:sz w:val="20"/>
        </w:rPr>
        <w:t xml:space="preserve">(Gain) Loss from Divestitures, Asset Impairments and Unusual Items, Net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(Gain) loss from divestitures, asset impairments and unusual items, net for the three months ended June 30, 2026 was not material. (Gain) loss from divestitures, asset impairments and unusual items, net for the six months ended June 30, 2026 primarily relates to a $34 million gain on a business divestiture in our West Tier, offset by immaterial charges related to legal and remediation liabilities.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(Gain) loss from divestitures, asset impairments and unusual items, net for the three and six months ended June 30, 2025, primarily relates to a $16 million goodwill impairment charge to a business engaged in oil recovery and sludge processing services. This charge is reflected in Other Ancillary within our Collection and Disposal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bidi w:val="0"/>
        <w:spacing w:before="0" w:after="240"/>
        <w:ind w:left="144" w:right="0" w:hanging="0"/>
        <w:jc w:val="left"/>
        <w:rPr>
          <w:caps w:val="false"/>
          <w:smallCaps w:val="false"/>
        </w:rPr>
      </w:pPr>
      <w:r>
        <w:rPr>
          <w:caps w:val="false"/>
          <w:smallCaps w:val="false"/>
        </w:rPr>
        <w:t>​</w:t>
      </w:r>
    </w:p>
    <w:p>
      <w:pPr>
        <w:pStyle w:val="TextBody"/>
        <w:bidi w:val="0"/>
        <w:spacing w:before="0" w:after="240"/>
        <w:ind w:left="144" w:right="0" w:hanging="0"/>
        <w:jc w:val="left"/>
        <w:rPr>
          <w:rFonts w:ascii="Times New Roman;Times;serif" w:hAnsi="Times New Roman;Times;serif"/>
          <w:b/>
          <w:i/>
          <w:sz w:val="20"/>
        </w:rPr>
      </w:pPr>
      <w:bookmarkStart w:id="1682" w:name="_0ff3d85d_a2b6_487c_ae13_e265f2fe12a6"/>
      <w:bookmarkEnd w:id="1682"/>
      <w:r>
        <w:rPr>
          <w:rFonts w:ascii="Times New Roman;Times;serif" w:hAnsi="Times New Roman;Times;serif"/>
          <w:b/>
          <w:i/>
          <w:sz w:val="20"/>
        </w:rPr>
        <w:t>Income from Operations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summarizes income from operations for our reportable segments for the three and six months ended June 30 (dollars in millions):</w:t>
      </w:r>
    </w:p>
    <w:tbl>
      <w:tblPr>
        <w:tblW w:w="10205" w:type="dxa"/>
        <w:jc w:val="left"/>
        <w:tblInd w:w="0" w:type="dxa"/>
        <w:tblLayout w:type="fixed"/>
        <w:tblCellMar>
          <w:top w:w="0" w:type="dxa"/>
          <w:left w:w="0" w:type="dxa"/>
          <w:bottom w:w="0" w:type="dxa"/>
          <w:right w:w="0" w:type="dxa"/>
        </w:tblCellMar>
      </w:tblPr>
      <w:tblGrid>
        <w:gridCol w:w="1897"/>
        <w:gridCol w:w="286"/>
        <w:gridCol w:w="211"/>
        <w:gridCol w:w="571"/>
        <w:gridCol w:w="346"/>
        <w:gridCol w:w="211"/>
        <w:gridCol w:w="571"/>
        <w:gridCol w:w="346"/>
        <w:gridCol w:w="211"/>
        <w:gridCol w:w="428"/>
        <w:gridCol w:w="146"/>
        <w:gridCol w:w="571"/>
        <w:gridCol w:w="496"/>
        <w:gridCol w:w="211"/>
        <w:gridCol w:w="571"/>
        <w:gridCol w:w="346"/>
        <w:gridCol w:w="211"/>
        <w:gridCol w:w="571"/>
        <w:gridCol w:w="271"/>
        <w:gridCol w:w="226"/>
        <w:gridCol w:w="452"/>
        <w:gridCol w:w="156"/>
        <w:gridCol w:w="506"/>
        <w:gridCol w:w="393"/>
      </w:tblGrid>
      <w:tr>
        <w:trPr/>
        <w:tc>
          <w:tcPr>
            <w:tcW w:w="1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204595" cy="175260"/>
                      <wp:effectExtent l="0" t="0" r="0" b="0"/>
                      <wp:wrapNone/>
                      <wp:docPr id="376" name="Frame376"/>
                      <a:graphic xmlns:a="http://schemas.openxmlformats.org/drawingml/2006/main">
                        <a:graphicData uri="http://schemas.microsoft.com/office/word/2010/wordprocessingShape">
                          <wps:wsp>
                            <wps:cNvSpPr txBox="1"/>
                            <wps:spPr>
                              <a:xfrm>
                                <a:off x="0" y="0"/>
                                <a:ext cx="1204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81610" cy="175260"/>
                      <wp:effectExtent l="0" t="0" r="0" b="0"/>
                      <wp:wrapNone/>
                      <wp:docPr id="377" name="Frame3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62585" cy="175260"/>
                      <wp:effectExtent l="0" t="0" r="0" b="0"/>
                      <wp:wrapNone/>
                      <wp:docPr id="379" name="Frame3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62585" cy="175260"/>
                      <wp:effectExtent l="0" t="0" r="0" b="0"/>
                      <wp:wrapNone/>
                      <wp:docPr id="382" name="Frame3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71780" cy="175260"/>
                      <wp:effectExtent l="0" t="0" r="0" b="0"/>
                      <wp:wrapNone/>
                      <wp:docPr id="385" name="Frame385"/>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92710" cy="175260"/>
                      <wp:effectExtent l="0" t="0" r="0" b="0"/>
                      <wp:wrapNone/>
                      <wp:docPr id="386" name="Frame3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62585" cy="175260"/>
                      <wp:effectExtent l="0" t="0" r="0" b="0"/>
                      <wp:wrapNone/>
                      <wp:docPr id="387" name="Frame3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14960" cy="175260"/>
                      <wp:effectExtent l="0" t="0" r="0" b="0"/>
                      <wp:wrapNone/>
                      <wp:docPr id="388" name="Frame38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62585" cy="175260"/>
                      <wp:effectExtent l="0" t="0" r="0" b="0"/>
                      <wp:wrapNone/>
                      <wp:docPr id="390" name="Frame3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62585" cy="175260"/>
                      <wp:effectExtent l="0" t="0" r="0" b="0"/>
                      <wp:wrapNone/>
                      <wp:docPr id="393" name="Frame3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72085" cy="175260"/>
                      <wp:effectExtent l="0" t="0" r="0" b="0"/>
                      <wp:wrapNone/>
                      <wp:docPr id="394" name="Frame39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3510" cy="175260"/>
                      <wp:effectExtent l="0" t="0" r="0" b="0"/>
                      <wp:wrapNone/>
                      <wp:docPr id="395" name="Frame3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87020" cy="175260"/>
                      <wp:effectExtent l="0" t="0" r="0" b="0"/>
                      <wp:wrapNone/>
                      <wp:docPr id="396" name="Frame396"/>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99060" cy="175260"/>
                      <wp:effectExtent l="0" t="0" r="0" b="0"/>
                      <wp:wrapNone/>
                      <wp:docPr id="397" name="Frame397"/>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321310" cy="175260"/>
                      <wp:effectExtent l="0" t="0" r="0" b="0"/>
                      <wp:wrapNone/>
                      <wp:docPr id="398" name="Frame398"/>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49555" cy="175260"/>
                      <wp:effectExtent l="0" t="0" r="0" b="0"/>
                      <wp:wrapNone/>
                      <wp:docPr id="399" name="Frame39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center"/>
              <w:rPr/>
            </w:pPr>
            <w:r>
              <w:rPr/>
              <w:t>​</w:t>
            </w:r>
          </w:p>
        </w:tc>
        <w:tc>
          <w:tcPr>
            <w:tcW w:w="1356" w:type="dxa"/>
            <w:gridSpan w:val="4"/>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71" w:type="dxa"/>
            <w:tcBorders/>
            <w:vAlign w:val="center"/>
          </w:tcPr>
          <w:p>
            <w:pPr>
              <w:pStyle w:val="TableContents"/>
              <w:bidi w:val="0"/>
              <w:spacing w:before="0" w:after="0"/>
              <w:ind w:left="0" w:right="0" w:hanging="0"/>
              <w:jc w:val="center"/>
              <w:rPr/>
            </w:pPr>
            <w:r>
              <w:rPr/>
              <w:t>​</w:t>
            </w:r>
          </w:p>
        </w:tc>
        <w:tc>
          <w:tcPr>
            <w:tcW w:w="1340" w:type="dxa"/>
            <w:gridSpan w:val="4"/>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center"/>
              <w:rPr/>
            </w:pPr>
            <w:r>
              <w:rPr/>
              <w:t> </w:t>
            </w:r>
          </w:p>
        </w:tc>
      </w:tr>
      <w:tr>
        <w:trPr/>
        <w:tc>
          <w:tcPr>
            <w:tcW w:w="189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35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49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center"/>
              <w:rPr/>
            </w:pPr>
            <w:r>
              <w:rPr/>
              <w:t>​</w:t>
            </w:r>
          </w:p>
        </w:tc>
        <w:tc>
          <w:tcPr>
            <w:tcW w:w="1340"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93" w:type="dxa"/>
            <w:tcBorders/>
            <w:vAlign w:val="center"/>
          </w:tcPr>
          <w:p>
            <w:pPr>
              <w:pStyle w:val="TableContents"/>
              <w:bidi w:val="0"/>
              <w:spacing w:before="0" w:after="0"/>
              <w:ind w:left="0" w:right="0" w:hanging="0"/>
              <w:jc w:val="center"/>
              <w:rPr/>
            </w:pPr>
            <w:r>
              <w:rPr/>
              <w:t> </w:t>
            </w:r>
          </w:p>
        </w:tc>
      </w:tr>
      <w:tr>
        <w:trPr/>
        <w:tc>
          <w:tcPr>
            <w:tcW w:w="189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9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w:t>
            </w:r>
          </w:p>
        </w:tc>
        <w:tc>
          <w:tcPr>
            <w:tcW w:w="134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3" w:type="dxa"/>
            <w:tcBorders/>
            <w:vAlign w:val="center"/>
          </w:tcPr>
          <w:p>
            <w:pPr>
              <w:pStyle w:val="TableContents"/>
              <w:bidi w:val="0"/>
              <w:spacing w:before="0" w:after="0"/>
              <w:ind w:left="0" w:right="0" w:hanging="0"/>
              <w:jc w:val="center"/>
              <w:rPr/>
            </w:pPr>
            <w:r>
              <w:rPr/>
              <w:t>  ​ ​ ​</w:t>
            </w:r>
          </w:p>
        </w:tc>
      </w:tr>
      <w:tr>
        <w:trPr/>
        <w:tc>
          <w:tcPr>
            <w:tcW w:w="1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 and Disposal:</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1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East Tier </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8.7 </w:t>
            </w:r>
          </w:p>
        </w:tc>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56" w:type="dxa"/>
            <w:tcBorders/>
            <w:vAlign w:val="center"/>
          </w:tcPr>
          <w:p>
            <w:pPr>
              <w:pStyle w:val="TableContents"/>
              <w:bidi w:val="0"/>
              <w:spacing w:before="0" w:after="0"/>
              <w:ind w:left="0" w:right="0" w:hanging="0"/>
              <w:jc w:val="left"/>
              <w:rPr/>
            </w:pPr>
            <w:r>
              <w:rPr/>
              <w:t> </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8.4 </w:t>
            </w:r>
          </w:p>
        </w:tc>
        <w:tc>
          <w:tcPr>
            <w:tcW w:w="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Tier</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 </w:t>
            </w:r>
          </w:p>
        </w:tc>
        <w:tc>
          <w:tcPr>
            <w:tcW w:w="49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56" w:type="dxa"/>
            <w:tcBorders/>
            <w:shd w:fill="CCEEFF" w:val="clear"/>
            <w:vAlign w:val="center"/>
          </w:tcPr>
          <w:p>
            <w:pPr>
              <w:pStyle w:val="TableContents"/>
              <w:bidi w:val="0"/>
              <w:spacing w:before="0" w:after="0"/>
              <w:ind w:left="0" w:right="0" w:hanging="0"/>
              <w:jc w:val="left"/>
              <w:rPr/>
            </w:pPr>
            <w:r>
              <w:rPr/>
              <w:t> </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4.3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1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Ancillary</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9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56" w:type="dxa"/>
            <w:tcBorders/>
            <w:vAlign w:val="center"/>
          </w:tcPr>
          <w:p>
            <w:pPr>
              <w:pStyle w:val="TableContents"/>
              <w:bidi w:val="0"/>
              <w:spacing w:before="0" w:after="0"/>
              <w:ind w:left="0" w:right="0" w:hanging="0"/>
              <w:jc w:val="left"/>
              <w:rPr/>
            </w:pPr>
            <w:r>
              <w:rPr/>
              <w:t> </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93" w:type="dxa"/>
            <w:tcBorders/>
            <w:vAlign w:val="center"/>
          </w:tcPr>
          <w:p>
            <w:pPr>
              <w:pStyle w:val="TableContents"/>
              <w:bidi w:val="0"/>
              <w:spacing w:before="0" w:after="0"/>
              <w:ind w:left="0" w:right="0" w:hanging="0"/>
              <w:jc w:val="left"/>
              <w:rPr/>
            </w:pPr>
            <w:r>
              <w:rPr/>
              <w:t>​</w:t>
            </w:r>
          </w:p>
        </w:tc>
      </w:tr>
      <w:tr>
        <w:trPr/>
        <w:tc>
          <w:tcPr>
            <w:tcW w:w="1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Collection and Disposal </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 </w:t>
            </w:r>
          </w:p>
        </w:tc>
        <w:tc>
          <w:tcPr>
            <w:tcW w:w="49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156" w:type="dxa"/>
            <w:tcBorders/>
            <w:shd w:fill="CCEEFF" w:val="clear"/>
            <w:vAlign w:val="center"/>
          </w:tcPr>
          <w:p>
            <w:pPr>
              <w:pStyle w:val="TableContents"/>
              <w:bidi w:val="0"/>
              <w:spacing w:before="0" w:after="0"/>
              <w:ind w:left="0" w:right="0" w:hanging="0"/>
              <w:jc w:val="left"/>
              <w:rPr/>
            </w:pPr>
            <w:r>
              <w:rPr/>
              <w:t> </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1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Recycling Processing and Sales </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50.0 </w:t>
            </w:r>
          </w:p>
        </w:tc>
        <w:tc>
          <w:tcPr>
            <w:tcW w:w="49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56" w:type="dxa"/>
            <w:tcBorders/>
            <w:vAlign w:val="center"/>
          </w:tcPr>
          <w:p>
            <w:pPr>
              <w:pStyle w:val="TableContents"/>
              <w:bidi w:val="0"/>
              <w:spacing w:before="0" w:after="0"/>
              <w:ind w:left="0" w:right="0" w:hanging="0"/>
              <w:jc w:val="left"/>
              <w:rPr/>
            </w:pPr>
            <w:r>
              <w:rPr/>
              <w:t> </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31.0 </w:t>
            </w:r>
          </w:p>
        </w:tc>
        <w:tc>
          <w:tcPr>
            <w:tcW w:w="393" w:type="dxa"/>
            <w:tcBorders/>
            <w:vAlign w:val="center"/>
          </w:tcPr>
          <w:p>
            <w:pPr>
              <w:pStyle w:val="TableContents"/>
              <w:bidi w:val="0"/>
              <w:spacing w:before="0" w:after="0"/>
              <w:ind w:left="0" w:right="0" w:hanging="0"/>
              <w:jc w:val="left"/>
              <w:rPr/>
            </w:pPr>
            <w:r>
              <w:rPr/>
              <w:t>​</w:t>
            </w:r>
          </w:p>
        </w:tc>
      </w:tr>
      <w:tr>
        <w:trPr/>
        <w:tc>
          <w:tcPr>
            <w:tcW w:w="1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Energy</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23.7 </w:t>
            </w:r>
          </w:p>
        </w:tc>
        <w:tc>
          <w:tcPr>
            <w:tcW w:w="49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56"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66.7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1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 Solutions</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108.7</w:t>
            </w:r>
          </w:p>
        </w:tc>
        <w:tc>
          <w:tcPr>
            <w:tcW w:w="49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56"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72.7</w:t>
            </w:r>
          </w:p>
        </w:tc>
        <w:tc>
          <w:tcPr>
            <w:tcW w:w="393" w:type="dxa"/>
            <w:tcBorders/>
            <w:vAlign w:val="center"/>
          </w:tcPr>
          <w:p>
            <w:pPr>
              <w:pStyle w:val="TableContents"/>
              <w:bidi w:val="0"/>
              <w:spacing w:before="0" w:after="0"/>
              <w:ind w:left="0" w:right="0" w:hanging="0"/>
              <w:jc w:val="left"/>
              <w:rPr/>
            </w:pPr>
            <w:r>
              <w:rPr/>
              <w:t>​</w:t>
            </w:r>
          </w:p>
        </w:tc>
      </w:tr>
      <w:tr>
        <w:trPr/>
        <w:tc>
          <w:tcPr>
            <w:tcW w:w="1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9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56"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1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 </w:t>
            </w:r>
          </w:p>
        </w:tc>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w:t>
            </w:r>
          </w:p>
        </w:tc>
        <w:tc>
          <w:tcPr>
            <w:tcW w:w="271"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56" w:type="dxa"/>
            <w:tcBorders/>
            <w:vAlign w:val="center"/>
          </w:tcPr>
          <w:p>
            <w:pPr>
              <w:pStyle w:val="TableContents"/>
              <w:bidi w:val="0"/>
              <w:spacing w:before="0" w:after="0"/>
              <w:ind w:left="0" w:right="0" w:hanging="0"/>
              <w:jc w:val="left"/>
              <w:rPr/>
            </w:pPr>
            <w:r>
              <w:rPr/>
              <w:t> </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9.3 </w:t>
            </w:r>
          </w:p>
        </w:tc>
        <w:tc>
          <w:tcPr>
            <w:tcW w:w="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of revenues</w:t>
            </w:r>
          </w:p>
        </w:tc>
        <w:tc>
          <w:tcPr>
            <w:tcW w:w="286" w:type="dxa"/>
            <w:tcBorders/>
            <w:shd w:fill="CCEEFF" w:val="clear"/>
            <w:vAlign w:val="center"/>
          </w:tcPr>
          <w:p>
            <w:pPr>
              <w:pStyle w:val="TableContents"/>
              <w:bidi w:val="0"/>
              <w:spacing w:before="0" w:after="0"/>
              <w:ind w:left="0" w:right="0" w:hanging="0"/>
              <w:jc w:val="left"/>
              <w:rPr/>
            </w:pPr>
            <w:r>
              <w:rPr/>
              <w:t>  ​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*Percentage change does not provide a meaningful comparison.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significant items affecting income from operations for our segments during the three and six months ended June   30, 2026, as compared to the prior year periods, are summarized below: </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i/>
          <w:sz w:val="20"/>
        </w:rPr>
        <w:t xml:space="preserve">Collection and Disposal — </w:t>
      </w:r>
      <w:r>
        <w:rPr>
          <w:rFonts w:ascii="Times New Roman;Times;serif" w:hAnsi="Times New Roman;Times;serif"/>
          <w:sz w:val="20"/>
        </w:rPr>
        <w:t>Income from operations in our Collection and Disposal business increased primarily due to (i) revenue growth from price increases, which translates into increased yield or average unit price; (ii) actions to improve efficiency and the operating costs incurred to serve our customers and (iii) a gain from a business divestiture in our West Tier recognized in the first quarter of 2026. These increases were partially offset by declines in special waste volume in our West Tier, which was favorably impacted by wildfire clean-up activities in the prior year periods, and lower volumes caused by harsh winter weather in early 2026.</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i/>
          <w:sz w:val="20"/>
        </w:rPr>
        <w:t xml:space="preserve">Recycling Processing and Sales — </w:t>
      </w:r>
      <w:r>
        <w:rPr>
          <w:rFonts w:ascii="Times New Roman;Times;serif" w:hAnsi="Times New Roman;Times;serif"/>
          <w:sz w:val="20"/>
        </w:rPr>
        <w:t>The increase in income from operations in our Recycling Processing and Sales segment was primarily due to lower expenses from the suspension of a business engaged in plastic film and wrap recycling during 2025, increased volumes and reduced costs from the automation of our recycling facilities as well as investments in new facilities. These increases were partially offset by declines in commodity prices compared to the prior year periods.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i/>
          <w:sz w:val="20"/>
        </w:rPr>
        <w:t xml:space="preserve">Renewable Energy — </w:t>
      </w:r>
      <w:r>
        <w:rPr>
          <w:rFonts w:ascii="Times New Roman;Times;serif" w:hAnsi="Times New Roman;Times;serif"/>
          <w:sz w:val="20"/>
        </w:rPr>
        <w:t>The increase in income from operations in our Renewable Energy segment was primarily due to higher volumes driven by the completion of projects that increase the beneficial use of landfill gas sold to third parties. This increase was partially offset by a decline in RINs pricing.</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i/>
          <w:sz w:val="20"/>
        </w:rPr>
        <w:t xml:space="preserve">Healthcare Solutions — </w:t>
      </w:r>
      <w:r>
        <w:rPr>
          <w:rFonts w:ascii="Times New Roman;Times;serif" w:hAnsi="Times New Roman;Times;serif"/>
          <w:sz w:val="20"/>
        </w:rPr>
        <w:t>Our Healthcare Solutions segment generated income from operations in the three months ended June 30, 2026 and a loss from operations in the six months ended June 30, 2026. The improvement across both time periods is primarily due to non-recurring integration costs incurred during the prior year periods along with lower costs in the current year from the realization of synergies, offset by lower volumes.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Corporate and Other — </w:t>
      </w:r>
      <w:r>
        <w:rPr>
          <w:rFonts w:ascii="Times New Roman;Times;serif" w:hAnsi="Times New Roman;Times;serif"/>
          <w:sz w:val="20"/>
        </w:rPr>
        <w:t>The loss from operations in Corporate and Other increased in the three months ended June 30, 2026 primarily due to (i) increased technology costs to support strategic initiatives; (ii) higher risk management expenses and (iii) annual wage increases. The loss from operations in Corporate and Other increased in the six months ended June 30, 2026 primarily due to (i) increased technology costs to support our strategic initiatives; (ii) annual wage increases and (iii) increased employee medical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r>
        <w:rPr/>
        <w:t>​</w:t>
      </w:r>
    </w:p>
    <w:p>
      <w:pPr>
        <w:pStyle w:val="TextBody"/>
        <w:bidi w:val="0"/>
        <w:spacing w:before="0" w:after="240"/>
        <w:ind w:left="180" w:right="0" w:hanging="0"/>
        <w:jc w:val="both"/>
        <w:rPr>
          <w:rFonts w:ascii="Times New Roman;Times;serif" w:hAnsi="Times New Roman;Times;serif"/>
          <w:b/>
          <w:i/>
          <w:sz w:val="20"/>
        </w:rPr>
      </w:pPr>
      <w:bookmarkStart w:id="1683" w:name="_5f004f33_8a06_4b82_ae74_7b3f3873a60f"/>
      <w:bookmarkEnd w:id="1683"/>
      <w:r>
        <w:rPr>
          <w:rFonts w:ascii="Times New Roman;Times;serif" w:hAnsi="Times New Roman;Times;serif"/>
          <w:b/>
          <w:i/>
          <w:sz w:val="20"/>
        </w:rPr>
        <w:t>Interest Expense, Net</w:t>
      </w:r>
    </w:p>
    <w:p>
      <w:pPr>
        <w:pStyle w:val="TextBody"/>
        <w:bidi w:val="0"/>
        <w:spacing w:before="0" w:after="240"/>
        <w:ind w:left="0" w:right="0" w:firstLine="288"/>
        <w:jc w:val="both"/>
        <w:rPr>
          <w:rFonts w:ascii="Times New Roman;Times;serif" w:hAnsi="Times New Roman;Times;serif"/>
          <w:sz w:val="20"/>
        </w:rPr>
      </w:pPr>
      <w:r>
        <w:rPr>
          <w:rFonts w:ascii="Times New Roman;Times;serif" w:hAnsi="Times New Roman;Times;serif"/>
          <w:sz w:val="20"/>
        </w:rPr>
        <w:t xml:space="preserve">Our interest expense, net was $233 million and $458 million for the three and six months ended June 30, 2026, respectively, compared to $232 million and $464 million for the three and six months ended June 30, 2025, respectively. Interest expense, net benefited from a decrease in our average debt balances and increases in interest income as compared to the prior year periods. These benefits were partially offset for the six-month period, and more than offset for the three-month period, by lower capitalized interest resulting from the completion of the majority of our sustainability growth projects by the end of 2025. </w:t>
      </w:r>
    </w:p>
    <w:p>
      <w:pPr>
        <w:pStyle w:val="TextBody"/>
        <w:bidi w:val="0"/>
        <w:spacing w:before="0" w:after="240"/>
        <w:ind w:left="144" w:right="0" w:hanging="0"/>
        <w:jc w:val="left"/>
        <w:rPr>
          <w:rFonts w:ascii="Times New Roman;Times;serif" w:hAnsi="Times New Roman;Times;serif"/>
          <w:b/>
          <w:i/>
          <w:sz w:val="20"/>
        </w:rPr>
      </w:pPr>
      <w:bookmarkStart w:id="1684" w:name="_ce836274_608e_458a_a58d_186a3979439e"/>
      <w:bookmarkEnd w:id="1684"/>
      <w:r>
        <w:rPr>
          <w:rFonts w:ascii="Times New Roman;Times;serif" w:hAnsi="Times New Roman;Times;serif"/>
          <w:b/>
          <w:i/>
          <w:sz w:val="20"/>
        </w:rPr>
        <w:t>Income Tax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tax expense and effective income tax rate was $238 million, or 23.2%, and $406 million, or 21.2%, for the three and six months ended June 30, 2026, respectively, compared to $201 million, or 21.7%, and $352 million, or 20.5%, for the three and six months ended June 30, 2025, respectively. See Note 4 to the Condensed Consolidated Financial Statements for more information related to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Tax Legislation</w:t>
      </w:r>
      <w:r>
        <w:rPr>
          <w:rFonts w:ascii="Times New Roman;Times;serif" w:hAnsi="Times New Roman;Times;serif"/>
          <w:sz w:val="20"/>
        </w:rPr>
        <w:t xml:space="preserve"> — </w:t>
      </w:r>
      <w:r>
        <w:rPr>
          <w:rFonts w:ascii="TimesNewRomanPSMT" w:hAnsi="TimesNewRomanPSMT"/>
          <w:sz w:val="20"/>
        </w:rPr>
        <w:t xml:space="preserve">The Inflation Reduction Act of 2022 (“IRA”) contains several tax-related provisions, 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We secured approximately $60 million of annual pre-tax benefit through the provisions of the IRA related to alternative fuel tax credits (recorded as a reduction in our operating expense) in 2024. The alternative fuel credit expired at the end of 2024 and will not provide any future benefit to the Company without further legislative action. With respect to the Section 48 investment tax credit, we expect our cumulative benefit to be between $400 million and $425 million, </w:t>
      </w:r>
      <w:r>
        <w:rPr>
          <w:rFonts w:ascii="Times New Roman;Times;serif" w:hAnsi="Times New Roman;Times;serif"/>
          <w:sz w:val="20"/>
        </w:rPr>
        <w:t>$309 million of which was recognized between 2023 and 2025 with the remainder anticipated to be realized in 2026 and 2027</w:t>
      </w:r>
      <w:r>
        <w:rPr>
          <w:rFonts w:ascii="TimesNewRomanPSMT" w:hAnsi="TimesNewRomanPSMT"/>
          <w:sz w:val="20"/>
        </w:rPr>
        <w:t>. Finally, in February 2026 the Internal Revenue Service issued proposed regulatory guidance clarifying qualification for the Section 45Z clean fuel production tax credit. We expect our cumulative benefit from this clean fuel production tax credit to be as much as $150 million through 2029. This expected benefit is dependent on a number of estimates and assumptions, which we continue to monitor and factor into our credit realization expectations.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bookmarkStart w:id="1685" w:name="_c9cc3250_8f79_4ab5_a2f9_fc3ce9bf8993"/>
      <w:bookmarkEnd w:id="1685"/>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r>
        <w:rPr/>
        <w:t>​</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Summary of Cash and Cash Equivalents, Restricted Funds and Debt Obligations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is a summary of our cash and cash equivalents, restricted funds and debt balances (in millions):</w:t>
      </w:r>
    </w:p>
    <w:tbl>
      <w:tblPr>
        <w:tblW w:w="8855" w:type="dxa"/>
        <w:jc w:val="left"/>
        <w:tblInd w:w="0" w:type="dxa"/>
        <w:tblLayout w:type="fixed"/>
        <w:tblCellMar>
          <w:top w:w="0" w:type="dxa"/>
          <w:left w:w="0" w:type="dxa"/>
          <w:bottom w:w="0" w:type="dxa"/>
          <w:right w:w="0" w:type="dxa"/>
        </w:tblCellMar>
      </w:tblPr>
      <w:tblGrid>
        <w:gridCol w:w="6091"/>
        <w:gridCol w:w="346"/>
        <w:gridCol w:w="211"/>
        <w:gridCol w:w="676"/>
        <w:gridCol w:w="346"/>
        <w:gridCol w:w="252"/>
        <w:gridCol w:w="933"/>
      </w:tblGrid>
      <w:tr>
        <w:trPr/>
        <w:tc>
          <w:tcPr>
            <w:tcW w:w="6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867785" cy="175260"/>
                      <wp:effectExtent l="0" t="0" r="0" b="0"/>
                      <wp:wrapNone/>
                      <wp:docPr id="400" name="Frame400"/>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29260" cy="175260"/>
                      <wp:effectExtent l="0" t="0" r="0" b="0"/>
                      <wp:wrapNone/>
                      <wp:docPr id="403" name="Frame4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60020" cy="175260"/>
                      <wp:effectExtent l="0" t="0" r="0" b="0"/>
                      <wp:wrapNone/>
                      <wp:docPr id="405" name="Frame40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92455" cy="175260"/>
                      <wp:effectExtent l="0" t="0" r="0" b="0"/>
                      <wp:wrapNone/>
                      <wp:docPr id="406" name="Frame40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funds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pPr>
            <w:r>
              <w:rPr/>
              <w:t>​</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Final capping, closure, post-closure and environmental remediation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restricted funds and other (a)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pPr>
            <w:r>
              <w:rPr/>
              <w:t>  ​</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22,196</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23,356</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22,907</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$100 million and $109 million, respectively, of these account balances were included in other current assets in our Condensed Consolidated Balance Sheets.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Debt</w:t>
      </w:r>
      <w:r>
        <w:rPr>
          <w:rFonts w:ascii="Times New Roman;Times;serif" w:hAnsi="Times New Roman;Times;serif"/>
          <w:sz w:val="20"/>
        </w:rPr>
        <w:t xml:space="preserve"> — As of June 30, 2026, we had approximately $3.8 billion of debt maturing within the next 12 months, including (i) $2.0 billion of tax-exempt bonds with term interest rate periods that expire within the next 12 months, which is prior to their scheduled maturities; (ii) $1.1 billion of short-term borrowings under our commercial paper program (net of related discount on issuance); (iii) $223 million of 7.10% senior notes that mature in August 2026; (iv) $352 million of 2.60% Canadian senior notes that the Company elected to redeem in July 2026 and (v) $206 million of other debt with scheduled maturities within the next 12 months. As of June 30, 2026, we have classified $2.7 billion of debt maturing in the next 12 months as long-term because we have the intent and ability to refinance these borrowings on a long-term basis as supported by the forecasted available capacity under our $3.5 billion long-term U.S. and Canadian revolving credit facility. The remaining $1.1 billion of debt maturing in the next 12 months is classified as current obligations.</w:t>
      </w:r>
    </w:p>
    <w:p>
      <w:pPr>
        <w:pStyle w:val="TextBody"/>
        <w:bidi w:val="0"/>
        <w:spacing w:before="0" w:after="240"/>
        <w:ind w:left="0" w:right="0" w:firstLine="144"/>
        <w:jc w:val="left"/>
        <w:rPr>
          <w:rFonts w:ascii="Times New Roman;Times;serif" w:hAnsi="Times New Roman;Times;serif"/>
          <w:b/>
          <w:i/>
          <w:sz w:val="20"/>
        </w:rPr>
      </w:pPr>
      <w:bookmarkStart w:id="1686" w:name="_e2f2bc16_084b_4c31_8f86_dfb722be864f"/>
      <w:bookmarkEnd w:id="1686"/>
      <w:r>
        <w:rPr>
          <w:rFonts w:ascii="Times New Roman;Times;serif" w:hAnsi="Times New Roman;Times;serif"/>
          <w:b/>
          <w:i/>
          <w:sz w:val="20"/>
        </w:rPr>
        <w:t>Guarantor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WM Holdings, Inc. (“WM Holdings”) has fully and unconditionally guaranteed all of Waste Management, Inc.’s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pStyle w:val="TextBody"/>
        <w:bidi w:val="0"/>
        <w:spacing w:before="0" w:after="0"/>
        <w:ind w:left="0" w:right="0" w:hanging="0"/>
        <w:jc w:val="both"/>
        <w:rPr/>
      </w:pPr>
      <w:r>
        <w:rPr/>
        <w:t>​</w:t>
      </w:r>
    </w:p>
    <w:tbl>
      <w:tblPr>
        <w:tblW w:w="5210" w:type="dxa"/>
        <w:jc w:val="left"/>
        <w:tblInd w:w="0" w:type="dxa"/>
        <w:tblLayout w:type="fixed"/>
        <w:tblCellMar>
          <w:top w:w="0" w:type="dxa"/>
          <w:left w:w="0" w:type="dxa"/>
          <w:bottom w:w="0" w:type="dxa"/>
          <w:right w:w="0" w:type="dxa"/>
        </w:tblCellMar>
      </w:tblPr>
      <w:tblGrid>
        <w:gridCol w:w="2446"/>
        <w:gridCol w:w="346"/>
        <w:gridCol w:w="211"/>
        <w:gridCol w:w="676"/>
        <w:gridCol w:w="346"/>
        <w:gridCol w:w="252"/>
        <w:gridCol w:w="933"/>
      </w:tblGrid>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29260" cy="175260"/>
                      <wp:effectExtent l="0" t="0" r="0" b="0"/>
                      <wp:wrapNone/>
                      <wp:docPr id="409" name="Frame4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10"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60020" cy="175260"/>
                      <wp:effectExtent l="0" t="0" r="0" b="0"/>
                      <wp:wrapNone/>
                      <wp:docPr id="411" name="Frame41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92455" cy="175260"/>
                      <wp:effectExtent l="0" t="0" r="0" b="0"/>
                      <wp:wrapNone/>
                      <wp:docPr id="412" name="Frame41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Advances due to affiliates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19,757</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18,160</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19,733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r>
        <w:rPr/>
        <w:t>​</w:t>
      </w:r>
    </w:p>
    <w:tbl>
      <w:tblPr>
        <w:tblW w:w="4622" w:type="dxa"/>
        <w:jc w:val="left"/>
        <w:tblInd w:w="0" w:type="dxa"/>
        <w:tblLayout w:type="fixed"/>
        <w:tblCellMar>
          <w:top w:w="0" w:type="dxa"/>
          <w:left w:w="0" w:type="dxa"/>
          <w:bottom w:w="0" w:type="dxa"/>
          <w:right w:w="0" w:type="dxa"/>
        </w:tblCellMar>
      </w:tblPr>
      <w:tblGrid>
        <w:gridCol w:w="2776"/>
        <w:gridCol w:w="346"/>
        <w:gridCol w:w="397"/>
        <w:gridCol w:w="1103"/>
      </w:tblGrid>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3"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52095" cy="175260"/>
                      <wp:effectExtent l="0" t="0" r="0" b="0"/>
                      <wp:wrapNone/>
                      <wp:docPr id="414" name="Frame414"/>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700405" cy="175260"/>
                      <wp:effectExtent l="0" t="0" r="0" b="0"/>
                      <wp:wrapNone/>
                      <wp:docPr id="415" name="Frame415"/>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Statement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vAlign w:val="center"/>
          </w:tcPr>
          <w:p>
            <w:pPr>
              <w:pStyle w:val="TableContents"/>
              <w:bidi w:val="0"/>
              <w:spacing w:before="0" w:after="0"/>
              <w:ind w:left="0" w:right="0" w:hanging="0"/>
              <w:jc w:val="righ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144" w:right="0" w:hanging="0"/>
        <w:jc w:val="left"/>
        <w:rPr>
          <w:rFonts w:ascii="Times New Roman;Times;serif" w:hAnsi="Times New Roman;Times;serif"/>
          <w:b/>
          <w:i/>
          <w:sz w:val="20"/>
        </w:rPr>
      </w:pPr>
      <w:bookmarkStart w:id="1687" w:name="_2851899c_54e8_4f26_869c_136535194c37"/>
      <w:bookmarkEnd w:id="1687"/>
      <w:r>
        <w:rPr>
          <w:rFonts w:ascii="Times New Roman;Times;serif" w:hAnsi="Times New Roman;Times;serif"/>
          <w:b/>
          <w:i/>
          <w:sz w:val="20"/>
        </w:rPr>
        <w:t>Summary of Cash Flow Activity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is a summary of our cash flows for the six months ended June 30 (in millions):</w:t>
      </w:r>
    </w:p>
    <w:tbl>
      <w:tblPr>
        <w:tblW w:w="5770" w:type="dxa"/>
        <w:jc w:val="left"/>
        <w:tblInd w:w="0" w:type="dxa"/>
        <w:tblLayout w:type="fixed"/>
        <w:tblCellMar>
          <w:top w:w="0" w:type="dxa"/>
          <w:left w:w="0" w:type="dxa"/>
          <w:bottom w:w="0" w:type="dxa"/>
          <w:right w:w="0" w:type="dxa"/>
        </w:tblCellMar>
      </w:tblPr>
      <w:tblGrid>
        <w:gridCol w:w="3466"/>
        <w:gridCol w:w="109"/>
        <w:gridCol w:w="211"/>
        <w:gridCol w:w="691"/>
        <w:gridCol w:w="346"/>
        <w:gridCol w:w="211"/>
        <w:gridCol w:w="73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200910" cy="175260"/>
                      <wp:effectExtent l="0" t="0" r="0" b="0"/>
                      <wp:wrapNone/>
                      <wp:docPr id="416" name="Frame41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9215" cy="175260"/>
                      <wp:effectExtent l="0" t="0" r="0" b="0"/>
                      <wp:wrapNone/>
                      <wp:docPr id="417"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38785" cy="175260"/>
                      <wp:effectExtent l="0" t="0" r="0" b="0"/>
                      <wp:wrapNone/>
                      <wp:docPr id="419" name="Frame4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67360" cy="175260"/>
                      <wp:effectExtent l="0" t="0" r="0" b="0"/>
                      <wp:wrapNone/>
                      <wp:docPr id="422" name="Frame42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Net Cash Provided by Operating Activities —</w:t>
      </w:r>
      <w:r>
        <w:rPr>
          <w:rFonts w:ascii="Times New Roman;Times;serif" w:hAnsi="Times New Roman;Times;serif"/>
          <w:sz w:val="20"/>
        </w:rPr>
        <w:t xml:space="preserve"> Our operating cash flows increased by $474 million for the six months ended June 30, 2026, as compared to the prior year period, primarily due to (i) higher earnings, particularly driven by our Collection and Disposal business; (ii) favorable changes in working capital, net of effects from acquisitions and divestitures; (iii) lower annual incentive compensation payments and (iv) lower cash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Net Cash Used in Investing Activities —</w:t>
      </w:r>
      <w:r>
        <w:rPr>
          <w:rFonts w:ascii="Times New Roman;Times;serif" w:hAnsi="Times New Roman;Times;serif"/>
          <w:sz w:val="20"/>
        </w:rPr>
        <w:t xml:space="preserve"> The most significant items included in our investing cash flows for the six months ended June 30, 2026 and 2025 are summarized below: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Capital Expenditures —</w:t>
            </w:r>
            <w:r>
              <w:rPr>
                <w:caps w:val="false"/>
                <w:smallCaps w:val="false"/>
              </w:rPr>
              <w:t xml:space="preserve"> </w:t>
            </w:r>
            <w:r>
              <w:rPr>
                <w:rFonts w:ascii="Times New Roman;Times;serif" w:hAnsi="Times New Roman;Times;serif"/>
                <w:b w:val="false"/>
                <w:i w:val="false"/>
                <w:caps w:val="false"/>
                <w:smallCaps w:val="false"/>
                <w:sz w:val="20"/>
              </w:rPr>
              <w:t>We used $1,280 million and $1,563 million for capital expenditures during the six months ended June 30, 2026 and 2025, respectively.</w:t>
            </w:r>
            <w:r>
              <w:rPr>
                <w:caps w:val="false"/>
                <w:smallCaps w:val="false"/>
              </w:rPr>
              <w:t xml:space="preserve"> </w:t>
            </w:r>
            <w:r>
              <w:rPr>
                <w:rFonts w:ascii="Times New Roman;Times;serif" w:hAnsi="Times New Roman;Times;serif"/>
                <w:b w:val="false"/>
                <w:i w:val="false"/>
                <w:caps w:val="false"/>
                <w:smallCaps w:val="false"/>
                <w:sz w:val="20"/>
              </w:rPr>
              <w:t>The decrease in capital spending is primarily driven by (i) lower spend on collection vehicles and (ii) planned reductions in capital investments in our sustainability growth projects due to our transition from peak construction of this portfolio into a period of harvesting returns.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Acquisitions — </w:t>
            </w:r>
            <w:r>
              <w:rPr>
                <w:rFonts w:ascii="Times New Roman;Times;serif" w:hAnsi="Times New Roman;Times;serif"/>
                <w:b w:val="false"/>
                <w:i w:val="false"/>
                <w:caps w:val="false"/>
                <w:smallCaps w:val="false"/>
                <w:sz w:val="20"/>
              </w:rPr>
              <w:t>Our cash spending on acquisitions was $98 million and $374 million during the six months ended June 30, 2026 and 2025, respectively, of which $85 million and $366 million, respectively, are considered cash used in investing activities. The remaining spend is cash used in financing activities related to the timing of contingent consideration paid. These acquisitions are related to our solid waste and recycling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Divestitures</w:t>
            </w:r>
            <w:r>
              <w:rPr>
                <w:caps w:val="false"/>
                <w:smallCaps w:val="false"/>
              </w:rPr>
              <w:t xml:space="preserve"> — </w:t>
            </w:r>
            <w:r>
              <w:rPr>
                <w:rFonts w:ascii="Times New Roman;Times;serif" w:hAnsi="Times New Roman;Times;serif"/>
                <w:b w:val="false"/>
                <w:i w:val="false"/>
                <w:caps w:val="false"/>
                <w:smallCaps w:val="false"/>
                <w:sz w:val="20"/>
              </w:rPr>
              <w:t>Proceeds from divestitures of businesses and other assets, net of cash divested, were $77 million and $103 million for the six months ended June 30, 2026 and 2025, respectively. Proceeds in 2026 primarily related to a business divestiture in our West Tier. Proceeds in 2025 primarily related to the sale of our Healthcare Solutions segment’s Spain and Portugal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Other, Net</w:t>
            </w:r>
            <w:r>
              <w:rPr>
                <w:caps w:val="false"/>
                <w:smallCaps w:val="false"/>
              </w:rPr>
              <w:t xml:space="preserve"> — </w:t>
            </w:r>
            <w:r>
              <w:rPr>
                <w:rFonts w:ascii="Times New Roman;Times;serif" w:hAnsi="Times New Roman;Times;serif"/>
                <w:b w:val="false"/>
                <w:i w:val="false"/>
                <w:caps w:val="false"/>
                <w:smallCaps w:val="false"/>
                <w:sz w:val="20"/>
              </w:rPr>
              <w:t xml:space="preserve">The change in other investing activities were primarily driven by changes in our investment portfolio associated with a wholly-owned insurance captive. During the six months ended June 30, 2026 and 2025, we used $134 million and $87 million, respectively, of cash from restricted cash and cash equivalents to invest in available-for-sale securities.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Net Cash Used in Financing Activities — </w:t>
      </w:r>
      <w:r>
        <w:rPr>
          <w:rFonts w:ascii="Times New Roman;Times;serif" w:hAnsi="Times New Roman;Times;serif"/>
          <w:sz w:val="20"/>
        </w:rPr>
        <w:t>The most significant items affecting the comparison of our financing cash flows for the six months ended June 30, 2026 and 2025 are summarized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Debt Borrowings and Repayments —</w:t>
            </w:r>
            <w:r>
              <w:rPr>
                <w:caps w:val="false"/>
                <w:smallCaps w:val="false"/>
              </w:rPr>
              <w:t xml:space="preserve"> </w:t>
            </w:r>
            <w:r>
              <w:rPr>
                <w:rFonts w:ascii="Times New Roman;Times;serif" w:hAnsi="Times New Roman;Times;serif"/>
                <w:b w:val="false"/>
                <w:i w:val="false"/>
                <w:caps w:val="false"/>
                <w:smallCaps w:val="false"/>
                <w:sz w:val="20"/>
              </w:rPr>
              <w:t>The following summarizes our cash borrowings and repayments of debt for the six months ended June 30 (in millions):</w:t>
            </w:r>
          </w:p>
        </w:tc>
      </w:tr>
    </w:tbl>
    <w:tbl>
      <w:tblPr>
        <w:tblW w:w="5320" w:type="dxa"/>
        <w:jc w:val="left"/>
        <w:tblInd w:w="0" w:type="dxa"/>
        <w:tblLayout w:type="fixed"/>
        <w:tblCellMar>
          <w:top w:w="0" w:type="dxa"/>
          <w:left w:w="0" w:type="dxa"/>
          <w:bottom w:w="0" w:type="dxa"/>
          <w:right w:w="0" w:type="dxa"/>
        </w:tblCellMar>
      </w:tblPr>
      <w:tblGrid>
        <w:gridCol w:w="2911"/>
        <w:gridCol w:w="346"/>
        <w:gridCol w:w="211"/>
        <w:gridCol w:w="796"/>
        <w:gridCol w:w="109"/>
        <w:gridCol w:w="211"/>
        <w:gridCol w:w="73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848485" cy="175260"/>
                      <wp:effectExtent l="0" t="0" r="0" b="0"/>
                      <wp:wrapNone/>
                      <wp:docPr id="423" name="Frame423"/>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4"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05460" cy="175260"/>
                      <wp:effectExtent l="0" t="0" r="0" b="0"/>
                      <wp:wrapNone/>
                      <wp:docPr id="426" name="Frame4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67360" cy="175260"/>
                      <wp:effectExtent l="0" t="0" r="0" b="0"/>
                      <wp:wrapNone/>
                      <wp:docPr id="429" name="Frame42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i/>
                <w:sz w:val="20"/>
              </w:rPr>
              <w:t>Borrowings</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Tax-exempt bonds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29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9,135</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i/>
                <w:sz w:val="20"/>
              </w:rPr>
              <w:t>Repayments</w:t>
            </w: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(8,744)</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notes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debt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(9,234)</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Net cash borrowings (repayments)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bl>
    <w:p>
      <w:pPr>
        <w:pStyle w:val="TextBody"/>
        <w:bidi w:val="0"/>
        <w:spacing w:before="0" w:after="120"/>
        <w:ind w:left="72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Refer to Note 3 to the Condensed Consolidated Financial Statements for additional information related to our debt borrowings and repayments.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Common Stock Repurchase Program —</w:t>
            </w:r>
            <w:r>
              <w:rPr>
                <w:caps w:val="false"/>
                <w:smallCaps w:val="false"/>
              </w:rPr>
              <w:t xml:space="preserve"> </w:t>
            </w:r>
            <w:r>
              <w:rPr>
                <w:rFonts w:ascii="Times New Roman;Times;serif" w:hAnsi="Times New Roman;Times;serif"/>
                <w:b w:val="false"/>
                <w:i w:val="false"/>
                <w:caps w:val="false"/>
                <w:smallCaps w:val="false"/>
                <w:sz w:val="20"/>
              </w:rPr>
              <w:t>During the six months ended June 30, 2026, we paid cash of $1,003 million for common stock repurchases. There were no share repurchases made in 2025. See Note 11 to the Condensed Consolidated Financial Statements for additional information about our share repurchase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Cash Dividends — </w:t>
            </w:r>
            <w:r>
              <w:rPr>
                <w:rFonts w:ascii="Times New Roman;Times;serif" w:hAnsi="Times New Roman;Times;serif"/>
                <w:b w:val="false"/>
                <w:i w:val="false"/>
                <w:caps w:val="false"/>
                <w:smallCaps w:val="false"/>
                <w:sz w:val="20"/>
              </w:rPr>
              <w:t>We paid cash dividends of $764 million and $669 million during the six months ended June 30, 2026 and 2025 respectively. The increase in dividend payments is primarily due to our quarterly per share dividend increasing from $0.825 in 2025 to $0.945 in 2026.</w:t>
            </w:r>
            <w:r>
              <w:rPr>
                <w:caps w:val="false"/>
                <w:smallCaps w:val="false"/>
              </w:rPr>
              <w:t xml:space="preserve"> </w:t>
            </w:r>
          </w:p>
        </w:tc>
      </w:tr>
    </w:tbl>
    <w:p>
      <w:pPr>
        <w:pStyle w:val="TextBody"/>
        <w:bidi w:val="0"/>
        <w:spacing w:before="0" w:after="240"/>
        <w:ind w:left="144" w:right="0" w:hanging="0"/>
        <w:jc w:val="left"/>
        <w:rPr>
          <w:rFonts w:ascii="Times New Roman;Times;serif" w:hAnsi="Times New Roman;Times;serif"/>
          <w:b/>
          <w:i/>
          <w:sz w:val="20"/>
        </w:rPr>
      </w:pPr>
      <w:bookmarkStart w:id="1688" w:name="_e65d3b3e_7897_4514_8820_ba358ec93395"/>
      <w:bookmarkEnd w:id="1688"/>
      <w:r>
        <w:rPr>
          <w:rFonts w:ascii="Times New Roman;Times;serif" w:hAnsi="Times New Roman;Times;serif"/>
          <w:b/>
          <w:i/>
          <w:sz w:val="20"/>
        </w:rPr>
        <w:t>Free Cash Flow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calculation of free cash flow and reconciliation to net cash provided by operating activities for the three and six months ended June 30, 2026 and 2025 is shown in the table below (in millions) and may not be calculated the same as similarly-titled measures presented by other companies:</w:t>
      </w:r>
    </w:p>
    <w:tbl>
      <w:tblPr>
        <w:tblW w:w="10205" w:type="dxa"/>
        <w:jc w:val="left"/>
        <w:tblInd w:w="0" w:type="dxa"/>
        <w:tblLayout w:type="fixed"/>
        <w:tblCellMar>
          <w:top w:w="0" w:type="dxa"/>
          <w:left w:w="0" w:type="dxa"/>
          <w:bottom w:w="0" w:type="dxa"/>
          <w:right w:w="0" w:type="dxa"/>
        </w:tblCellMar>
      </w:tblPr>
      <w:tblGrid>
        <w:gridCol w:w="5662"/>
        <w:gridCol w:w="109"/>
        <w:gridCol w:w="211"/>
        <w:gridCol w:w="571"/>
        <w:gridCol w:w="346"/>
        <w:gridCol w:w="211"/>
        <w:gridCol w:w="571"/>
        <w:gridCol w:w="346"/>
        <w:gridCol w:w="211"/>
        <w:gridCol w:w="682"/>
        <w:gridCol w:w="346"/>
        <w:gridCol w:w="211"/>
        <w:gridCol w:w="728"/>
      </w:tblGrid>
      <w:tr>
        <w:trPr/>
        <w:tc>
          <w:tcPr>
            <w:tcW w:w="5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595370" cy="175260"/>
                      <wp:effectExtent l="0" t="0" r="0" b="0"/>
                      <wp:wrapNone/>
                      <wp:docPr id="430" name="Frame430"/>
                      <a:graphic xmlns:a="http://schemas.openxmlformats.org/drawingml/2006/main">
                        <a:graphicData uri="http://schemas.microsoft.com/office/word/2010/wordprocessingShape">
                          <wps:wsp>
                            <wps:cNvSpPr txBox="1"/>
                            <wps:spPr>
                              <a:xfrm>
                                <a:off x="0" y="0"/>
                                <a:ext cx="3595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9215" cy="175260"/>
                      <wp:effectExtent l="0" t="0" r="0" b="0"/>
                      <wp:wrapNone/>
                      <wp:docPr id="431" name="Frame4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62585" cy="175260"/>
                      <wp:effectExtent l="0" t="0" r="0" b="0"/>
                      <wp:wrapNone/>
                      <wp:docPr id="433" name="Frame4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62585" cy="175260"/>
                      <wp:effectExtent l="0" t="0" r="0" b="0"/>
                      <wp:wrapNone/>
                      <wp:docPr id="436" name="Frame4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33070" cy="175260"/>
                      <wp:effectExtent l="0" t="0" r="0" b="0"/>
                      <wp:wrapNone/>
                      <wp:docPr id="439" name="Frame439"/>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62280" cy="175260"/>
                      <wp:effectExtent l="0" t="0" r="0" b="0"/>
                      <wp:wrapNone/>
                      <wp:docPr id="442" name="Frame442"/>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1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6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6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w:t>
            </w:r>
          </w:p>
        </w:tc>
      </w:tr>
      <w:tr>
        <w:trPr/>
        <w:tc>
          <w:tcPr>
            <w:tcW w:w="5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 to support the business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w:t>
            </w:r>
          </w:p>
        </w:tc>
      </w:tr>
      <w:tr>
        <w:trPr/>
        <w:tc>
          <w:tcPr>
            <w:tcW w:w="5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 - sustainability growth investments (a)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5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(1,563)</w:t>
            </w:r>
          </w:p>
        </w:tc>
      </w:tr>
      <w:tr>
        <w:trPr/>
        <w:tc>
          <w:tcPr>
            <w:tcW w:w="5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divestitures of businesses and other assets, net of cash divested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5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1,293</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 </w:t>
            </w:r>
          </w:p>
        </w:tc>
      </w:tr>
    </w:tbl>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1689" w:name="_c782dd6a_1674_493f_bc10_7fba9b9cbccd"/>
      <w:bookmarkEnd w:id="1689"/>
      <w:r>
        <w:rPr>
          <w:rFonts w:ascii="Times New Roman;Times;serif" w:hAnsi="Times New Roman;Times;serif"/>
          <w:b/>
          <w:i w:val="false"/>
          <w:caps w:val="false"/>
          <w:smallCaps w:val="false"/>
          <w:sz w:val="20"/>
        </w:rPr>
        <w:t>Critical Accounting Estimates and Assumptions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2025. Actual results could differ materially from the estimates and assumptions that we use in the preparation of our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 Trends</w:t>
      </w:r>
    </w:p>
    <w:p>
      <w:pPr>
        <w:pStyle w:val="TextBody"/>
        <w:bidi w:val="0"/>
        <w:spacing w:lineRule="atLeast" w:line="222" w:before="0" w:after="240"/>
        <w:ind w:left="40" w:right="0" w:firstLine="360"/>
        <w:jc w:val="both"/>
        <w:rPr>
          <w:rFonts w:ascii="Times New Roman;Times;serif" w:hAnsi="Times New Roman;Times;serif"/>
          <w:sz w:val="20"/>
        </w:rPr>
      </w:pPr>
      <w:r>
        <w:rPr>
          <w:rFonts w:ascii="Times New Roman;Times;serif" w:hAnsi="Times New Roman;Times;serif"/>
          <w:sz w:val="20"/>
        </w:rPr>
        <w:t>Our financial and operating results may fluctuate for many reasons, including period-to-period changes in the relative contribution</w:t>
      </w:r>
      <w:r>
        <w:rPr>
          <w:rFonts w:ascii="Times New Roman;Times;serif" w:hAnsi="Times New Roman;Times;serif"/>
          <w:spacing w:val="22"/>
          <w:sz w:val="20"/>
        </w:rPr>
        <w:t xml:space="preserve"> </w:t>
      </w:r>
      <w:r>
        <w:rPr>
          <w:rFonts w:ascii="Times New Roman;Times;serif" w:hAnsi="Times New Roman;Times;serif"/>
          <w:sz w:val="20"/>
        </w:rPr>
        <w:t>of</w:t>
      </w:r>
      <w:r>
        <w:rPr>
          <w:rFonts w:ascii="Times New Roman;Times;serif" w:hAnsi="Times New Roman;Times;serif"/>
          <w:spacing w:val="22"/>
          <w:sz w:val="20"/>
        </w:rPr>
        <w:t xml:space="preserve"> </w:t>
      </w:r>
      <w:r>
        <w:rPr>
          <w:rFonts w:ascii="Times New Roman;Times;serif" w:hAnsi="Times New Roman;Times;serif"/>
          <w:sz w:val="20"/>
        </w:rPr>
        <w:t>revenue</w:t>
      </w:r>
      <w:r>
        <w:rPr>
          <w:rFonts w:ascii="Times New Roman;Times;serif" w:hAnsi="Times New Roman;Times;serif"/>
          <w:spacing w:val="22"/>
          <w:sz w:val="20"/>
        </w:rPr>
        <w:t xml:space="preserve"> </w:t>
      </w:r>
      <w:r>
        <w:rPr>
          <w:rFonts w:ascii="Times New Roman;Times;serif" w:hAnsi="Times New Roman;Times;serif"/>
          <w:sz w:val="20"/>
        </w:rPr>
        <w:t>by</w:t>
      </w:r>
      <w:r>
        <w:rPr>
          <w:rFonts w:ascii="Times New Roman;Times;serif" w:hAnsi="Times New Roman;Times;serif"/>
          <w:spacing w:val="23"/>
          <w:sz w:val="20"/>
        </w:rPr>
        <w:t xml:space="preserve"> </w:t>
      </w:r>
      <w:r>
        <w:rPr>
          <w:rFonts w:ascii="Times New Roman;Times;serif" w:hAnsi="Times New Roman;Times;serif"/>
          <w:sz w:val="20"/>
        </w:rPr>
        <w:t>each</w:t>
      </w:r>
      <w:r>
        <w:rPr>
          <w:rFonts w:ascii="Times New Roman;Times;serif" w:hAnsi="Times New Roman;Times;serif"/>
          <w:spacing w:val="23"/>
          <w:sz w:val="20"/>
        </w:rPr>
        <w:t xml:space="preserve"> </w:t>
      </w:r>
      <w:r>
        <w:rPr>
          <w:rFonts w:ascii="Times New Roman;Times;serif" w:hAnsi="Times New Roman;Times;serif"/>
          <w:sz w:val="20"/>
        </w:rPr>
        <w:t>line</w:t>
      </w:r>
      <w:r>
        <w:rPr>
          <w:rFonts w:ascii="Times New Roman;Times;serif" w:hAnsi="Times New Roman;Times;serif"/>
          <w:spacing w:val="21"/>
          <w:sz w:val="20"/>
        </w:rPr>
        <w:t xml:space="preserve"> </w:t>
      </w:r>
      <w:r>
        <w:rPr>
          <w:rFonts w:ascii="Times New Roman;Times;serif" w:hAnsi="Times New Roman;Times;serif"/>
          <w:sz w:val="20"/>
        </w:rPr>
        <w:t>of</w:t>
      </w:r>
      <w:r>
        <w:rPr>
          <w:rFonts w:ascii="Times New Roman;Times;serif" w:hAnsi="Times New Roman;Times;serif"/>
          <w:spacing w:val="22"/>
          <w:sz w:val="20"/>
        </w:rPr>
        <w:t xml:space="preserve"> </w:t>
      </w:r>
      <w:r>
        <w:rPr>
          <w:rFonts w:ascii="Times New Roman;Times;serif" w:hAnsi="Times New Roman;Times;serif"/>
          <w:sz w:val="20"/>
        </w:rPr>
        <w:t>business,</w:t>
      </w:r>
      <w:r>
        <w:rPr>
          <w:rFonts w:ascii="Times New Roman;Times;serif" w:hAnsi="Times New Roman;Times;serif"/>
          <w:spacing w:val="22"/>
          <w:sz w:val="20"/>
        </w:rPr>
        <w:t xml:space="preserve"> </w:t>
      </w:r>
      <w:r>
        <w:rPr>
          <w:rFonts w:ascii="Times New Roman;Times;serif" w:hAnsi="Times New Roman;Times;serif"/>
          <w:sz w:val="20"/>
        </w:rPr>
        <w:t>changes</w:t>
      </w:r>
      <w:r>
        <w:rPr>
          <w:rFonts w:ascii="Times New Roman;Times;serif" w:hAnsi="Times New Roman;Times;serif"/>
          <w:spacing w:val="21"/>
          <w:sz w:val="20"/>
        </w:rPr>
        <w:t xml:space="preserve"> </w:t>
      </w:r>
      <w:r>
        <w:rPr>
          <w:rFonts w:ascii="Times New Roman;Times;serif" w:hAnsi="Times New Roman;Times;serif"/>
          <w:sz w:val="20"/>
        </w:rPr>
        <w:t>in</w:t>
      </w:r>
      <w:r>
        <w:rPr>
          <w:rFonts w:ascii="Times New Roman;Times;serif" w:hAnsi="Times New Roman;Times;serif"/>
          <w:spacing w:val="23"/>
          <w:sz w:val="20"/>
        </w:rPr>
        <w:t xml:space="preserve"> </w:t>
      </w:r>
      <w:r>
        <w:rPr>
          <w:rFonts w:ascii="Times New Roman;Times;serif" w:hAnsi="Times New Roman;Times;serif"/>
          <w:sz w:val="20"/>
        </w:rPr>
        <w:t>commodity</w:t>
      </w:r>
      <w:r>
        <w:rPr>
          <w:rFonts w:ascii="Times New Roman;Times;serif" w:hAnsi="Times New Roman;Times;serif"/>
          <w:spacing w:val="22"/>
          <w:sz w:val="20"/>
        </w:rPr>
        <w:t xml:space="preserve"> </w:t>
      </w:r>
      <w:r>
        <w:rPr>
          <w:rFonts w:ascii="Times New Roman;Times;serif" w:hAnsi="Times New Roman;Times;serif"/>
          <w:sz w:val="20"/>
        </w:rPr>
        <w:t>prices</w:t>
      </w:r>
      <w:r>
        <w:rPr>
          <w:rFonts w:ascii="Times New Roman;Times;serif" w:hAnsi="Times New Roman;Times;serif"/>
          <w:spacing w:val="22"/>
          <w:sz w:val="20"/>
        </w:rPr>
        <w:t xml:space="preserve"> </w:t>
      </w:r>
      <w:r>
        <w:rPr>
          <w:rFonts w:ascii="Times New Roman;Times;serif" w:hAnsi="Times New Roman;Times;serif"/>
          <w:sz w:val="20"/>
        </w:rPr>
        <w:t>and</w:t>
      </w:r>
      <w:r>
        <w:rPr>
          <w:rFonts w:ascii="Times New Roman;Times;serif" w:hAnsi="Times New Roman;Times;serif"/>
          <w:spacing w:val="23"/>
          <w:sz w:val="20"/>
        </w:rPr>
        <w:t xml:space="preserve"> </w:t>
      </w:r>
      <w:r>
        <w:rPr>
          <w:rFonts w:ascii="Times New Roman;Times;serif" w:hAnsi="Times New Roman;Times;serif"/>
          <w:sz w:val="20"/>
        </w:rPr>
        <w:t>general</w:t>
      </w:r>
      <w:r>
        <w:rPr>
          <w:rFonts w:ascii="Times New Roman;Times;serif" w:hAnsi="Times New Roman;Times;serif"/>
          <w:spacing w:val="22"/>
          <w:sz w:val="20"/>
        </w:rPr>
        <w:t xml:space="preserve"> </w:t>
      </w:r>
      <w:r>
        <w:rPr>
          <w:rFonts w:ascii="Times New Roman;Times;serif" w:hAnsi="Times New Roman;Times;serif"/>
          <w:sz w:val="20"/>
        </w:rPr>
        <w:t>economic</w:t>
      </w:r>
      <w:r>
        <w:rPr>
          <w:rFonts w:ascii="Times New Roman;Times;serif" w:hAnsi="Times New Roman;Times;serif"/>
          <w:spacing w:val="21"/>
          <w:sz w:val="20"/>
        </w:rPr>
        <w:t xml:space="preserve"> </w:t>
      </w:r>
      <w:r>
        <w:rPr>
          <w:rFonts w:ascii="Times New Roman;Times;serif" w:hAnsi="Times New Roman;Times;serif"/>
          <w:sz w:val="20"/>
        </w:rPr>
        <w:t>conditions.</w:t>
      </w:r>
      <w:r>
        <w:rPr>
          <w:rFonts w:ascii="Times New Roman;Times;serif" w:hAnsi="Times New Roman;Times;serif"/>
          <w:spacing w:val="21"/>
          <w:sz w:val="20"/>
        </w:rPr>
        <w:t xml:space="preserve"> </w:t>
      </w:r>
      <w:r>
        <w:rPr>
          <w:rFonts w:ascii="Times New Roman;Times;serif" w:hAnsi="Times New Roman;Times;serif"/>
          <w:sz w:val="20"/>
        </w:rPr>
        <w:t>Our operating</w:t>
      </w:r>
      <w:r>
        <w:rPr>
          <w:rFonts w:ascii="Times New Roman;Times;serif" w:hAnsi="Times New Roman;Times;serif"/>
          <w:spacing w:val="-5"/>
          <w:sz w:val="20"/>
        </w:rPr>
        <w:t xml:space="preserve"> </w:t>
      </w:r>
      <w:r>
        <w:rPr>
          <w:rFonts w:ascii="Times New Roman;Times;serif" w:hAnsi="Times New Roman;Times;serif"/>
          <w:sz w:val="20"/>
        </w:rPr>
        <w:t>revenues</w:t>
      </w:r>
      <w:r>
        <w:rPr>
          <w:rFonts w:ascii="Times New Roman;Times;serif" w:hAnsi="Times New Roman;Times;serif"/>
          <w:spacing w:val="-5"/>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volumes</w:t>
      </w:r>
      <w:r>
        <w:rPr>
          <w:rFonts w:ascii="Times New Roman;Times;serif" w:hAnsi="Times New Roman;Times;serif"/>
          <w:spacing w:val="-5"/>
          <w:sz w:val="20"/>
        </w:rPr>
        <w:t xml:space="preserve"> </w:t>
      </w:r>
      <w:r>
        <w:rPr>
          <w:rFonts w:ascii="Times New Roman;Times;serif" w:hAnsi="Times New Roman;Times;serif"/>
          <w:sz w:val="20"/>
        </w:rPr>
        <w:t>typically</w:t>
      </w:r>
      <w:r>
        <w:rPr>
          <w:rFonts w:ascii="Times New Roman;Times;serif" w:hAnsi="Times New Roman;Times;serif"/>
          <w:spacing w:val="-4"/>
          <w:sz w:val="20"/>
        </w:rPr>
        <w:t xml:space="preserve"> </w:t>
      </w:r>
      <w:r>
        <w:rPr>
          <w:rFonts w:ascii="Times New Roman;Times;serif" w:hAnsi="Times New Roman;Times;serif"/>
          <w:sz w:val="20"/>
        </w:rPr>
        <w:t>experience</w:t>
      </w:r>
      <w:r>
        <w:rPr>
          <w:rFonts w:ascii="Times New Roman;Times;serif" w:hAnsi="Times New Roman;Times;serif"/>
          <w:spacing w:val="-6"/>
          <w:sz w:val="20"/>
        </w:rPr>
        <w:t xml:space="preserve"> </w:t>
      </w:r>
      <w:r>
        <w:rPr>
          <w:rFonts w:ascii="Times New Roman;Times;serif" w:hAnsi="Times New Roman;Times;serif"/>
          <w:sz w:val="20"/>
        </w:rPr>
        <w:t>seasonal</w:t>
      </w:r>
      <w:r>
        <w:rPr>
          <w:rFonts w:ascii="Times New Roman;Times;serif" w:hAnsi="Times New Roman;Times;serif"/>
          <w:spacing w:val="-5"/>
          <w:sz w:val="20"/>
        </w:rPr>
        <w:t xml:space="preserve"> </w:t>
      </w:r>
      <w:r>
        <w:rPr>
          <w:rFonts w:ascii="Times New Roman;Times;serif" w:hAnsi="Times New Roman;Times;serif"/>
          <w:sz w:val="20"/>
        </w:rPr>
        <w:t>increases</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summer</w:t>
      </w:r>
      <w:r>
        <w:rPr>
          <w:rFonts w:ascii="Times New Roman;Times;serif" w:hAnsi="Times New Roman;Times;serif"/>
          <w:spacing w:val="-6"/>
          <w:sz w:val="20"/>
        </w:rPr>
        <w:t xml:space="preserve"> </w:t>
      </w:r>
      <w:r>
        <w:rPr>
          <w:rFonts w:ascii="Times New Roman;Times;serif" w:hAnsi="Times New Roman;Times;serif"/>
          <w:sz w:val="20"/>
        </w:rPr>
        <w:t>months</w:t>
      </w:r>
      <w:r>
        <w:rPr>
          <w:rFonts w:ascii="Times New Roman;Times;serif" w:hAnsi="Times New Roman;Times;serif"/>
          <w:spacing w:val="-5"/>
          <w:sz w:val="20"/>
        </w:rPr>
        <w:t xml:space="preserve"> </w:t>
      </w:r>
      <w:r>
        <w:rPr>
          <w:rFonts w:ascii="Times New Roman;Times;serif" w:hAnsi="Times New Roman;Times;serif"/>
          <w:sz w:val="20"/>
        </w:rPr>
        <w:t>that</w:t>
      </w:r>
      <w:r>
        <w:rPr>
          <w:rFonts w:ascii="Times New Roman;Times;serif" w:hAnsi="Times New Roman;Times;serif"/>
          <w:spacing w:val="-5"/>
          <w:sz w:val="20"/>
        </w:rPr>
        <w:t xml:space="preserve"> </w:t>
      </w:r>
      <w:r>
        <w:rPr>
          <w:rFonts w:ascii="Times New Roman;Times;serif" w:hAnsi="Times New Roman;Times;serif"/>
          <w:sz w:val="20"/>
        </w:rPr>
        <w:t>are</w:t>
      </w:r>
      <w:r>
        <w:rPr>
          <w:rFonts w:ascii="Times New Roman;Times;serif" w:hAnsi="Times New Roman;Times;serif"/>
          <w:spacing w:val="-6"/>
          <w:sz w:val="20"/>
        </w:rPr>
        <w:t xml:space="preserve"> </w:t>
      </w:r>
      <w:r>
        <w:rPr>
          <w:rFonts w:ascii="Times New Roman;Times;serif" w:hAnsi="Times New Roman;Times;serif"/>
          <w:sz w:val="20"/>
        </w:rPr>
        <w:t>reflected</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4"/>
          <w:sz w:val="20"/>
        </w:rPr>
        <w:t xml:space="preserve"> </w:t>
      </w:r>
      <w:r>
        <w:rPr>
          <w:rFonts w:ascii="Times New Roman;Times;serif" w:hAnsi="Times New Roman;Times;serif"/>
          <w:sz w:val="20"/>
        </w:rPr>
        <w:t>second and third quarter revenues and results of operations.</w:t>
      </w:r>
    </w:p>
    <w:p>
      <w:pPr>
        <w:pStyle w:val="TextBody"/>
        <w:bidi w:val="0"/>
        <w:spacing w:lineRule="atLeast" w:line="222" w:before="0" w:after="240"/>
        <w:ind w:left="43" w:right="0" w:firstLine="360"/>
        <w:jc w:val="both"/>
        <w:rPr>
          <w:rFonts w:ascii="Times New Roman;Times;serif" w:hAnsi="Times New Roman;Times;serif"/>
          <w:sz w:val="20"/>
        </w:rPr>
      </w:pPr>
      <w:r>
        <w:rPr>
          <w:rFonts w:ascii="Times New Roman;Times;serif" w:hAnsi="Times New Roman;Times;serif"/>
          <w:sz w:val="20"/>
        </w:rPr>
        <w:t xml:space="preserve">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Conversely, certain destructive weather and climate conditions, such as wildfires in the Western U.S. and hurricanes that</w:t>
      </w:r>
      <w:r>
        <w:rPr>
          <w:rFonts w:ascii="Times New Roman;Times;serif" w:hAnsi="Times New Roman;Times;serif"/>
          <w:spacing w:val="-5"/>
          <w:sz w:val="20"/>
        </w:rPr>
        <w:t xml:space="preserve"> </w:t>
      </w:r>
      <w:r>
        <w:rPr>
          <w:rFonts w:ascii="Times New Roman;Times;serif" w:hAnsi="Times New Roman;Times;serif"/>
          <w:sz w:val="20"/>
        </w:rPr>
        <w:t>most</w:t>
      </w:r>
      <w:r>
        <w:rPr>
          <w:rFonts w:ascii="Times New Roman;Times;serif" w:hAnsi="Times New Roman;Times;serif"/>
          <w:spacing w:val="-6"/>
          <w:sz w:val="20"/>
        </w:rPr>
        <w:t xml:space="preserve"> </w:t>
      </w:r>
      <w:r>
        <w:rPr>
          <w:rFonts w:ascii="Times New Roman;Times;serif" w:hAnsi="Times New Roman;Times;serif"/>
          <w:sz w:val="20"/>
        </w:rPr>
        <w:t>often</w:t>
      </w:r>
      <w:r>
        <w:rPr>
          <w:rFonts w:ascii="Times New Roman;Times;serif" w:hAnsi="Times New Roman;Times;serif"/>
          <w:spacing w:val="-5"/>
          <w:sz w:val="20"/>
        </w:rPr>
        <w:t xml:space="preserve"> </w:t>
      </w:r>
      <w:r>
        <w:rPr>
          <w:rFonts w:ascii="Times New Roman;Times;serif" w:hAnsi="Times New Roman;Times;serif"/>
          <w:sz w:val="20"/>
        </w:rPr>
        <w:t>impact</w:t>
      </w:r>
      <w:r>
        <w:rPr>
          <w:rFonts w:ascii="Times New Roman;Times;serif" w:hAnsi="Times New Roman;Times;serif"/>
          <w:spacing w:val="-5"/>
          <w:sz w:val="20"/>
        </w:rPr>
        <w:t xml:space="preserve"> </w:t>
      </w:r>
      <w:r>
        <w:rPr>
          <w:rFonts w:ascii="Times New Roman;Times;serif" w:hAnsi="Times New Roman;Times;serif"/>
          <w:sz w:val="20"/>
        </w:rPr>
        <w:t>our</w:t>
      </w:r>
      <w:r>
        <w:rPr>
          <w:rFonts w:ascii="Times New Roman;Times;serif" w:hAnsi="Times New Roman;Times;serif"/>
          <w:spacing w:val="-6"/>
          <w:sz w:val="20"/>
        </w:rPr>
        <w:t xml:space="preserve"> </w:t>
      </w:r>
      <w:r>
        <w:rPr>
          <w:rFonts w:ascii="Times New Roman;Times;serif" w:hAnsi="Times New Roman;Times;serif"/>
          <w:sz w:val="20"/>
        </w:rPr>
        <w:t>operations</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Southern</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Eastern</w:t>
      </w:r>
      <w:r>
        <w:rPr>
          <w:rFonts w:ascii="Times New Roman;Times;serif" w:hAnsi="Times New Roman;Times;serif"/>
          <w:spacing w:val="-6"/>
          <w:sz w:val="20"/>
        </w:rPr>
        <w:t xml:space="preserve"> </w:t>
      </w:r>
      <w:r>
        <w:rPr>
          <w:rFonts w:ascii="Times New Roman;Times;serif" w:hAnsi="Times New Roman;Times;serif"/>
          <w:sz w:val="20"/>
        </w:rPr>
        <w:t>U.S.</w:t>
      </w:r>
      <w:r>
        <w:rPr>
          <w:rFonts w:ascii="Times New Roman;Times;serif" w:hAnsi="Times New Roman;Times;serif"/>
          <w:spacing w:val="-4"/>
          <w:sz w:val="20"/>
        </w:rPr>
        <w:t xml:space="preserve"> </w:t>
      </w:r>
      <w:r>
        <w:rPr>
          <w:rFonts w:ascii="Times New Roman;Times;serif" w:hAnsi="Times New Roman;Times;serif"/>
          <w:sz w:val="20"/>
        </w:rPr>
        <w:t>during</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second</w:t>
      </w:r>
      <w:r>
        <w:rPr>
          <w:rFonts w:ascii="Times New Roman;Times;serif" w:hAnsi="Times New Roman;Times;serif"/>
          <w:spacing w:val="-4"/>
          <w:sz w:val="20"/>
        </w:rPr>
        <w:t xml:space="preserve"> </w:t>
      </w:r>
      <w:r>
        <w:rPr>
          <w:rFonts w:ascii="Times New Roman;Times;serif" w:hAnsi="Times New Roman;Times;serif"/>
          <w:sz w:val="20"/>
        </w:rPr>
        <w:t>half</w:t>
      </w:r>
      <w:r>
        <w:rPr>
          <w:rFonts w:ascii="Times New Roman;Times;serif" w:hAnsi="Times New Roman;Times;serif"/>
          <w:spacing w:val="-5"/>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year,</w:t>
      </w:r>
      <w:r>
        <w:rPr>
          <w:rFonts w:ascii="Times New Roman;Times;serif" w:hAnsi="Times New Roman;Times;serif"/>
          <w:spacing w:val="-4"/>
          <w:sz w:val="20"/>
        </w:rPr>
        <w:t xml:space="preserve"> </w:t>
      </w:r>
      <w:r>
        <w:rPr>
          <w:rFonts w:ascii="Times New Roman;Times;serif" w:hAnsi="Times New Roman;Times;serif"/>
          <w:sz w:val="20"/>
        </w:rPr>
        <w:t>can</w:t>
      </w:r>
      <w:r>
        <w:rPr>
          <w:rFonts w:ascii="Times New Roman;Times;serif" w:hAnsi="Times New Roman;Times;serif"/>
          <w:spacing w:val="-4"/>
          <w:sz w:val="20"/>
        </w:rPr>
        <w:t xml:space="preserve"> </w:t>
      </w:r>
      <w:r>
        <w:rPr>
          <w:rFonts w:ascii="Times New Roman;Times;serif" w:hAnsi="Times New Roman;Times;serif"/>
          <w:sz w:val="20"/>
        </w:rPr>
        <w:t>increase</w:t>
      </w:r>
      <w:r>
        <w:rPr>
          <w:rFonts w:ascii="Times New Roman;Times;serif" w:hAnsi="Times New Roman;Times;serif"/>
          <w:spacing w:val="-6"/>
          <w:sz w:val="20"/>
        </w:rPr>
        <w:t xml:space="preserve"> </w:t>
      </w:r>
      <w:r>
        <w:rPr>
          <w:rFonts w:ascii="Times New Roman;Times;serif" w:hAnsi="Times New Roman;Times;serif"/>
          <w:sz w:val="20"/>
        </w:rPr>
        <w:t>our revenues</w:t>
      </w:r>
      <w:r>
        <w:rPr>
          <w:rFonts w:ascii="Times New Roman;Times;serif" w:hAnsi="Times New Roman;Times;serif"/>
          <w:spacing w:val="-9"/>
          <w:sz w:val="20"/>
        </w:rPr>
        <w:t xml:space="preserve"> </w:t>
      </w:r>
      <w:r>
        <w:rPr>
          <w:rFonts w:ascii="Times New Roman;Times;serif" w:hAnsi="Times New Roman;Times;serif"/>
          <w:sz w:val="20"/>
        </w:rPr>
        <w:t>in</w:t>
      </w:r>
      <w:r>
        <w:rPr>
          <w:rFonts w:ascii="Times New Roman;Times;serif" w:hAnsi="Times New Roman;Times;serif"/>
          <w:spacing w:val="-9"/>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geographic</w:t>
      </w:r>
      <w:r>
        <w:rPr>
          <w:rFonts w:ascii="Times New Roman;Times;serif" w:hAnsi="Times New Roman;Times;serif"/>
          <w:spacing w:val="-9"/>
          <w:sz w:val="20"/>
        </w:rPr>
        <w:t xml:space="preserve"> </w:t>
      </w:r>
      <w:r>
        <w:rPr>
          <w:rFonts w:ascii="Times New Roman;Times;serif" w:hAnsi="Times New Roman;Times;serif"/>
          <w:sz w:val="20"/>
        </w:rPr>
        <w:t>areas</w:t>
      </w:r>
      <w:r>
        <w:rPr>
          <w:rFonts w:ascii="Times New Roman;Times;serif" w:hAnsi="Times New Roman;Times;serif"/>
          <w:spacing w:val="-9"/>
          <w:sz w:val="20"/>
        </w:rPr>
        <w:t xml:space="preserve"> </w:t>
      </w:r>
      <w:r>
        <w:rPr>
          <w:rFonts w:ascii="Times New Roman;Times;serif" w:hAnsi="Times New Roman;Times;serif"/>
          <w:sz w:val="20"/>
        </w:rPr>
        <w:t>affected</w:t>
      </w:r>
      <w:r>
        <w:rPr>
          <w:rFonts w:ascii="Times New Roman;Times;serif" w:hAnsi="Times New Roman;Times;serif"/>
          <w:spacing w:val="-11"/>
          <w:sz w:val="20"/>
        </w:rPr>
        <w:t xml:space="preserve"> </w:t>
      </w:r>
      <w:r>
        <w:rPr>
          <w:rFonts w:ascii="Times New Roman;Times;serif" w:hAnsi="Times New Roman;Times;serif"/>
          <w:sz w:val="20"/>
        </w:rPr>
        <w:t>as</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11"/>
          <w:sz w:val="20"/>
        </w:rPr>
        <w:t xml:space="preserve"> </w:t>
      </w:r>
      <w:r>
        <w:rPr>
          <w:rFonts w:ascii="Times New Roman;Times;serif" w:hAnsi="Times New Roman;Times;serif"/>
          <w:sz w:val="20"/>
        </w:rPr>
        <w:t>result</w:t>
      </w:r>
      <w:r>
        <w:rPr>
          <w:rFonts w:ascii="Times New Roman;Times;serif" w:hAnsi="Times New Roman;Times;serif"/>
          <w:spacing w:val="-11"/>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waste</w:t>
      </w:r>
      <w:r>
        <w:rPr>
          <w:rFonts w:ascii="Times New Roman;Times;serif" w:hAnsi="Times New Roman;Times;serif"/>
          <w:spacing w:val="-10"/>
          <w:sz w:val="20"/>
        </w:rPr>
        <w:t xml:space="preserve"> </w:t>
      </w:r>
      <w:r>
        <w:rPr>
          <w:rFonts w:ascii="Times New Roman;Times;serif" w:hAnsi="Times New Roman;Times;serif"/>
          <w:sz w:val="20"/>
        </w:rPr>
        <w:t>volumes</w:t>
      </w:r>
      <w:r>
        <w:rPr>
          <w:rFonts w:ascii="Times New Roman;Times;serif" w:hAnsi="Times New Roman;Times;serif"/>
          <w:spacing w:val="-10"/>
          <w:sz w:val="20"/>
        </w:rPr>
        <w:t xml:space="preserve"> </w:t>
      </w:r>
      <w:r>
        <w:rPr>
          <w:rFonts w:ascii="Times New Roman;Times;serif" w:hAnsi="Times New Roman;Times;serif"/>
          <w:sz w:val="20"/>
        </w:rPr>
        <w:t>generated</w:t>
      </w:r>
      <w:r>
        <w:rPr>
          <w:rFonts w:ascii="Times New Roman;Times;serif" w:hAnsi="Times New Roman;Times;serif"/>
          <w:spacing w:val="-10"/>
          <w:sz w:val="20"/>
        </w:rPr>
        <w:t xml:space="preserve"> </w:t>
      </w:r>
      <w:r>
        <w:rPr>
          <w:rFonts w:ascii="Times New Roman;Times;serif" w:hAnsi="Times New Roman;Times;serif"/>
          <w:sz w:val="20"/>
        </w:rPr>
        <w:t>by</w:t>
      </w:r>
      <w:r>
        <w:rPr>
          <w:rFonts w:ascii="Times New Roman;Times;serif" w:hAnsi="Times New Roman;Times;serif"/>
          <w:spacing w:val="-10"/>
          <w:sz w:val="20"/>
        </w:rPr>
        <w:t xml:space="preserve"> </w:t>
      </w:r>
      <w:r>
        <w:rPr>
          <w:rFonts w:ascii="Times New Roman;Times;serif" w:hAnsi="Times New Roman;Times;serif"/>
          <w:sz w:val="20"/>
        </w:rPr>
        <w:t>these</w:t>
      </w:r>
      <w:r>
        <w:rPr>
          <w:rFonts w:ascii="Times New Roman;Times;serif" w:hAnsi="Times New Roman;Times;serif"/>
          <w:spacing w:val="-10"/>
          <w:sz w:val="20"/>
        </w:rPr>
        <w:t xml:space="preserve"> </w:t>
      </w:r>
      <w:r>
        <w:rPr>
          <w:rFonts w:ascii="Times New Roman;Times;serif" w:hAnsi="Times New Roman;Times;serif"/>
          <w:sz w:val="20"/>
        </w:rPr>
        <w:t>events.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Variability in economic</w:t>
      </w:r>
      <w:r>
        <w:rPr>
          <w:rFonts w:ascii="Times New Roman;Times;serif" w:hAnsi="Times New Roman;Times;serif"/>
          <w:spacing w:val="-1"/>
          <w:sz w:val="20"/>
        </w:rPr>
        <w:t xml:space="preserve"> </w:t>
      </w:r>
      <w:r>
        <w:rPr>
          <w:rFonts w:ascii="Times New Roman;Times;serif" w:hAnsi="Times New Roman;Times;serif"/>
          <w:sz w:val="20"/>
        </w:rPr>
        <w:t>conditions,</w:t>
      </w:r>
      <w:r>
        <w:rPr>
          <w:rFonts w:ascii="Times New Roman;Times;serif" w:hAnsi="Times New Roman;Times;serif"/>
          <w:spacing w:val="-1"/>
          <w:sz w:val="20"/>
        </w:rPr>
        <w:t xml:space="preserve"> </w:t>
      </w:r>
      <w:r>
        <w:rPr>
          <w:rFonts w:ascii="Times New Roman;Times;serif" w:hAnsi="Times New Roman;Times;serif"/>
          <w:sz w:val="20"/>
        </w:rPr>
        <w:t>including inflation,</w:t>
      </w:r>
      <w:r>
        <w:rPr>
          <w:rFonts w:ascii="Times New Roman;Times;serif" w:hAnsi="Times New Roman;Times;serif"/>
          <w:spacing w:val="-1"/>
          <w:sz w:val="20"/>
        </w:rPr>
        <w:t xml:space="preserve"> </w:t>
      </w:r>
      <w:r>
        <w:rPr>
          <w:rFonts w:ascii="Times New Roman;Times;serif" w:hAnsi="Times New Roman;Times;serif"/>
          <w:sz w:val="20"/>
        </w:rPr>
        <w:t>interest</w:t>
      </w:r>
      <w:r>
        <w:rPr>
          <w:rFonts w:ascii="Times New Roman;Times;serif" w:hAnsi="Times New Roman;Times;serif"/>
          <w:spacing w:val="-1"/>
          <w:sz w:val="20"/>
        </w:rPr>
        <w:t xml:space="preserve"> </w:t>
      </w:r>
      <w:r>
        <w:rPr>
          <w:rFonts w:ascii="Times New Roman;Times;serif" w:hAnsi="Times New Roman;Times;serif"/>
          <w:sz w:val="20"/>
        </w:rPr>
        <w:t>rates,</w:t>
      </w:r>
      <w:r>
        <w:rPr>
          <w:rFonts w:ascii="Times New Roman;Times;serif" w:hAnsi="Times New Roman;Times;serif"/>
          <w:spacing w:val="-1"/>
          <w:sz w:val="20"/>
        </w:rPr>
        <w:t xml:space="preserve"> </w:t>
      </w:r>
      <w:r>
        <w:rPr>
          <w:rFonts w:ascii="Times New Roman;Times;serif" w:hAnsi="Times New Roman;Times;serif"/>
          <w:sz w:val="20"/>
        </w:rPr>
        <w:t>employment</w:t>
      </w:r>
      <w:r>
        <w:rPr>
          <w:rFonts w:ascii="Times New Roman;Times;serif" w:hAnsi="Times New Roman;Times;serif"/>
          <w:spacing w:val="-1"/>
          <w:sz w:val="20"/>
        </w:rPr>
        <w:t xml:space="preserve"> </w:t>
      </w:r>
      <w:r>
        <w:rPr>
          <w:rFonts w:ascii="Times New Roman;Times;serif" w:hAnsi="Times New Roman;Times;serif"/>
          <w:sz w:val="20"/>
        </w:rPr>
        <w:t>trends</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supply chain reliability, can</w:t>
      </w:r>
      <w:r>
        <w:rPr>
          <w:rFonts w:ascii="Times New Roman;Times;serif" w:hAnsi="Times New Roman;Times;serif"/>
          <w:spacing w:val="22"/>
          <w:sz w:val="20"/>
        </w:rPr>
        <w:t xml:space="preserve"> </w:t>
      </w:r>
      <w:r>
        <w:rPr>
          <w:rFonts w:ascii="Times New Roman;Times;serif" w:hAnsi="Times New Roman;Times;serif"/>
          <w:sz w:val="20"/>
        </w:rPr>
        <w:t>create</w:t>
      </w:r>
      <w:r>
        <w:rPr>
          <w:rFonts w:ascii="Times New Roman;Times;serif" w:hAnsi="Times New Roman;Times;serif"/>
          <w:spacing w:val="22"/>
          <w:sz w:val="20"/>
        </w:rPr>
        <w:t xml:space="preserve"> </w:t>
      </w:r>
      <w:r>
        <w:rPr>
          <w:rFonts w:ascii="Times New Roman;Times;serif" w:hAnsi="Times New Roman;Times;serif"/>
          <w:sz w:val="20"/>
        </w:rPr>
        <w:t>risk</w:t>
      </w:r>
      <w:r>
        <w:rPr>
          <w:rFonts w:ascii="Times New Roman;Times;serif" w:hAnsi="Times New Roman;Times;serif"/>
          <w:spacing w:val="21"/>
          <w:sz w:val="20"/>
        </w:rPr>
        <w:t xml:space="preserve"> </w:t>
      </w:r>
      <w:r>
        <w:rPr>
          <w:rFonts w:ascii="Times New Roman;Times;serif" w:hAnsi="Times New Roman;Times;serif"/>
          <w:sz w:val="20"/>
        </w:rPr>
        <w:t>and</w:t>
      </w:r>
      <w:r>
        <w:rPr>
          <w:rFonts w:ascii="Times New Roman;Times;serif" w:hAnsi="Times New Roman;Times;serif"/>
          <w:spacing w:val="21"/>
          <w:sz w:val="20"/>
        </w:rPr>
        <w:t xml:space="preserve"> </w:t>
      </w:r>
      <w:r>
        <w:rPr>
          <w:rFonts w:ascii="Times New Roman;Times;serif" w:hAnsi="Times New Roman;Times;serif"/>
          <w:sz w:val="20"/>
        </w:rPr>
        <w:t>uncertainty</w:t>
      </w:r>
      <w:r>
        <w:rPr>
          <w:rFonts w:ascii="Times New Roman;Times;serif" w:hAnsi="Times New Roman;Times;serif"/>
          <w:spacing w:val="22"/>
          <w:sz w:val="20"/>
        </w:rPr>
        <w:t xml:space="preserve"> </w:t>
      </w:r>
      <w:r>
        <w:rPr>
          <w:rFonts w:ascii="Times New Roman;Times;serif" w:hAnsi="Times New Roman;Times;serif"/>
          <w:sz w:val="20"/>
        </w:rPr>
        <w:t>in</w:t>
      </w:r>
      <w:r>
        <w:rPr>
          <w:rFonts w:ascii="Times New Roman;Times;serif" w:hAnsi="Times New Roman;Times;serif"/>
          <w:spacing w:val="21"/>
          <w:sz w:val="20"/>
        </w:rPr>
        <w:t xml:space="preserve"> </w:t>
      </w:r>
      <w:r>
        <w:rPr>
          <w:rFonts w:ascii="Times New Roman;Times;serif" w:hAnsi="Times New Roman;Times;serif"/>
          <w:sz w:val="20"/>
        </w:rPr>
        <w:t>financial</w:t>
      </w:r>
      <w:r>
        <w:rPr>
          <w:rFonts w:ascii="Times New Roman;Times;serif" w:hAnsi="Times New Roman;Times;serif"/>
          <w:spacing w:val="22"/>
          <w:sz w:val="20"/>
        </w:rPr>
        <w:t xml:space="preserve"> </w:t>
      </w:r>
      <w:r>
        <w:rPr>
          <w:rFonts w:ascii="Times New Roman;Times;serif" w:hAnsi="Times New Roman;Times;serif"/>
          <w:sz w:val="20"/>
        </w:rPr>
        <w:t>outlook.</w:t>
      </w:r>
      <w:r>
        <w:rPr>
          <w:rFonts w:ascii="Times New Roman;Times;serif" w:hAnsi="Times New Roman;Times;serif"/>
          <w:spacing w:val="21"/>
          <w:sz w:val="20"/>
        </w:rPr>
        <w:t xml:space="preserve"> </w:t>
      </w:r>
      <w:r>
        <w:rPr>
          <w:rFonts w:ascii="Times New Roman;Times;serif" w:hAnsi="Times New Roman;Times;serif"/>
          <w:sz w:val="20"/>
        </w:rPr>
        <w:t>We</w:t>
      </w:r>
      <w:r>
        <w:rPr>
          <w:rFonts w:ascii="Times New Roman;Times;serif" w:hAnsi="Times New Roman;Times;serif"/>
          <w:spacing w:val="21"/>
          <w:sz w:val="20"/>
        </w:rPr>
        <w:t xml:space="preserve"> </w:t>
      </w:r>
      <w:r>
        <w:rPr>
          <w:rFonts w:ascii="Times New Roman;Times;serif" w:hAnsi="Times New Roman;Times;serif"/>
          <w:sz w:val="20"/>
        </w:rPr>
        <w:t>take</w:t>
      </w:r>
      <w:r>
        <w:rPr>
          <w:rFonts w:ascii="Times New Roman;Times;serif" w:hAnsi="Times New Roman;Times;serif"/>
          <w:spacing w:val="21"/>
          <w:sz w:val="20"/>
        </w:rPr>
        <w:t xml:space="preserve"> </w:t>
      </w:r>
      <w:r>
        <w:rPr>
          <w:rFonts w:ascii="Times New Roman;Times;serif" w:hAnsi="Times New Roman;Times;serif"/>
          <w:sz w:val="20"/>
        </w:rPr>
        <w:t>proactive</w:t>
      </w:r>
      <w:r>
        <w:rPr>
          <w:rFonts w:ascii="Times New Roman;Times;serif" w:hAnsi="Times New Roman;Times;serif"/>
          <w:spacing w:val="20"/>
          <w:sz w:val="20"/>
        </w:rPr>
        <w:t xml:space="preserve"> </w:t>
      </w:r>
      <w:r>
        <w:rPr>
          <w:rFonts w:ascii="Times New Roman;Times;serif" w:hAnsi="Times New Roman;Times;serif"/>
          <w:sz w:val="20"/>
        </w:rPr>
        <w:t>steps</w:t>
      </w:r>
      <w:r>
        <w:rPr>
          <w:rFonts w:ascii="Times New Roman;Times;serif" w:hAnsi="Times New Roman;Times;serif"/>
          <w:spacing w:val="21"/>
          <w:sz w:val="20"/>
        </w:rPr>
        <w:t xml:space="preserve"> </w:t>
      </w:r>
      <w:r>
        <w:rPr>
          <w:rFonts w:ascii="Times New Roman;Times;serif" w:hAnsi="Times New Roman;Times;serif"/>
          <w:sz w:val="20"/>
        </w:rPr>
        <w:t>to</w:t>
      </w:r>
      <w:r>
        <w:rPr>
          <w:rFonts w:ascii="Times New Roman;Times;serif" w:hAnsi="Times New Roman;Times;serif"/>
          <w:spacing w:val="21"/>
          <w:sz w:val="20"/>
        </w:rPr>
        <w:t xml:space="preserve"> </w:t>
      </w:r>
      <w:r>
        <w:rPr>
          <w:rFonts w:ascii="Times New Roman;Times;serif" w:hAnsi="Times New Roman;Times;serif"/>
          <w:sz w:val="20"/>
        </w:rPr>
        <w:t>recover</w:t>
      </w:r>
      <w:r>
        <w:rPr>
          <w:rFonts w:ascii="Times New Roman;Times;serif" w:hAnsi="Times New Roman;Times;serif"/>
          <w:spacing w:val="21"/>
          <w:sz w:val="20"/>
        </w:rPr>
        <w:t xml:space="preserve"> </w:t>
      </w:r>
      <w:r>
        <w:rPr>
          <w:rFonts w:ascii="Times New Roman;Times;serif" w:hAnsi="Times New Roman;Times;serif"/>
          <w:sz w:val="20"/>
        </w:rPr>
        <w:t>and</w:t>
      </w:r>
      <w:r>
        <w:rPr>
          <w:rFonts w:ascii="Times New Roman;Times;serif" w:hAnsi="Times New Roman;Times;serif"/>
          <w:spacing w:val="21"/>
          <w:sz w:val="20"/>
        </w:rPr>
        <w:t xml:space="preserve"> </w:t>
      </w:r>
      <w:r>
        <w:rPr>
          <w:rFonts w:ascii="Times New Roman;Times;serif" w:hAnsi="Times New Roman;Times;serif"/>
          <w:sz w:val="20"/>
        </w:rPr>
        <w:t>mitigate</w:t>
      </w:r>
      <w:r>
        <w:rPr>
          <w:rFonts w:ascii="Times New Roman;Times;serif" w:hAnsi="Times New Roman;Times;serif"/>
          <w:spacing w:val="22"/>
          <w:sz w:val="20"/>
        </w:rPr>
        <w:t xml:space="preserve"> </w:t>
      </w:r>
      <w:r>
        <w:rPr>
          <w:rFonts w:ascii="Times New Roman;Times;serif" w:hAnsi="Times New Roman;Times;serif"/>
          <w:sz w:val="20"/>
        </w:rPr>
        <w:t>inflationary</w:t>
      </w:r>
      <w:r>
        <w:rPr>
          <w:rFonts w:ascii="Times New Roman;Times;serif" w:hAnsi="Times New Roman;Times;serif"/>
          <w:spacing w:val="21"/>
          <w:sz w:val="20"/>
        </w:rPr>
        <w:t xml:space="preserve"> </w:t>
      </w:r>
      <w:r>
        <w:rPr>
          <w:rFonts w:ascii="Times New Roman;Times;serif" w:hAnsi="Times New Roman;Times;serif"/>
          <w:sz w:val="20"/>
        </w:rPr>
        <w:t>cost</w:t>
      </w:r>
      <w:r>
        <w:rPr>
          <w:rFonts w:ascii="Times New Roman;Times;serif" w:hAnsi="Times New Roman;Times;serif"/>
          <w:spacing w:val="-2"/>
          <w:sz w:val="20"/>
        </w:rPr>
        <w:t xml:space="preserve"> </w:t>
      </w:r>
      <w:r>
        <w:rPr>
          <w:rFonts w:ascii="Times New Roman;Times;serif" w:hAnsi="Times New Roman;Times;serif"/>
          <w:sz w:val="20"/>
        </w:rPr>
        <w:t>pressures</w:t>
      </w:r>
      <w:r>
        <w:rPr>
          <w:rFonts w:ascii="Times New Roman;Times;serif" w:hAnsi="Times New Roman;Times;serif"/>
          <w:spacing w:val="34"/>
          <w:sz w:val="20"/>
        </w:rPr>
        <w:t xml:space="preserve"> </w:t>
      </w:r>
      <w:r>
        <w:rPr>
          <w:rFonts w:ascii="Times New Roman;Times;serif" w:hAnsi="Times New Roman;Times;serif"/>
          <w:sz w:val="20"/>
        </w:rPr>
        <w:t>through</w:t>
      </w:r>
      <w:r>
        <w:rPr>
          <w:rFonts w:ascii="Times New Roman;Times;serif" w:hAnsi="Times New Roman;Times;serif"/>
          <w:spacing w:val="33"/>
          <w:sz w:val="20"/>
        </w:rPr>
        <w:t xml:space="preserve"> </w:t>
      </w:r>
      <w:r>
        <w:rPr>
          <w:rFonts w:ascii="Times New Roman;Times;serif" w:hAnsi="Times New Roman;Times;serif"/>
          <w:sz w:val="20"/>
        </w:rPr>
        <w:t>our</w:t>
      </w:r>
      <w:r>
        <w:rPr>
          <w:rFonts w:ascii="Times New Roman;Times;serif" w:hAnsi="Times New Roman;Times;serif"/>
          <w:spacing w:val="32"/>
          <w:sz w:val="20"/>
        </w:rPr>
        <w:t xml:space="preserve"> </w:t>
      </w:r>
      <w:r>
        <w:rPr>
          <w:rFonts w:ascii="Times New Roman;Times;serif" w:hAnsi="Times New Roman;Times;serif"/>
          <w:sz w:val="20"/>
        </w:rPr>
        <w:t>overall</w:t>
      </w:r>
      <w:r>
        <w:rPr>
          <w:rFonts w:ascii="Times New Roman;Times;serif" w:hAnsi="Times New Roman;Times;serif"/>
          <w:spacing w:val="34"/>
          <w:sz w:val="20"/>
        </w:rPr>
        <w:t xml:space="preserve"> </w:t>
      </w:r>
      <w:r>
        <w:rPr>
          <w:rFonts w:ascii="Times New Roman;Times;serif" w:hAnsi="Times New Roman;Times;serif"/>
          <w:sz w:val="20"/>
        </w:rPr>
        <w:t>pricing</w:t>
      </w:r>
      <w:r>
        <w:rPr>
          <w:rFonts w:ascii="Times New Roman;Times;serif" w:hAnsi="Times New Roman;Times;serif"/>
          <w:spacing w:val="34"/>
          <w:sz w:val="20"/>
        </w:rPr>
        <w:t xml:space="preserve"> </w:t>
      </w:r>
      <w:r>
        <w:rPr>
          <w:rFonts w:ascii="Times New Roman;Times;serif" w:hAnsi="Times New Roman;Times;serif"/>
          <w:sz w:val="20"/>
        </w:rPr>
        <w:t>efforts</w:t>
      </w:r>
      <w:r>
        <w:rPr>
          <w:rFonts w:ascii="Times New Roman;Times;serif" w:hAnsi="Times New Roman;Times;serif"/>
          <w:spacing w:val="34"/>
          <w:sz w:val="20"/>
        </w:rPr>
        <w:t xml:space="preserve"> </w:t>
      </w:r>
      <w:r>
        <w:rPr>
          <w:rFonts w:ascii="Times New Roman;Times;serif" w:hAnsi="Times New Roman;Times;serif"/>
          <w:sz w:val="20"/>
        </w:rPr>
        <w:t>and</w:t>
      </w:r>
      <w:r>
        <w:rPr>
          <w:rFonts w:ascii="Times New Roman;Times;serif" w:hAnsi="Times New Roman;Times;serif"/>
          <w:spacing w:val="33"/>
          <w:sz w:val="20"/>
        </w:rPr>
        <w:t xml:space="preserve"> </w:t>
      </w:r>
      <w:r>
        <w:rPr>
          <w:rFonts w:ascii="Times New Roman;Times;serif" w:hAnsi="Times New Roman;Times;serif"/>
          <w:sz w:val="20"/>
        </w:rPr>
        <w:t>by</w:t>
      </w:r>
      <w:r>
        <w:rPr>
          <w:rFonts w:ascii="Times New Roman;Times;serif" w:hAnsi="Times New Roman;Times;serif"/>
          <w:spacing w:val="33"/>
          <w:sz w:val="20"/>
        </w:rPr>
        <w:t xml:space="preserve"> </w:t>
      </w:r>
      <w:r>
        <w:rPr>
          <w:rFonts w:ascii="Times New Roman;Times;serif" w:hAnsi="Times New Roman;Times;serif"/>
          <w:sz w:val="20"/>
        </w:rPr>
        <w:t>managing</w:t>
      </w:r>
      <w:r>
        <w:rPr>
          <w:rFonts w:ascii="Times New Roman;Times;serif" w:hAnsi="Times New Roman;Times;serif"/>
          <w:spacing w:val="32"/>
          <w:sz w:val="20"/>
        </w:rPr>
        <w:t xml:space="preserve"> </w:t>
      </w:r>
      <w:r>
        <w:rPr>
          <w:rFonts w:ascii="Times New Roman;Times;serif" w:hAnsi="Times New Roman;Times;serif"/>
          <w:sz w:val="20"/>
        </w:rPr>
        <w:t>our</w:t>
      </w:r>
      <w:r>
        <w:rPr>
          <w:rFonts w:ascii="Times New Roman;Times;serif" w:hAnsi="Times New Roman;Times;serif"/>
          <w:spacing w:val="34"/>
          <w:sz w:val="20"/>
        </w:rPr>
        <w:t xml:space="preserve"> </w:t>
      </w:r>
      <w:r>
        <w:rPr>
          <w:rFonts w:ascii="Times New Roman;Times;serif" w:hAnsi="Times New Roman;Times;serif"/>
          <w:sz w:val="20"/>
        </w:rPr>
        <w:t>costs</w:t>
      </w:r>
      <w:r>
        <w:rPr>
          <w:rFonts w:ascii="Times New Roman;Times;serif" w:hAnsi="Times New Roman;Times;serif"/>
          <w:spacing w:val="34"/>
          <w:sz w:val="20"/>
        </w:rPr>
        <w:t xml:space="preserve"> </w:t>
      </w:r>
      <w:r>
        <w:rPr>
          <w:rFonts w:ascii="Times New Roman;Times;serif" w:hAnsi="Times New Roman;Times;serif"/>
          <w:sz w:val="20"/>
        </w:rPr>
        <w:t>through</w:t>
      </w:r>
      <w:r>
        <w:rPr>
          <w:rFonts w:ascii="Times New Roman;Times;serif" w:hAnsi="Times New Roman;Times;serif"/>
          <w:spacing w:val="33"/>
          <w:sz w:val="20"/>
        </w:rPr>
        <w:t xml:space="preserve"> </w:t>
      </w:r>
      <w:r>
        <w:rPr>
          <w:rFonts w:ascii="Times New Roman;Times;serif" w:hAnsi="Times New Roman;Times;serif"/>
          <w:sz w:val="20"/>
        </w:rPr>
        <w:t>efficiency,</w:t>
      </w:r>
      <w:r>
        <w:rPr>
          <w:rFonts w:ascii="Times New Roman;Times;serif" w:hAnsi="Times New Roman;Times;serif"/>
          <w:spacing w:val="33"/>
          <w:sz w:val="20"/>
        </w:rPr>
        <w:t xml:space="preserve"> </w:t>
      </w:r>
      <w:r>
        <w:rPr>
          <w:rFonts w:ascii="Times New Roman;Times;serif" w:hAnsi="Times New Roman;Times;serif"/>
          <w:sz w:val="20"/>
        </w:rPr>
        <w:t>labor</w:t>
      </w:r>
      <w:r>
        <w:rPr>
          <w:rFonts w:ascii="Times New Roman;Times;serif" w:hAnsi="Times New Roman;Times;serif"/>
          <w:spacing w:val="32"/>
          <w:sz w:val="20"/>
        </w:rPr>
        <w:t xml:space="preserve"> </w:t>
      </w:r>
      <w:r>
        <w:rPr>
          <w:rFonts w:ascii="Times New Roman;Times;serif" w:hAnsi="Times New Roman;Times;serif"/>
          <w:sz w:val="20"/>
        </w:rPr>
        <w:t>productivity</w:t>
      </w:r>
      <w:r>
        <w:rPr>
          <w:rFonts w:ascii="Times New Roman;Times;serif" w:hAnsi="Times New Roman;Times;serif"/>
          <w:spacing w:val="34"/>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investments</w:t>
      </w:r>
      <w:r>
        <w:rPr>
          <w:rFonts w:ascii="Times New Roman;Times;serif" w:hAnsi="Times New Roman;Times;serif"/>
          <w:spacing w:val="13"/>
          <w:sz w:val="20"/>
        </w:rPr>
        <w:t xml:space="preserve"> </w:t>
      </w:r>
      <w:r>
        <w:rPr>
          <w:rFonts w:ascii="Times New Roman;Times;serif" w:hAnsi="Times New Roman;Times;serif"/>
          <w:sz w:val="20"/>
        </w:rPr>
        <w:t>in</w:t>
      </w:r>
      <w:r>
        <w:rPr>
          <w:rFonts w:ascii="Times New Roman;Times;serif" w:hAnsi="Times New Roman;Times;serif"/>
          <w:spacing w:val="13"/>
          <w:sz w:val="20"/>
        </w:rPr>
        <w:t xml:space="preserve"> </w:t>
      </w:r>
      <w:r>
        <w:rPr>
          <w:rFonts w:ascii="Times New Roman;Times;serif" w:hAnsi="Times New Roman;Times;serif"/>
          <w:sz w:val="20"/>
        </w:rPr>
        <w:t>technology</w:t>
      </w:r>
      <w:r>
        <w:rPr>
          <w:rFonts w:ascii="Times New Roman;Times;serif" w:hAnsi="Times New Roman;Times;serif"/>
          <w:spacing w:val="14"/>
          <w:sz w:val="20"/>
        </w:rPr>
        <w:t xml:space="preserve"> </w:t>
      </w:r>
      <w:r>
        <w:rPr>
          <w:rFonts w:ascii="Times New Roman;Times;serif" w:hAnsi="Times New Roman;Times;serif"/>
          <w:sz w:val="20"/>
        </w:rPr>
        <w:t>to</w:t>
      </w:r>
      <w:r>
        <w:rPr>
          <w:rFonts w:ascii="Times New Roman;Times;serif" w:hAnsi="Times New Roman;Times;serif"/>
          <w:spacing w:val="13"/>
          <w:sz w:val="20"/>
        </w:rPr>
        <w:t xml:space="preserve"> </w:t>
      </w:r>
      <w:r>
        <w:rPr>
          <w:rFonts w:ascii="Times New Roman;Times;serif" w:hAnsi="Times New Roman;Times;serif"/>
          <w:sz w:val="20"/>
        </w:rPr>
        <w:t>automate</w:t>
      </w:r>
      <w:r>
        <w:rPr>
          <w:rFonts w:ascii="Times New Roman;Times;serif" w:hAnsi="Times New Roman;Times;serif"/>
          <w:spacing w:val="13"/>
          <w:sz w:val="20"/>
        </w:rPr>
        <w:t xml:space="preserve"> </w:t>
      </w:r>
      <w:r>
        <w:rPr>
          <w:rFonts w:ascii="Times New Roman;Times;serif" w:hAnsi="Times New Roman;Times;serif"/>
          <w:sz w:val="20"/>
        </w:rPr>
        <w:t>certain</w:t>
      </w:r>
      <w:r>
        <w:rPr>
          <w:rFonts w:ascii="Times New Roman;Times;serif" w:hAnsi="Times New Roman;Times;serif"/>
          <w:spacing w:val="14"/>
          <w:sz w:val="20"/>
        </w:rPr>
        <w:t xml:space="preserve"> </w:t>
      </w:r>
      <w:r>
        <w:rPr>
          <w:rFonts w:ascii="Times New Roman;Times;serif" w:hAnsi="Times New Roman;Times;serif"/>
          <w:sz w:val="20"/>
        </w:rPr>
        <w:t>aspects</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12"/>
          <w:sz w:val="20"/>
        </w:rPr>
        <w:t xml:space="preserve"> </w:t>
      </w:r>
      <w:r>
        <w:rPr>
          <w:rFonts w:ascii="Times New Roman;Times;serif" w:hAnsi="Times New Roman;Times;serif"/>
          <w:sz w:val="20"/>
        </w:rPr>
        <w:t>our</w:t>
      </w:r>
      <w:r>
        <w:rPr>
          <w:rFonts w:ascii="Times New Roman;Times;serif" w:hAnsi="Times New Roman;Times;serif"/>
          <w:spacing w:val="14"/>
          <w:sz w:val="20"/>
        </w:rPr>
        <w:t xml:space="preserve"> </w:t>
      </w:r>
      <w:r>
        <w:rPr>
          <w:rFonts w:ascii="Times New Roman;Times;serif" w:hAnsi="Times New Roman;Times;serif"/>
          <w:sz w:val="20"/>
        </w:rPr>
        <w:t>business.</w:t>
      </w:r>
      <w:r>
        <w:rPr>
          <w:rFonts w:ascii="Times New Roman;Times;serif" w:hAnsi="Times New Roman;Times;serif"/>
          <w:spacing w:val="12"/>
          <w:sz w:val="20"/>
        </w:rPr>
        <w:t xml:space="preserve"> </w:t>
      </w:r>
      <w:r>
        <w:rPr>
          <w:rFonts w:ascii="Times New Roman;Times;serif" w:hAnsi="Times New Roman;Times;serif"/>
          <w:sz w:val="20"/>
        </w:rPr>
        <w:t>These</w:t>
      </w:r>
      <w:r>
        <w:rPr>
          <w:rFonts w:ascii="Times New Roman;Times;serif" w:hAnsi="Times New Roman;Times;serif"/>
          <w:spacing w:val="14"/>
          <w:sz w:val="20"/>
        </w:rPr>
        <w:t xml:space="preserve"> </w:t>
      </w:r>
      <w:r>
        <w:rPr>
          <w:rFonts w:ascii="Times New Roman;Times;serif" w:hAnsi="Times New Roman;Times;serif"/>
          <w:sz w:val="20"/>
        </w:rPr>
        <w:t>efforts</w:t>
      </w:r>
      <w:r>
        <w:rPr>
          <w:rFonts w:ascii="Times New Roman;Times;serif" w:hAnsi="Times New Roman;Times;serif"/>
          <w:spacing w:val="13"/>
          <w:sz w:val="20"/>
        </w:rPr>
        <w:t xml:space="preserve"> </w:t>
      </w:r>
      <w:r>
        <w:rPr>
          <w:rFonts w:ascii="Times New Roman;Times;serif" w:hAnsi="Times New Roman;Times;serif"/>
          <w:sz w:val="20"/>
        </w:rPr>
        <w:t>may</w:t>
      </w:r>
      <w:r>
        <w:rPr>
          <w:rFonts w:ascii="Times New Roman;Times;serif" w:hAnsi="Times New Roman;Times;serif"/>
          <w:spacing w:val="13"/>
          <w:sz w:val="20"/>
        </w:rPr>
        <w:t xml:space="preserve"> </w:t>
      </w:r>
      <w:r>
        <w:rPr>
          <w:rFonts w:ascii="Times New Roman;Times;serif" w:hAnsi="Times New Roman;Times;serif"/>
          <w:sz w:val="20"/>
        </w:rPr>
        <w:t>not</w:t>
      </w:r>
      <w:r>
        <w:rPr>
          <w:rFonts w:ascii="Times New Roman;Times;serif" w:hAnsi="Times New Roman;Times;serif"/>
          <w:spacing w:val="12"/>
          <w:sz w:val="20"/>
        </w:rPr>
        <w:t xml:space="preserve"> </w:t>
      </w:r>
      <w:r>
        <w:rPr>
          <w:rFonts w:ascii="Times New Roman;Times;serif" w:hAnsi="Times New Roman;Times;serif"/>
          <w:sz w:val="20"/>
        </w:rPr>
        <w:t>be</w:t>
      </w:r>
      <w:r>
        <w:rPr>
          <w:rFonts w:ascii="Times New Roman;Times;serif" w:hAnsi="Times New Roman;Times;serif"/>
          <w:spacing w:val="14"/>
          <w:sz w:val="20"/>
        </w:rPr>
        <w:t xml:space="preserve"> </w:t>
      </w:r>
      <w:r>
        <w:rPr>
          <w:rFonts w:ascii="Times New Roman;Times;serif" w:hAnsi="Times New Roman;Times;serif"/>
          <w:sz w:val="20"/>
        </w:rPr>
        <w:t>successful</w:t>
      </w:r>
      <w:r>
        <w:rPr>
          <w:rFonts w:ascii="Times New Roman;Times;serif" w:hAnsi="Times New Roman;Times;serif"/>
          <w:spacing w:val="13"/>
          <w:sz w:val="20"/>
        </w:rPr>
        <w:t xml:space="preserve"> </w:t>
      </w:r>
      <w:r>
        <w:rPr>
          <w:rFonts w:ascii="Times New Roman;Times;serif" w:hAnsi="Times New Roman;Times;serif"/>
          <w:sz w:val="20"/>
        </w:rPr>
        <w:t>for</w:t>
      </w:r>
      <w:r>
        <w:rPr>
          <w:rFonts w:ascii="Times New Roman;Times;serif" w:hAnsi="Times New Roman;Times;serif"/>
          <w:spacing w:val="14"/>
          <w:sz w:val="20"/>
        </w:rPr>
        <w:t xml:space="preserve"> </w:t>
      </w:r>
      <w:r>
        <w:rPr>
          <w:rFonts w:ascii="Times New Roman;Times;serif" w:hAnsi="Times New Roman;Times;serif"/>
          <w:sz w:val="20"/>
        </w:rPr>
        <w:t>various</w:t>
      </w:r>
      <w:r>
        <w:rPr>
          <w:rFonts w:ascii="Times New Roman;Times;serif" w:hAnsi="Times New Roman;Times;serif"/>
          <w:spacing w:val="-1"/>
          <w:sz w:val="20"/>
        </w:rPr>
        <w:t xml:space="preserve"> </w:t>
      </w:r>
      <w:r>
        <w:rPr>
          <w:rFonts w:ascii="Times New Roman;Times;serif" w:hAnsi="Times New Roman;Times;serif"/>
          <w:sz w:val="20"/>
        </w:rPr>
        <w:t>reasons</w:t>
      </w:r>
      <w:r>
        <w:rPr>
          <w:rFonts w:ascii="Times New Roman;Times;serif" w:hAnsi="Times New Roman;Times;serif"/>
          <w:spacing w:val="6"/>
          <w:sz w:val="20"/>
        </w:rPr>
        <w:t xml:space="preserve"> </w:t>
      </w:r>
      <w:r>
        <w:rPr>
          <w:rFonts w:ascii="Times New Roman;Times;serif" w:hAnsi="Times New Roman;Times;serif"/>
          <w:sz w:val="20"/>
        </w:rPr>
        <w:t>including</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pace</w:t>
      </w:r>
      <w:r>
        <w:rPr>
          <w:rFonts w:ascii="Times New Roman;Times;serif" w:hAnsi="Times New Roman;Times;serif"/>
          <w:spacing w:val="5"/>
          <w:sz w:val="20"/>
        </w:rPr>
        <w:t xml:space="preserve"> </w:t>
      </w:r>
      <w:r>
        <w:rPr>
          <w:rFonts w:ascii="Times New Roman;Times;serif" w:hAnsi="Times New Roman;Times;serif"/>
          <w:sz w:val="20"/>
        </w:rPr>
        <w:t>of</w:t>
      </w:r>
      <w:r>
        <w:rPr>
          <w:rFonts w:ascii="Times New Roman;Times;serif" w:hAnsi="Times New Roman;Times;serif"/>
          <w:spacing w:val="5"/>
          <w:sz w:val="20"/>
        </w:rPr>
        <w:t xml:space="preserve"> </w:t>
      </w:r>
      <w:r>
        <w:rPr>
          <w:rFonts w:ascii="Times New Roman;Times;serif" w:hAnsi="Times New Roman;Times;serif"/>
          <w:sz w:val="20"/>
        </w:rPr>
        <w:t>inflation,</w:t>
      </w:r>
      <w:r>
        <w:rPr>
          <w:rFonts w:ascii="Times New Roman;Times;serif" w:hAnsi="Times New Roman;Times;serif"/>
          <w:spacing w:val="6"/>
          <w:sz w:val="20"/>
        </w:rPr>
        <w:t xml:space="preserve"> </w:t>
      </w:r>
      <w:r>
        <w:rPr>
          <w:rFonts w:ascii="Times New Roman;Times;serif" w:hAnsi="Times New Roman;Times;serif"/>
          <w:sz w:val="20"/>
        </w:rPr>
        <w:t>operating</w:t>
      </w:r>
      <w:r>
        <w:rPr>
          <w:rFonts w:ascii="Times New Roman;Times;serif" w:hAnsi="Times New Roman;Times;serif"/>
          <w:spacing w:val="6"/>
          <w:sz w:val="20"/>
        </w:rPr>
        <w:t xml:space="preserve"> </w:t>
      </w:r>
      <w:r>
        <w:rPr>
          <w:rFonts w:ascii="Times New Roman;Times;serif" w:hAnsi="Times New Roman;Times;serif"/>
          <w:sz w:val="20"/>
        </w:rPr>
        <w:t>cost</w:t>
      </w:r>
      <w:r>
        <w:rPr>
          <w:rFonts w:ascii="Times New Roman;Times;serif" w:hAnsi="Times New Roman;Times;serif"/>
          <w:spacing w:val="6"/>
          <w:sz w:val="20"/>
        </w:rPr>
        <w:t xml:space="preserve"> </w:t>
      </w:r>
      <w:r>
        <w:rPr>
          <w:rFonts w:ascii="Times New Roman;Times;serif" w:hAnsi="Times New Roman;Times;serif"/>
          <w:sz w:val="20"/>
        </w:rPr>
        <w:t>inefficiencies,</w:t>
      </w:r>
      <w:r>
        <w:rPr>
          <w:rFonts w:ascii="Times New Roman;Times;serif" w:hAnsi="Times New Roman;Times;serif"/>
          <w:spacing w:val="6"/>
          <w:sz w:val="20"/>
        </w:rPr>
        <w:t xml:space="preserve"> </w:t>
      </w:r>
      <w:r>
        <w:rPr>
          <w:rFonts w:ascii="Times New Roman;Times;serif" w:hAnsi="Times New Roman;Times;serif"/>
          <w:sz w:val="20"/>
        </w:rPr>
        <w:t>market</w:t>
      </w:r>
      <w:r>
        <w:rPr>
          <w:rFonts w:ascii="Times New Roman;Times;serif" w:hAnsi="Times New Roman;Times;serif"/>
          <w:spacing w:val="6"/>
          <w:sz w:val="20"/>
        </w:rPr>
        <w:t xml:space="preserve"> </w:t>
      </w:r>
      <w:r>
        <w:rPr>
          <w:rFonts w:ascii="Times New Roman;Times;serif" w:hAnsi="Times New Roman;Times;serif"/>
          <w:sz w:val="20"/>
        </w:rPr>
        <w:t>responses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contractual</w:t>
      </w:r>
      <w:r>
        <w:rPr>
          <w:rFonts w:ascii="Times New Roman;Times;serif" w:hAnsi="Times New Roman;Times;serif"/>
          <w:spacing w:val="5"/>
          <w:sz w:val="20"/>
        </w:rPr>
        <w:t xml:space="preserve"> </w:t>
      </w:r>
      <w:r>
        <w:rPr>
          <w:rFonts w:ascii="Times New Roman;Times;serif" w:hAnsi="Times New Roman;Times;serif"/>
          <w:sz w:val="20"/>
        </w:rPr>
        <w:t>limitations,</w:t>
      </w:r>
      <w:r>
        <w:rPr>
          <w:rFonts w:ascii="Times New Roman;Times;serif" w:hAnsi="Times New Roman;Times;serif"/>
          <w:spacing w:val="6"/>
          <w:sz w:val="20"/>
        </w:rPr>
        <w:t xml:space="preserve"> </w:t>
      </w:r>
      <w:r>
        <w:rPr>
          <w:rFonts w:ascii="Times New Roman;Times;serif" w:hAnsi="Times New Roman;Times;serif"/>
          <w:sz w:val="20"/>
        </w:rPr>
        <w:t>such</w:t>
      </w:r>
      <w:r>
        <w:rPr>
          <w:rFonts w:ascii="Times New Roman;Times;serif" w:hAnsi="Times New Roman;Times;serif"/>
          <w:spacing w:val="-1"/>
          <w:sz w:val="20"/>
        </w:rPr>
        <w:t xml:space="preserve"> </w:t>
      </w:r>
      <w:r>
        <w:rPr>
          <w:rFonts w:ascii="Times New Roman;Times;serif" w:hAnsi="Times New Roman;Times;serif"/>
          <w:sz w:val="20"/>
        </w:rPr>
        <w:t>as</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timing</w:t>
      </w:r>
      <w:r>
        <w:rPr>
          <w:rFonts w:ascii="Times New Roman;Times;serif" w:hAnsi="Times New Roman;Times;serif"/>
          <w:spacing w:val="8"/>
          <w:sz w:val="20"/>
        </w:rPr>
        <w:t xml:space="preserve"> </w:t>
      </w:r>
      <w:r>
        <w:rPr>
          <w:rFonts w:ascii="Times New Roman;Times;serif" w:hAnsi="Times New Roman;Times;serif"/>
          <w:sz w:val="20"/>
        </w:rPr>
        <w:t>lag</w:t>
      </w:r>
      <w:r>
        <w:rPr>
          <w:rFonts w:ascii="Times New Roman;Times;serif" w:hAnsi="Times New Roman;Times;serif"/>
          <w:spacing w:val="8"/>
          <w:sz w:val="20"/>
        </w:rPr>
        <w:t xml:space="preserve"> </w:t>
      </w:r>
      <w:r>
        <w:rPr>
          <w:rFonts w:ascii="Times New Roman;Times;serif" w:hAnsi="Times New Roman;Times;serif"/>
          <w:sz w:val="20"/>
        </w:rPr>
        <w:t>in</w:t>
      </w:r>
      <w:r>
        <w:rPr>
          <w:rFonts w:ascii="Times New Roman;Times;serif" w:hAnsi="Times New Roman;Times;serif"/>
          <w:spacing w:val="7"/>
          <w:sz w:val="20"/>
        </w:rPr>
        <w:t xml:space="preserve"> </w:t>
      </w:r>
      <w:r>
        <w:rPr>
          <w:rFonts w:ascii="Times New Roman;Times;serif" w:hAnsi="Times New Roman;Times;serif"/>
          <w:sz w:val="20"/>
        </w:rPr>
        <w:t>our</w:t>
      </w:r>
      <w:r>
        <w:rPr>
          <w:rFonts w:ascii="Times New Roman;Times;serif" w:hAnsi="Times New Roman;Times;serif"/>
          <w:spacing w:val="7"/>
          <w:sz w:val="20"/>
        </w:rPr>
        <w:t xml:space="preserve"> </w:t>
      </w:r>
      <w:r>
        <w:rPr>
          <w:rFonts w:ascii="Times New Roman;Times;serif" w:hAnsi="Times New Roman;Times;serif"/>
          <w:sz w:val="20"/>
        </w:rPr>
        <w:t>ability</w:t>
      </w:r>
      <w:r>
        <w:rPr>
          <w:rFonts w:ascii="Times New Roman;Times;serif" w:hAnsi="Times New Roman;Times;serif"/>
          <w:spacing w:val="8"/>
          <w:sz w:val="20"/>
        </w:rPr>
        <w:t xml:space="preserve"> </w:t>
      </w:r>
      <w:r>
        <w:rPr>
          <w:rFonts w:ascii="Times New Roman;Times;serif" w:hAnsi="Times New Roman;Times;serif"/>
          <w:sz w:val="20"/>
        </w:rPr>
        <w:t>to</w:t>
      </w:r>
      <w:r>
        <w:rPr>
          <w:rFonts w:ascii="Times New Roman;Times;serif" w:hAnsi="Times New Roman;Times;serif"/>
          <w:spacing w:val="7"/>
          <w:sz w:val="20"/>
        </w:rPr>
        <w:t xml:space="preserve"> </w:t>
      </w:r>
      <w:r>
        <w:rPr>
          <w:rFonts w:ascii="Times New Roman;Times;serif" w:hAnsi="Times New Roman;Times;serif"/>
          <w:sz w:val="20"/>
        </w:rPr>
        <w:t>recover</w:t>
      </w:r>
      <w:r>
        <w:rPr>
          <w:rFonts w:ascii="Times New Roman;Times;serif" w:hAnsi="Times New Roman;Times;serif"/>
          <w:spacing w:val="7"/>
          <w:sz w:val="20"/>
        </w:rPr>
        <w:t xml:space="preserve"> </w:t>
      </w:r>
      <w:r>
        <w:rPr>
          <w:rFonts w:ascii="Times New Roman;Times;serif" w:hAnsi="Times New Roman;Times;serif"/>
          <w:sz w:val="20"/>
        </w:rPr>
        <w:t>increased</w:t>
      </w:r>
      <w:r>
        <w:rPr>
          <w:rFonts w:ascii="Times New Roman;Times;serif" w:hAnsi="Times New Roman;Times;serif"/>
          <w:spacing w:val="7"/>
          <w:sz w:val="20"/>
        </w:rPr>
        <w:t xml:space="preserve"> </w:t>
      </w:r>
      <w:r>
        <w:rPr>
          <w:rFonts w:ascii="Times New Roman;Times;serif" w:hAnsi="Times New Roman;Times;serif"/>
          <w:sz w:val="20"/>
        </w:rPr>
        <w:t>costs</w:t>
      </w:r>
      <w:r>
        <w:rPr>
          <w:rFonts w:ascii="Times New Roman;Times;serif" w:hAnsi="Times New Roman;Times;serif"/>
          <w:spacing w:val="6"/>
          <w:sz w:val="20"/>
        </w:rPr>
        <w:t xml:space="preserve"> </w:t>
      </w:r>
      <w:r>
        <w:rPr>
          <w:rFonts w:ascii="Times New Roman;Times;serif" w:hAnsi="Times New Roman;Times;serif"/>
          <w:sz w:val="20"/>
        </w:rPr>
        <w:t>under</w:t>
      </w:r>
      <w:r>
        <w:rPr>
          <w:rFonts w:ascii="Times New Roman;Times;serif" w:hAnsi="Times New Roman;Times;serif"/>
          <w:spacing w:val="7"/>
          <w:sz w:val="20"/>
        </w:rPr>
        <w:t xml:space="preserve"> </w:t>
      </w:r>
      <w:r>
        <w:rPr>
          <w:rFonts w:ascii="Times New Roman;Times;serif" w:hAnsi="Times New Roman;Times;serif"/>
          <w:sz w:val="20"/>
        </w:rPr>
        <w:t>certain</w:t>
      </w:r>
      <w:r>
        <w:rPr>
          <w:rFonts w:ascii="Times New Roman;Times;serif" w:hAnsi="Times New Roman;Times;serif"/>
          <w:spacing w:val="8"/>
          <w:sz w:val="20"/>
        </w:rPr>
        <w:t xml:space="preserve"> </w:t>
      </w:r>
      <w:r>
        <w:rPr>
          <w:rFonts w:ascii="Times New Roman;Times;serif" w:hAnsi="Times New Roman;Times;serif"/>
          <w:sz w:val="20"/>
        </w:rPr>
        <w:t>contracts</w:t>
      </w:r>
      <w:r>
        <w:rPr>
          <w:rFonts w:ascii="Times New Roman;Times;serif" w:hAnsi="Times New Roman;Times;serif"/>
          <w:spacing w:val="7"/>
          <w:sz w:val="20"/>
        </w:rPr>
        <w:t xml:space="preserve"> </w:t>
      </w:r>
      <w:r>
        <w:rPr>
          <w:rFonts w:ascii="Times New Roman;Times;serif" w:hAnsi="Times New Roman;Times;serif"/>
          <w:sz w:val="20"/>
        </w:rPr>
        <w:t>that</w:t>
      </w:r>
      <w:r>
        <w:rPr>
          <w:rFonts w:ascii="Times New Roman;Times;serif" w:hAnsi="Times New Roman;Times;serif"/>
          <w:spacing w:val="7"/>
          <w:sz w:val="20"/>
        </w:rPr>
        <w:t xml:space="preserve"> </w:t>
      </w:r>
      <w:r>
        <w:rPr>
          <w:rFonts w:ascii="Times New Roman;Times;serif" w:hAnsi="Times New Roman;Times;serif"/>
          <w:sz w:val="20"/>
        </w:rPr>
        <w:t>are</w:t>
      </w:r>
      <w:r>
        <w:rPr>
          <w:rFonts w:ascii="Times New Roman;Times;serif" w:hAnsi="Times New Roman;Times;serif"/>
          <w:spacing w:val="7"/>
          <w:sz w:val="20"/>
        </w:rPr>
        <w:t xml:space="preserve"> </w:t>
      </w:r>
      <w:r>
        <w:rPr>
          <w:rFonts w:ascii="Times New Roman;Times;serif" w:hAnsi="Times New Roman;Times;serif"/>
          <w:sz w:val="20"/>
        </w:rPr>
        <w:t>tied</w:t>
      </w:r>
      <w:r>
        <w:rPr>
          <w:rFonts w:ascii="Times New Roman;Times;serif" w:hAnsi="Times New Roman;Times;serif"/>
          <w:spacing w:val="8"/>
          <w:sz w:val="20"/>
        </w:rPr>
        <w:t xml:space="preserve"> </w:t>
      </w:r>
      <w:r>
        <w:rPr>
          <w:rFonts w:ascii="Times New Roman;Times;serif" w:hAnsi="Times New Roman;Times;serif"/>
          <w:sz w:val="20"/>
        </w:rPr>
        <w:t>to</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price</w:t>
      </w:r>
      <w:r>
        <w:rPr>
          <w:rFonts w:ascii="Times New Roman;Times;serif" w:hAnsi="Times New Roman;Times;serif"/>
          <w:spacing w:val="7"/>
          <w:sz w:val="20"/>
        </w:rPr>
        <w:t xml:space="preserve"> </w:t>
      </w:r>
      <w:r>
        <w:rPr>
          <w:rFonts w:ascii="Times New Roman;Times;serif" w:hAnsi="Times New Roman;Times;serif"/>
          <w:sz w:val="20"/>
        </w:rPr>
        <w:t>escalation</w:t>
      </w:r>
      <w:r>
        <w:rPr>
          <w:rFonts w:ascii="Times New Roman;Times;serif" w:hAnsi="Times New Roman;Times;serif"/>
          <w:spacing w:val="8"/>
          <w:sz w:val="20"/>
        </w:rPr>
        <w:t xml:space="preserve"> </w:t>
      </w:r>
      <w:r>
        <w:rPr>
          <w:rFonts w:ascii="Times New Roman;Times;serif" w:hAnsi="Times New Roman;Times;serif"/>
          <w:sz w:val="20"/>
        </w:rPr>
        <w:t>index with a lookback provision.</w:t>
      </w:r>
    </w:p>
    <w:p>
      <w:pPr>
        <w:pStyle w:val="TextBody"/>
        <w:bidi w:val="0"/>
        <w:spacing w:before="0" w:after="240"/>
        <w:ind w:left="0" w:right="0" w:hanging="0"/>
        <w:jc w:val="left"/>
        <w:rPr>
          <w:rFonts w:ascii="Times New Roman;Times;serif" w:hAnsi="Times New Roman;Times;serif"/>
          <w:b/>
          <w:sz w:val="20"/>
        </w:rPr>
      </w:pPr>
      <w:bookmarkStart w:id="1690" w:name="_3d675334_3aaa_4008_8e8c_b2c5c842864f"/>
      <w:bookmarkEnd w:id="1690"/>
      <w:r>
        <w:rPr>
          <w:rFonts w:ascii="Times New Roman;Times;serif" w:hAnsi="Times New Roman;Times;serif"/>
          <w:b/>
          <w:sz w:val="20"/>
        </w:rPr>
        <w:t>Item 3.    </w:t>
      </w:r>
      <w:r>
        <w:rPr>
          <w:rFonts w:ascii="Times New Roman;Times;serif" w:hAnsi="Times New Roman;Times;serif"/>
          <w:b/>
          <w:i/>
          <w:sz w:val="20"/>
        </w:rPr>
        <w:t>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Information about market risks as of June 30, 2026 does not materially differ from that discussed under Item 7A in our Annual Report on Form 10-K for the year ended December 31, 2025. </w:t>
      </w:r>
    </w:p>
    <w:p>
      <w:pPr>
        <w:pStyle w:val="TextBody"/>
        <w:bidi w:val="0"/>
        <w:spacing w:before="0" w:after="240"/>
        <w:ind w:left="0" w:right="0" w:hanging="0"/>
        <w:jc w:val="left"/>
        <w:rPr>
          <w:rFonts w:ascii="Times New Roman;Times;serif" w:hAnsi="Times New Roman;Times;serif"/>
          <w:b/>
          <w:sz w:val="20"/>
        </w:rPr>
      </w:pPr>
      <w:bookmarkStart w:id="1691" w:name="_185de45f_3ec2_4c98_9a6a_5df8f89fb88f"/>
      <w:bookmarkEnd w:id="1691"/>
      <w:r>
        <w:rPr>
          <w:rFonts w:ascii="Times New Roman;Times;serif" w:hAnsi="Times New Roman;Times;serif"/>
          <w:b/>
          <w:sz w:val="20"/>
        </w:rPr>
        <w:t>Item 4.    </w:t>
      </w:r>
      <w:r>
        <w:rPr>
          <w:rFonts w:ascii="Times New Roman;Times;serif" w:hAnsi="Times New Roman;Times;serif"/>
          <w:b/>
          <w:i/>
          <w:sz w:val="20"/>
        </w:rPr>
        <w:t>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Effectiveness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with the participation of our principal executive and financial officers, has evaluated the effectiveness of our disclosure controls and procedures (as defined in Rules 13a-15(e) and 15d-15(e) of the Securities Exchange Act of 1934, as amended (the “Exchange Act”)) in ensuring that the information required to be disclosed in reports that we file or submit under the Exchange Act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2026 (the end of the period covered by this Quarterly Report on Form 10-Q) at a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Management, together with our CEO and CFO, evaluated the changes in our internal control over financial reporting during the quarter ended June 30, 2026. We determined that there were no changes in our internal control over financial reporting during the quarter ended June 30, 2026 that have materially affected, or are reasonably likely to materially affect, our internal control over financial reporting. </w:t>
      </w:r>
    </w:p>
    <w:p>
      <w:pPr>
        <w:pStyle w:val="TextBody"/>
        <w:bidi w:val="0"/>
        <w:spacing w:before="0" w:after="240"/>
        <w:ind w:left="0" w:right="0" w:hanging="0"/>
        <w:jc w:val="center"/>
        <w:rPr/>
      </w:pPr>
      <w:bookmarkStart w:id="1692" w:name="_a43fbfb3_bab1_4a76_a980_bbd0ce9af92e"/>
      <w:bookmarkEnd w:id="1692"/>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Item 1. </w:t>
      </w:r>
      <w:r>
        <w:rPr>
          <w:rFonts w:ascii="Times New Roman;Times;serif" w:hAnsi="Times New Roman;Times;serif"/>
          <w:b/>
          <w:i/>
          <w:sz w:val="20"/>
        </w:rPr>
        <w:t>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Information regarding our legal proceedings can be found under the </w:t>
      </w:r>
      <w:r>
        <w:rPr>
          <w:rFonts w:ascii="Times New Roman;Times;serif" w:hAnsi="Times New Roman;Times;serif"/>
          <w:i/>
          <w:sz w:val="20"/>
        </w:rPr>
        <w:t xml:space="preserve">Environmental Matters </w:t>
      </w:r>
      <w:r>
        <w:rPr>
          <w:rFonts w:ascii="Times New Roman;Times;serif" w:hAnsi="Times New Roman;Times;serif"/>
          <w:sz w:val="20"/>
        </w:rPr>
        <w:t xml:space="preserve">and </w:t>
      </w:r>
      <w:r>
        <w:rPr>
          <w:rFonts w:ascii="Times New Roman;Times;serif" w:hAnsi="Times New Roman;Times;serif"/>
          <w:i/>
          <w:sz w:val="20"/>
        </w:rPr>
        <w:t xml:space="preserve">Litigation </w:t>
      </w:r>
      <w:r>
        <w:rPr>
          <w:rFonts w:ascii="Times New Roman;Times;serif" w:hAnsi="Times New Roman;Times;serif"/>
          <w:sz w:val="20"/>
        </w:rPr>
        <w:t>sections of Note 6 to the Condensed Consolidated Financial Statements.</w:t>
      </w:r>
    </w:p>
    <w:p>
      <w:pPr>
        <w:pStyle w:val="TextBody"/>
        <w:pBdr/>
        <w:bidi w:val="0"/>
        <w:spacing w:before="0" w:after="0"/>
        <w:ind w:left="0" w:right="0" w:hanging="0"/>
        <w:jc w:val="left"/>
        <w:rPr>
          <w:rFonts w:ascii="Times New Roman;Times;serif" w:hAnsi="Times New Roman;Times;serif"/>
          <w:b/>
          <w:sz w:val="20"/>
        </w:rPr>
      </w:pPr>
      <w:bookmarkStart w:id="1693" w:name="_526facbb_c4be_4784_afce_e9a81a92bbf5"/>
      <w:bookmarkEnd w:id="1693"/>
      <w:r>
        <w:rPr>
          <w:rFonts w:ascii="Times New Roman;Times;serif" w:hAnsi="Times New Roman;Times;serif"/>
          <w:b/>
          <w:sz w:val="20"/>
        </w:rPr>
        <w:t xml:space="preserve">Item 1A. </w:t>
      </w:r>
      <w:r>
        <w:rPr>
          <w:rFonts w:ascii="Times New Roman;Times;serif" w:hAnsi="Times New Roman;Times;serif"/>
          <w:b/>
          <w:i/>
          <w:sz w:val="20"/>
        </w:rPr>
        <w:t>Risk Factors.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to the risk factors previously disclosed in Part I, Item 1A of our Annual Report on Form 10-K for the year ended December 31, 2025.</w:t>
      </w:r>
    </w:p>
    <w:p>
      <w:pPr>
        <w:pStyle w:val="TextBody"/>
        <w:shd w:fill="FFFFFF" w:val="clear"/>
        <w:bidi w:val="0"/>
        <w:spacing w:before="0" w:after="240"/>
        <w:ind w:left="0" w:right="0" w:hanging="0"/>
        <w:jc w:val="both"/>
        <w:rPr>
          <w:rFonts w:ascii="Times New Roman;Times;serif" w:hAnsi="Times New Roman;Times;serif"/>
          <w:sz w:val="20"/>
        </w:rPr>
      </w:pPr>
      <w:bookmarkStart w:id="1694" w:name="_5d040644_3d53_49ca_a0d5_b260cc19409b"/>
      <w:bookmarkEnd w:id="1694"/>
      <w:r>
        <w:rPr>
          <w:rFonts w:ascii="Times New Roman;Times;serif" w:hAnsi="Times New Roman;Times;serif"/>
          <w:b/>
          <w:sz w:val="20"/>
        </w:rPr>
        <w:t xml:space="preserve">Item 2. </w:t>
      </w:r>
      <w:r>
        <w:rPr>
          <w:rFonts w:ascii="Times New Roman;Times;serif" w:hAnsi="Times New Roman;Times;serif"/>
          <w:b/>
          <w:i/>
          <w:sz w:val="20"/>
        </w:rPr>
        <w:t>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common stock repurchases made during the second quarter of 2026 (shares in millions):</w:t>
      </w:r>
    </w:p>
    <w:tbl>
      <w:tblPr>
        <w:tblW w:w="8456" w:type="dxa"/>
        <w:jc w:val="left"/>
        <w:tblInd w:w="0" w:type="dxa"/>
        <w:tblLayout w:type="fixed"/>
        <w:tblCellMar>
          <w:top w:w="0" w:type="dxa"/>
          <w:left w:w="0" w:type="dxa"/>
          <w:bottom w:w="0" w:type="dxa"/>
          <w:right w:w="0" w:type="dxa"/>
        </w:tblCellMar>
      </w:tblPr>
      <w:tblGrid>
        <w:gridCol w:w="1186"/>
        <w:gridCol w:w="346"/>
        <w:gridCol w:w="886"/>
        <w:gridCol w:w="326"/>
        <w:gridCol w:w="211"/>
        <w:gridCol w:w="676"/>
        <w:gridCol w:w="326"/>
        <w:gridCol w:w="1576"/>
        <w:gridCol w:w="326"/>
        <w:gridCol w:w="539"/>
        <w:gridCol w:w="1697"/>
        <w:gridCol w:w="36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753110" cy="175260"/>
                      <wp:effectExtent l="0" t="0" r="0" b="0"/>
                      <wp:wrapNone/>
                      <wp:docPr id="443" name="Frame44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62610" cy="175260"/>
                      <wp:effectExtent l="0" t="0" r="0" b="0"/>
                      <wp:wrapNone/>
                      <wp:docPr id="445" name="Frame44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29260" cy="175260"/>
                      <wp:effectExtent l="0" t="0" r="0" b="0"/>
                      <wp:wrapNone/>
                      <wp:docPr id="448" name="Frame4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000760" cy="175260"/>
                      <wp:effectExtent l="0" t="0" r="0" b="0"/>
                      <wp:wrapNone/>
                      <wp:docPr id="450" name="Frame45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42265" cy="175260"/>
                      <wp:effectExtent l="0" t="0" r="0" b="0"/>
                      <wp:wrapNone/>
                      <wp:docPr id="452" name="Frame452"/>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077595" cy="175260"/>
                      <wp:effectExtent l="0" t="0" r="0" b="0"/>
                      <wp:wrapNone/>
                      <wp:docPr id="453" name="Frame453"/>
                      <a:graphic xmlns:a="http://schemas.openxmlformats.org/drawingml/2006/main">
                        <a:graphicData uri="http://schemas.microsoft.com/office/word/2010/wordprocessingShape">
                          <wps:wsp>
                            <wps:cNvSpPr txBox="1"/>
                            <wps:spPr>
                              <a:xfrm>
                                <a:off x="0" y="0"/>
                                <a:ext cx="1077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29235" cy="175260"/>
                      <wp:effectExtent l="0" t="0" r="0" b="0"/>
                      <wp:wrapNone/>
                      <wp:docPr id="454" name="Frame4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center"/>
              <w:rPr/>
            </w:pPr>
            <w:r>
              <w:rPr/>
              <w:t>​</w:t>
            </w:r>
          </w:p>
        </w:tc>
        <w:tc>
          <w:tcPr>
            <w:tcW w:w="539" w:type="dxa"/>
            <w:tcBorders/>
            <w:vAlign w:val="center"/>
          </w:tcPr>
          <w:p>
            <w:pPr>
              <w:pStyle w:val="TableContents"/>
              <w:bidi w:val="0"/>
              <w:spacing w:before="0" w:after="0"/>
              <w:ind w:left="0" w:right="0" w:hanging="0"/>
              <w:jc w:val="center"/>
              <w:rPr/>
            </w:pPr>
            <w:r>
              <w:rPr/>
              <w:t>​</w:t>
            </w:r>
          </w:p>
        </w:tc>
        <w:tc>
          <w:tcPr>
            <w:tcW w:w="1697"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326" w:type="dxa"/>
            <w:tcBorders/>
            <w:vAlign w:val="center"/>
          </w:tcPr>
          <w:p>
            <w:pPr>
              <w:pStyle w:val="TableContents"/>
              <w:bidi w:val="0"/>
              <w:spacing w:before="0" w:after="0"/>
              <w:ind w:left="0" w:right="0" w:hanging="0"/>
              <w:jc w:val="center"/>
              <w:rPr/>
            </w:pPr>
            <w:r>
              <w:rPr/>
              <w:t>​</w:t>
            </w:r>
          </w:p>
        </w:tc>
        <w:tc>
          <w:tcPr>
            <w:tcW w:w="22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Maximum</w:t>
            </w:r>
          </w:p>
        </w:tc>
        <w:tc>
          <w:tcPr>
            <w:tcW w:w="36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326" w:type="dxa"/>
            <w:tcBorders/>
            <w:vAlign w:val="center"/>
          </w:tcPr>
          <w:p>
            <w:pPr>
              <w:pStyle w:val="TableContents"/>
              <w:bidi w:val="0"/>
              <w:spacing w:before="0" w:after="0"/>
              <w:ind w:left="0" w:right="0" w:hanging="0"/>
              <w:jc w:val="center"/>
              <w:rPr/>
            </w:pPr>
            <w:r>
              <w:rPr/>
              <w:t>​</w:t>
            </w:r>
          </w:p>
        </w:tc>
        <w:tc>
          <w:tcPr>
            <w:tcW w:w="22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Value of Shares that</w:t>
            </w:r>
          </w:p>
        </w:tc>
        <w:tc>
          <w:tcPr>
            <w:tcW w:w="36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26" w:type="dxa"/>
            <w:tcBorders/>
            <w:vAlign w:val="center"/>
          </w:tcPr>
          <w:p>
            <w:pPr>
              <w:pStyle w:val="TableContents"/>
              <w:bidi w:val="0"/>
              <w:spacing w:before="0" w:after="0"/>
              <w:ind w:left="0" w:right="0" w:hanging="0"/>
              <w:jc w:val="center"/>
              <w:rPr/>
            </w:pPr>
            <w:r>
              <w:rPr/>
              <w:t>​</w:t>
            </w:r>
          </w:p>
        </w:tc>
        <w:tc>
          <w:tcPr>
            <w:tcW w:w="22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Yet be Purchased Under</w:t>
            </w:r>
          </w:p>
        </w:tc>
        <w:tc>
          <w:tcPr>
            <w:tcW w:w="361" w:type="dxa"/>
            <w:tcBorders/>
            <w:vAlign w:val="center"/>
          </w:tcPr>
          <w:p>
            <w:pPr>
              <w:pStyle w:val="TableContents"/>
              <w:bidi w:val="0"/>
              <w:spacing w:before="0" w:after="0"/>
              <w:ind w:left="0" w:right="0" w:hanging="0"/>
              <w:jc w:val="center"/>
              <w:rPr/>
            </w:pPr>
            <w:r>
              <w:rPr/>
              <w:t> </w:t>
            </w:r>
          </w:p>
        </w:tc>
      </w:tr>
      <w:tr>
        <w:trPr/>
        <w:tc>
          <w:tcPr>
            <w:tcW w:w="1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326" w:type="dxa"/>
            <w:tcBorders/>
            <w:vAlign w:val="center"/>
          </w:tcPr>
          <w:p>
            <w:pPr>
              <w:pStyle w:val="TableContents"/>
              <w:bidi w:val="0"/>
              <w:spacing w:before="0" w:after="0"/>
              <w:ind w:left="0" w:right="0" w:hanging="0"/>
              <w:jc w:val="center"/>
              <w:rPr/>
            </w:pPr>
            <w:r>
              <w:rPr/>
              <w:t>    </w:t>
            </w:r>
          </w:p>
        </w:tc>
        <w:tc>
          <w:tcPr>
            <w:tcW w:w="22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Plans or Programs</w:t>
            </w:r>
          </w:p>
        </w:tc>
        <w:tc>
          <w:tcPr>
            <w:tcW w:w="361" w:type="dxa"/>
            <w:tcBorders/>
            <w:vAlign w:val="center"/>
          </w:tcPr>
          <w:p>
            <w:pPr>
              <w:pStyle w:val="TableContents"/>
              <w:bidi w:val="0"/>
              <w:spacing w:before="0" w:after="0"/>
              <w:ind w:left="0" w:right="0" w:hanging="0"/>
              <w:jc w:val="center"/>
              <w:rPr/>
            </w:pPr>
            <w:r>
              <w:rPr/>
              <w:t> </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30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231.02</w:t>
            </w:r>
          </w:p>
        </w:tc>
        <w:tc>
          <w:tcPr>
            <w:tcW w:w="326"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 billion</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31</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221.12</w:t>
            </w:r>
          </w:p>
        </w:tc>
        <w:tc>
          <w:tcPr>
            <w:tcW w:w="32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 billion</w:t>
            </w:r>
          </w:p>
        </w:tc>
        <w:tc>
          <w:tcPr>
            <w:tcW w:w="361" w:type="dxa"/>
            <w:tcBorders/>
            <w:vAlign w:val="center"/>
          </w:tcPr>
          <w:p>
            <w:pPr>
              <w:pStyle w:val="TableContents"/>
              <w:bidi w:val="0"/>
              <w:spacing w:before="0" w:after="0"/>
              <w:ind w:left="0" w:right="0" w:hanging="0"/>
              <w:jc w:val="left"/>
              <w:rPr/>
            </w:pPr>
            <w:r>
              <w:rPr/>
              <w:t>​</w:t>
            </w:r>
          </w:p>
        </w:tc>
      </w:tr>
      <w:tr>
        <w:trPr/>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30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220.96</w:t>
            </w:r>
          </w:p>
        </w:tc>
        <w:tc>
          <w:tcPr>
            <w:tcW w:w="326" w:type="dxa"/>
            <w:tcBorders/>
            <w:shd w:fill="CCEEFF" w:val="clear"/>
            <w:vAlign w:val="center"/>
          </w:tcPr>
          <w:p>
            <w:pPr>
              <w:pStyle w:val="TableContents"/>
              <w:bidi w:val="0"/>
              <w:spacing w:before="0" w:after="0"/>
              <w:ind w:left="0" w:right="0" w:hanging="0"/>
              <w:jc w:val="left"/>
              <w:rPr/>
            </w:pPr>
            <w:r>
              <w:rPr/>
              <w:t>​</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 billion</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223.94</w:t>
            </w:r>
          </w:p>
        </w:tc>
        <w:tc>
          <w:tcPr>
            <w:tcW w:w="326" w:type="dxa"/>
            <w:tcBorders/>
            <w:vAlign w:val="center"/>
          </w:tcPr>
          <w:p>
            <w:pPr>
              <w:pStyle w:val="TableContents"/>
              <w:bidi w:val="0"/>
              <w:spacing w:before="0" w:after="0"/>
              <w:ind w:left="0" w:right="0" w:hanging="0"/>
              <w:jc w:val="left"/>
              <w:rPr/>
            </w:pPr>
            <w:r>
              <w:rPr/>
              <w:t> </w:t>
            </w:r>
          </w:p>
        </w:tc>
        <w:tc>
          <w:tcPr>
            <w:tcW w:w="15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72"/>
        <w:gridCol w:w="9809"/>
      </w:tblGrid>
      <w:tr>
        <w:trPr/>
        <w:tc>
          <w:tcPr>
            <w:tcW w:w="124" w:type="dxa"/>
            <w:tcBorders/>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0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authorization for $2.0 billion of future share repurchases.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tc>
      </w:tr>
    </w:tbl>
    <w:p>
      <w:pPr>
        <w:pStyle w:val="TextBody"/>
        <w:shd w:fill="FFFFFF" w:val="clear"/>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95" w:name="_22088de8_4d5f_4932_a1d6_b1ddb4ab1b5a"/>
      <w:bookmarkEnd w:id="1695"/>
      <w:r>
        <w:rPr>
          <w:rFonts w:ascii="Times New Roman;Times;serif" w:hAnsi="Times New Roman;Times;serif"/>
          <w:b/>
          <w:sz w:val="20"/>
        </w:rPr>
        <w:t xml:space="preserve">Item 3. </w:t>
      </w:r>
      <w:r>
        <w:rPr>
          <w:rFonts w:ascii="Times New Roman;Times;serif" w:hAnsi="Times New Roman;Times;serif"/>
          <w:b/>
          <w:i/>
          <w:sz w:val="20"/>
        </w:rPr>
        <w:t>Defaults Upon Senior Securities.</w:t>
      </w:r>
    </w:p>
    <w:p>
      <w:pPr>
        <w:pStyle w:val="TextBody"/>
        <w:shd w:fill="FFFFFF" w:val="clear"/>
        <w:bidi w:val="0"/>
        <w:spacing w:before="240" w:after="0"/>
        <w:ind w:left="360" w:right="0" w:hanging="0"/>
        <w:jc w:val="left"/>
        <w:rPr>
          <w:rFonts w:ascii="Times New Roman;Times;serif" w:hAnsi="Times New Roman;Times;serif"/>
          <w:sz w:val="20"/>
        </w:rPr>
      </w:pPr>
      <w:r>
        <w:rPr>
          <w:rFonts w:ascii="Times New Roman;Times;serif" w:hAnsi="Times New Roman;Times;serif"/>
          <w:sz w:val="20"/>
        </w:rPr>
        <w:t>None.</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96" w:name="_5a038f1c_dafc_4314_9572_276828fdc6f4"/>
      <w:bookmarkEnd w:id="1696"/>
      <w:r>
        <w:rPr>
          <w:rFonts w:ascii="Times New Roman;Times;serif" w:hAnsi="Times New Roman;Times;serif"/>
          <w:b/>
          <w:sz w:val="20"/>
        </w:rPr>
        <w:t xml:space="preserve">Item 4. </w:t>
      </w:r>
      <w:r>
        <w:rPr>
          <w:rFonts w:ascii="Times New Roman;Times;serif" w:hAnsi="Times New Roman;Times;serif"/>
          <w:b/>
          <w:i/>
          <w:sz w:val="20"/>
        </w:rPr>
        <w:t>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Information concerning mine safety and other regulatory matters required by Section 1503(a) of the Dodd-Frank Wall Street Reform and Consumer Protection Act and Item 104 of Regulation S-K is included in Exhibit 95 to this quarterly report.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1697" w:name="_f9ac8540_129c_482f_9bc5_f172677695a0"/>
      <w:bookmarkEnd w:id="1697"/>
      <w:r>
        <w:rPr>
          <w:rFonts w:ascii="Times New Roman;Times;serif" w:hAnsi="Times New Roman;Times;serif"/>
          <w:b/>
          <w:sz w:val="20"/>
        </w:rPr>
        <w:t xml:space="preserve">Item 5. </w:t>
      </w:r>
      <w:r>
        <w:rPr>
          <w:rFonts w:ascii="Times New Roman;Times;serif" w:hAnsi="Times New Roman;Times;serif"/>
          <w:b/>
          <w:i/>
          <w:sz w:val="20"/>
        </w:rPr>
        <w:t>Other Information</w:t>
      </w:r>
      <w:r>
        <w:rPr>
          <w:rFonts w:ascii="Times New Roman;Times;serif" w:hAnsi="Times New Roman;Times;serif"/>
          <w:b/>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Securities Trading Plans of Directors and Executive Officers</w:t>
      </w:r>
    </w:p>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May 19, 2026, Christopher DeSantis, Senior Vice President – Operations, adopted a stock trading plan (the “DeSantis Plan”) intended to satisfy the affirmative defense of Rule 10b5-1(c) under the Exchange Act. The DeSantis Plan will commence on August 19, 2026 and will automatically terminate on the earlier of August 19, 2027 and the completion of all the contemplated transactions set forth therein. The DeSantis Plan provides for the cashless exercise of two stock option awards totaling 5,211 stock options upon our common stock reaching specified market prices, pursuant to which shares of common stock will be sold to cover option costs, tax obligations, commissions and fees.  The DeSantis Plan also provides for the sale of the remaining shares after settlement, the proceeds of which will be delivered to Mr. DeSantis. </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698" w:name="_71310a4d_9d78_4ab5_8c2c_cc486bb4cf18"/>
      <w:bookmarkEnd w:id="1698"/>
      <w:r>
        <w:rPr>
          <w:rFonts w:ascii="Times New Roman;Times;serif" w:hAnsi="Times New Roman;Times;serif"/>
          <w:b/>
          <w:sz w:val="20"/>
        </w:rPr>
        <w:t xml:space="preserve">Item 6. </w:t>
      </w:r>
      <w:r>
        <w:rPr>
          <w:rFonts w:ascii="Times New Roman;Times;serif" w:hAnsi="Times New Roman;Times;serif"/>
          <w:b/>
          <w:i/>
          <w:sz w:val="20"/>
        </w:rPr>
        <w:t>Exhibits.</w:t>
      </w:r>
    </w:p>
    <w:tbl>
      <w:tblPr>
        <w:tblW w:w="10205" w:type="dxa"/>
        <w:jc w:val="left"/>
        <w:tblInd w:w="0" w:type="dxa"/>
        <w:tblLayout w:type="fixed"/>
        <w:tblCellMar>
          <w:top w:w="0" w:type="dxa"/>
          <w:left w:w="0" w:type="dxa"/>
          <w:bottom w:w="0" w:type="dxa"/>
          <w:right w:w="0" w:type="dxa"/>
        </w:tblCellMar>
      </w:tblPr>
      <w:tblGrid>
        <w:gridCol w:w="947"/>
        <w:gridCol w:w="346"/>
        <w:gridCol w:w="8912"/>
      </w:tblGrid>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lineRule="auto" w:line="268" w:before="0" w:after="0"/>
              <w:ind w:left="0" w:right="0" w:hanging="0"/>
              <w:jc w:val="left"/>
              <w:rPr/>
            </w:pPr>
            <w:r>
              <w:rPr/>
              <w:t>  ​ ​ ​</w:t>
            </w:r>
          </w:p>
        </w:tc>
        <w:tc>
          <w:tcPr>
            <w:tcW w:w="8912" w:type="dxa"/>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Description </w:t>
            </w:r>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hyperlink w:anchor="wm-20260630xex10d1.htm">
              <w:r>
                <w:rPr>
                  <w:rStyle w:val="InternetLink"/>
                  <w:rFonts w:ascii="Times New Roman;Times;serif" w:hAnsi="Times New Roman;Times;serif"/>
                  <w:b w:val="false"/>
                  <w:i w:val="false"/>
                  <w:caps w:val="false"/>
                  <w:smallCaps w:val="false"/>
                  <w:sz w:val="20"/>
                </w:rPr>
                <w:t>Waste Management Holdings, Inc. Executive Severance Protection Plan, as amended.</w:t>
              </w:r>
            </w:hyperlink>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Waste Management, Inc. Employee Stock Purchase Plan, as amended and restated May 12, 2026 [Incorporated by reference to Exhibit 10.1 to Form 8-K filed May 14, 2026].</w:t>
              </w:r>
            </w:hyperlink>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both"/>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22.1*</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both"/>
              <w:rPr/>
            </w:pPr>
            <w:hyperlink w:anchor="wm-20260630xex22d1.htm">
              <w:r>
                <w:rPr>
                  <w:rStyle w:val="InternetLink"/>
                  <w:rFonts w:ascii="Times New Roman;Times;serif" w:hAnsi="Times New Roman;Times;serif"/>
                  <w:b w:val="false"/>
                  <w:i w:val="false"/>
                  <w:caps w:val="false"/>
                  <w:smallCaps w:val="false"/>
                  <w:sz w:val="20"/>
                </w:rPr>
                <w:t>Guarantor Subsidiary.</w:t>
              </w:r>
            </w:hyperlink>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both"/>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hyperlink w:anchor="wm-20260630xex31d1.htm">
              <w:r>
                <w:rPr>
                  <w:rStyle w:val="InternetLink"/>
                  <w:rFonts w:ascii="Times New Roman;Times;serif" w:hAnsi="Times New Roman;Times;serif"/>
                  <w:b w:val="false"/>
                  <w:i w:val="false"/>
                  <w:caps w:val="false"/>
                  <w:smallCaps w:val="false"/>
                  <w:sz w:val="20"/>
                </w:rPr>
                <w:t>Certification Pursuant to Rules 13a-14(a) and 15d-14(a) under the Securities Exchange Act of 1934 James C. Fish, Jr., Chief Executive Officer.</w:t>
              </w:r>
            </w:hyperlink>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both"/>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hyperlink w:anchor="wm-20260630xex31d2.htm">
              <w:r>
                <w:rPr>
                  <w:rStyle w:val="InternetLink"/>
                  <w:rFonts w:ascii="Times New Roman;Times;serif" w:hAnsi="Times New Roman;Times;serif"/>
                  <w:b w:val="false"/>
                  <w:i w:val="false"/>
                  <w:caps w:val="false"/>
                  <w:smallCaps w:val="false"/>
                  <w:sz w:val="20"/>
                </w:rPr>
                <w:t>Certification Pursuant to Rules 13a-14(a) and 15d-14(a) under the Securities Exchange Act of 1934 David L. Reed, Executive Vice President and Chief Financial Officer.</w:t>
              </w:r>
            </w:hyperlink>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both"/>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hyperlink w:anchor="wm-20260630xex32d1.htm">
              <w:r>
                <w:rPr>
                  <w:rStyle w:val="InternetLink"/>
                  <w:rFonts w:ascii="Times New Roman;Times;serif" w:hAnsi="Times New Roman;Times;serif"/>
                  <w:b w:val="false"/>
                  <w:i w:val="false"/>
                  <w:caps w:val="false"/>
                  <w:smallCaps w:val="false"/>
                  <w:sz w:val="20"/>
                </w:rPr>
                <w:t>Certification Pursuant to 18 U.S.C. §1350 of James C. Fish, Jr., Chief Executive Officer.</w:t>
              </w:r>
            </w:hyperlink>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hyperlink w:anchor="wm-20260630xex32d2.htm">
              <w:r>
                <w:rPr>
                  <w:rStyle w:val="InternetLink"/>
                  <w:rFonts w:ascii="Times New Roman;Times;serif" w:hAnsi="Times New Roman;Times;serif"/>
                  <w:b w:val="false"/>
                  <w:i w:val="false"/>
                  <w:caps w:val="false"/>
                  <w:smallCaps w:val="false"/>
                  <w:sz w:val="20"/>
                </w:rPr>
                <w:t>Certification Pursuant to 18 U.S.C. §1350 of David L. Reed, Executive Vice President and Chief Financial Officer.</w:t>
              </w:r>
            </w:hyperlink>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hyperlink w:anchor="wm-20260630xex95.htm">
              <w:r>
                <w:rPr>
                  <w:rStyle w:val="InternetLink"/>
                  <w:rFonts w:ascii="Times New Roman;Times;serif" w:hAnsi="Times New Roman;Times;serif"/>
                  <w:b w:val="false"/>
                  <w:i w:val="false"/>
                  <w:caps w:val="false"/>
                  <w:smallCaps w:val="false"/>
                  <w:sz w:val="20"/>
                </w:rPr>
                <w:t>Mine Safety Disclosures.</w:t>
              </w:r>
            </w:hyperlink>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w:t>
            </w:r>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w:t>
            </w:r>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Labels.</w:t>
            </w:r>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w:t>
            </w:r>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w:t>
            </w:r>
          </w:p>
        </w:tc>
      </w:tr>
      <w:tr>
        <w:trPr/>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pPr>
            <w:r>
              <w:rPr/>
              <w:t>​</w:t>
            </w:r>
          </w:p>
        </w:tc>
      </w:tr>
      <w:tr>
        <w:trPr/>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center"/>
              <w:rPr/>
            </w:pPr>
            <w:r>
              <w:rPr/>
              <w:t>​</w:t>
            </w:r>
          </w:p>
        </w:tc>
        <w:tc>
          <w:tcPr>
            <w:tcW w:w="89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16"/>
        </w:rPr>
      </w:pPr>
      <w:r>
        <w:rPr>
          <w:rFonts w:ascii="Times New Roman;Times;serif" w:hAnsi="Times New Roman;Times;serif"/>
          <w:sz w:val="16"/>
        </w:rPr>
        <w:t>*     Filed herewith.</w:t>
      </w:r>
    </w:p>
    <w:p>
      <w:pPr>
        <w:pStyle w:val="TextBody"/>
        <w:pBdr/>
        <w:bidi w:val="0"/>
        <w:spacing w:before="0" w:after="0"/>
        <w:ind w:left="0" w:right="0" w:hanging="360"/>
        <w:jc w:val="both"/>
        <w:rPr>
          <w:rFonts w:ascii="Times New Roman;Times;serif" w:hAnsi="Times New Roman;Times;serif"/>
          <w:sz w:val="14"/>
        </w:rPr>
      </w:pPr>
      <w:r>
        <w:rPr>
          <w:rFonts w:ascii="Times New Roman;Times;serif" w:hAnsi="Times New Roman;Times;serif"/>
          <w:sz w:val="16"/>
        </w:rPr>
        <w:t>**   Furnished herewith.</w:t>
      </w:r>
      <w:r>
        <w:rPr>
          <w:rFonts w:ascii="Times New Roman;Times;serif" w:hAnsi="Times New Roman;Times;serif"/>
          <w:sz w:val="14"/>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r>
        <w:rPr/>
        <w:t>​</w:t>
      </w:r>
    </w:p>
    <w:p>
      <w:pPr>
        <w:pStyle w:val="TextBody"/>
        <w:pBdr/>
        <w:bidi w:val="0"/>
        <w:spacing w:before="0" w:after="240"/>
        <w:ind w:left="0" w:right="0" w:hanging="360"/>
        <w:jc w:val="center"/>
        <w:rPr>
          <w:rFonts w:ascii="Times New Roman;Times;serif" w:hAnsi="Times New Roman;Times;serif"/>
          <w:b/>
          <w:sz w:val="20"/>
        </w:rPr>
      </w:pPr>
      <w:bookmarkStart w:id="1699" w:name="_f68067b8_8d19_412c_a3fc_81c3487f0ccd"/>
      <w:bookmarkEnd w:id="1699"/>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773" w:type="dxa"/>
        <w:jc w:val="left"/>
        <w:tblInd w:w="0" w:type="dxa"/>
        <w:tblLayout w:type="fixed"/>
        <w:tblCellMar>
          <w:top w:w="0" w:type="dxa"/>
          <w:left w:w="0" w:type="dxa"/>
          <w:bottom w:w="0" w:type="dxa"/>
          <w:right w:w="0" w:type="dxa"/>
        </w:tblCellMar>
      </w:tblPr>
      <w:tblGrid>
        <w:gridCol w:w="1711"/>
        <w:gridCol w:w="406"/>
        <w:gridCol w:w="265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086485" cy="175260"/>
                      <wp:effectExtent l="0" t="0" r="0" b="0"/>
                      <wp:wrapNone/>
                      <wp:docPr id="455" name="Frame45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57810" cy="175260"/>
                      <wp:effectExtent l="0" t="0" r="0" b="0"/>
                      <wp:wrapNone/>
                      <wp:docPr id="456" name="Frame45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686560" cy="175260"/>
                      <wp:effectExtent l="0" t="0" r="0" b="0"/>
                      <wp:wrapNone/>
                      <wp:docPr id="457" name="Frame45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240"/>
              <w:ind w:left="0" w:right="0" w:hanging="0"/>
              <w:jc w:val="left"/>
              <w:rPr/>
            </w:pPr>
            <w:r>
              <w:rPr/>
              <w:t>​</w:t>
            </w:r>
          </w:p>
        </w:tc>
        <w:tc>
          <w:tcPr>
            <w:tcW w:w="30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WASTE MANAGEMENT, INC.</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240"/>
              <w:ind w:left="0" w:right="0" w:hanging="0"/>
              <w:jc w:val="left"/>
              <w:rPr/>
            </w:pPr>
            <w:r>
              <w:rPr/>
              <w:t>​</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L. REED</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L. Reed</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Executive Vice President and</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240"/>
              <w:ind w:left="0" w:right="0" w:hanging="0"/>
              <w:jc w:val="center"/>
              <w:rPr/>
            </w:pPr>
            <w:r>
              <w:rPr/>
              <w:t>​</w:t>
            </w:r>
          </w:p>
        </w:tc>
      </w:tr>
      <w:tr>
        <w:trPr/>
        <w:tc>
          <w:tcPr>
            <w:tcW w:w="1711" w:type="dxa"/>
            <w:tcBorders/>
            <w:vAlign w:val="center"/>
          </w:tcPr>
          <w:p>
            <w:pPr>
              <w:pStyle w:val="TableContents"/>
              <w:bidi w:val="0"/>
              <w:spacing w:before="0" w:after="240"/>
              <w:ind w:left="0" w:right="0" w:hanging="0"/>
              <w:jc w:val="left"/>
              <w:rPr/>
            </w:pPr>
            <w:r>
              <w:rPr/>
              <w:t>​</w:t>
            </w:r>
          </w:p>
        </w:tc>
        <w:tc>
          <w:tcPr>
            <w:tcW w:w="30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WASTE MANAGEMENT, INC.</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240"/>
              <w:ind w:left="0" w:right="0" w:hanging="0"/>
              <w:jc w:val="left"/>
              <w:rPr/>
            </w:pPr>
            <w:r>
              <w:rPr/>
              <w:t>​</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CARROLL</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Carroll</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Vice President and</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Accounting Officer</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Accounting Officer)</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240"/>
              <w:ind w:left="0" w:right="0" w:hanging="0"/>
              <w:jc w:val="center"/>
              <w:rPr/>
            </w:pPr>
            <w:r>
              <w:rPr/>
              <w:t>​</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240"/>
              <w:ind w:left="0" w:right="0" w:hanging="0"/>
              <w:jc w:val="center"/>
              <w:rPr/>
            </w:pPr>
            <w:r>
              <w:rPr/>
              <w:t>​</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24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240"/>
              <w:ind w:left="0" w:right="0" w:hanging="0"/>
              <w:jc w:val="left"/>
              <w:rPr/>
            </w:pPr>
            <w:r>
              <w:rPr/>
              <w:t>​</w:t>
            </w:r>
          </w:p>
        </w:tc>
      </w:tr>
      <w:tr>
        <w:trPr/>
        <w:tc>
          <w:tcPr>
            <w:tcW w:w="1711"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2656"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288"/>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right"/>
        <w:rPr>
          <w:rFonts w:ascii="Times New Roman;Times;serif" w:hAnsi="Times New Roman;Times;serif"/>
          <w:b/>
          <w:sz w:val="20"/>
        </w:rPr>
      </w:pPr>
      <w:bookmarkStart w:id="1700" w:name="wm-20260630xex10d1.htm"/>
      <w:bookmarkStart w:id="1701" w:name="kswm20260630xex10d1"/>
      <w:bookmarkEnd w:id="1700"/>
      <w:bookmarkEnd w:id="1701"/>
      <w:r>
        <w:rPr>
          <w:rFonts w:ascii="Times New Roman;Times;serif" w:hAnsi="Times New Roman;Times;serif"/>
          <w:b/>
          <w:sz w:val="20"/>
        </w:rPr>
        <w:t>Exhibit 10.1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AMENDMENT TO THE WASTE MANAGEMENT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EXECUTIVE SEVERANCE PROTECTION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Waste Management Holdings, Inc. (the “Company”) sponsors the Waste Management Holdings, Inc. Executive Severance Protection Plan, effective as of December 22, 2017 (the “Plan”);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Section 22 of the Plan provides that the Board of Directors of Waste Management, Inc. (“Board”) has the authority to amend the Plan from time to time;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the Board desires to update certain information listed within Section 24 (General Information About the Plan) of the Plan,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updates to the Plan do not adversely affect the rights of any Participant in the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xml:space="preserve"> Sections 24(b), (f), and (g) of the Plan are hereby amended in their entirety as follows:</w:t>
      </w:r>
    </w:p>
    <w:tbl>
      <w:tblPr>
        <w:tblW w:w="3153" w:type="dxa"/>
        <w:jc w:val="left"/>
        <w:tblInd w:w="0" w:type="dxa"/>
        <w:tblLayout w:type="fixed"/>
        <w:tblCellMar>
          <w:top w:w="0" w:type="dxa"/>
          <w:left w:w="0" w:type="dxa"/>
          <w:bottom w:w="0" w:type="dxa"/>
          <w:right w:w="0" w:type="dxa"/>
        </w:tblCellMar>
      </w:tblPr>
      <w:tblGrid>
        <w:gridCol w:w="23"/>
        <w:gridCol w:w="245"/>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2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Plan Sponsor</w:t>
            </w:r>
            <w:r>
              <w:rPr>
                <w:rFonts w:ascii="Times New Roman;Times;serif" w:hAnsi="Times New Roman;Times;serif"/>
                <w:sz w:val="20"/>
              </w:rPr>
              <w:t>.  The Plan Sponsor is:</w:t>
            </w:r>
          </w:p>
        </w:tc>
      </w:tr>
    </w:tbl>
    <w:p>
      <w:pPr>
        <w:pStyle w:val="TextBody"/>
        <w:bidi w:val="0"/>
        <w:spacing w:before="0" w:after="0"/>
        <w:ind w:left="0" w:right="0" w:hanging="0"/>
        <w:jc w:val="left"/>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Waste Management Holdings, Inc.</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800 Capitol Street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Suite 3000</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Houston, Texas 77002</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Attention: Vice President and Secretary</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Phone: (713) 512-6200</w:t>
      </w:r>
    </w:p>
    <w:p>
      <w:pPr>
        <w:pStyle w:val="TextBody"/>
        <w:pBdr/>
        <w:bidi w:val="0"/>
        <w:spacing w:before="0" w:after="0"/>
        <w:ind w:left="21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Plan Administration.</w:t>
            </w:r>
            <w:r>
              <w:rPr>
                <w:rFonts w:ascii="Times New Roman;Times;serif" w:hAnsi="Times New Roman;Times;serif"/>
                <w:sz w:val="20"/>
              </w:rPr>
              <w:t xml:space="preserve"> This Plan is administered by the Management Development and Compensation Committee of the Board:</w:t>
            </w:r>
          </w:p>
        </w:tc>
      </w:tr>
    </w:tbl>
    <w:p>
      <w:pPr>
        <w:pStyle w:val="TextBody"/>
        <w:bidi w:val="0"/>
        <w:spacing w:before="0" w:after="0"/>
        <w:ind w:left="0" w:right="0" w:firstLine="720"/>
        <w:jc w:val="left"/>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Waste Management, Inc.</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800 Capitol Street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Suite 3000</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Houston, Texas 77002</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Attention: Chief Legal Officer</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Phone: (713) 512-6200</w:t>
      </w:r>
    </w:p>
    <w:p>
      <w:pPr>
        <w:pStyle w:val="TextBody"/>
        <w:bidi w:val="0"/>
        <w:spacing w:before="0" w:after="0"/>
        <w:ind w:left="0" w:right="0" w:firstLine="720"/>
        <w:jc w:val="left"/>
        <w:rPr/>
      </w:pPr>
      <w:r>
        <w:rPr/>
        <w:t>​</w:t>
      </w:r>
    </w:p>
    <w:tbl>
      <w:tblPr>
        <w:tblW w:w="7443" w:type="dxa"/>
        <w:jc w:val="left"/>
        <w:tblInd w:w="0" w:type="dxa"/>
        <w:tblLayout w:type="fixed"/>
        <w:tblCellMar>
          <w:top w:w="0" w:type="dxa"/>
          <w:left w:w="0" w:type="dxa"/>
          <w:bottom w:w="0" w:type="dxa"/>
          <w:right w:w="0" w:type="dxa"/>
        </w:tblCellMar>
      </w:tblPr>
      <w:tblGrid>
        <w:gridCol w:w="23"/>
        <w:gridCol w:w="245"/>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7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Agent for Service of Legal Process.</w:t>
            </w:r>
            <w:r>
              <w:rPr>
                <w:rFonts w:ascii="Times New Roman;Times;serif" w:hAnsi="Times New Roman;Times;serif"/>
                <w:sz w:val="20"/>
              </w:rPr>
              <w:t xml:space="preserve">  The agent for service of legal process on this Plan is:</w:t>
            </w:r>
          </w:p>
        </w:tc>
      </w:tr>
    </w:tbl>
    <w:p>
      <w:pPr>
        <w:pStyle w:val="TextBody"/>
        <w:bidi w:val="0"/>
        <w:spacing w:before="0" w:after="0"/>
        <w:ind w:left="0" w:right="0" w:firstLine="720"/>
        <w:jc w:val="left"/>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Waste Management, Inc.</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800 Capitol Street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Suite 3000</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Houston, Texas 77002</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Attention: Chief Legal Officer</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Phone: (713) 512-6200</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          *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Board has authorized this First Amendment to be executed by the Plan Sponsor on this 11th day of May 2026.</w:t>
      </w:r>
    </w:p>
    <w:tbl>
      <w:tblPr>
        <w:tblW w:w="3064" w:type="dxa"/>
        <w:jc w:val="center"/>
        <w:tblInd w:w="0" w:type="dxa"/>
        <w:tblLayout w:type="fixed"/>
        <w:tblCellMar>
          <w:top w:w="0" w:type="dxa"/>
          <w:left w:w="0" w:type="dxa"/>
          <w:bottom w:w="0" w:type="dxa"/>
          <w:right w:w="0" w:type="dxa"/>
        </w:tblCellMar>
      </w:tblPr>
      <w:tblGrid>
        <w:gridCol w:w="124"/>
        <w:gridCol w:w="576"/>
        <w:gridCol w:w="2364"/>
      </w:tblGrid>
      <w:tr>
        <w:trPr/>
        <w:tc>
          <w:tcPr>
            <w:tcW w:w="124" w:type="dxa"/>
            <w:tcBorders/>
            <w:vAlign w:val="center"/>
          </w:tcPr>
          <w:p>
            <w:pPr>
              <w:pStyle w:val="TableContents"/>
              <w:bidi w:val="0"/>
              <w:spacing w:before="0" w:after="0"/>
              <w:ind w:left="0" w:right="0" w:hanging="0"/>
              <w:jc w:val="left"/>
              <w:rPr/>
            </w:pPr>
            <w:r>
              <w:rPr/>
              <w:t>​</w:t>
            </w:r>
          </w:p>
        </w:tc>
        <w:tc>
          <w:tcPr>
            <w:tcW w:w="29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Waste Management Holdings, Inc.</w:t>
            </w:r>
          </w:p>
        </w:tc>
      </w:tr>
      <w:tr>
        <w:trPr/>
        <w:tc>
          <w:tcPr>
            <w:tcW w:w="124"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236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Courtney Tippy</w:t>
            </w:r>
          </w:p>
        </w:tc>
      </w:tr>
      <w:tr>
        <w:trPr/>
        <w:tc>
          <w:tcPr>
            <w:tcW w:w="124" w:type="dxa"/>
            <w:tcBorders/>
            <w:vAlign w:val="center"/>
          </w:tcPr>
          <w:p>
            <w:pPr>
              <w:pStyle w:val="TableContents"/>
              <w:bidi w:val="0"/>
              <w:spacing w:before="0" w:after="0"/>
              <w:ind w:left="0" w:right="0" w:hanging="0"/>
              <w:jc w:val="left"/>
              <w:rPr/>
            </w:pPr>
            <w:r>
              <w:rPr/>
              <w:t>​</w:t>
            </w:r>
          </w:p>
        </w:tc>
        <w:tc>
          <w:tcPr>
            <w:tcW w:w="29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Courtney Tippy</w:t>
            </w:r>
          </w:p>
        </w:tc>
      </w:tr>
      <w:tr>
        <w:trPr/>
        <w:tc>
          <w:tcPr>
            <w:tcW w:w="124" w:type="dxa"/>
            <w:tcBorders/>
            <w:vAlign w:val="center"/>
          </w:tcPr>
          <w:p>
            <w:pPr>
              <w:pStyle w:val="TableContents"/>
              <w:bidi w:val="0"/>
              <w:spacing w:before="0" w:after="0"/>
              <w:ind w:left="0" w:right="0" w:hanging="0"/>
              <w:jc w:val="left"/>
              <w:rPr/>
            </w:pPr>
            <w:r>
              <w:rPr/>
              <w:t>​</w:t>
            </w:r>
          </w:p>
        </w:tc>
        <w:tc>
          <w:tcPr>
            <w:tcW w:w="29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Secretary</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WASTE MANAGEMENT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EXECUTIVE SEVERANCE PROTECTION PLAN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(As effective December 22, 2017)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b/>
          <w:i/>
          <w:sz w:val="24"/>
        </w:rPr>
        <w:t>Plan</w:t>
      </w:r>
      <w:r>
        <w:rPr>
          <w:rFonts w:ascii="Times New Roman;Times;serif" w:hAnsi="Times New Roman;Times;serif"/>
          <w:sz w:val="24"/>
        </w:rPr>
        <w:t>.  Waste Management Holdings, Inc., a Delaware corporation, established this Waste Management Holdings, Inc. Executive Severance Protection Plan (this “Plan”), effective as of December 22, 2017 (the “Effective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Plan, as a “severance pay arrangement” within the meaning of Section 3(2)(В)(i) of the Employee Retirement Income Security Act of 1974, as amended (“ERISA”),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 2510.3-2(b).  Additionally, the Plan benefits certain employees who are within a select group of key management or highly compensated employees and directors, and is intended to qualify for the exemptions provided under Title I of ERISA for plans that are not tax-qualified and that are maintained primarily to provide deferred compensation for a select group of management or highly compensated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b/>
          <w:i/>
          <w:sz w:val="24"/>
        </w:rPr>
        <w:t>Objectives</w:t>
      </w:r>
      <w:r>
        <w:rPr>
          <w:rFonts w:ascii="Times New Roman;Times;serif" w:hAnsi="Times New Roman;Times;serif"/>
          <w:sz w:val="24"/>
        </w:rPr>
        <w:t>.  The purpose of the Plan is to ensure the continued availability of stable, motivated employee services by entitling Participants to severance benefits in the event of certain qualifying terminations of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b/>
          <w:i/>
          <w:sz w:val="24"/>
        </w:rPr>
        <w:t>Definitions</w:t>
      </w:r>
      <w:r>
        <w:rPr>
          <w:rFonts w:ascii="Times New Roman;Times;serif" w:hAnsi="Times New Roman;Times;serif"/>
          <w:sz w:val="24"/>
        </w:rPr>
        <w:t>.  As used herein, the terms set forth below shall have the following respective meanings, except to the extent any such term is otherwise defined in a Participation Agreement or in an employment agreement between the Participant and a Company Entity: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0"/>
        </w:rPr>
        <w:t>“</w:t>
      </w:r>
      <w:r>
        <w:rPr>
          <w:rFonts w:ascii="Times New Roman;Times;serif" w:hAnsi="Times New Roman;Times;serif"/>
          <w:sz w:val="24"/>
        </w:rPr>
        <w:t>Base Salary” means the Participant’s base salary or regularly scheduled wages on a calendar year basis immediately prior to his Termination Date, but excluding all other elements of compensation including overtime, bonuses, perquisites, commissions, restricted stock awards, stock options, retirement benefits, welfare benefits, or any other payments (disregarding any reduction that gives rise to Good Reason under this Plan).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0"/>
        </w:rPr>
        <w:t>“</w:t>
      </w:r>
      <w:r>
        <w:rPr>
          <w:rFonts w:ascii="Times New Roman;Times;serif" w:hAnsi="Times New Roman;Times;serif"/>
          <w:sz w:val="24"/>
        </w:rPr>
        <w:t>Board” means the Board of Directors of Waste Management.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0"/>
        </w:rPr>
        <w:t>“</w:t>
      </w:r>
      <w:r>
        <w:rPr>
          <w:rFonts w:ascii="Times New Roman;Times;serif" w:hAnsi="Times New Roman;Times;serif"/>
          <w:sz w:val="24"/>
        </w:rPr>
        <w:t xml:space="preserve">Cause” means the Participant’s (i) willful or deliberate and continual refusal to perform the Participant’s employment duties reasonably requested by the Company after receipt of written notice to the Participant of such failure to perform, specifying such failure (other than as a result of the Participant’s sickness, illness or injury) and the Participant’s failure to cure such nonperformance within ten (10) days of receipt of said written notice; (ii) breach of any statutory or common law duty of loyalty to the Company; (iii) conviction of, or plea of nolo contendre to, any felony; (iv) willful or intentional cause of material injury to the Company, its property, or its assets; (v) disclosure or attempted disclosure to any unauthorized person(s) of the Company’s proprietary or confidential information; (vi) material violation or a repeated and willful violation of the Company’s policies or procedures, including but not limited to, the Company’s Code of Business Conduct and Ethics (or any successor policy) then in effect; or (vii) breach of any Protective Covenants.  A termination of employment for Cause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will be set forth in a written notice to the Participant that sets forth in reasonable detail the facts and circumstances which provide the basis for termination for Cause.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0"/>
        </w:rPr>
        <w:t>“</w:t>
      </w:r>
      <w:r>
        <w:rPr>
          <w:rFonts w:ascii="Times New Roman;Times;serif" w:hAnsi="Times New Roman;Times;serif"/>
          <w:sz w:val="24"/>
        </w:rPr>
        <w:t>CEO” means the Chief Executive Officer of Waste Management, Inc.</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0"/>
        </w:rPr>
        <w:t>“</w:t>
      </w:r>
      <w:r>
        <w:rPr>
          <w:rFonts w:ascii="Times New Roman;Times;serif" w:hAnsi="Times New Roman;Times;serif"/>
          <w:sz w:val="24"/>
        </w:rPr>
        <w:t>Change in Control” means the first to occur, on or after the Effective Date, of any of the following events:</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(i)any Person, or Persons acting as a group (within the meaning of Code Section 409A), directly or indirectly, including by purchases, mergers, consolidation or otherwise, acquires ownership of securities of Waste Management that, together with stock held by such Person or Persons, represents fifty percent (50%) or more of the total voting power or total fair market value of Waste Management’s then outstanding securities;</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(ii)any Person, or Persons acting as a group (within the meaning of Code Section 409A), acquires, (or has acquired during the 12-month period ending on the date of the most recent acquisition by such Person or Persons) directly or indirectly, including by purchases, merger, consolidation or otherwise, ownership of the securities of Waste Management that represent thirty percent (30%) or more of the total voting power of Waste Management’s then outstanding voting securities;</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(iii)the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Waste Management) whose appointment or election by the Board or nomination for election by Waste Management’s stockholders was approved or recommended by a vote of at least a majority of the directors before the date of such appointment or election or whose appointment, election or nomination for election was previously so approved or recommended;</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(iv)a Person or Persons acting as a group acquires (or has acquired during the 12-month period ending on the date of the most recent acquisition by such Person or Persons) assets from Waste Management that have a total gross fair market value equal to or more than forty percent (40%) of the total gross fair market value of all of the assets of Waste Management immediately before such acquisition or acquisitions, other than a sale or disposition by Waste Management of such assets to an entity, at least fifty percent (50%) of the combined voting power of the voting securities of which are owned by Waste Management or by the stockholders of Waste Management in substantially the same proportions as their ownership of Waste Management immediately prior to such sale.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0"/>
        </w:rPr>
        <w:t>“</w:t>
      </w:r>
      <w:r>
        <w:rPr>
          <w:rFonts w:ascii="Times New Roman;Times;serif" w:hAnsi="Times New Roman;Times;serif"/>
          <w:sz w:val="24"/>
        </w:rPr>
        <w:t>Change in Control Period” means the period commencing on the date occurring six months immediately prior to the date on which a Change in Control occurs and ending on the second anniversary of the date on which a Change in Control occurs.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0"/>
        </w:rPr>
        <w:t>“</w:t>
      </w:r>
      <w:r>
        <w:rPr>
          <w:rFonts w:ascii="Times New Roman;Times;serif" w:hAnsi="Times New Roman;Times;serif"/>
          <w:sz w:val="24"/>
        </w:rPr>
        <w:t>COBRA” means the Consolidated Omnibus Budget Reconciliation Act of 1985, as amended.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0"/>
        </w:rPr>
        <w:t>“</w:t>
      </w:r>
      <w:r>
        <w:rPr>
          <w:rFonts w:ascii="Times New Roman;Times;serif" w:hAnsi="Times New Roman;Times;serif"/>
          <w:sz w:val="24"/>
        </w:rPr>
        <w:t>Code” means the Internal Revenue Code of 1986, as amended from time to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0"/>
        </w:rPr>
        <w:t>“</w:t>
      </w:r>
      <w:r>
        <w:rPr>
          <w:rFonts w:ascii="Times New Roman;Times;serif" w:hAnsi="Times New Roman;Times;serif"/>
          <w:sz w:val="24"/>
        </w:rPr>
        <w:t>Committee” means the Management Development &amp; Compensation Committee of the Board.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0"/>
        </w:rPr>
        <w:t>“</w:t>
      </w:r>
      <w:r>
        <w:rPr>
          <w:rFonts w:ascii="Times New Roman;Times;serif" w:hAnsi="Times New Roman;Times;serif"/>
          <w:sz w:val="24"/>
        </w:rPr>
        <w:t>Company” means Waste Management Holdings, Inc., a Delaware corporation, or any successor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0"/>
        </w:rPr>
        <w:t>“</w:t>
      </w:r>
      <w:r>
        <w:rPr>
          <w:rFonts w:ascii="Times New Roman;Times;serif" w:hAnsi="Times New Roman;Times;serif"/>
          <w:sz w:val="24"/>
        </w:rPr>
        <w:t>Company Entity” means any Subsidiary of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0"/>
        </w:rPr>
        <w:t>“</w:t>
      </w:r>
      <w:r>
        <w:rPr>
          <w:rFonts w:ascii="Times New Roman;Times;serif" w:hAnsi="Times New Roman;Times;serif"/>
          <w:sz w:val="24"/>
        </w:rPr>
        <w:t>Eligible Employee” means an employee of a Company Entity who is designated by such Company Entity as employed at compensation band E75 or greater; provided, however, that any such employee who is party to an agreement with a Company Entity that (i) provides for severance benefits separate from and in the absence of this Plan and (ii) does not state that such employee will participate in this Plan, shall not be an Eligible Employee during the term of such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0"/>
        </w:rPr>
        <w:t>“</w:t>
      </w:r>
      <w:r>
        <w:rPr>
          <w:rFonts w:ascii="Times New Roman;Times;serif" w:hAnsi="Times New Roman;Times;serif"/>
          <w:sz w:val="24"/>
        </w:rPr>
        <w:t>ERISA” means the Employee Retirement Income Security Act of 1974, as amended.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sz w:val="20"/>
        </w:rPr>
        <w:t>“</w:t>
      </w:r>
      <w:r>
        <w:rPr>
          <w:rFonts w:ascii="Times New Roman;Times;serif" w:hAnsi="Times New Roman;Times;serif"/>
          <w:sz w:val="24"/>
        </w:rPr>
        <w:t>Exchange Act” means the Securities and Exchange Act of 1934, as amended from time to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sz w:val="20"/>
        </w:rPr>
        <w:t>“</w:t>
      </w:r>
      <w:r>
        <w:rPr>
          <w:rFonts w:ascii="Times New Roman;Times;serif" w:hAnsi="Times New Roman;Times;serif"/>
          <w:sz w:val="24"/>
        </w:rPr>
        <w:t>Good Reason” means the occurrence of any of the following circumstances:</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(i)the material diminution in the Participant’s base compensation;</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(ii)the material diminution in the Participant’s authority, duties or responsibilities;</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(iii)the relocation of the geographic location of the Participant’s principal place of employment by more than 50 miles from the location of the Participant’s principal place of employment as of the Effective Date; or</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(iv)failure of any successor to the Company (whether direct or indirect and whether by merger, acquisition, consolidation or otherwise) to assume the obligations of the Company 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Notwithstanding the foregoing provisions, any assertion by a Participant of a termination of employment for “Good Reason” shall not be effective unless all of the following conditions are satisfied: (w) the condition giving rise to the Participant’s termination of employment must have arisen without the Participant’s consent; (x) the Participant must provide written notice to the CEO (or in the case of the CEO, the Board) of such condition within ninety (90) days of the initial existence of the condition; (y) the written notice must provide for a date of termination not less than thirty (30) nor more than sixty (60) days after the date such notice is given; and (z) the condition specified in such notice must remain uncorrected through the date of termination set forth in the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(p)</w:t>
      </w:r>
      <w:r>
        <w:rPr>
          <w:rFonts w:ascii="Times New Roman;Times;serif" w:hAnsi="Times New Roman;Times;serif"/>
          <w:sz w:val="20"/>
        </w:rPr>
        <w:t>“</w:t>
      </w:r>
      <w:r>
        <w:rPr>
          <w:rFonts w:ascii="Times New Roman;Times;serif" w:hAnsi="Times New Roman;Times;serif"/>
          <w:sz w:val="24"/>
        </w:rPr>
        <w:t>Participant” means an Eligible Employee who meets the participation requirements set forth in Section 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(q)</w:t>
      </w:r>
      <w:r>
        <w:rPr>
          <w:rFonts w:ascii="Times New Roman;Times;serif" w:hAnsi="Times New Roman;Times;serif"/>
          <w:sz w:val="20"/>
        </w:rPr>
        <w:t>“</w:t>
      </w:r>
      <w:r>
        <w:rPr>
          <w:rFonts w:ascii="Times New Roman;Times;serif" w:hAnsi="Times New Roman;Times;serif"/>
          <w:sz w:val="24"/>
        </w:rPr>
        <w:t>Participation Agreement” means the written agreement between the Company and an Eligible Employee setting forth any additional terms and conditions of the Eligible Employee’s participation in this Plan and evidencing the Eligible Employee’s agreement to all terms and conditions of participation in this Plan, including the Protective Covenants.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(r)</w:t>
      </w:r>
      <w:r>
        <w:rPr>
          <w:rFonts w:ascii="Times New Roman;Times;serif" w:hAnsi="Times New Roman;Times;serif"/>
          <w:sz w:val="20"/>
        </w:rPr>
        <w:t>“</w:t>
      </w:r>
      <w:r>
        <w:rPr>
          <w:rFonts w:ascii="Times New Roman;Times;serif" w:hAnsi="Times New Roman;Times;serif"/>
          <w:sz w:val="24"/>
        </w:rPr>
        <w:t>Person” shall have the meaning set forth in Section 3(a)(9) of the Exchange Act, as modified and used in Sections 13(d) and 14(d) thereof, except that such term shall not include (i) the Company, (ii) a trustee or other fiduciary holding securities under an employee benefit plan of the Company, (iii) an employee benefit plan of the Company, (iv) an underwriter temporarily holding securities pursuant to an offering of such securities or (v) a corporation owned, directly or indirectly, by the stockholders of the Company in substantially the same proportions as their ownership of shares of Common Stock of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w:t>
      </w:r>
      <w:r>
        <w:rPr>
          <w:rFonts w:ascii="Times New Roman;Times;serif" w:hAnsi="Times New Roman;Times;serif"/>
          <w:sz w:val="20"/>
        </w:rPr>
        <w:t>“</w:t>
      </w:r>
      <w:r>
        <w:rPr>
          <w:rFonts w:ascii="Times New Roman;Times;serif" w:hAnsi="Times New Roman;Times;serif"/>
          <w:sz w:val="24"/>
        </w:rPr>
        <w:t>Protective Covenants” means any protective covenant obligations that a Participant owes to a Company Entity, including but not limited to any confidential information, non-disclosure, non-competition, non-solicitation or non-disparagement covenants set forth in an employment or other agreement between the Participant and a Company Entity.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(t)</w:t>
      </w:r>
      <w:r>
        <w:rPr>
          <w:rFonts w:ascii="Times New Roman;Times;serif" w:hAnsi="Times New Roman;Times;serif"/>
          <w:sz w:val="20"/>
        </w:rPr>
        <w:t>“</w:t>
      </w:r>
      <w:r>
        <w:rPr>
          <w:rFonts w:ascii="Times New Roman;Times;serif" w:hAnsi="Times New Roman;Times;serif"/>
          <w:sz w:val="24"/>
        </w:rPr>
        <w:t>Release” means that specific document which the Company shall present to the Participant for consideration and execution after any applicable termination of employment, wherein if he agrees to such, he will irrevocably and unconditionally release and forever discharge the Company, its subsidiaries, affiliates and related parties from any and all causes of action which the Participant at that time had or may have had against the Company to the greatest extent permitted by applicable law as of the Termination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(u)</w:t>
      </w:r>
      <w:r>
        <w:rPr>
          <w:rFonts w:ascii="Times New Roman;Times;serif" w:hAnsi="Times New Roman;Times;serif"/>
          <w:sz w:val="20"/>
        </w:rPr>
        <w:t>“</w:t>
      </w:r>
      <w:r>
        <w:rPr>
          <w:rFonts w:ascii="Times New Roman;Times;serif" w:hAnsi="Times New Roman;Times;serif"/>
          <w:sz w:val="24"/>
        </w:rPr>
        <w:t>Specified Employee” means a Participant who meets the requirements specified in Code Section 409A(a)(2)(B).</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0"/>
        </w:rPr>
        <w:t>“</w:t>
      </w:r>
      <w:r>
        <w:rPr>
          <w:rFonts w:ascii="Times New Roman;Times;serif" w:hAnsi="Times New Roman;Times;serif"/>
          <w:sz w:val="24"/>
        </w:rPr>
        <w:t xml:space="preserve">Subsidiary” means (i) in the case of a corporation, any corporation of which the Company directly or indirectly owns shares representing more than 50% of the combined voting power of the shares of all classes or series of capital stock of such corporation which have the right to vote generally on matters submitted to a vote of the shareholders of such corporation and (ii) in the case of a partnership or other business entity not organized as a corporation, any such business entity of which the Company directly or indirectly owns more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than 50% of the voting, capital or profits interests (whether in the form of partnership interests, membership interests or otherwise).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(w)</w:t>
      </w:r>
      <w:r>
        <w:rPr>
          <w:rFonts w:ascii="Times New Roman;Times;serif" w:hAnsi="Times New Roman;Times;serif"/>
          <w:sz w:val="20"/>
        </w:rPr>
        <w:t>“</w:t>
      </w:r>
      <w:r>
        <w:rPr>
          <w:rFonts w:ascii="Times New Roman;Times;serif" w:hAnsi="Times New Roman;Times;serif"/>
          <w:sz w:val="24"/>
        </w:rPr>
        <w:t>Termination Date” means the date on which the Participant’s employment with all Company Entities is terminated.  For purposes of determining whether a Participant has terminated employment, the employment of a Participant shall not be deemed to have been terminated due to a transfer between Company Entities or because of such Participant’s absence from active employment on account of temporary illness or during authorized vacation or during temporary leaves of absence granted by the Company for reasons of professional advancement, education, health or government service, or during military leave for any period if the Participant returns to active employment within 90 days after the termination of such Participant’s military leave, or during any period required to be treated as a leave of absence by virtue of any valid law or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(x)</w:t>
      </w:r>
      <w:r>
        <w:rPr>
          <w:rFonts w:ascii="Times New Roman;Times;serif" w:hAnsi="Times New Roman;Times;serif"/>
          <w:sz w:val="20"/>
        </w:rPr>
        <w:t>“</w:t>
      </w:r>
      <w:r>
        <w:rPr>
          <w:rFonts w:ascii="Times New Roman;Times;serif" w:hAnsi="Times New Roman;Times;serif"/>
          <w:sz w:val="24"/>
        </w:rPr>
        <w:t>Total Disability” means that the Participant has become physically or mentally disabled so as to render the Participant incapable of performing the essential functions of his position (with or without reasonable accommodations) and such disability is expected to result in death or to last for a continuous period of at least twelve (12) months, provided that such condition constitutes a “disability” within the meaning of Code Section 409A.  The Participant’s receipt of disability benefits under the Company’s long-term disability plan or receipt of Social Security disability benefits shall be deemed conclusive evidence of Total Disability for purpose of this Plan.  Whether a Participant’s Total Disability has occurred will be determined by the Committee.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(y)</w:t>
      </w:r>
      <w:r>
        <w:rPr>
          <w:rFonts w:ascii="Times New Roman;Times;serif" w:hAnsi="Times New Roman;Times;serif"/>
          <w:sz w:val="20"/>
        </w:rPr>
        <w:t>“</w:t>
      </w:r>
      <w:r>
        <w:rPr>
          <w:rFonts w:ascii="Times New Roman;Times;serif" w:hAnsi="Times New Roman;Times;serif"/>
          <w:sz w:val="24"/>
        </w:rPr>
        <w:t>Waste Management” means Waste Management, Inc., a Delaware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b/>
          <w:i/>
          <w:sz w:val="24"/>
        </w:rPr>
        <w:t>Plan Administration</w:t>
      </w:r>
      <w:r>
        <w:rPr>
          <w:rFonts w:ascii="Times New Roman;Times;serif" w:hAnsi="Times New Roman;Times;serif"/>
          <w:sz w:val="24"/>
        </w:rPr>
        <w:t>.  The Committee shall have full and final authority, subject to the express provisions of this Plan, with respect to the administration of this Plan, including but not limited to, the authority to construe and interpret any provisions of this Plan, to make all eligibility and benefit determinations, and to take all other actions deemed necessary or advisable for the proper administration of this Plan, and such decisions shall be binding on all parties.  The Committee may, in its discretion, delegate its responsibilities and authority to any one of its members or to any other individual or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b/>
          <w:i/>
          <w:sz w:val="24"/>
        </w:rPr>
        <w:t>Eligibility and Participation</w:t>
      </w:r>
      <w:r>
        <w:rPr>
          <w:rFonts w:ascii="Times New Roman;Times;serif" w:hAnsi="Times New Roman;Times;serif"/>
          <w:sz w:val="24"/>
        </w:rPr>
        <w:t>.  An Eligible Employee shall become a Participant in the Plan upon executing and returning to the Company the Participation Agreement approved by the Committee.  A Participant ceases to be a Participant upon termination of employment; provided that any and all rights and obligations accruing to the Participant under the Plan as a result of such employment termination shall survive the Participant’s termination of participation in the Plan.  For the avoidance of doubt, any individual who is not classified by a Company Entity as an employee on its payroll will not be eligible for participation in the Plan even if later determined to have been a common law employee.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b/>
          <w:i/>
          <w:sz w:val="24"/>
        </w:rPr>
        <w:t>Compensation Following Termination of Employment</w:t>
      </w:r>
      <w:r>
        <w:rPr>
          <w:rFonts w:ascii="Times New Roman;Times;serif" w:hAnsi="Times New Roman;Times;serif"/>
          <w:i/>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Termination for Cause or Other Than Good Reason</w:t>
      </w:r>
      <w:r>
        <w:rPr>
          <w:rFonts w:ascii="Times New Roman;Times;serif" w:hAnsi="Times New Roman;Times;serif"/>
          <w:sz w:val="24"/>
        </w:rPr>
        <w:t>.  Subject to reduction as may be required by Section 13, in the event that the Participant’s employment is terminated by the Company for Cause or by the Participant for other than Good Reason, the Company shall pay the following amounts to the Participant:</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(i)any accrued but unpaid Base Salary for services rendered through the Termination Date;</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(ii)reimbursement for any accrued but unpaid expenses properly incurred by the Participant in accordance with the Company’s applicable policy prior to the Termination Date;</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(iii)any accrued but unused vacation through the Termination Date; and</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(iv)any earned but unpaid bonuses for any prior calendar year.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amount due to the Participant pursuant to this Section 6(a) shall be paid as soon as practicable following the Termination Date in accordance with the Company’s normal payroll policies and practices.  Additionally, any benefits accrued through the Termination Date to which a Participant may be entitled pursuant to other Company plans, policies and arrangements shall be determined and paid in accordance with the terms of such plans, policies and arrangements.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Termination by Reason of Total Disability or Death</w:t>
      </w:r>
      <w:r>
        <w:rPr>
          <w:rFonts w:ascii="Times New Roman;Times;serif" w:hAnsi="Times New Roman;Times;serif"/>
          <w:sz w:val="24"/>
        </w:rPr>
        <w:t>.  Subject to reduction as may be required by Section 13, in the event that the Participant’s employment is terminated by reason of the Participant’s Total Disability or death, the Company shall pay the following amounts to the Participant or, in the event of the Participant’s death, the Participant’s beneficiary or estate:</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(i)the benefits set forth in Section 6(a) of this Plan;</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(ii)annual and/or special cash bonus payments for the calendar year in which the Participant’s Termination Date occurs, at the same time, on the same basis, and to the same extent such payments are made to other senior the Participants of the Company, pro-rated for the calendar year in which the Termination Date occurs.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the event of the Participant’s Total Disability, payment of the amount due to the Participant pursuant to Subsection 6(b)(ii) shall be fully subject to and contingent on the Participant’s execution (without revocation) of the Release.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b/>
          <w:i/>
          <w:sz w:val="24"/>
        </w:rPr>
        <w:t>Termination by the Company Without Cause or by the Participant for Good Reason Outside a Change in Control Period</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Severance Benefits</w:t>
      </w:r>
      <w:r>
        <w:rPr>
          <w:rFonts w:ascii="Times New Roman;Times;serif" w:hAnsi="Times New Roman;Times;serif"/>
          <w:sz w:val="24"/>
        </w:rPr>
        <w:t>.  Subject to reduction as may be required by Section 13, in the event that the Participant’s employment is terminated by the Company outside a Change in Control Period for reasons other than death, Total Disability or Cause, or the Participant terminates his employment for Good Reason outside of a Change in Control Period, the Company shall pay the following amounts to the Participant: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(i)the benefits set forth in Section 6(a) of the Plan;</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(ii)annual and/or special cash bonus payments for the calendar year in which the Participant’s Termination Date occurs, at the same time, on the same basis, and to the same extent such payments are made to other senior the Participants of the Company, pro-rated for the calendar year in which the Termination Date occurs;</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(iii)a cash amount equal to two (2) times the sum of the Participant’s Base Salary plus his target annual bonus (in each case, as then in effect), of which one-half of such amount shall be paid in a lump sum within the calendar quarter in which the 60th day following the Termination Date falls and one-half of such amount shall be paid during the two (2) year period beginning in the calendar quarter within which the 60th day following the Termination Date falls and continuing at the same time and in the same manner as Base Salary would have been paid if the Participant had remained in active employment until the end of such period;</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(iv)subject to the Participant’s completion of all required enrollment elections, continuation of coverage for the Participant and his spouse and eligible dependents under the Company’s group health plans under which the Participant was a participant at any time during the twelve-month period prior to the Termination Date, until the earliest to occur of (A) twenty-four (24) months after the Termination Date; (B) the Participant’s death (provided that benefits provided to the Participant’s spouse and dependents shall not terminate until twenty-four (24) months after the Termination Date); or (C) with respect to any particular plan, the date the Participant becomes eligible to participate in a comparable benefit provided by a subsequent employer; provided, however, that if the Company’s obligations contemplated by this Section 7(a)(iv) would result in the imposition of excise taxes on the Company for failure to comply with applicable nondiscrimination requirements or would otherwise be prohibited by applicable law, the Company shall discontinue the group health plan coverage provided for in this Section 7(a)(iv) and shall instead pay to the Participant for the remainder of such period a monthly cash payment equal to the COBRA premium cost for such coverage, commencing no later than 30 days after such determination by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Release Required</w:t>
      </w:r>
      <w:r>
        <w:rPr>
          <w:rFonts w:ascii="Times New Roman;Times;serif" w:hAnsi="Times New Roman;Times;serif"/>
          <w:sz w:val="24"/>
        </w:rPr>
        <w:t>.  Payment of the amount due to the Participant pursuant to Subsections 7(a)(ii), (iii) and (iv) shall be fully subject to and contingent on the Participant’s execution (without revocation) of the Release.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Potential Reduction</w:t>
      </w:r>
      <w:r>
        <w:rPr>
          <w:rFonts w:ascii="Times New Roman;Times;serif" w:hAnsi="Times New Roman;Times;serif"/>
          <w:sz w:val="24"/>
        </w:rPr>
        <w:t>.  Notwithstanding any provision of this Plan to the contrary, if within one (1) year after the Participant’s Termination Date for any reason other than for Cause, it is determined by the Company that the Participant could have been terminated for Cause, then to the extent permitted by law:</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(i)the Company may elect to cancel any and all payments of any benefits otherwise due to the Participant, but not yet paid, under this Plan or otherwise; and</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 xml:space="preserve">(ii)upon written demand by the Company, the Participant shall refund to the Company any amounts, plus interest, previously paid by Company to the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Participant pursuant to Subsections 7(a)(ii), (iii) or (iv), less one thousand dollars ($1,000) which the Participant shall be entitled to retain as fully sufficient consideration to support and maintain in effect any contractual obligations that the Participant has to the Company prior to the refund, including the Release.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b/>
          <w:i/>
          <w:sz w:val="24"/>
        </w:rPr>
        <w:t>Resignation by the Participant for Good Reason or Termination by Company Without Cause During a Change in Control Period</w:t>
      </w:r>
      <w:r>
        <w:rPr>
          <w:rFonts w:ascii="Times New Roman;Times;serif" w:hAnsi="Times New Roman;Times;serif"/>
          <w:i/>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Severance Benefits</w:t>
      </w:r>
      <w:r>
        <w:rPr>
          <w:rFonts w:ascii="Times New Roman;Times;serif" w:hAnsi="Times New Roman;Times;serif"/>
          <w:sz w:val="24"/>
        </w:rPr>
        <w:t>.  Subject to reduction as may be required by Section 13, in the event a Change in Control occurs and (x) the Participant terminates his employment for Good Reason during a Change in Control Period, or (y) the Company terminates the Participant’s employment without Cause (and for reason other than death or Total Disability) during a Change in Control Period, the Company shall pay the following amounts to the Participant:</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(i)the benefits set forth in Section 6(a) of the Plan;</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(ii)the benefits set forth in Subsections 7(a)(iii) and (iv) of the Plan;</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(iii)annual and/or special cash bonus payments for the calendar year in which the Participant’s Termination Date occurs, payable at 100% of the target bonus for which the Participant would be eligible in the absence of the termination of employment, pro-rated for the calendar year in which the Termination Date occurs and payable within five (5) days after the later of the Termination Date or the Change in Control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Release Required</w:t>
      </w:r>
      <w:r>
        <w:rPr>
          <w:rFonts w:ascii="Times New Roman;Times;serif" w:hAnsi="Times New Roman;Times;serif"/>
          <w:sz w:val="24"/>
        </w:rPr>
        <w:t>.  Payment of the amount due to the Participant pursuant to Subsections 8(a)(ii) and (iii) shall be fully subject to and contingent on the Participant’s execution (without revocation) of the Release.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Termination Prior to Change in Control</w:t>
      </w:r>
      <w:r>
        <w:rPr>
          <w:rFonts w:ascii="Times New Roman;Times;serif" w:hAnsi="Times New Roman;Times;serif"/>
          <w:sz w:val="24"/>
        </w:rPr>
        <w:t>.  In the event of a termination during a Change in Control Period but prior to the consummation of the Change in Control, any payment provided pursuant to Section 8 shall be paid within five days following the consummation of the Change in Control, less the amount of any cash severance previously provided to the Participant pursuant to Section 7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w:t>
      </w:r>
      <w:r>
        <w:rPr>
          <w:rFonts w:ascii="Times New Roman;Times;serif" w:hAnsi="Times New Roman;Times;serif"/>
          <w:b/>
          <w:i/>
          <w:sz w:val="24"/>
        </w:rPr>
        <w:t>No Mitigation</w:t>
      </w:r>
      <w:r>
        <w:rPr>
          <w:rFonts w:ascii="Times New Roman;Times;serif" w:hAnsi="Times New Roman;Times;serif"/>
          <w:sz w:val="24"/>
        </w:rPr>
        <w:t>.  The Participant shall be under no obligation to seek other employment in order to receive benefits under this Plan, and, except as specifically set forth herein, there shall be no offset against any amounts due the Participant under this Plan on account of any remuneration attributable to any subsequent employment that the Participant may obtain.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10.</w:t>
      </w:r>
      <w:r>
        <w:rPr>
          <w:rFonts w:ascii="Times New Roman;Times;serif" w:hAnsi="Times New Roman;Times;serif"/>
          <w:b/>
          <w:i/>
          <w:sz w:val="24"/>
        </w:rPr>
        <w:t>Enforcement of Protective Covenants</w:t>
      </w:r>
      <w:r>
        <w:rPr>
          <w:rFonts w:ascii="Times New Roman;Times;serif" w:hAnsi="Times New Roman;Times;serif"/>
          <w:sz w:val="24"/>
        </w:rPr>
        <w:t xml:space="preserve">.  In the event that the Participant violates any Protective Covenants, then, in addition to any additional forms of the relief the Company may have, including the right to injunctive relief, (i) the Company shall have the right to immediately cease making any payments that it may otherwise owe to the Participant, if any, under this Plan or otherwise; (ii) the Participant will forfeit any remaining rights to payments or continuing benefits provided by this Plan, if there are any; and (iii) upon the Company’s demand, the Participant will refund to the Company any amounts, plus interest, previously paid by Company to the Participant pursuant to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Subsections 7(a)(ii), (iii) and (iv) and 8(a)(ii) and (iii), less one thousand dollars ($1,000) which the Participant shall be entitled to retain as fully sufficient consideration to support and maintain in effect any contractual obligations that the Participant has to the Company prior to the refund, including the Release as defined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11.</w:t>
      </w:r>
      <w:r>
        <w:rPr>
          <w:rFonts w:ascii="Times New Roman;Times;serif" w:hAnsi="Times New Roman;Times;serif"/>
          <w:b/>
          <w:i/>
          <w:sz w:val="24"/>
        </w:rPr>
        <w:t>Claims Procedure</w:t>
      </w:r>
      <w:r>
        <w:rPr>
          <w:rFonts w:ascii="Times New Roman;Times;serif" w:hAnsi="Times New Roman;Times;serif"/>
          <w:i/>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Claims for Benefits</w:t>
      </w:r>
      <w:r>
        <w:rPr>
          <w:rFonts w:ascii="Times New Roman;Times;serif" w:hAnsi="Times New Roman;Times;serif"/>
          <w:sz w:val="24"/>
        </w:rPr>
        <w:t>.  It shall not be necessary for a Participant or beneficiary who has become entitled to receive а benefit hereunder to file a claim for such benefit with any person as a condition precedent to receiving a distribution of such benefit.  However, any Participant or beneficiary who believes that he has become entitled to a benefit hereunder and who has not received, or commenced receiving, a distribution of such benefit, or who believes that he is entitled to a benefit hereunder in excess of the benefit which he has received, or commenced receiving, may file a written claim for such benefit with the Committee at any time on or prior to the end of the fiscal year next following the fiscal year in which he allegedly became entitled to receive а distribution of such benefit.  Such written claim shall set forth the Participant’s or beneficiary’s name and address and a statement of the facts and a reference to the pertinent provisions of this Plan upon which such claim is based.  The Committee shall, within 90 days after such written claim is filed, provide the claimant with written notice of its decision with respect to such claim.  If special circumstances require an extension of up to an additional 90 days for processing the claim, the Committee will provide written notice of the extension, including the reason for the extension and the date by which the decision is expected to be made.  If such claim is denied in whole or in part, the Committee shall, in such written notice to the claimant, set forth in а manner calculated to be understood by the claimant: the specific reason or reasons for denial; specific references to pertinent provisions of this Plan upon which the denial is based; a description of any additional material or information necessary for the claimant to perfect his claim and an explanation of why such material or information is necessary; and an explanation of the provisions for review of claims set forth in Section 11(b) below.</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Appeals of Denied Claims</w:t>
      </w:r>
      <w:r>
        <w:rPr>
          <w:rFonts w:ascii="Times New Roman;Times;serif" w:hAnsi="Times New Roman;Times;serif"/>
          <w:sz w:val="24"/>
        </w:rPr>
        <w:t xml:space="preserve">.  А Participant or beneficiary who has filed a written claim for benefits with the Committee which has been denied may appeal such denial to the Committee and receive a full and fair review of his claim by filing with the Committee a written application for review at any time within 60 days after receipt from the Committee of the written notice of denial of his claim provided for in Section 11(a) above.  А Participant or beneficiary who submits a timely written application for review shall be entitled to review any and all documents pertinent to his claim and may submit issues and comments to the Committee in writing.  By the later of (i) 60 days after receipt of a written application for review or (ii) five days following the date of the Committee’s meeting next following the Committee’s receipt of the application for review (or the second meeting following such receipt if the application is received 30 days or less before the first meeting), the Committee shall give the claimant written notice of its decision on review, which written notice shall set forth in a manner calculated to be understood by the claimant specific reasons for its decision, specific references to the pertinent provisions of this Plan upon which the decision is based, a statement regarding the Participant’s right to receive reasonable access to relevant information, and a statement regarding the Participant’s right to bring an action under Section 502(a) of the Employee Retirement Income Security Act of 1974, as amended.  If special circumstances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require an extension of up to an additional 60 days (or five days following the date of the Committee’s third meeting following receipt of the application for review) for processing the claim, the Committee will provide written notice of the extension, including the reason for the extension and the date by which the decision is expected to be made.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Authorized Representatives; Notices</w:t>
      </w:r>
      <w:r>
        <w:rPr>
          <w:rFonts w:ascii="Times New Roman;Times;serif" w:hAnsi="Times New Roman;Times;serif"/>
          <w:sz w:val="24"/>
        </w:rPr>
        <w:t>.  Any act permitted or required to be taken by a Participant or beneficiary under this Section 11 may be taken for and on behalf of such Participant or beneficiary by such Participant’s or beneficiary’s duly authorized representative.  Any claim, notice, application or other writing permitted or required to be filed with or given to a party by this Article shall be deemed to have been filed or given when deposited in the U.S. mail, certified or registered mail, return receipt requested, postage prepaid, and properly addressed to the party to whom it is to be given or with whom it is to be filed.  Any such claim, notice, application, or other writing deemed filed or given pursuant to the next foregoing sentence shall in the absence of clear and convincing evidence to the contrary, be deemed to have been received on the fifth business day following the date upon which it was filed or given.  Any such notice, application, or other writing directed to a Participant or beneficiary shall be deemed properly addressed if directed to the address set forth in the written claim filed by such Participant or beneficiary.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Exhaustion; Statute of Limitations</w:t>
      </w:r>
      <w:r>
        <w:rPr>
          <w:rFonts w:ascii="Times New Roman;Times;serif" w:hAnsi="Times New Roman;Times;serif"/>
          <w:sz w:val="24"/>
        </w:rPr>
        <w:t>.  A Participant or beneficiary must complete the claims procedures described in this Section 11 prior to commencing any legal or equitable action regarding a claim for benefits under the Plan by a Claimant.  Further, a Participant or beneficiary must bring any legal or equitable action to contest a final benefit determination for Plan benefits within one year of the date that the Committee sends a notice of a final claims determination under this Section 11 of the Plan, or all rights to bring such a legal or equitable action will be waived.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12.</w:t>
      </w:r>
      <w:r>
        <w:rPr>
          <w:rFonts w:ascii="Times New Roman;Times;serif" w:hAnsi="Times New Roman;Times;serif"/>
          <w:b/>
          <w:i/>
          <w:sz w:val="24"/>
        </w:rPr>
        <w:t>Arbitration</w:t>
      </w:r>
      <w:r>
        <w:rPr>
          <w:rFonts w:ascii="Times New Roman;Times;serif" w:hAnsi="Times New Roman;Times;serif"/>
          <w:sz w:val="24"/>
        </w:rPr>
        <w:t>.  The Company agrees and the Participant, as evidenced by execution of the Participation Agreement, agrees that any dispute relating to this Plan, or to the breach of this Plan, arising between the Participant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Protective Covenants,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the Participant within thirty (30) days of the notice of dispute, or if the Company and the Participant cannot agree, in accordance with the commercial arbitration rules of the AAA (or any other mutually agreed upon arbitration service).  All fees and expenses associated with the arbitration shall be borne equally by the Participant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Company and the Participant without appeal or review, except as permitted by the arbitration laws of the State of Texas.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award, inclusive of any and all injunctive relief provided for therein, shall be enforceable through a court of law upon motion of either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13.</w:t>
      </w:r>
      <w:r>
        <w:rPr>
          <w:rFonts w:ascii="Times New Roman;Times;serif" w:hAnsi="Times New Roman;Times;serif"/>
          <w:b/>
          <w:i/>
          <w:sz w:val="24"/>
        </w:rPr>
        <w:t>Potential Limitation on Severance Benefits</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Maximum Severance Amount</w:t>
      </w:r>
      <w:r>
        <w:rPr>
          <w:rFonts w:ascii="Times New Roman;Times;serif" w:hAnsi="Times New Roman;Times;serif"/>
          <w:sz w:val="24"/>
        </w:rPr>
        <w:t>.  Notwithstanding any provision in this Plan to the contrary, in the event of a qualifying termination (or resignation) under Sections 6, 7 or 8 of this Plan it is determined by the Company that the Severance Benefits (as defined in Section 13(b) below) would exceed 2.99 times the sum of the Participant’s then current base salary and target bonus (the “Maximum Severance Amount”), then the aggregate present value of the Severance Benefits provided to the Participant shall be reduced by the Company to the Reduced Amount.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“Reduced Amount” shall be an amount, expressed in present value, that maximizes the aggregate present value of the Severance Benefits without exceeding the Maximum Severance Amount.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Severance Benefits</w:t>
      </w:r>
      <w:r>
        <w:rPr>
          <w:rFonts w:ascii="Times New Roman;Times;serif" w:hAnsi="Times New Roman;Times;serif"/>
          <w:sz w:val="24"/>
        </w:rPr>
        <w:t>.  For purposes of determining Severance Benefits under Section 13(a) above, Severance Benefits means the present value of payments or distributions by the Company, its subsidiaries or affiliated entities to or for the benefit of the Participant (whether paid or provided pursuant to the terms of this Plan or otherwise),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 including: (i) cash amounts payable by the Company in the event of termination of the Participant’s employment; and (ii) the present value of benefits or perquisites provided for periods after termination of employment (but excluding benefits or perquisites provided to employees generally);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 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Possible 280G Reduction</w:t>
      </w:r>
      <w:r>
        <w:rPr>
          <w:rFonts w:ascii="Times New Roman;Times;serif" w:hAnsi="Times New Roman;Times;serif"/>
          <w:sz w:val="24"/>
        </w:rPr>
        <w:t xml:space="preserve">.  Following application of Section 13(a), in the event that the payment of the remaining Severance Benefits to the Participant plus any other payments to the Participant which would be subject to Code Section 280G (including any reduced Severance Benefits) (“280G Severance Benefits”) would be subject (in whole or part), to any excise tax imposed under Code Section 4999 (the “Excise Tax”), then the cash portion of the 280G Severance Benefits shall first be further reduced, and the non-cash 280G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Severance Benefits shall thereafter be further reduced, to the extent necessary so that no portion of the 280G Severance Benefits is subject to the Excise Tax, but only if (i) the amount of the 280G Severance Benefits to be received by the Participant, as so reduced by this Section 13(c)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the Participant without such reduction by this Section 13(c) after subtracting the amount of federal, state and local income taxes on such 280G Severance Benefits and the amount of the Excise Tax to which the Participant would be subject in respect of such unreduced 280G Severance Benefits (after taking into account the phase out of itemized deductions and personal exemptions attributable to such unreduced 280G Severance Benefits ).</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Calculation of 280G Severance Benefits</w:t>
      </w:r>
      <w:r>
        <w:rPr>
          <w:rFonts w:ascii="Times New Roman;Times;serif" w:hAnsi="Times New Roman;Times;serif"/>
          <w:sz w:val="24"/>
        </w:rPr>
        <w:t>.  For purposes of determining the 280G Severance Benefits, (i) no portion of the 280G Severance Benefits, the receipt or enjoyment of which the Participant shall have waived at such time and in such manner as not to constitute a “payment” within the meaning of Code Section 280G(b), shall be taken into account, (ii) no portion of the 280G Severance Benefits shall be taken into account which, in the opinion of tax counsel (“Tax Counsel”) who is reasonably acceptable to the Participant and selected by the accounting firm (the “Auditor”) which was, immediately prior to the Change in Control, the Company’s independent auditor, does not constitute a “parachute payment” within the meaning of Code Section 280G(b)(2) (including by reason of Code Section 280G(b)(4)(A)); (iii) no portion of the 280G Severance Benefits shall be taken into account which, in the opinion of Tax Counsel, constitutes reasonable compensation for services actually rendered, within the meaning of Code Section 280G(b)(4)(B), in excess of the “base amount” (as defined in Code Section 280G(b)(3)) allocable to such reasonable compensation, and (iv) the value of any non-cash benefit or any deferred payment or benefit included in the 280G Severance Benefits shall be determined by the Auditor in accordance with the principles of Code Sections 280G(d)(3) and (4).</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Determination of Present Value</w:t>
      </w:r>
      <w:r>
        <w:rPr>
          <w:rFonts w:ascii="Times New Roman;Times;serif" w:hAnsi="Times New Roman;Times;serif"/>
          <w:sz w:val="24"/>
        </w:rPr>
        <w:t>.  For purposes of this Section 13, the present value of Severance Benefits and 280G Severance Benefits 280G shall be determined in accordance with Code Section 280G(d)(4).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14.</w:t>
      </w:r>
      <w:r>
        <w:rPr>
          <w:rFonts w:ascii="Times New Roman;Times;serif" w:hAnsi="Times New Roman;Times;serif"/>
          <w:b/>
          <w:i/>
          <w:sz w:val="24"/>
        </w:rPr>
        <w:t>Clawback</w:t>
      </w:r>
      <w:r>
        <w:rPr>
          <w:rFonts w:ascii="Times New Roman;Times;serif" w:hAnsi="Times New Roman;Times;serif"/>
          <w:sz w:val="24"/>
        </w:rPr>
        <w:t>.  To the extent required by applicable law or any applicable securities exchange listing standards, or as otherwise determined by the Committee, amounts paid or payable pursuant to the Plan shall be subject to the provisions of any clawback policy implemented by the Company, which clawback policy may provide for forfeiture, repurchase or recoupment of amounts paid or payable pursuant to the Plan.  Notwithstanding any provision of this Plan to the contrary, the Company reserves the right, without the consent of any Participant, to adopt or amend any such clawback policies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15.</w:t>
      </w:r>
      <w:r>
        <w:rPr>
          <w:rFonts w:ascii="Times New Roman;Times;serif" w:hAnsi="Times New Roman;Times;serif"/>
          <w:b/>
          <w:i/>
          <w:sz w:val="24"/>
        </w:rPr>
        <w:t>Withholding of Taxes</w:t>
      </w:r>
      <w:r>
        <w:rPr>
          <w:rFonts w:ascii="Times New Roman;Times;serif" w:hAnsi="Times New Roman;Times;serif"/>
          <w:sz w:val="24"/>
        </w:rPr>
        <w:t>.  The Company may withhold from any compensation and benefits payable under this Plan all applicable federal, state, local, or other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16.</w:t>
      </w:r>
      <w:r>
        <w:rPr>
          <w:rFonts w:ascii="Times New Roman;Times;serif" w:hAnsi="Times New Roman;Times;serif"/>
          <w:b/>
          <w:i/>
          <w:sz w:val="24"/>
        </w:rPr>
        <w:t>Compliance with Code Section 409A</w:t>
      </w:r>
      <w:r>
        <w:rPr>
          <w:rFonts w:ascii="Times New Roman;Times;serif" w:hAnsi="Times New Roman;Times;serif"/>
          <w:sz w:val="24"/>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Compliance; Exemption</w:t>
      </w:r>
      <w:r>
        <w:rPr>
          <w:rFonts w:ascii="Times New Roman;Times;serif" w:hAnsi="Times New Roman;Times;serif"/>
          <w:sz w:val="24"/>
        </w:rPr>
        <w:t>.  It is intended that the payments and benefits provided under this Plan shall be exempt from or comply with the application of the requirements of Code Section 409A.  This Plan shall be construed, administered and governed in a manner that affects such intent.  Specifically, any taxable benefits or payments provided under this Plan are deemed to be separate payments that qualify for the “short-term deferral” exclusion from Code Section 409A to the maximum extent possible, and to the extent they do not so qualify, are intended to qualify for the “involuntary separation pay” exclusion from Code Section 409A, to the maximum extent possible.  To the extent that none of these exceptions (or any other available exception) applies, then notwithstanding anything contained herein to the contrary, and to the extent required to comply with Code Section 409A, if a Participant is a “specified employee,” as determined by the Company, as of his Termination Date, then all amounts due under this Plan that constitute a “deferral of compensation” within the meaning of Code Section 409A, that are provided as a result of a “separation from service” within the meaning of Code Section 409A, and that would otherwise be paid or provided during the first six months following the Termination Date, shall be accumulated through and paid or provided on the first business day that is more than six months after the date of the Termination Date (or, if the Participant dies during such six-month period, within 90 days after the Participant’s death).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Reimbursements; In-Kind Benefits</w:t>
      </w:r>
      <w:r>
        <w:rPr>
          <w:rFonts w:ascii="Times New Roman;Times;serif" w:hAnsi="Times New Roman;Times;serif"/>
          <w:sz w:val="24"/>
        </w:rPr>
        <w:t>.  All reimbursements and in kind benefits provided under the Plan shall be made or provided in accordance with the requirements of Code Section 409A, including, where applicable, the requirement that (i) any reimbursement shall be for expenses incurred during the Participant’s lifetime (or during a shorter period of time specified in the Plan),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on or before the last day of the calendar year following the year in which the expense is incurred, and (iv) the right to reimbursement or in kind benefits is not subject to liquidation or exchange for another benefit.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Six Month Delay Period</w:t>
      </w:r>
      <w:r>
        <w:rPr>
          <w:rFonts w:ascii="Times New Roman;Times;serif" w:hAnsi="Times New Roman;Times;serif"/>
          <w:sz w:val="24"/>
        </w:rPr>
        <w:t>.  Notwithstanding any provision to the contrary in the Plan, if a Participant is deemed on the date of the Participant’s separation from service to be a Specified Employee, and the stock of the Company is publicly traded, then the payments specified as being subject to this Section 16 shall not be made or provided to the extent required by Code Section 409A until the later of (A) the payment date set forth in the Plan or (B) the date that is the earliest of (i) the expiration of the six-month period measured from the date of Participant’s separation from service within the meaning of Code Section 409A, (ii) the date of Participant’s death, or (iii) such other date that complies with, or is exempt from, the requirements of Code Section 409A (the “Delay Period”).  Payments subject to the Delay Period shall be paid to the Participant without interest for such delay in payment.  All other payments and benefits due under the Plan that are not subject to the foregoing shall be paid or provided in accordance with the normal payment dates specified for them herein.</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Substitution</w:t>
      </w:r>
      <w:r>
        <w:rPr>
          <w:rFonts w:ascii="Times New Roman;Times;serif" w:hAnsi="Times New Roman;Times;serif"/>
          <w:sz w:val="24"/>
        </w:rPr>
        <w:t xml:space="preserve">.  To the extent any payment or benefit payable under this Plan is considered a substitution of previously forfeited or relinquished deferred compensation under Treas. Reg. Section 1.409A-3(f), the payment or benefit payable under this Plan shall be paid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at the same time and on the same schedule that the original deferred compensation would have been paid, unless an exemption applies.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17.</w:t>
      </w:r>
      <w:r>
        <w:rPr>
          <w:rFonts w:ascii="Times New Roman;Times;serif" w:hAnsi="Times New Roman;Times;serif"/>
          <w:b/>
          <w:i/>
          <w:sz w:val="24"/>
        </w:rPr>
        <w:t>No Right to Continued Service or Employment</w:t>
      </w:r>
      <w:r>
        <w:rPr>
          <w:rFonts w:ascii="Times New Roman;Times;serif" w:hAnsi="Times New Roman;Times;serif"/>
          <w:smallCaps/>
          <w:sz w:val="24"/>
        </w:rPr>
        <w:t>.</w:t>
      </w:r>
      <w:r>
        <w:rPr>
          <w:rFonts w:ascii="Times New Roman;Times;serif" w:hAnsi="Times New Roman;Times;serif"/>
          <w:sz w:val="20"/>
        </w:rPr>
        <w:t xml:space="preserve">  </w:t>
      </w:r>
      <w:r>
        <w:rPr>
          <w:rFonts w:ascii="Times New Roman;Times;serif" w:hAnsi="Times New Roman;Times;serif"/>
          <w:sz w:val="24"/>
        </w:rPr>
        <w:t>Nothing in this Plan shall interfere with or limit in any way the right of the Company or any of its Subsidiaries to terminate any Participant’s employment or other service relationship with the Company or its Subsidiaries at any time, nor confer upon any Participant any right to continue in the capacity in which such Participant is employed or otherwise serves the Company or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18.</w:t>
      </w:r>
      <w:r>
        <w:rPr>
          <w:rFonts w:ascii="Times New Roman;Times;serif" w:hAnsi="Times New Roman;Times;serif"/>
          <w:b/>
          <w:i/>
          <w:sz w:val="24"/>
        </w:rPr>
        <w:t>Notices</w:t>
      </w:r>
      <w:r>
        <w:rPr>
          <w:rFonts w:ascii="Times New Roman;Times;serif" w:hAnsi="Times New Roman;Times;serif"/>
          <w:sz w:val="24"/>
        </w:rPr>
        <w:t>.  All notices and other communications provided for herein shall be in writing and shall be deemed to have been duly given when personally delivered or five days after deposit with the United States Postal Service to be sent by registered or certified mail, postage prepaid return receipt requested, addressed to the Company, attention to the general counsel, at its principal place of business and to the Participant at his address as shown on the records of the Company or to such other address as the Company shall have received in writing from the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19.</w:t>
      </w:r>
      <w:r>
        <w:rPr>
          <w:rFonts w:ascii="Times New Roman;Times;serif" w:hAnsi="Times New Roman;Times;serif"/>
          <w:b/>
          <w:i/>
          <w:sz w:val="24"/>
        </w:rPr>
        <w:t>Source of Payments; Unfunded Plan</w:t>
      </w:r>
      <w:r>
        <w:rPr>
          <w:rFonts w:ascii="Times New Roman;Times;serif" w:hAnsi="Times New Roman;Times;serif"/>
          <w:sz w:val="24"/>
        </w:rPr>
        <w:t>.  All payments provided under this Plan, other than payments made pursuant to a plan which provides otherwise, shall be paid from the general funds of the Company, and no special or separate fund shall be established, and no other segregation of assets made, to assure payment.  The Company’s liability to pay benefits under the Plan shall constitute an unfunded, unsecured liability of the Company.  Nothing contained in the Plan shall create or be construed to create a trust of any kind.  The Participant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20.</w:t>
      </w:r>
      <w:r>
        <w:rPr>
          <w:rFonts w:ascii="Times New Roman;Times;serif" w:hAnsi="Times New Roman;Times;serif"/>
          <w:b/>
          <w:i/>
          <w:sz w:val="24"/>
        </w:rPr>
        <w:t>Assignment; Successors</w:t>
      </w:r>
      <w:r>
        <w:rPr>
          <w:rFonts w:ascii="Times New Roman;Times;serif" w:hAnsi="Times New Roman;Times;serif"/>
          <w:sz w:val="24"/>
        </w:rPr>
        <w:t>.  No benefit under this Plan shall be assignable or otherwise transferable by the Participant (but any payments due hereunder which would be payable at a time after the Participant’s death shall be paid to the Participant’s estate).  The Plan shall be binding upon and inure to the benefit of any successor or assign of the Company, whether directly or indirectly and whether by way of merger, consolidation, operation of law, assignment or other acquisition of substantially all of the assets or business of the Company, in the same manner and to the full extent that the Company is obligated hereunder, and such successor or assign shall be deemed the “Company” for all purposes of the Plan.  In the event that any such successor or assign shall not by operation of law be bound by all of the Company’s obligations hereunder, then the Company shall require such successor or assign to expressly and unconditionally assume all of the Company’s obligations under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w:t>
      </w:r>
      <w:r>
        <w:rPr>
          <w:rFonts w:ascii="Times New Roman;Times;serif" w:hAnsi="Times New Roman;Times;serif"/>
          <w:b/>
          <w:i/>
          <w:sz w:val="24"/>
        </w:rPr>
        <w:t>Governing Law and Venue</w:t>
      </w:r>
      <w:r>
        <w:rPr>
          <w:rFonts w:ascii="Times New Roman;Times;serif" w:hAnsi="Times New Roman;Times;serif"/>
          <w:sz w:val="24"/>
        </w:rPr>
        <w:t>.  This Plan and all determinations made and actions taken pursuant hereto, to the extent not otherwise governed by mandatory provisions of the Code or the securities laws of the United States, shall be governed by and construed in accordance with the laws of the State of Texas, without regard to its conflict of laws provisions.  The Company and the Participant agree that any legal action arising from this Plan that is not required to be resolved through arbitration pursuant to Section 12 must be pursued in a court of competent jurisdiction that is located in Houston, Texas.</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22.</w:t>
      </w:r>
      <w:r>
        <w:rPr>
          <w:rFonts w:ascii="Times New Roman;Times;serif" w:hAnsi="Times New Roman;Times;serif"/>
          <w:b/>
          <w:i/>
          <w:sz w:val="24"/>
        </w:rPr>
        <w:t>Termination, Amendment of the Plan</w:t>
      </w:r>
      <w:r>
        <w:rPr>
          <w:rFonts w:ascii="Times New Roman;Times;serif" w:hAnsi="Times New Roman;Times;serif"/>
          <w:sz w:val="24"/>
        </w:rPr>
        <w:t>.  The Board may amend or terminate the Plan at any time with respect to the Plan’s application to persons commencing participation in the Plan subsequently to the Board taking such action to amend or terminate the Plan.  The Board may amend or terminate the Plan as to all Participants from time to time; provided, however, that, with respect to any individual who is a Participant at the time the Board takes action to amend or terminate the Plan, any such amendment or termination that adversely affects any right of such a Participant under the Plan shall not be effective until the earlier of (a) the date twelve (12) months after the Board provides written notice of the amendment or termination to all such Participants or (b) the date each such Participant consents in writing to the amendment or termination.  Notwithstanding any provision in this Section 22, the Plan may not be amended or terminated during the two years following a Change in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23.</w:t>
      </w:r>
      <w:r>
        <w:rPr>
          <w:rFonts w:ascii="Times New Roman;Times;serif" w:hAnsi="Times New Roman;Times;serif"/>
          <w:b/>
          <w:i/>
          <w:sz w:val="24"/>
        </w:rPr>
        <w:t>Miscellaneous</w:t>
      </w:r>
      <w:r>
        <w:rPr>
          <w:rFonts w:ascii="Times New Roman;Times;serif" w:hAnsi="Times New Roman;Times;serif"/>
          <w:i/>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Waiver</w:t>
      </w:r>
      <w:r>
        <w:rPr>
          <w:rFonts w:ascii="Times New Roman;Times;serif" w:hAnsi="Times New Roman;Times;serif"/>
          <w:sz w:val="24"/>
        </w:rPr>
        <w:t>.  The failure of a party to insist upon strict adherence to any term of this Plan on any occasion shall not be considered a waiver thereof or deprive that party of the right thereafter to insist upon strict adherence to that term or any other term of this Plan.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Severability</w:t>
      </w:r>
      <w:r>
        <w:rPr>
          <w:rFonts w:ascii="Times New Roman;Times;serif" w:hAnsi="Times New Roman;Times;serif"/>
          <w:sz w:val="24"/>
        </w:rPr>
        <w:t>.  If any term or provision of this Plan is declared illegal or unenforceable by any court of competent jurisdiction and cannot be modified to be enforceable, such term or provision shall immediately become null and void, leaving the remainder of this Plan in full force and effect.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Headings</w:t>
      </w:r>
      <w:r>
        <w:rPr>
          <w:rFonts w:ascii="Times New Roman;Times;serif" w:hAnsi="Times New Roman;Times;serif"/>
          <w:sz w:val="24"/>
        </w:rPr>
        <w:t>.  Section headings are used herein for convenience of reference only and shall not affect the meaning of any provision of this Plan.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Rules of Construction</w:t>
      </w:r>
      <w:r>
        <w:rPr>
          <w:rFonts w:ascii="Times New Roman;Times;serif" w:hAnsi="Times New Roman;Times;serif"/>
          <w:sz w:val="24"/>
        </w:rPr>
        <w:t>.  Whenever the context so requires, the use of the singular shall be deemed to include the plural and vice versa.</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Counterparts</w:t>
      </w:r>
      <w:r>
        <w:rPr>
          <w:rFonts w:ascii="Times New Roman;Times;serif" w:hAnsi="Times New Roman;Times;serif"/>
          <w:sz w:val="24"/>
        </w:rPr>
        <w:t>.  This Plan may be executed in any number of counterparts, each of which so executed shall be deemed to be an original, and such counterparts will together constitute but one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24.</w:t>
      </w:r>
      <w:r>
        <w:rPr>
          <w:rFonts w:ascii="Times New Roman;Times;serif" w:hAnsi="Times New Roman;Times;serif"/>
          <w:b/>
          <w:i/>
          <w:sz w:val="24"/>
        </w:rPr>
        <w:t>General Information About This Plan</w:t>
      </w:r>
      <w:r>
        <w:rPr>
          <w:rFonts w:ascii="Times New Roman;Times;serif" w:hAnsi="Times New Roman;Times;serif"/>
          <w:i/>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Plan Name</w:t>
      </w:r>
      <w:r>
        <w:rPr>
          <w:rFonts w:ascii="Times New Roman;Times;serif" w:hAnsi="Times New Roman;Times;serif"/>
          <w:sz w:val="24"/>
        </w:rPr>
        <w:t>.  The name of this Plan is the Waste Management Holdings, Inc. Executive Severance Protection Plan.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Plan Sponsor</w:t>
      </w:r>
      <w:r>
        <w:rPr>
          <w:rFonts w:ascii="Times New Roman;Times;serif" w:hAnsi="Times New Roman;Times;serif"/>
          <w:sz w:val="24"/>
        </w:rPr>
        <w:t>.  The Plan Sponsor is:</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Waste Management Holdings, Inc.</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1001 Fannin</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Houston, Texas 77002</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Attention: Chief Legal Officer</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Phone: (713) 512-6200</w:t>
      </w:r>
    </w:p>
    <w:p>
      <w:pPr>
        <w:pStyle w:val="TextBody"/>
        <w:bidi w:val="0"/>
        <w:spacing w:before="0" w:after="0"/>
        <w:ind w:left="2880" w:right="0" w:hanging="0"/>
        <w:jc w:val="both"/>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Employer Identification Number of Plan Sponsor</w:t>
      </w:r>
      <w:r>
        <w:rPr>
          <w:rFonts w:ascii="Times New Roman;Times;serif" w:hAnsi="Times New Roman;Times;serif"/>
          <w:sz w:val="24"/>
        </w:rPr>
        <w:t>.  36-2660763</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ERISA Plan Number</w:t>
      </w:r>
      <w:r>
        <w:rPr>
          <w:rFonts w:ascii="Times New Roman;Times;serif" w:hAnsi="Times New Roman;Times;serif"/>
          <w:sz w:val="24"/>
        </w:rPr>
        <w:t>.  515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Type of Plan</w:t>
      </w:r>
      <w:r>
        <w:rPr>
          <w:rFonts w:ascii="Times New Roman;Times;serif" w:hAnsi="Times New Roman;Times;serif"/>
          <w:sz w:val="24"/>
        </w:rPr>
        <w:t>.  This Plan is intended to be an unfunded plan intended to provide severance compensation and benefits to a select group of management or highly compensated employees within the meaning of Sections 201(2), 301(a)(3) and 401(a)(1) of the Employee Retirement Income Security Act of 1974, as amended.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u w:val="single"/>
        </w:rPr>
        <w:t>Plan Administration</w:t>
      </w:r>
      <w:r>
        <w:rPr>
          <w:rFonts w:ascii="Times New Roman;Times;serif" w:hAnsi="Times New Roman;Times;serif"/>
          <w:sz w:val="24"/>
        </w:rPr>
        <w:t>.  This Plan is administered by the Management Development and Compensation Committee of the Board:</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Waste Management, Inc.</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1001 Fannin</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Houston, Texas 77002</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Attention: Chief Legal Officer</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Phone: (713) 512-6200</w:t>
      </w:r>
    </w:p>
    <w:p>
      <w:pPr>
        <w:pStyle w:val="TextBody"/>
        <w:bidi w:val="0"/>
        <w:spacing w:before="0" w:after="0"/>
        <w:ind w:left="2880" w:right="0" w:hanging="0"/>
        <w:jc w:val="both"/>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Committee is responsible for the operation and administration of this Plan.  The Committee is authorized to construe and interpret this Plan and to make eligibility and benefit determinations, and its decisions shall be final and binding.  The Committee shall make all reports and disclosures required by law.</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u w:val="single"/>
        </w:rPr>
        <w:t>Agent for Service of Legal Process</w:t>
      </w:r>
      <w:r>
        <w:rPr>
          <w:rFonts w:ascii="Times New Roman;Times;serif" w:hAnsi="Times New Roman;Times;serif"/>
          <w:sz w:val="24"/>
        </w:rPr>
        <w:t>.  The agent for service of legal process on this Plan is:</w:t>
      </w:r>
    </w:p>
    <w:p>
      <w:pPr>
        <w:pStyle w:val="TextBody"/>
        <w:bidi w:val="0"/>
        <w:spacing w:before="0" w:after="0"/>
        <w:ind w:left="720" w:right="0" w:firstLine="720"/>
        <w:jc w:val="both"/>
        <w:rPr/>
      </w:pPr>
      <w:r>
        <w:rPr/>
        <w:t>​</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Waste Management, Inc.</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1001 Fannin</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Houston, Texas 77002</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Attention: Chief Legal Officer</w:t>
      </w:r>
    </w:p>
    <w:p>
      <w:pPr>
        <w:pStyle w:val="TextBody"/>
        <w:bidi w:val="0"/>
        <w:spacing w:before="0" w:after="0"/>
        <w:ind w:left="2880" w:right="0" w:hanging="0"/>
        <w:jc w:val="both"/>
        <w:rPr>
          <w:rFonts w:ascii="Times New Roman;Times;serif" w:hAnsi="Times New Roman;Times;serif"/>
          <w:sz w:val="24"/>
        </w:rPr>
      </w:pPr>
      <w:r>
        <w:rPr>
          <w:rFonts w:ascii="Times New Roman;Times;serif" w:hAnsi="Times New Roman;Times;serif"/>
          <w:sz w:val="24"/>
        </w:rPr>
        <w:t>Phone: (713) 512-6200</w:t>
      </w:r>
    </w:p>
    <w:p>
      <w:pPr>
        <w:pStyle w:val="TextBody"/>
        <w:bidi w:val="0"/>
        <w:spacing w:before="0" w:after="0"/>
        <w:ind w:left="288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u w:val="single"/>
        </w:rPr>
        <w:t>Effective Date of this Plan</w:t>
      </w:r>
      <w:r>
        <w:rPr>
          <w:rFonts w:ascii="Times New Roman;Times;serif" w:hAnsi="Times New Roman;Times;serif"/>
          <w:sz w:val="24"/>
        </w:rPr>
        <w:t>.  December 22 ,2017</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u w:val="single"/>
        </w:rPr>
        <w:t>Plan Year</w:t>
      </w:r>
      <w:r>
        <w:rPr>
          <w:rFonts w:ascii="Times New Roman;Times;serif" w:hAnsi="Times New Roman;Times;serif"/>
          <w:sz w:val="24"/>
        </w:rPr>
        <w:t>.  The calendar year ending on December 31.</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u w:val="single"/>
        </w:rPr>
        <w:t>Contributions; Source of Benefits</w:t>
      </w:r>
      <w:r>
        <w:rPr>
          <w:rFonts w:ascii="Times New Roman;Times;serif" w:hAnsi="Times New Roman;Times;serif"/>
          <w:sz w:val="24"/>
        </w:rPr>
        <w:t>.  Payments under this Plan will be made from the general assets of the Company.  No employee contributions are made under this Plan.</w:t>
      </w:r>
    </w:p>
    <w:p>
      <w:pPr>
        <w:pStyle w:val="TextBody"/>
        <w:bidi w:val="0"/>
        <w:spacing w:before="0" w:after="0"/>
        <w:ind w:left="0" w:right="0" w:hanging="0"/>
        <w:jc w:val="both"/>
        <w:rPr/>
      </w:pPr>
      <w:r>
        <w:rPr/>
        <w:t>​</w:t>
      </w:r>
    </w:p>
    <w:tbl>
      <w:tblPr>
        <w:tblW w:w="5044" w:type="dxa"/>
        <w:jc w:val="center"/>
        <w:tblInd w:w="0" w:type="dxa"/>
        <w:tblLayout w:type="fixed"/>
        <w:tblCellMar>
          <w:top w:w="0" w:type="dxa"/>
          <w:left w:w="0" w:type="dxa"/>
          <w:bottom w:w="0" w:type="dxa"/>
          <w:right w:w="0" w:type="dxa"/>
        </w:tblCellMar>
      </w:tblPr>
      <w:tblGrid>
        <w:gridCol w:w="124"/>
        <w:gridCol w:w="1001"/>
        <w:gridCol w:w="3919"/>
      </w:tblGrid>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WASTE MANAGEMENT HOLDINGS, INC.</w:t>
            </w:r>
          </w:p>
        </w:tc>
      </w:tr>
      <w:tr>
        <w:trPr/>
        <w:tc>
          <w:tcPr>
            <w:tcW w:w="12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left"/>
              <w:rPr/>
            </w:pPr>
            <w:r>
              <w:rPr/>
              <w:t>​</w:t>
            </w:r>
          </w:p>
        </w:tc>
        <w:tc>
          <w:tcPr>
            <w:tcW w:w="391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Courtney A. Tippy</w:t>
            </w:r>
          </w:p>
        </w:tc>
      </w:tr>
      <w:tr>
        <w:trPr/>
        <w:tc>
          <w:tcPr>
            <w:tcW w:w="12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left"/>
              <w:rPr/>
            </w:pPr>
            <w:r>
              <w:rPr/>
              <w:t>​</w:t>
            </w:r>
          </w:p>
        </w:tc>
        <w:tc>
          <w:tcPr>
            <w:tcW w:w="391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39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Courtney A. Tippy</w:t>
            </w:r>
          </w:p>
        </w:tc>
      </w:tr>
      <w:tr>
        <w:trPr/>
        <w:tc>
          <w:tcPr>
            <w:tcW w:w="12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left"/>
              <w:rPr/>
            </w:pPr>
            <w:r>
              <w:rPr/>
              <w:t>​</w:t>
            </w:r>
          </w:p>
        </w:tc>
        <w:tc>
          <w:tcPr>
            <w:tcW w:w="391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9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Vice President and Secretary</w:t>
            </w:r>
          </w:p>
        </w:tc>
      </w:tr>
    </w:tbl>
    <w:p>
      <w:pPr>
        <w:pStyle w:val="TextBody"/>
        <w:bidi w:val="0"/>
        <w:spacing w:before="0" w:after="0"/>
        <w:ind w:left="0" w:right="0" w:hanging="0"/>
        <w:jc w:val="center"/>
        <w:rPr>
          <w:rFonts w:ascii="Times New Roman;Times;serif" w:hAnsi="Times New Roman;Times;serif"/>
          <w:b/>
          <w:color w:val="3B3F3D"/>
          <w:sz w:val="24"/>
        </w:rPr>
      </w:pPr>
      <w:r>
        <w:rPr>
          <w:rFonts w:ascii="Times New Roman;Times;serif" w:hAnsi="Times New Roman;Times;serif"/>
          <w:b/>
          <w:color w:val="3B3F3D"/>
          <w:sz w:val="24"/>
        </w:rPr>
        <w:t>PARTICIPATION AGREEMENT</w:t>
      </w:r>
    </w:p>
    <w:p>
      <w:pPr>
        <w:pStyle w:val="TextBody"/>
        <w:bidi w:val="0"/>
        <w:spacing w:before="0" w:after="0"/>
        <w:ind w:left="0" w:right="0" w:hanging="0"/>
        <w:jc w:val="center"/>
        <w:rPr>
          <w:rFonts w:ascii="Times New Roman;Times;serif" w:hAnsi="Times New Roman;Times;serif"/>
          <w:b/>
          <w:color w:val="3B3F3D"/>
          <w:sz w:val="24"/>
        </w:rPr>
      </w:pPr>
      <w:r>
        <w:rPr>
          <w:rFonts w:ascii="Times New Roman;Times;serif" w:hAnsi="Times New Roman;Times;serif"/>
          <w:b/>
          <w:color w:val="3B3F3D"/>
          <w:sz w:val="24"/>
        </w:rPr>
        <w:t>WASTE MANAGEMENT HOLDINGS, INC.</w:t>
      </w:r>
    </w:p>
    <w:p>
      <w:pPr>
        <w:pStyle w:val="TextBody"/>
        <w:bidi w:val="0"/>
        <w:spacing w:before="0" w:after="0"/>
        <w:ind w:left="0" w:right="0" w:hanging="0"/>
        <w:jc w:val="center"/>
        <w:rPr>
          <w:rFonts w:ascii="Times New Roman;Times;serif" w:hAnsi="Times New Roman;Times;serif"/>
          <w:b/>
          <w:color w:val="3B3F3D"/>
          <w:sz w:val="24"/>
        </w:rPr>
      </w:pPr>
      <w:r>
        <w:rPr>
          <w:rFonts w:ascii="Times New Roman;Times;serif" w:hAnsi="Times New Roman;Times;serif"/>
          <w:b/>
          <w:color w:val="3B3F3D"/>
          <w:sz w:val="24"/>
        </w:rPr>
        <w:t>EXECUTIVE SEVERANCE PROTECTION PLAN</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color w:val="3B3F3D"/>
          <w:sz w:val="24"/>
        </w:rPr>
      </w:pPr>
      <w:r>
        <w:rPr>
          <w:rFonts w:ascii="Times New Roman;Times;serif" w:hAnsi="Times New Roman;Times;serif"/>
          <w:b/>
          <w:color w:val="3B3F3D"/>
          <w:sz w:val="24"/>
        </w:rPr>
        <w:t>(As effective December 22, 2017)</w:t>
      </w:r>
    </w:p>
    <w:p>
      <w:pPr>
        <w:pStyle w:val="TextBody"/>
        <w:bidi w:val="0"/>
        <w:spacing w:before="0" w:after="0"/>
        <w:ind w:left="0" w:right="0" w:hanging="0"/>
        <w:jc w:val="center"/>
        <w:rPr/>
      </w:pPr>
      <w:r>
        <w:rPr/>
        <w:t>​</w:t>
      </w:r>
    </w:p>
    <w:p>
      <w:pPr>
        <w:pStyle w:val="TextBody"/>
        <w:bidi w:val="0"/>
        <w:spacing w:before="0" w:after="120"/>
        <w:ind w:left="0" w:right="0" w:firstLine="1440"/>
        <w:jc w:val="both"/>
        <w:rPr>
          <w:rFonts w:ascii="Times New Roman;Times;serif" w:hAnsi="Times New Roman;Times;serif"/>
          <w:sz w:val="20"/>
        </w:rPr>
      </w:pPr>
      <w:r>
        <w:rPr>
          <w:rFonts w:ascii="Times New Roman;Times;serif" w:hAnsi="Times New Roman;Times;serif"/>
          <w:color w:val="3B3F3D"/>
          <w:sz w:val="24"/>
        </w:rPr>
        <w:t>Waste Management Holdings, Inc., a Delaware corporation (the “Company”), established the Waste Management Holdings, Inc. Executive Severance Protection Plan (the “Plan”)</w:t>
      </w:r>
      <w:r>
        <w:rPr>
          <w:rFonts w:ascii="Times New Roman;Times;serif" w:hAnsi="Times New Roman;Times;serif"/>
          <w:color w:val="707070"/>
          <w:sz w:val="24"/>
        </w:rPr>
        <w:t xml:space="preserve">, </w:t>
      </w:r>
      <w:r>
        <w:rPr>
          <w:rFonts w:ascii="Times New Roman;Times;serif" w:hAnsi="Times New Roman;Times;serif"/>
          <w:color w:val="3B3F3D"/>
          <w:sz w:val="24"/>
        </w:rPr>
        <w:t>effective as of December 22, 2017.</w:t>
      </w:r>
    </w:p>
    <w:p>
      <w:pPr>
        <w:pStyle w:val="TextBody"/>
        <w:bidi w:val="0"/>
        <w:spacing w:before="0" w:after="120"/>
        <w:ind w:left="0" w:right="0" w:firstLine="1440"/>
        <w:jc w:val="both"/>
        <w:rPr>
          <w:rFonts w:ascii="Times New Roman;Times;serif" w:hAnsi="Times New Roman;Times;serif"/>
          <w:color w:val="3B3F3D"/>
          <w:sz w:val="24"/>
        </w:rPr>
      </w:pPr>
      <w:r>
        <w:rPr>
          <w:rFonts w:ascii="Times New Roman;Times;serif" w:hAnsi="Times New Roman;Times;serif"/>
          <w:color w:val="3B3F3D"/>
          <w:sz w:val="24"/>
        </w:rPr>
        <w:t>[Name] (“Executive”) is eligible to participate in the Plan, contingent upon the execution and return of this Participation Agreement (the “Agreement”) as set forth below.</w:t>
      </w:r>
    </w:p>
    <w:p>
      <w:pPr>
        <w:pStyle w:val="TextBody"/>
        <w:bidi w:val="0"/>
        <w:spacing w:before="0" w:after="120"/>
        <w:ind w:left="0" w:right="0" w:firstLine="1440"/>
        <w:jc w:val="both"/>
        <w:rPr>
          <w:rFonts w:ascii="Times New Roman;Times;serif" w:hAnsi="Times New Roman;Times;serif"/>
          <w:color w:val="3B3F3D"/>
          <w:sz w:val="24"/>
        </w:rPr>
      </w:pPr>
      <w:r>
        <w:rPr>
          <w:rFonts w:ascii="Times New Roman;Times;serif" w:hAnsi="Times New Roman;Times;serif"/>
          <w:color w:val="3B3F3D"/>
          <w:sz w:val="24"/>
        </w:rPr>
        <w:t>Executive understands, acknowledges and agrees as follows:</w:t>
      </w:r>
    </w:p>
    <w:p>
      <w:pPr>
        <w:pStyle w:val="TextBody"/>
        <w:bidi w:val="0"/>
        <w:spacing w:before="0" w:after="120"/>
        <w:ind w:left="720" w:right="0" w:hanging="0"/>
        <w:jc w:val="left"/>
        <w:rPr>
          <w:rFonts w:ascii="Times New Roman;Times;serif" w:hAnsi="Times New Roman;Times;serif"/>
          <w:color w:val="3B3F3D"/>
          <w:sz w:val="24"/>
        </w:rPr>
      </w:pPr>
      <w:r>
        <w:rPr>
          <w:rFonts w:ascii="Times New Roman;Times;serif" w:hAnsi="Times New Roman;Times;serif"/>
          <w:b w:val="false"/>
          <w:i w:val="false"/>
          <w:caps w:val="false"/>
          <w:smallCaps w:val="false"/>
          <w:color w:val="3B3F3D"/>
          <w:sz w:val="24"/>
        </w:rPr>
        <w:t>(a)</w:t>
      </w:r>
      <w:r>
        <w:rPr>
          <w:rFonts w:ascii="Times New Roman;Times;serif" w:hAnsi="Times New Roman;Times;serif"/>
          <w:color w:val="3B3F3D"/>
          <w:sz w:val="24"/>
        </w:rPr>
        <w:t>Executive has received a copy of the Plan, which also serves as the “summary plan description” of the Plan.</w:t>
      </w:r>
    </w:p>
    <w:p>
      <w:pPr>
        <w:pStyle w:val="TextBody"/>
        <w:bidi w:val="0"/>
        <w:spacing w:before="0" w:after="120"/>
        <w:ind w:left="720" w:right="0" w:hanging="0"/>
        <w:jc w:val="left"/>
        <w:rPr>
          <w:rFonts w:ascii="Times New Roman;Times;serif" w:hAnsi="Times New Roman;Times;serif"/>
          <w:color w:val="3B3F3D"/>
          <w:sz w:val="24"/>
        </w:rPr>
      </w:pPr>
      <w:r>
        <w:rPr>
          <w:rFonts w:ascii="Times New Roman;Times;serif" w:hAnsi="Times New Roman;Times;serif"/>
          <w:b w:val="false"/>
          <w:i w:val="false"/>
          <w:caps w:val="false"/>
          <w:smallCaps w:val="false"/>
          <w:color w:val="3B3F3D"/>
          <w:sz w:val="24"/>
        </w:rPr>
        <w:t>(b)</w:t>
      </w:r>
      <w:r>
        <w:rPr>
          <w:rFonts w:ascii="Times New Roman;Times;serif" w:hAnsi="Times New Roman;Times;serif"/>
          <w:color w:val="3B3F3D"/>
          <w:sz w:val="24"/>
        </w:rPr>
        <w:t>Executive’s execution and return to the Company of this Agreement on or prior to April 30, 2026 (the “Required Date”) is a condition to the Executive becoming a Participant in the Plan.</w:t>
      </w:r>
    </w:p>
    <w:p>
      <w:pPr>
        <w:pStyle w:val="TextBody"/>
        <w:bidi w:val="0"/>
        <w:spacing w:before="0" w:after="120"/>
        <w:ind w:left="720" w:right="0" w:hanging="0"/>
        <w:jc w:val="left"/>
        <w:rPr>
          <w:rFonts w:ascii="Times New Roman;Times;serif" w:hAnsi="Times New Roman;Times;serif"/>
          <w:color w:val="3B3F3D"/>
          <w:sz w:val="24"/>
        </w:rPr>
      </w:pPr>
      <w:r>
        <w:rPr>
          <w:rFonts w:ascii="Times New Roman;Times;serif" w:hAnsi="Times New Roman;Times;serif"/>
          <w:b w:val="false"/>
          <w:i w:val="false"/>
          <w:caps w:val="false"/>
          <w:smallCaps w:val="false"/>
          <w:color w:val="3B3F3D"/>
          <w:sz w:val="24"/>
        </w:rPr>
        <w:t>(c)</w:t>
      </w:r>
      <w:r>
        <w:rPr>
          <w:rFonts w:ascii="Times New Roman;Times;serif" w:hAnsi="Times New Roman;Times;serif"/>
          <w:color w:val="3B3F3D"/>
          <w:sz w:val="24"/>
        </w:rPr>
        <w:t>Executive must comply with all the terms and conditions of the Plan, as well as the terms and conditions of this Agreement, in order to continue participating in the Plan or receive and retain benefits pursuant to the Plan.</w:t>
      </w:r>
    </w:p>
    <w:p>
      <w:pPr>
        <w:pStyle w:val="TextBody"/>
        <w:bidi w:val="0"/>
        <w:spacing w:before="0" w:after="120"/>
        <w:ind w:left="720" w:right="0" w:hanging="0"/>
        <w:jc w:val="left"/>
        <w:rPr>
          <w:rFonts w:ascii="Times New Roman;Times;serif" w:hAnsi="Times New Roman;Times;serif"/>
          <w:color w:val="3B3F3D"/>
          <w:sz w:val="24"/>
        </w:rPr>
      </w:pPr>
      <w:r>
        <w:rPr>
          <w:rFonts w:ascii="Times New Roman;Times;serif" w:hAnsi="Times New Roman;Times;serif"/>
          <w:b w:val="false"/>
          <w:i w:val="false"/>
          <w:caps w:val="false"/>
          <w:smallCaps w:val="false"/>
          <w:color w:val="3B3F3D"/>
          <w:sz w:val="24"/>
        </w:rPr>
        <w:t>(d)</w:t>
      </w:r>
      <w:r>
        <w:rPr>
          <w:rFonts w:ascii="Times New Roman;Times;serif" w:hAnsi="Times New Roman;Times;serif"/>
          <w:color w:val="3B3F3D"/>
          <w:sz w:val="24"/>
        </w:rPr>
        <w:t>Executive’s participation in the Plan is conditioned on executing and returning to the Company the Loyalty and Confidentiality Agreement in the form attached hereto on or prior to the Required Date.</w:t>
      </w:r>
    </w:p>
    <w:p>
      <w:pPr>
        <w:pStyle w:val="TextBody"/>
        <w:bidi w:val="0"/>
        <w:spacing w:before="0" w:after="120"/>
        <w:ind w:left="720" w:right="0" w:hanging="0"/>
        <w:jc w:val="left"/>
        <w:rPr>
          <w:rFonts w:ascii="Times New Roman;Times;serif" w:hAnsi="Times New Roman;Times;serif"/>
          <w:color w:val="3B3F3D"/>
          <w:sz w:val="24"/>
        </w:rPr>
      </w:pPr>
      <w:r>
        <w:rPr>
          <w:rFonts w:ascii="Times New Roman;Times;serif" w:hAnsi="Times New Roman;Times;serif"/>
          <w:b w:val="false"/>
          <w:i w:val="false"/>
          <w:caps w:val="false"/>
          <w:smallCaps w:val="false"/>
          <w:color w:val="3B3F3D"/>
          <w:sz w:val="24"/>
        </w:rPr>
        <w:t>(e)</w:t>
      </w:r>
      <w:r>
        <w:rPr>
          <w:rFonts w:ascii="Times New Roman;Times;serif" w:hAnsi="Times New Roman;Times;serif"/>
          <w:color w:val="3B3F3D"/>
          <w:sz w:val="24"/>
        </w:rPr>
        <w:t>Executive is not eligible to participate in any other cash-based severance plan, policy or arrangement offered by the Company or any of its subsidiaries or affiliates.</w:t>
      </w:r>
    </w:p>
    <w:p>
      <w:pPr>
        <w:pStyle w:val="TextBody"/>
        <w:bidi w:val="0"/>
        <w:spacing w:before="0" w:after="0"/>
        <w:ind w:left="0" w:right="0" w:hanging="0"/>
        <w:jc w:val="both"/>
        <w:rPr>
          <w:rFonts w:ascii="Times New Roman;Times;serif" w:hAnsi="Times New Roman;Times;serif"/>
          <w:b/>
          <w:color w:val="3B3F3D"/>
          <w:sz w:val="24"/>
        </w:rPr>
      </w:pPr>
      <w:r>
        <w:rPr>
          <w:rFonts w:ascii="Times New Roman;Times;serif" w:hAnsi="Times New Roman;Times;serif"/>
          <w:b/>
          <w:color w:val="3B3F3D"/>
          <w:sz w:val="24"/>
        </w:rPr>
        <w:t>EXECUTIVE HAS READ THIS AGREEMENT CAREFULLY, AND EXECUTIVE UNDERSTANDS AND ACCEPTS THE OBLIGATIONS THAT IT IMPOSES UPON EXECUTIVE WITHOUT RESERVATION. EXECUTIVE SIGNS THIS AGREEMENT VOLUNTARILY AND FREELY.</w:t>
      </w:r>
    </w:p>
    <w:p>
      <w:pPr>
        <w:pStyle w:val="TextBody"/>
        <w:bidi w:val="0"/>
        <w:spacing w:before="0" w:after="7"/>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AGREED:</w:t>
      </w:r>
    </w:p>
    <w:p>
      <w:pPr>
        <w:pStyle w:val="TextBody"/>
        <w:bidi w:val="0"/>
        <w:spacing w:before="0" w:after="0"/>
        <w:ind w:left="0" w:right="0" w:hanging="0"/>
        <w:jc w:val="left"/>
        <w:rPr/>
      </w:pPr>
      <w:r>
        <w:rPr/>
        <w:t>​</w:t>
      </w:r>
    </w:p>
    <w:tbl>
      <w:tblPr>
        <w:tblW w:w="5658" w:type="dxa"/>
        <w:jc w:val="center"/>
        <w:tblInd w:w="0" w:type="dxa"/>
        <w:tblLayout w:type="fixed"/>
        <w:tblCellMar>
          <w:top w:w="0" w:type="dxa"/>
          <w:left w:w="0" w:type="dxa"/>
          <w:bottom w:w="0" w:type="dxa"/>
          <w:right w:w="0" w:type="dxa"/>
        </w:tblCellMar>
      </w:tblPr>
      <w:tblGrid>
        <w:gridCol w:w="1666"/>
        <w:gridCol w:w="346"/>
        <w:gridCol w:w="3646"/>
      </w:tblGrid>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EXECUTIVE:</w:t>
            </w:r>
          </w:p>
        </w:tc>
        <w:tc>
          <w:tcPr>
            <w:tcW w:w="346" w:type="dxa"/>
            <w:tcBorders/>
            <w:vAlign w:val="center"/>
          </w:tcPr>
          <w:p>
            <w:pPr>
              <w:pStyle w:val="TableContents"/>
              <w:bidi w:val="0"/>
              <w:spacing w:before="0" w:after="0"/>
              <w:ind w:left="0" w:right="0" w:hanging="0"/>
              <w:jc w:val="left"/>
              <w:rPr/>
            </w:pPr>
            <w:r>
              <w:rPr/>
              <w:t>  ​ ​ ​</w:t>
            </w:r>
          </w:p>
        </w:tc>
        <w:tc>
          <w:tcPr>
            <w:tcW w:w="364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Waste Management Holdings, Inc.</w: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(Signature)</w:t>
            </w:r>
          </w:p>
        </w:tc>
        <w:tc>
          <w:tcPr>
            <w:tcW w:w="346"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(Signature)</w: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(Printed Name)</w:t>
            </w:r>
          </w:p>
        </w:tc>
        <w:tc>
          <w:tcPr>
            <w:tcW w:w="346"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(Printed Name)</w: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w:t>
            </w:r>
          </w:p>
        </w:tc>
        <w:tc>
          <w:tcPr>
            <w:tcW w:w="346"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caps/>
          <w:color w:val="282828"/>
          <w:sz w:val="24"/>
        </w:rPr>
      </w:pPr>
      <w:r>
        <w:rPr>
          <w:rFonts w:ascii="Times New Roman;Times;serif" w:hAnsi="Times New Roman;Times;serif"/>
          <w:b/>
          <w:caps/>
          <w:color w:val="282828"/>
          <w:sz w:val="24"/>
        </w:rPr>
        <w:t>EXHIBIT a</w:t>
      </w:r>
    </w:p>
    <w:p>
      <w:pPr>
        <w:pStyle w:val="TextBody"/>
        <w:bidi w:val="0"/>
        <w:spacing w:before="0" w:after="0"/>
        <w:ind w:left="0" w:right="0" w:hanging="0"/>
        <w:jc w:val="center"/>
        <w:rPr>
          <w:rFonts w:ascii="Times New Roman;Times;serif" w:hAnsi="Times New Roman;Times;serif"/>
          <w:b/>
          <w:caps/>
          <w:color w:val="282828"/>
          <w:sz w:val="24"/>
        </w:rPr>
      </w:pPr>
      <w:r>
        <w:rPr>
          <w:rFonts w:ascii="Times New Roman;Times;serif" w:hAnsi="Times New Roman;Times;serif"/>
          <w:b/>
          <w:caps/>
          <w:color w:val="282828"/>
          <w:sz w:val="24"/>
        </w:rPr>
        <w:t>Loyalty and Confidentiality Agreement</w:t>
      </w:r>
    </w:p>
    <w:p>
      <w:pPr>
        <w:pStyle w:val="TextBody"/>
        <w:bidi w:val="0"/>
        <w:spacing w:before="0" w:after="0"/>
        <w:ind w:left="0" w:right="0" w:hanging="0"/>
        <w:jc w:val="center"/>
        <w:rPr>
          <w:rFonts w:ascii="Times New Roman;Times;serif" w:hAnsi="Times New Roman;Times;serif"/>
          <w:b/>
          <w:caps/>
          <w:color w:val="282828"/>
          <w:sz w:val="24"/>
        </w:rPr>
      </w:pPr>
      <w:r>
        <w:rPr>
          <w:rFonts w:ascii="Times New Roman;Times;serif" w:hAnsi="Times New Roman;Times;serif"/>
          <w:b/>
          <w:caps/>
          <w:color w:val="282828"/>
          <w:sz w:val="24"/>
        </w:rPr>
        <w:t>(Senior Leadership TEAM)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color w:val="282828"/>
          <w:sz w:val="24"/>
        </w:rPr>
      </w:pPr>
      <w:r>
        <w:rPr>
          <w:rFonts w:ascii="Times New Roman;Times;serif" w:hAnsi="Times New Roman;Times;serif"/>
          <w:b/>
          <w:color w:val="282828"/>
          <w:sz w:val="24"/>
        </w:rPr>
        <w:t>Executive: [Name] (“Executive”).</w:t>
      </w:r>
    </w:p>
    <w:p>
      <w:pPr>
        <w:pStyle w:val="TextBody"/>
        <w:bidi w:val="0"/>
        <w:spacing w:before="0" w:after="0"/>
        <w:ind w:left="0" w:right="0" w:hanging="0"/>
        <w:jc w:val="left"/>
        <w:rPr>
          <w:rFonts w:ascii="Times New Roman;Times;serif" w:hAnsi="Times New Roman;Times;serif"/>
          <w:b/>
          <w:color w:val="282828"/>
          <w:sz w:val="24"/>
        </w:rPr>
      </w:pPr>
      <w:r>
        <w:rPr>
          <w:rFonts w:ascii="Times New Roman;Times;serif" w:hAnsi="Times New Roman;Times;serif"/>
          <w:b/>
          <w:color w:val="282828"/>
          <w:sz w:val="24"/>
        </w:rPr>
        <w:t>Company: USA Waste-Management Resources, LLC (“Company”).</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olor w:val="282828"/>
          <w:sz w:val="24"/>
        </w:rPr>
        <w:t xml:space="preserve">THIS LOYALTY AND CONFIDENTIALITY AGREEMENT (“Agreement”) </w:t>
      </w:r>
      <w:r>
        <w:rPr>
          <w:rFonts w:ascii="Times New Roman;Times;serif" w:hAnsi="Times New Roman;Times;serif"/>
          <w:color w:val="282828"/>
          <w:sz w:val="24"/>
        </w:rPr>
        <w:t xml:space="preserve">is between </w:t>
      </w:r>
      <w:r>
        <w:rPr>
          <w:rFonts w:ascii="Times New Roman;Times;serif" w:hAnsi="Times New Roman;Times;serif"/>
          <w:b/>
          <w:color w:val="282828"/>
          <w:sz w:val="24"/>
        </w:rPr>
        <w:t xml:space="preserve">Executive </w:t>
      </w:r>
      <w:r>
        <w:rPr>
          <w:rFonts w:ascii="Times New Roman;Times;serif" w:hAnsi="Times New Roman;Times;serif"/>
          <w:color w:val="282828"/>
          <w:sz w:val="24"/>
        </w:rPr>
        <w:t xml:space="preserve">and </w:t>
      </w:r>
      <w:r>
        <w:rPr>
          <w:rFonts w:ascii="Times New Roman;Times;serif" w:hAnsi="Times New Roman;Times;serif"/>
          <w:b/>
          <w:color w:val="282828"/>
          <w:sz w:val="24"/>
        </w:rPr>
        <w:t xml:space="preserve">Company, </w:t>
      </w:r>
      <w:r>
        <w:rPr>
          <w:rFonts w:ascii="Times New Roman;Times;serif" w:hAnsi="Times New Roman;Times;serif"/>
          <w:color w:val="282828"/>
          <w:sz w:val="24"/>
        </w:rPr>
        <w:t xml:space="preserve">collectively referred to as the </w:t>
      </w:r>
      <w:r>
        <w:rPr>
          <w:rFonts w:ascii="Times New Roman;Times;serif" w:hAnsi="Times New Roman;Times;serif"/>
          <w:color w:val="282828"/>
          <w:sz w:val="20"/>
        </w:rPr>
        <w:t>“</w:t>
      </w:r>
      <w:r>
        <w:rPr>
          <w:rFonts w:ascii="Times New Roman;Times;serif" w:hAnsi="Times New Roman;Times;serif"/>
          <w:b/>
          <w:color w:val="282828"/>
          <w:sz w:val="24"/>
        </w:rPr>
        <w:t xml:space="preserve">parties.” </w:t>
      </w:r>
      <w:r>
        <w:rPr>
          <w:rFonts w:ascii="Times New Roman;Times;serif" w:hAnsi="Times New Roman;Times;serif"/>
          <w:color w:val="282828"/>
          <w:sz w:val="24"/>
        </w:rPr>
        <w:t>Company seeks to place or retain Executive in a position of special trust and confidence, and Executive wishes to accept such a position. As a condition of employment in such a position, the mutual promises of the parties herein, and as a condition of the Company’s willingness to provide the benefits described in the Waste Management Holdings, Inc. Executive Severance Protection Plan (the “Severance Plan”) and Executive’s participation in the Company’s incentive programs for the year following execution of this Agreement, each of which Executive acknowledges is adequate consideration for this Agreement; and, to protect Confidential Information (as defined below) and trade secrets, training, customer relationships, goodwill, and other legitimate business interests; the parties agree as follows: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SECTION 1.</w:t>
      </w:r>
      <w:r>
        <w:rPr>
          <w:rFonts w:ascii="Times New Roman;Times;serif" w:hAnsi="Times New Roman;Times;serif"/>
          <w:b/>
          <w:sz w:val="24"/>
        </w:rPr>
        <w:t>Benefits and Responsibilities of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1.1</w:t>
      </w:r>
      <w:r>
        <w:rPr>
          <w:rFonts w:ascii="Times New Roman;Times;serif" w:hAnsi="Times New Roman;Times;serif"/>
          <w:b/>
          <w:color w:val="282828"/>
          <w:sz w:val="24"/>
        </w:rPr>
        <w:t>Items Provided to Executive.</w:t>
      </w:r>
      <w:r>
        <w:rPr>
          <w:rFonts w:ascii="Times New Roman;Times;serif" w:hAnsi="Times New Roman;Times;serif"/>
          <w:color w:val="282828"/>
          <w:sz w:val="20"/>
        </w:rPr>
        <w:t xml:space="preserve"> </w:t>
      </w:r>
      <w:r>
        <w:rPr>
          <w:rFonts w:ascii="Times New Roman;Times;serif" w:hAnsi="Times New Roman;Times;serif"/>
          <w:color w:val="282828"/>
          <w:sz w:val="24"/>
        </w:rPr>
        <w:t>In reliance upon Executive’s covenants in this Agreement, Company will provide Executive with one or more of the following: (i) access to portions of the Company’s Confidential Information (through a computer password or other means) and updates thereto; (ii) authorization to communicate with customers and prospective customers, and reimbursement of customer development expenses in accordance with Company policy limits, to help Executive develop goodwill for Company; and/or (iii) authorization to participate in specialized training related to Company’s business. Employment with the Company and participation in its benefit plan(s) or compensation programs including, without limitation, those described in the Severance Plan, is also conditioned on Executive’s agreement to, and continuing compliance with, the terms of this Agreement - as determined by Company. Executive agrees that if he or she is unclear about the incentive program referenced in the introductory paragraph above, Executive will provide a written request for clarification from Waste Management, Inc.’s Chief Executive Officer or Chief Legal Officer. Failure to seek clarification about the Executive’s incentive program will result in a waiver by Executive of any claim that such language, as used in this Agreement, is ambiguous.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1.2</w:t>
      </w:r>
      <w:r>
        <w:rPr>
          <w:rFonts w:ascii="Times New Roman;Times;serif" w:hAnsi="Times New Roman;Times;serif"/>
          <w:b/>
          <w:color w:val="282828"/>
          <w:sz w:val="24"/>
        </w:rPr>
        <w:t>Duty of Loyalty and Conflicts of Interest.</w:t>
      </w:r>
      <w:r>
        <w:rPr>
          <w:rFonts w:ascii="Times New Roman;Times;serif" w:hAnsi="Times New Roman;Times;serif"/>
          <w:color w:val="282828"/>
          <w:sz w:val="20"/>
        </w:rPr>
        <w:t xml:space="preserve"> </w:t>
      </w:r>
      <w:r>
        <w:rPr>
          <w:rFonts w:ascii="Times New Roman;Times;serif" w:hAnsi="Times New Roman;Times;serif"/>
          <w:color w:val="282828"/>
          <w:sz w:val="24"/>
        </w:rPr>
        <w:t xml:space="preserve">During employment Executive will dedicate his or her full working time to the Company and use best efforts to perform the duties assigned, comply with Company policies and procedures, and avoid conflicts of interest. It will be a conflict of interest for Executive to have a financial or ownership in a business that may be at variance with the interests of the Company, or for Executive to engage in competition with the Company. Executive will promptly inform and direct to Company all business opportunities that may be of interest to the Company in its line of business. Executive agrees that if he or she questions whether information constitutes Confidential Information (as defined in Section 2.l below), whether a business opportunity is covered by </w:t>
      </w:r>
      <w:r>
        <w:rPr>
          <w:rFonts w:ascii="Times New Roman;Times;serif" w:hAnsi="Times New Roman;Times;serif"/>
          <w:color w:val="2A2A2A"/>
          <w:sz w:val="24"/>
        </w:rPr>
        <w:t xml:space="preserve">this Agreement, or whether contemplated activity would create a conflict of interest, he or she will provide a written request for clarification from Waste Management, Inc.’s Chief Executive Officer or Chief Legal Officer. The provisions of this Section 1.2 shall be in addition to,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color w:val="2A2A2A"/>
          <w:sz w:val="24"/>
        </w:rPr>
      </w:pPr>
      <w:r>
        <w:rPr>
          <w:rFonts w:ascii="Times New Roman;Times;serif" w:hAnsi="Times New Roman;Times;serif"/>
          <w:color w:val="2A2A2A"/>
          <w:sz w:val="24"/>
        </w:rPr>
        <w:t>rather than in substitution for, any fiduciary or other duties Executive has as an executive officer under all applicable laws.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SECTION 2.</w:t>
      </w:r>
      <w:r>
        <w:rPr>
          <w:rFonts w:ascii="Times New Roman;Times;serif" w:hAnsi="Times New Roman;Times;serif"/>
          <w:b/>
          <w:color w:val="282828"/>
          <w:sz w:val="24"/>
        </w:rPr>
        <w:t>Confidentiality and Business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2.1</w:t>
      </w:r>
      <w:r>
        <w:rPr>
          <w:rFonts w:ascii="Times New Roman;Times;serif" w:hAnsi="Times New Roman;Times;serif"/>
          <w:b/>
          <w:color w:val="2A2A2A"/>
          <w:sz w:val="24"/>
        </w:rPr>
        <w:t xml:space="preserve">Definition of Confidential Information. </w:t>
      </w:r>
      <w:r>
        <w:rPr>
          <w:rFonts w:ascii="Times New Roman;Times;serif" w:hAnsi="Times New Roman;Times;serif"/>
          <w:color w:val="2A2A2A"/>
          <w:sz w:val="20"/>
        </w:rPr>
        <w:t>“</w:t>
      </w:r>
      <w:r>
        <w:rPr>
          <w:rFonts w:ascii="Times New Roman;Times;serif" w:hAnsi="Times New Roman;Times;serif"/>
          <w:color w:val="2A2A2A"/>
          <w:sz w:val="24"/>
        </w:rPr>
        <w:t>Confidential Information” refers to an item of information, or a compilation of information, in any form (tangible or intangible), related to the Company’s business that Executive acquires as an Executive and that Company has not made public or authorized public disclosure of, and that is not through proper means readily available to persons outside the Company who are under no obligation to keep it confidential. Confidential Information will not lose its protected status under this Agreement if it becomes known to other persons through improper means such as the unauthorized use or disclosure of the information by Executive or another person. Confidential Information includes, but is not limited to: (i) Market Business Strategy (MBS) data,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marketing plans and strategies, research and development data, buying practices,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 Confidential Information does not include information pertaining to employees’ wages, hours and benefits and employees’ terms and conditions of employment. 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The presence of non</w:t>
        <w:softHyphen/>
        <w:t xml:space="preserve"> confidential items of information within an otherwise confidential compilation of information will not remove the compilation itself from the protection of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2.2</w:t>
      </w:r>
      <w:r>
        <w:rPr>
          <w:rFonts w:ascii="Times New Roman;Times;serif" w:hAnsi="Times New Roman;Times;serif"/>
          <w:b/>
          <w:color w:val="2A2A2A"/>
          <w:sz w:val="24"/>
        </w:rPr>
        <w:t xml:space="preserve">Unauthorized Use or Disclosure. </w:t>
      </w:r>
      <w:r>
        <w:rPr>
          <w:rFonts w:ascii="Times New Roman;Times;serif" w:hAnsi="Times New Roman;Times;serif"/>
          <w:color w:val="2A2A2A"/>
          <w:sz w:val="24"/>
        </w:rPr>
        <w:t xml:space="preserve">Executive agrees to use Confidential Information only in the performance of his or her duties, to hold such information in confidence and trust, and not to engage in any unauthorized use or disclosure of such information during employment and for so long thereafter as such information qualifies as Confidential Information. Notwithstanding the foregoing, nothing in this Agreement shall be construed to prohibit a disclosure of information that is required by law or protected by law. If disclosure is compelled by law, Executive will give Company as much written notice as possible under the circumstances, will refrain from use or disclosure for as long as the law allows, and will cooperate with Company to protect such information, including taking every reasonable step to protect against unnecessary disclosure. Executive agrees, if he or she becomes aware of an unauthorized use or disclosure of Confidential Information, he or she will immediately notify Company’s Legal Department, whether or not Executive is a Company employee when he or she becomes aware of the disclosure. Nothing in this Agreement prohibits Executive from reporting an event that Executive reasonably and in good faith believes is a violation of law to the relevant law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color w:val="2A2A2A"/>
          <w:sz w:val="24"/>
        </w:rPr>
      </w:pPr>
      <w:r>
        <w:rPr>
          <w:rFonts w:ascii="Times New Roman;Times;serif" w:hAnsi="Times New Roman;Times;serif"/>
          <w:color w:val="2A2A2A"/>
          <w:sz w:val="24"/>
        </w:rPr>
        <w:t>enforcement agency, requires advance notice or approval from the Company for such a report, or prohibits cooperating in an investigation conducted by such a government agency. In this context, a disclosure of trade secret or confidential information within the limitations permitted by the 2016 Defend Trade Secrets Act (DTSA) is allowed. The DTSA provides that (I)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 the trade secret under seal, and does not disclose the trade secret, except as permitted by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2.3</w:t>
      </w:r>
      <w:r>
        <w:rPr>
          <w:rFonts w:ascii="Times New Roman;Times;serif" w:hAnsi="Times New Roman;Times;serif"/>
          <w:b/>
          <w:color w:val="2A2A2A"/>
          <w:sz w:val="24"/>
        </w:rPr>
        <w:t xml:space="preserve">Executive Recordkeeping. </w:t>
      </w:r>
      <w:r>
        <w:rPr>
          <w:rFonts w:ascii="Times New Roman;Times;serif" w:hAnsi="Times New Roman;Times;serif"/>
          <w:color w:val="2A2A2A"/>
          <w:sz w:val="24"/>
        </w:rPr>
        <w:t>Executive agrees to preserve records on current and prospective Company customers, suppliers, and other business relationships that he or she develops or helps to develop, and not use these records to compete with the Company for business opportunities. When Executive terminates employment with Company, or earlier if so requested, he or she will return to Company all documents, records, and materials of any kind in his or her possession or</w:t>
      </w:r>
      <w:r>
        <w:rPr>
          <w:rFonts w:ascii="Times New Roman;Times;serif" w:hAnsi="Times New Roman;Times;serif"/>
          <w:color w:val="9E9E9E"/>
          <w:sz w:val="24"/>
        </w:rPr>
        <w:t xml:space="preserve">. </w:t>
      </w:r>
      <w:r>
        <w:rPr>
          <w:rFonts w:ascii="Times New Roman;Times;serif" w:hAnsi="Times New Roman;Times;serif"/>
          <w:color w:val="2A2A2A"/>
          <w:sz w:val="24"/>
        </w:rPr>
        <w:t>under his or her control, incorporating Confidential Information or otherwise, relating to Company’s business, and will not retain any copies thereof (electronic or otherwise). Upon request, Executive will provide to the Company for inspection any personal electronic storage devices that are used to conduct any business for the Company or that Company otherwise has grounds to believe may contain Confidential Information and will cooperate in facilitating an effective inspection, where applicable law makes inspection possible, to permit Company to confirm that Executive has completely removed all Confidential Information from the devices. If Executive stores any Company information with any service provider (e.g., gmail, DropBox, iCloud), Executive consents to the service provider’s disclosure of such information to the Company. Executive will, upon the Company’s request where allowed by law, execute any additional authorizations required by the service provider to disclose the Company’s information to the Company. Executive is not authorized to access and use the Company’s computers, email, or related computer systems to compete or to prepare to compete, and unauthorized access to or use of the Company’s computers in violation of this understanding may subject Executive to civil and/or criminal liability.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SECTION 3.</w:t>
      </w:r>
      <w:r>
        <w:rPr>
          <w:rFonts w:ascii="Times New Roman;Times;serif" w:hAnsi="Times New Roman;Times;serif"/>
          <w:b/>
          <w:color w:val="2A2A2A"/>
          <w:sz w:val="24"/>
        </w:rPr>
        <w:t xml:space="preserve">Inventions and Discoveries. </w:t>
      </w:r>
      <w:r>
        <w:rPr>
          <w:rFonts w:ascii="Times New Roman;Times;serif" w:hAnsi="Times New Roman;Times;serif"/>
          <w:color w:val="2A2A2A"/>
          <w:sz w:val="24"/>
        </w:rPr>
        <w:t xml:space="preserve">All written materials, records, data, and other documents prepared or possessed by Executive during Executive’s employment with the Company are 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color w:val="2A2A2A"/>
          <w:sz w:val="24"/>
        </w:rPr>
      </w:pPr>
      <w:r>
        <w:rPr>
          <w:rFonts w:ascii="Times New Roman;Times;serif" w:hAnsi="Times New Roman;Times;serif"/>
          <w:color w:val="2A2A2A"/>
          <w:sz w:val="24"/>
        </w:rPr>
        <w:t>all inventions, original works of authorship, developments, concepts, improvements, designs, discoveries, and ideas of commercial use or value that 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Executive will keep and maintain adequate and current written records of all improvements, processes, original works of authorship, derivative works, developments, concepts, ideas, discoveries, designs, know-how, trademarks, service marks, trade names, trade dress, improvements and trade secrets made by Executive (solely or jointly with others) during the term of Executive’s employment with the Company. The records will be in the form of notes, sketches, drawings, and any other format that may be specified by the Company. The records will be available to and remain the sole property of the Company at all times To the extent state law where Executive resides requires it (such as under Cal. Lab. Code, § 2870, or comparable laws), Executive is notified that no provision in this Agreement requires Executive to assign any of rights to 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 This paragraph is intended to compliment and supplement, not replace, any additional written agreement(s) the parties may have 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 If the Company is unable because of Executive’s mental or physical incapacity or for any other reason to secure Executive’s signature to apply for or to pursue any application for any United States or foreign letters patents or copyrights covering inventions or other rights assigned to the Company hereunder, then Executive hereby irrevocably designates and appoints the Company and its duly authorized officers and agents as Executive’s agent and attorney-in-fact, to act for and in Executive’s behalf and stead to execute and file any such applications and to do all other lawfully permitted acts or sign any documents to further the prosecution and issuance of letters patents and copyrights with the same legal force and effect as if executed by Executive. By Executive’s signature on this Agreement, Executive designates and appoints each executive officer of the Company as his/her agent and attorney-in-fact to execute any such papers on his/her behalf, and to take any and all actions the Company considers necessary to protect its rights and interests in any Company IP. Executive hereby waives and quitclaims to the Company any and all claims, of any nature whatsoever, which Executive now or may hereafter have for infringement of any patents or copyrights resulting from any such application assigned hereunder to the Company. Executive further agrees that he/she shall not, at any time hereafter, dispute, contest, or aid or assist others in disputing or contesting, either directly or indirectly, Company’s exclusive right, title, and interest in and to the Company IP and other proprietary rights therein claimed by the Company.</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SECTION 4.</w:t>
      </w:r>
      <w:r>
        <w:rPr>
          <w:rFonts w:ascii="Times New Roman;Times;serif" w:hAnsi="Times New Roman;Times;serif"/>
          <w:b/>
          <w:color w:val="2A2A2A"/>
          <w:sz w:val="24"/>
        </w:rPr>
        <w:t>Protective Covenants.</w:t>
      </w:r>
      <w:r>
        <w:rPr>
          <w:rFonts w:ascii="Times New Roman;Times;serif" w:hAnsi="Times New Roman;Times;serif"/>
          <w:color w:val="2A2A2A"/>
          <w:sz w:val="20"/>
        </w:rPr>
        <w:t xml:space="preserve"> </w:t>
      </w:r>
      <w:r>
        <w:rPr>
          <w:rFonts w:ascii="Times New Roman;Times;serif" w:hAnsi="Times New Roman;Times;serif"/>
          <w:color w:val="2A2A2A"/>
          <w:sz w:val="24"/>
        </w:rPr>
        <w:t>Executive agrees that the restrictions on trade secrets and Confidential Information provided for in this Agreement are not sufficient by themselves to protect the Company’s legitimate business interests. The additional restrictions provided for in this Section 4 are reasonable and necessary and collectively operate to protect legitimate business interests of the Company in important ways that no one restriction standing alone sufficiently does.</w:t>
      </w:r>
    </w:p>
    <w:tbl>
      <w:tblPr>
        <w:tblW w:w="4833" w:type="dxa"/>
        <w:jc w:val="left"/>
        <w:tblInd w:w="0" w:type="dxa"/>
        <w:tblLayout w:type="fixed"/>
        <w:tblCellMar>
          <w:top w:w="0" w:type="dxa"/>
          <w:left w:w="0" w:type="dxa"/>
          <w:bottom w:w="0" w:type="dxa"/>
          <w:right w:w="0" w:type="dxa"/>
        </w:tblCellMar>
      </w:tblPr>
      <w:tblGrid>
        <w:gridCol w:w="23"/>
        <w:gridCol w:w="32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both"/>
              <w:rPr>
                <w:rFonts w:ascii="Times New Roman;Times;serif" w:hAnsi="Times New Roman;Times;serif"/>
                <w:b/>
                <w:color w:val="2A2A2A"/>
                <w:sz w:val="24"/>
              </w:rPr>
            </w:pPr>
            <w:r>
              <w:rPr>
                <w:rFonts w:ascii="Times New Roman;Times;serif" w:hAnsi="Times New Roman;Times;serif"/>
                <w:b/>
                <w:color w:val="2A2A2A"/>
                <w:sz w:val="24"/>
              </w:rPr>
              <w:t>4.1</w:t>
            </w:r>
          </w:p>
        </w:tc>
        <w:tc>
          <w:tcPr>
            <w:tcW w:w="4490" w:type="dxa"/>
            <w:tcBorders/>
            <w:vAlign w:val="center"/>
          </w:tcPr>
          <w:p>
            <w:pPr>
              <w:pStyle w:val="TableContents"/>
              <w:bidi w:val="0"/>
              <w:spacing w:before="0" w:after="240"/>
              <w:jc w:val="both"/>
              <w:rPr>
                <w:rFonts w:ascii="Times New Roman;Times;serif" w:hAnsi="Times New Roman;Times;serif"/>
                <w:b/>
                <w:color w:val="2A2A2A"/>
                <w:sz w:val="24"/>
              </w:rPr>
            </w:pPr>
            <w:r>
              <w:rPr>
                <w:rFonts w:ascii="Times New Roman;Times;serif" w:hAnsi="Times New Roman;Times;serif"/>
                <w:b/>
                <w:color w:val="2A2A2A"/>
                <w:sz w:val="24"/>
              </w:rPr>
              <w:t>Definitions Related to Protective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4.1.1</w:t>
      </w:r>
      <w:r>
        <w:rPr>
          <w:rFonts w:ascii="Times New Roman;Times;serif" w:hAnsi="Times New Roman;Times;serif"/>
          <w:color w:val="2A2A2A"/>
          <w:sz w:val="20"/>
        </w:rPr>
        <w:t>“</w:t>
      </w:r>
      <w:r>
        <w:rPr>
          <w:rFonts w:ascii="Times New Roman;Times;serif" w:hAnsi="Times New Roman;Times;serif"/>
          <w:b/>
          <w:color w:val="2A2A2A"/>
          <w:sz w:val="24"/>
        </w:rPr>
        <w:t xml:space="preserve">Covered Customer” </w:t>
      </w:r>
      <w:r>
        <w:rPr>
          <w:rFonts w:ascii="Times New Roman;Times;serif" w:hAnsi="Times New Roman;Times;serif"/>
          <w:color w:val="2A2A2A"/>
          <w:sz w:val="24"/>
        </w:rPr>
        <w:t>is an established Company customer (person or entity) as to which Executive had business-related contact or dealings or received Confidential Information about in the two (2) year period preceding the end of Executive’s employment with the Company for any reason. References to the end of Executive’s employment in this Agreement refer to the end, whether by resignation or termination, and without regard for the reason employment ended. A customer will be presumed to be established where actual sales and/or services have occurred or been performed in the preceding year, where there is an active proposal for sales or services pending, or where sales or services were being negotiated as of the date Executive’s employment with Company 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4.1.2</w:t>
      </w:r>
      <w:r>
        <w:rPr>
          <w:rFonts w:ascii="Times New Roman;Times;serif" w:hAnsi="Times New Roman;Times;serif"/>
          <w:color w:val="2A2A2A"/>
          <w:sz w:val="20"/>
        </w:rPr>
        <w:t>“</w:t>
      </w:r>
      <w:r>
        <w:rPr>
          <w:rFonts w:ascii="Times New Roman;Times;serif" w:hAnsi="Times New Roman;Times;serif"/>
          <w:b/>
          <w:color w:val="2A2A2A"/>
          <w:sz w:val="24"/>
        </w:rPr>
        <w:t xml:space="preserve">Conflicting Product or Service” </w:t>
      </w:r>
      <w:r>
        <w:rPr>
          <w:rFonts w:ascii="Times New Roman;Times;serif" w:hAnsi="Times New Roman;Times;serif"/>
          <w:color w:val="2A2A2A"/>
          <w:sz w:val="24"/>
        </w:rPr>
        <w:t>is a product and</w:t>
      </w:r>
      <w:r>
        <w:rPr>
          <w:rFonts w:ascii="Times New Roman;Times;serif" w:hAnsi="Times New Roman;Times;serif"/>
          <w:color w:val="7E7E7E"/>
          <w:sz w:val="24"/>
        </w:rPr>
        <w:t>/</w:t>
      </w:r>
      <w:r>
        <w:rPr>
          <w:rFonts w:ascii="Times New Roman;Times;serif" w:hAnsi="Times New Roman;Times;serif"/>
          <w:color w:val="2A2A2A"/>
          <w:sz w:val="24"/>
        </w:rPr>
        <w:t>or service provided by a person or entity other than the Company that would replace or compete with a Company product and/or service (existing or under development). By way of example, the products and services the Company provides to its customers may include but are not limited to: solid waste disposal, collection, transfer, storage, recycling and resource recovery; waste-to-energy conversion; landfill operation; and, development of beneficial-use projects for landfill gas. Conflicting Products or Services do not include a product or service of the Company if the Company is no longer in the business of providing such product or service to its customers at the relevant time of enforcement.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4.1.3</w:t>
      </w:r>
      <w:r>
        <w:rPr>
          <w:rFonts w:ascii="Times New Roman;Times;serif" w:hAnsi="Times New Roman;Times;serif"/>
          <w:color w:val="2A2A2A"/>
          <w:sz w:val="20"/>
        </w:rPr>
        <w:t>“</w:t>
      </w:r>
      <w:r>
        <w:rPr>
          <w:rFonts w:ascii="Times New Roman;Times;serif" w:hAnsi="Times New Roman;Times;serif"/>
          <w:b/>
          <w:color w:val="2A2A2A"/>
          <w:sz w:val="24"/>
        </w:rPr>
        <w:t xml:space="preserve">Competing Activities” </w:t>
      </w:r>
      <w:r>
        <w:rPr>
          <w:rFonts w:ascii="Times New Roman;Times;serif" w:hAnsi="Times New Roman;Times;serif"/>
          <w:color w:val="2A2A2A"/>
          <w:sz w:val="24"/>
        </w:rPr>
        <w:t>are any activities or services undertaken on behalf of a competitor (which is understood to mean any person or entity engaged in the business of providing a Conflicting Product or Service in the United States) that (i) would displace the products or services that the Company is currently in the business of providing and was in the business of providing, or was planning to be in the business of providing, at the time Executive was employed with the Company, or (ii) otherwise likely to result in the use or disclosure of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4.1.4</w:t>
      </w:r>
      <w:r>
        <w:rPr>
          <w:rFonts w:ascii="Times New Roman;Times;serif" w:hAnsi="Times New Roman;Times;serif"/>
          <w:color w:val="2A2A2A"/>
          <w:sz w:val="20"/>
        </w:rPr>
        <w:t>“</w:t>
      </w:r>
      <w:r>
        <w:rPr>
          <w:rFonts w:ascii="Times New Roman;Times;serif" w:hAnsi="Times New Roman;Times;serif"/>
          <w:b/>
          <w:color w:val="2A2A2A"/>
          <w:sz w:val="24"/>
        </w:rPr>
        <w:t xml:space="preserve">Restricted Area” </w:t>
      </w:r>
      <w:r>
        <w:rPr>
          <w:rFonts w:ascii="Times New Roman;Times;serif" w:hAnsi="Times New Roman;Times;serif"/>
          <w:color w:val="2A2A2A"/>
          <w:sz w:val="24"/>
        </w:rPr>
        <w:t>means the geographic area served by any current or planned facility or facilities (landfill, transfer station, recycling center, office, or other operation) of the Company and its affiliates or that Employee is otherwise provided Confidential Information about, in the two (2) year period preceding the end of Employee’s employment with the Company. As used here, the "geographic area served" by a facility is understood to be the area within a 75-mile radius of the facility, except where Employee can prove the market area served is smaller by clear and convincing evidence in which case such smaller area shall apply. The parties agree this is a reasonable geographic area restriction because the 75-mile radius identified is a reasonable approximation of the market area or other geographic area where Employee would be expected to help Company provide its products and services since Executive is a senior executive of the Company, or about which Employee would receive and help analyze Confidential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4.1.5</w:t>
      </w:r>
      <w:r>
        <w:rPr>
          <w:rFonts w:ascii="Times New Roman;Times;serif" w:hAnsi="Times New Roman;Times;serif"/>
          <w:color w:val="2A2A2A"/>
          <w:sz w:val="20"/>
        </w:rPr>
        <w:t>“</w:t>
      </w:r>
      <w:r>
        <w:rPr>
          <w:rFonts w:ascii="Times New Roman;Times;serif" w:hAnsi="Times New Roman;Times;serif"/>
          <w:b/>
          <w:color w:val="2A2A2A"/>
          <w:sz w:val="24"/>
        </w:rPr>
        <w:t xml:space="preserve">Covered Business Partner” </w:t>
      </w:r>
      <w:r>
        <w:rPr>
          <w:rFonts w:ascii="Times New Roman;Times;serif" w:hAnsi="Times New Roman;Times;serif"/>
          <w:color w:val="2A2A2A"/>
          <w:sz w:val="24"/>
        </w:rPr>
        <w:t xml:space="preserve">is a business partner, broker, independent contractor, vendor or supplier that Executive had business-related contact or dealings with or received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color w:val="2A2A2A"/>
          <w:sz w:val="24"/>
        </w:rPr>
      </w:pPr>
      <w:r>
        <w:rPr>
          <w:rFonts w:ascii="Times New Roman;Times;serif" w:hAnsi="Times New Roman;Times;serif"/>
          <w:color w:val="2A2A2A"/>
          <w:sz w:val="24"/>
        </w:rPr>
        <w:t>Confidential Information about in the two (2) year period preceding the end of Executive’s employment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4.1.6</w:t>
      </w:r>
      <w:r>
        <w:rPr>
          <w:rFonts w:ascii="Times New Roman;Times;serif" w:hAnsi="Times New Roman;Times;serif"/>
          <w:color w:val="2A2A2A"/>
          <w:sz w:val="20"/>
        </w:rPr>
        <w:t>“</w:t>
      </w:r>
      <w:r>
        <w:rPr>
          <w:rFonts w:ascii="Times New Roman;Times;serif" w:hAnsi="Times New Roman;Times;serif"/>
          <w:b/>
          <w:color w:val="2A2A2A"/>
          <w:sz w:val="24"/>
        </w:rPr>
        <w:t xml:space="preserve">Solicit” </w:t>
      </w:r>
      <w:r>
        <w:rPr>
          <w:rFonts w:ascii="Times New Roman;Times;serif" w:hAnsi="Times New Roman;Times;serif"/>
          <w:color w:val="2A2A2A"/>
          <w:sz w:val="24"/>
        </w:rPr>
        <w:t>and related terms such as “soliciting” or engaging in “solicitation” mean to knowingly engage in acts or communications, in person or through others, that are intended to cause, or can reasonably be expected to induce or encourage, a particular responsive action (such as buying a good or service), regardless of which party initiates the communication or whether the communication is response to an inquiry.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4.2</w:t>
      </w:r>
      <w:r>
        <w:rPr>
          <w:rFonts w:ascii="Times New Roman;Times;serif" w:hAnsi="Times New Roman;Times;serif"/>
          <w:b/>
          <w:color w:val="2A2A2A"/>
          <w:sz w:val="24"/>
        </w:rPr>
        <w:t>Restriction on Interfering with Employee Relationships</w:t>
      </w:r>
      <w:r>
        <w:rPr>
          <w:rFonts w:ascii="Times New Roman;Times;serif" w:hAnsi="Times New Roman;Times;serif"/>
          <w:color w:val="2A2A2A"/>
          <w:sz w:val="24"/>
        </w:rPr>
        <w:t xml:space="preserve">. To protect the Company’s trade secrets and other interests, Executive agrees that while employed by the Company and for a period of two (2) years thereafter, Executive will not, directly or indirectly (a) solicit or knowingly induce any employee that he or she gained knowledge of through his or her employment to leave the employment of the Company, or (b) help any person or entity hire such an employee away from the Company; unless such conduct is undertaken with Company’s knowledge and for its benefit as part of Executive’s authorized job duties. The parties agree this restriction is inherently reasonable in geography because it is limited to the places or locations where the employees that Executive has knowledge of are located; however, if an additional geographic limitation is needed in order for the foregoing restriction to be enforceable then it shall be considered limited to the Restricted Area. In the event Company loses an employee due, in whole or in part, to conduct by Executive that violates </w:t>
      </w:r>
      <w:r>
        <w:rPr>
          <w:rFonts w:ascii="Times New Roman;Times;serif" w:hAnsi="Times New Roman;Times;serif"/>
          <w:color w:val="2D2D2D"/>
          <w:sz w:val="24"/>
        </w:rPr>
        <w:t>this Agreement prior to the issuance of injunctive relief, Executive shall pay Company a sum equal to thirty percent (30%) of the annual wages of the person(s) who were improperly solicited and left the Company, based on such person’s last rate of pay with the Company. This payment shall not preclude or act as a substitute for any remedy that would otherwise be available, including but not limited to, injunctive relief to prevent further violations.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4.3</w:t>
      </w:r>
      <w:r>
        <w:rPr>
          <w:rFonts w:ascii="Times New Roman;Times;serif" w:hAnsi="Times New Roman;Times;serif"/>
          <w:b/>
          <w:color w:val="2D2D2D"/>
          <w:sz w:val="24"/>
        </w:rPr>
        <w:t>Restriction on Interfering with Customer Relationships.</w:t>
      </w:r>
      <w:r>
        <w:rPr>
          <w:rFonts w:ascii="Times New Roman;Times;serif" w:hAnsi="Times New Roman;Times;serif"/>
          <w:color w:val="2D2D2D"/>
          <w:sz w:val="20"/>
        </w:rPr>
        <w:t xml:space="preserve"> </w:t>
      </w:r>
      <w:r>
        <w:rPr>
          <w:rFonts w:ascii="Times New Roman;Times;serif" w:hAnsi="Times New Roman;Times;serif"/>
          <w:color w:val="2D2D2D"/>
          <w:sz w:val="24"/>
        </w:rPr>
        <w:t>To protect the Company’s trade secrets and other interests, Executive agrees that while employed by the Company and for a period of two (2) years thereafter, Executive will not, directly or indirectly, solicit or knowingly induce a Covered Customer to (a) stop or reduce doing business with Company, or (b) buy a Conflicting Product or Service; unless such conduct is undertaken with Company’s knowledge and for its benefit as part of Executive’s authorized job duties. The parties agree this restriction is inherently reasonable in geography because it is limited to the places or locations where the Covered Customer is doing business at the time; however, if an additional geographic limitation is needed in order for the foregoing restriction to be enforceable then it shall be considered limited to the Restricted Area.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4.4</w:t>
      </w:r>
      <w:r>
        <w:rPr>
          <w:rFonts w:ascii="Times New Roman;Times;serif" w:hAnsi="Times New Roman;Times;serif"/>
          <w:b/>
          <w:color w:val="2D2D2D"/>
          <w:sz w:val="24"/>
        </w:rPr>
        <w:t xml:space="preserve">Restriction on Interfering with Business Partners. </w:t>
      </w:r>
      <w:r>
        <w:rPr>
          <w:rFonts w:ascii="Times New Roman;Times;serif" w:hAnsi="Times New Roman;Times;serif"/>
          <w:color w:val="2D2D2D"/>
          <w:sz w:val="24"/>
        </w:rPr>
        <w:t>To protect the Company’s trade secrets and other interests, Executive agrees that while employed by the Company and for a period of two (2) years thereafter, Executive will not (a) solicit or knowingly induce a Covered Business Partner to end or alter its business relationship with the Company to the Company’s detriment, or (b} solicit business opportunities with a Covered Business Partner that relate to a Conflicting Product or Service; unless such conduct is undertaken with Company’s knowledge and for its benefit as part of Executive’s authorized job duties. The parties agree this restriction is inherently reasonable in geography because it is limited to the places or locations where the Covered Business Partner is doing business at the time; however, if an additional geographic limitation is needed in order for the foregoing restriction to be enforceable then it shall be considered limited to the Restricted Area.</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4.5</w:t>
      </w:r>
      <w:r>
        <w:rPr>
          <w:rFonts w:ascii="Times New Roman;Times;serif" w:hAnsi="Times New Roman;Times;serif"/>
          <w:b/>
          <w:color w:val="2D2D2D"/>
          <w:sz w:val="24"/>
        </w:rPr>
        <w:t>Restriction on Unfair Competition</w:t>
      </w:r>
      <w:r>
        <w:rPr>
          <w:rFonts w:ascii="Times New Roman;Times;serif" w:hAnsi="Times New Roman;Times;serif"/>
          <w:color w:val="2D2D2D"/>
          <w:sz w:val="24"/>
        </w:rPr>
        <w:t xml:space="preserve">. To protect the Company’s trade secrets and other interests, while employed by Company and for a period of two (2) years thereafter, Executive will not participate in, supervise, or manage (as an employee, consultant, contractor, officer, owner, director, or otherwise) Competing Activities in the Restricted Area. 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Waste Management, Inc. in </w:t>
      </w:r>
      <w:r>
        <w:rPr>
          <w:rFonts w:ascii="Times New Roman;Times;serif" w:hAnsi="Times New Roman;Times;serif"/>
          <w:color w:val="424242"/>
          <w:sz w:val="24"/>
        </w:rPr>
        <w:t xml:space="preserve">writing </w:t>
      </w:r>
      <w:r>
        <w:rPr>
          <w:rFonts w:ascii="Times New Roman;Times;serif" w:hAnsi="Times New Roman;Times;serif"/>
          <w:color w:val="2D2D2D"/>
          <w:sz w:val="24"/>
        </w:rPr>
        <w:t>to be of no material threat to the legitimate business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4.6</w:t>
      </w:r>
      <w:r>
        <w:rPr>
          <w:rFonts w:ascii="Times New Roman;Times;serif" w:hAnsi="Times New Roman;Times;serif"/>
          <w:b/>
          <w:color w:val="2D2D2D"/>
          <w:sz w:val="24"/>
        </w:rPr>
        <w:t xml:space="preserve">Non-Disparagement. </w:t>
      </w:r>
      <w:r>
        <w:rPr>
          <w:rFonts w:ascii="Times New Roman;Times;serif" w:hAnsi="Times New Roman;Times;serif"/>
          <w:color w:val="2D2D2D"/>
          <w:sz w:val="24"/>
        </w:rPr>
        <w:t xml:space="preserve">During Executive’s employment and thereafter, Executive covenants and agrees that Executive shall not engage in any conduct that involves the </w:t>
      </w:r>
      <w:r>
        <w:rPr>
          <w:rFonts w:ascii="Times New Roman;Times;serif" w:hAnsi="Times New Roman;Times;serif"/>
          <w:color w:val="2A2A2A"/>
          <w:sz w:val="24"/>
        </w:rPr>
        <w:t>making or publishing of written or oral statements or remarks (including, without limitation, the repetition or distribution of derogatory rumors, allegations, negative reports or comments} which are disparaging</w:t>
      </w:r>
      <w:r>
        <w:rPr>
          <w:rFonts w:ascii="Times New Roman;Times;serif" w:hAnsi="Times New Roman;Times;serif"/>
          <w:color w:val="4F4F4F"/>
          <w:sz w:val="24"/>
        </w:rPr>
        <w:t xml:space="preserve">, </w:t>
      </w:r>
      <w:r>
        <w:rPr>
          <w:rFonts w:ascii="Times New Roman;Times;serif" w:hAnsi="Times New Roman;Times;serif"/>
          <w:color w:val="2A2A2A"/>
          <w:sz w:val="24"/>
        </w:rPr>
        <w:t>deleterious or damaging to the integrity, reputation or good will of the Company, its management</w:t>
      </w:r>
      <w:r>
        <w:rPr>
          <w:rFonts w:ascii="Times New Roman;Times;serif" w:hAnsi="Times New Roman;Times;serif"/>
          <w:color w:val="4F4F4F"/>
          <w:sz w:val="24"/>
        </w:rPr>
        <w:t xml:space="preserve">, </w:t>
      </w:r>
      <w:r>
        <w:rPr>
          <w:rFonts w:ascii="Times New Roman;Times;serif" w:hAnsi="Times New Roman;Times;serif"/>
          <w:color w:val="2A2A2A"/>
          <w:sz w:val="24"/>
        </w:rPr>
        <w:t>or of management of corporations or other entities affiliated with the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SECTION 5.</w:t>
      </w:r>
      <w:r>
        <w:rPr>
          <w:rFonts w:ascii="Times New Roman;Times;serif" w:hAnsi="Times New Roman;Times;serif"/>
          <w:b/>
          <w:color w:val="2A2A2A"/>
          <w:sz w:val="24"/>
        </w:rPr>
        <w:t>Survival and Severability.</w:t>
      </w:r>
      <w:r>
        <w:rPr>
          <w:rFonts w:ascii="Times New Roman;Times;serif" w:hAnsi="Times New Roman;Times;serif"/>
          <w:color w:val="2A2A2A"/>
          <w:sz w:val="20"/>
        </w:rPr>
        <w:t xml:space="preserve"> </w:t>
      </w:r>
      <w:r>
        <w:rPr>
          <w:rFonts w:ascii="Times New Roman;Times;serif" w:hAnsi="Times New Roman;Times;serif"/>
          <w:color w:val="2A2A2A"/>
          <w:sz w:val="24"/>
        </w:rPr>
        <w:t xml:space="preserve">(a) Executive’s post-employment obligations in this Agreement shall survive the termination of this Agreement and Executive’s employment under it. This Agreement will be deemed to continue in effect despite any changes in terms and conditions of Executive’s employment (including, but not limited to promotions, transfers, relocations, or changes in job duties or compensation}, and it will automatically renew upon re-employment by Company if Executive’s employment is ended but later renewed. (b) If Executive violates one of the post-employment restrictions in this Agreement on which there is a specific time limitation, the time period for that restriction will be extended by one day for each day Executive violates it; provided, however, that this extension of time shall be capped so it does not require Executive’s compliance with the restriction for a period of time that is longer than the restriction’s originally proscribed length of time. (c) If a court determines that a restriction provided for herein cannot be enforced as written due to over breadth (such as time, scope of activity, or geography), the court will (for purposes of that court’s jurisdiction only) enforce the restrictions to such lesser extent as is allowed by law and/or reform the restriction to the extent necessary to make it enforceable to protect Company’s legitimate business (d) If, despite the foregoing, any provision of this Agreement is adjudicated to be void, illegal or unenforceable, all other provisions will remain in full force and effect, as if the void, illegal, or unenforceable provision is not part of the Agreement and any prior agreement between the parties covering the same or substantially similar restrictions on Executive (such as, but not limited to the Company’s Loyalty and Confidentiality Agreement with Executive) shall resume effect to the extent necessary to maintain protection of the Company’s legitimate protectable interests covered by the protective covenants set forth herein. (e) All of Executive’s covenants in this Agreement shall be construed as independent agreements; and, the existence of any claim or cause of action against Company by Executive, whether predicated on this Agreement or otherwise, shall not constitute a defense to the enforcement by Company of any of Executive’s obligations under this Agreement. (f) If Executive becomes employed with an affiliate without signing a new agreement, the affiliate will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color w:val="2A2A2A"/>
          <w:sz w:val="24"/>
        </w:rPr>
      </w:pPr>
      <w:r>
        <w:rPr>
          <w:rFonts w:ascii="Times New Roman;Times;serif" w:hAnsi="Times New Roman;Times;serif"/>
          <w:color w:val="2A2A2A"/>
          <w:sz w:val="24"/>
        </w:rPr>
        <w:t>step into Company’s position under this Agreement and will be entitled to the same protections and enforcement rights as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SECTION 6.</w:t>
      </w:r>
      <w:r>
        <w:rPr>
          <w:rFonts w:ascii="Times New Roman;Times;serif" w:hAnsi="Times New Roman;Times;serif"/>
          <w:b/>
          <w:color w:val="2A2A2A"/>
          <w:sz w:val="24"/>
        </w:rPr>
        <w:t xml:space="preserve">Notice. </w:t>
      </w:r>
      <w:r>
        <w:rPr>
          <w:rFonts w:ascii="Times New Roman;Times;serif" w:hAnsi="Times New Roman;Times;serif"/>
          <w:color w:val="2A2A2A"/>
          <w:sz w:val="24"/>
        </w:rPr>
        <w:t>Before accepting new employment, Executive will advise any such future employer of the restrictions in this Agreement. Executive agrees that the Company may advise any such future employer or prospective employer of this Agreement and its position on the potential application of this Agreement without such giving rise to any legal claim. While employed by Company, and for two (2) years thereafter, Executive will provide Company: (i) written notice at least thirty (30) days prior to beginning work for a competitor; (ii) sufficient information about his or her new position to enable Company to determine if Executive’s services in the new position would likely lead to a violation of this Agreement; and (iii) within thirty days of Company’s request, if there is such a request, participate in a mediation or in-person conference to discuss and/or resolve any issues raised by Executive’s new position. Executive’s written notice pursuant to (i) above shall be provided to the Chief Executive Officer of Waste Management, Inc. Executive will be responsible for all consequential damages caused by failure to give Company notice as provided in this paragraph.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SECTION 7.</w:t>
      </w:r>
      <w:r>
        <w:rPr>
          <w:rFonts w:ascii="Times New Roman;Times;serif" w:hAnsi="Times New Roman;Times;serif"/>
          <w:b/>
          <w:color w:val="2A2A2A"/>
          <w:sz w:val="24"/>
        </w:rPr>
        <w:t xml:space="preserve">Remedies. </w:t>
      </w:r>
      <w:r>
        <w:rPr>
          <w:rFonts w:ascii="Times New Roman;Times;serif" w:hAnsi="Times New Roman;Times;serif"/>
          <w:color w:val="2A2A2A"/>
          <w:sz w:val="24"/>
        </w:rPr>
        <w:t>If either party breaches or threatens to breach this Agreement, the offended party may recover: (i) an order of specific performance or declaratory relief; (ii) injunctive relief by temporary restraining order, temporary injunction, and/or permanent injunction; (iii) damages; (iv) attorney’s fees and costs incurred in obtaining relief; and (v) any other legal or equitable relief or remedy allowed by law. If Company seeks injunctive relief or damages, it shall be deemed the prevailing party if any injunctive relief or damages are awarded to it irrespective of the denial of any other relief requested. One Thousand Dollars ($1,000.00) is the agreed amount for the bond to be posted if an injunction is sought by Company to enforce the restrictions in this Agreement on Executive. In addition, Executive agrees that any breach by Executive of any of the covenants set forth in this Agreement during Executive’s term of employment with the Company shall be grounds for immediate employment termination of Executive for Cause as described in the Severance Plan, which shall be in addition to and not exclusive of any and all other rights and remedies the Company may have against Executive. In addition, in the event that Executive violates any of the covenants set forth in this Agreement, (i) the Company shall have the right to immediately cease making any payments that it may otherwise owe to Executive, if any, pursuant to the Severance Plan, (ii) Executive will forfeit any remaining rights to payments or continuing benefits provided by the Severance Plan, if there are any, and (iii) upon the Company’s demand, Executive will refund to the Company any severance benefits, plus interest, previously paid by Company to Executive pursuant to the Severance Plan, less one thousand dollars ($1,000) which Executive shall be entitled to retain as fully sufficient consideration to support and maintain in effect any contractual obligations that Executive has to the Company prior to the refund, including the release of claims upon which the payment of such amounts was conditioned.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SECTION 8.</w:t>
      </w:r>
      <w:r>
        <w:rPr>
          <w:rFonts w:ascii="Times New Roman;Times;serif" w:hAnsi="Times New Roman;Times;serif"/>
          <w:b/>
          <w:color w:val="2A2A2A"/>
          <w:sz w:val="24"/>
        </w:rPr>
        <w:t xml:space="preserve">Waiver, Modification, Assignment Governing Law. </w:t>
      </w:r>
      <w:r>
        <w:rPr>
          <w:rFonts w:ascii="Times New Roman;Times;serif" w:hAnsi="Times New Roman;Times;serif"/>
          <w:color w:val="2A2A2A"/>
          <w:sz w:val="24"/>
        </w:rPr>
        <w:t xml:space="preserve">(a) Neither this Agreement, nor any term or provision hereof, may be waived or modified in whole or in part by either party without the party that holds the right to enforce such provision expressly waiving the right to enforce such provision in writing, or by court order and the waiver of one breach will not serve to waive or permit a subsequent breach. (b) Except where otherwise expressly indicated, the Agreement contains the parties’ entire agreement concerning the matters covered in it; provided that if a post-employment restrictive covenant in this Agreement is found unenforceable (despite, and after application of, any applicable right to reformation that could add or renew enforceability), then any prior agreement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color w:val="2A2A2A"/>
          <w:sz w:val="24"/>
        </w:rPr>
        <w:t>between the parties that would provide for a restriction on the same or substantially similar post</w:t>
        <w:softHyphen/>
        <w:t xml:space="preserve"> employment conduct of Executive shall not be considered superseded and shall remain in effect. (c) The Agreement will inure to the benefit of Company’s successors in interest, affiliates (as defined in Rule 12b-2 under Section 12 of the Securities and Exchange Act), subsidiaries, parents, purchasers, or assignees, all of whom are beneficiaries of this Agreement and may be enforced by any one or more of same, without need of any further authorization or agreement from Executive. (d) The laws of the State of Texas will govern the Agreement, the construction of its terms, and the interpretation of the rights and duties of the parties, regardless of any conflicts of law principles of the state. (e) Executive stipulates and consents to personal jurisdiction of the courts located in Harris County, Texas, over </w:t>
      </w:r>
      <w:r>
        <w:rPr>
          <w:rFonts w:ascii="Times New Roman;Times;serif" w:hAnsi="Times New Roman;Times;serif"/>
          <w:color w:val="4D4D4D"/>
          <w:sz w:val="24"/>
        </w:rPr>
        <w:t>h</w:t>
      </w:r>
      <w:r>
        <w:rPr>
          <w:rFonts w:ascii="Times New Roman;Times;serif" w:hAnsi="Times New Roman;Times;serif"/>
          <w:color w:val="2B2B2B"/>
          <w:sz w:val="24"/>
        </w:rPr>
        <w:t xml:space="preserve">im or her, and waives any and all objections to the contrary (whether based on convenience, </w:t>
      </w:r>
      <w:r>
        <w:rPr>
          <w:rFonts w:ascii="Times New Roman;Times;serif" w:hAnsi="Times New Roman;Times;serif"/>
          <w:color w:val="4D4D4D"/>
          <w:sz w:val="24"/>
        </w:rPr>
        <w:t>c</w:t>
      </w:r>
      <w:r>
        <w:rPr>
          <w:rFonts w:ascii="Times New Roman;Times;serif" w:hAnsi="Times New Roman;Times;serif"/>
          <w:color w:val="2B2B2B"/>
          <w:sz w:val="24"/>
        </w:rPr>
        <w:t xml:space="preserve">ost, or other grounds). The exclusive venue for any legal action arising from this Agreement </w:t>
      </w:r>
      <w:r>
        <w:rPr>
          <w:rFonts w:ascii="Times New Roman;Times;serif" w:hAnsi="Times New Roman;Times;serif"/>
          <w:color w:val="626262"/>
          <w:sz w:val="24"/>
        </w:rPr>
        <w:t>w</w:t>
      </w:r>
      <w:r>
        <w:rPr>
          <w:rFonts w:ascii="Times New Roman;Times;serif" w:hAnsi="Times New Roman;Times;serif"/>
          <w:color w:val="2B2B2B"/>
          <w:sz w:val="24"/>
        </w:rPr>
        <w:t>ill be Harris County, Texas; provided, however, that if no court in Harris County, Texas has jurisdiction over Executive, forum will be proper in the state where Executive last regularly worked for the Company. (f) Nothing in this Agreement shall be construed to control or modify which entity (among the Company’s family of entities) is the Executive’s legal employer for purposes of any laws or regulations governing the employment relationship. (f) Nothing in this Agreement shall be construed to limit or reduce any common law or statutory duty Executive would otherwise owe to Company absent this Agreement, including but not limited to Executive’s duty of loyalty and fiduciary duty as an Executive placed in a special position of trust; nor shall this Agreement limit or eliminate any remedies available to the Company for a violation of such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2A2A2A"/>
          <w:sz w:val="24"/>
        </w:rPr>
        <w:t>SECTION 9.</w:t>
      </w:r>
      <w:r>
        <w:rPr>
          <w:rFonts w:ascii="Times New Roman;Times;serif" w:hAnsi="Times New Roman;Times;serif"/>
          <w:b/>
          <w:color w:val="2B2B2B"/>
          <w:sz w:val="24"/>
        </w:rPr>
        <w:t xml:space="preserve">Jury Trial Waiver. </w:t>
      </w:r>
      <w:r>
        <w:rPr>
          <w:rFonts w:ascii="Times New Roman;Times;serif" w:hAnsi="Times New Roman;Times;serif"/>
          <w:color w:val="2B2B2B"/>
          <w:sz w:val="24"/>
        </w:rPr>
        <w:t>The parties hereby waive their right to jury trial on any legal dispute arising from or relating to this Agreement, and consent to the submission of all issues of fact and law arising from this Agreement to the judge of a court of competent jurisdiction as otherwise provided for above</w:t>
      </w:r>
    </w:p>
    <w:p>
      <w:pPr>
        <w:pStyle w:val="TextBody"/>
        <w:bidi w:val="0"/>
        <w:spacing w:before="0" w:after="240"/>
        <w:ind w:left="0" w:right="0" w:hanging="0"/>
        <w:jc w:val="both"/>
        <w:rPr>
          <w:rFonts w:ascii="Times New Roman;Times;serif" w:hAnsi="Times New Roman;Times;serif"/>
          <w:color w:val="2B2B2B"/>
          <w:sz w:val="24"/>
          <w:u w:val="single"/>
        </w:rPr>
      </w:pPr>
      <w:r>
        <w:rPr>
          <w:rFonts w:ascii="Times New Roman;Times;serif" w:hAnsi="Times New Roman;Times;serif"/>
          <w:color w:val="2B2B2B"/>
          <w:sz w:val="24"/>
          <w:u w:val="single"/>
        </w:rPr>
        <w:t>Nothing in this Agreement will be construed to create a contract of employment for a definite period of time or to prohibit either party from having the freedom to end the employment relationship at-will. with or without cause. subject to payment of any amounts due under the terms of the Severance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HorizontalLine"/>
        <w:pBdr>
          <w:bottom w:val="double" w:sz="2" w:space="0" w:color="808080"/>
        </w:pBdr>
        <w:bidi w:val="0"/>
        <w:spacing w:before="0" w:after="283"/>
        <w:jc w:val="left"/>
        <w:rPr/>
      </w:pPr>
      <w:r>
        <w:rPr/>
      </w:r>
    </w:p>
    <w:p>
      <w:pPr>
        <w:pStyle w:val="TextBody"/>
        <w:bidi w:val="0"/>
        <w:spacing w:before="0" w:after="7"/>
        <w:ind w:left="0" w:right="0" w:hanging="0"/>
        <w:jc w:val="left"/>
        <w:rPr>
          <w:rFonts w:ascii="Times New Roman;Times;serif" w:hAnsi="Times New Roman;Times;serif"/>
          <w:sz w:val="24"/>
        </w:rPr>
      </w:pPr>
      <w:r>
        <w:rPr>
          <w:rFonts w:ascii="Times New Roman;Times;serif" w:hAnsi="Times New Roman;Times;serif"/>
          <w:sz w:val="24"/>
        </w:rPr>
        <w:t>AGREED:</w:t>
      </w:r>
    </w:p>
    <w:p>
      <w:pPr>
        <w:pStyle w:val="TextBody"/>
        <w:bidi w:val="0"/>
        <w:spacing w:before="0" w:after="0"/>
        <w:ind w:left="0" w:right="0" w:hanging="0"/>
        <w:jc w:val="both"/>
        <w:rPr/>
      </w:pPr>
      <w:r>
        <w:rPr/>
        <w:t>​</w:t>
      </w:r>
    </w:p>
    <w:tbl>
      <w:tblPr>
        <w:tblW w:w="6483" w:type="dxa"/>
        <w:jc w:val="center"/>
        <w:tblInd w:w="0" w:type="dxa"/>
        <w:tblLayout w:type="fixed"/>
        <w:tblCellMar>
          <w:top w:w="0" w:type="dxa"/>
          <w:left w:w="0" w:type="dxa"/>
          <w:bottom w:w="0" w:type="dxa"/>
          <w:right w:w="0" w:type="dxa"/>
        </w:tblCellMar>
      </w:tblPr>
      <w:tblGrid>
        <w:gridCol w:w="1666"/>
        <w:gridCol w:w="346"/>
        <w:gridCol w:w="447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EXECUTIVE:</w:t>
            </w:r>
          </w:p>
        </w:tc>
        <w:tc>
          <w:tcPr>
            <w:tcW w:w="346" w:type="dxa"/>
            <w:tcBorders/>
            <w:vAlign w:val="center"/>
          </w:tcPr>
          <w:p>
            <w:pPr>
              <w:pStyle w:val="TableContents"/>
              <w:bidi w:val="0"/>
              <w:spacing w:before="0" w:after="0"/>
              <w:ind w:left="0" w:right="0" w:hanging="0"/>
              <w:jc w:val="left"/>
              <w:rPr/>
            </w:pPr>
            <w:r>
              <w:rPr/>
              <w:t>  ​ ​ ​</w:t>
            </w:r>
          </w:p>
        </w:tc>
        <w:tc>
          <w:tcPr>
            <w:tcW w:w="4471"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USA Waste-Management Resources, LLC</w: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pPr>
            <w:r>
              <w:rPr/>
              <w:t>​</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(Signature)</w:t>
            </w:r>
          </w:p>
        </w:tc>
        <w:tc>
          <w:tcPr>
            <w:tcW w:w="346" w:type="dxa"/>
            <w:tcBorders/>
            <w:vAlign w:val="center"/>
          </w:tcPr>
          <w:p>
            <w:pPr>
              <w:pStyle w:val="TableContents"/>
              <w:bidi w:val="0"/>
              <w:spacing w:before="0" w:after="0"/>
              <w:ind w:left="0" w:right="0" w:hanging="0"/>
              <w:jc w:val="left"/>
              <w:rPr/>
            </w:pPr>
            <w:r>
              <w:rPr/>
              <w:t>​</w:t>
            </w:r>
          </w:p>
        </w:tc>
        <w:tc>
          <w:tcPr>
            <w:tcW w:w="4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(Signature)</w: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pPr>
            <w:r>
              <w:rPr/>
              <w:t>​</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(Printed Name)</w:t>
            </w:r>
          </w:p>
        </w:tc>
        <w:tc>
          <w:tcPr>
            <w:tcW w:w="346" w:type="dxa"/>
            <w:tcBorders/>
            <w:vAlign w:val="center"/>
          </w:tcPr>
          <w:p>
            <w:pPr>
              <w:pStyle w:val="TableContents"/>
              <w:bidi w:val="0"/>
              <w:spacing w:before="0" w:after="0"/>
              <w:ind w:left="0" w:right="0" w:hanging="0"/>
              <w:jc w:val="left"/>
              <w:rPr/>
            </w:pPr>
            <w:r>
              <w:rPr/>
              <w:t>​</w:t>
            </w:r>
          </w:p>
        </w:tc>
        <w:tc>
          <w:tcPr>
            <w:tcW w:w="4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(Printed Name)</w: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pPr>
            <w:r>
              <w:rPr/>
              <w:t>​</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w:t>
            </w:r>
          </w:p>
        </w:tc>
        <w:tc>
          <w:tcPr>
            <w:tcW w:w="346" w:type="dxa"/>
            <w:tcBorders/>
            <w:vAlign w:val="center"/>
          </w:tcPr>
          <w:p>
            <w:pPr>
              <w:pStyle w:val="TableContents"/>
              <w:bidi w:val="0"/>
              <w:spacing w:before="0" w:after="0"/>
              <w:ind w:left="0" w:right="0" w:hanging="0"/>
              <w:jc w:val="left"/>
              <w:rPr/>
            </w:pPr>
            <w:r>
              <w:rPr/>
              <w:t>​</w:t>
            </w:r>
          </w:p>
        </w:tc>
        <w:tc>
          <w:tcPr>
            <w:tcW w:w="4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702" w:name="wm-20260630xex22d1.htm"/>
      <w:bookmarkStart w:id="1703" w:name="kswm20260630xex22d1"/>
      <w:bookmarkEnd w:id="1702"/>
      <w:bookmarkEnd w:id="1703"/>
      <w:r>
        <w:rPr>
          <w:rFonts w:ascii="Times New Roman;Times;serif" w:hAnsi="Times New Roman;Times;serif"/>
          <w:b/>
          <w:sz w:val="20"/>
        </w:rPr>
        <w:t>Exhibit 22.1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GUARANTOR SUBSIDIARY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pStyle w:val="TextBody"/>
        <w:bidi w:val="0"/>
        <w:spacing w:before="0" w:after="0"/>
        <w:ind w:left="0" w:right="0" w:firstLine="720"/>
        <w:jc w:val="both"/>
        <w:rPr/>
      </w:pPr>
      <w:r>
        <w:rPr/>
        <w:t>​</w:t>
      </w:r>
    </w:p>
    <w:tbl>
      <w:tblPr>
        <w:tblW w:w="9173" w:type="dxa"/>
        <w:jc w:val="center"/>
        <w:tblInd w:w="0" w:type="dxa"/>
        <w:tblLayout w:type="fixed"/>
        <w:tblCellMar>
          <w:top w:w="0" w:type="dxa"/>
          <w:left w:w="0" w:type="dxa"/>
          <w:bottom w:w="0" w:type="dxa"/>
          <w:right w:w="0" w:type="dxa"/>
        </w:tblCellMar>
      </w:tblPr>
      <w:tblGrid>
        <w:gridCol w:w="226"/>
        <w:gridCol w:w="1171"/>
        <w:gridCol w:w="1486"/>
        <w:gridCol w:w="1051"/>
        <w:gridCol w:w="1486"/>
        <w:gridCol w:w="1066"/>
        <w:gridCol w:w="1486"/>
        <w:gridCol w:w="1201"/>
      </w:tblGrid>
      <w:tr>
        <w:trPr/>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283"/>
              <w:ind w:left="0" w:right="0" w:hanging="0"/>
              <w:jc w:val="left"/>
              <w:rPr>
                <w:sz w:val="4"/>
                <w:szCs w:val="4"/>
              </w:rPr>
            </w:pPr>
            <w:r>
              <w:rPr>
                <w:sz w:val="4"/>
                <w:szCs w:val="4"/>
              </w:rPr>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943610" cy="29210"/>
                      <wp:effectExtent l="0" t="0" r="0" b="0"/>
                      <wp:wrapNone/>
                      <wp:docPr id="458" name="Frame458"/>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67385" cy="29210"/>
                      <wp:effectExtent l="0" t="0" r="0" b="0"/>
                      <wp:wrapNone/>
                      <wp:docPr id="459" name="Frame459"/>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943610" cy="29210"/>
                      <wp:effectExtent l="0" t="0" r="0" b="0"/>
                      <wp:wrapNone/>
                      <wp:docPr id="460" name="Frame460"/>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762635" cy="29210"/>
                      <wp:effectExtent l="0" t="0" r="0" b="0"/>
                      <wp:wrapNone/>
                      <wp:docPr id="461" name="Frame461"/>
                      <a:graphic xmlns:a="http://schemas.openxmlformats.org/drawingml/2006/main">
                        <a:graphicData uri="http://schemas.microsoft.com/office/word/2010/wordprocessingShape">
                          <wps:wsp>
                            <wps:cNvSpPr txBox="1"/>
                            <wps:spPr>
                              <a:xfrm>
                                <a:off x="0" y="0"/>
                                <a:ext cx="762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39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br/>
              <w:t>Amount</w:t>
              <w:br/>
              <w:t>Issued</w:t>
            </w:r>
          </w:p>
        </w:tc>
        <w:tc>
          <w:tcPr>
            <w:tcW w:w="1486" w:type="dxa"/>
            <w:tcBorders>
              <w:bottom w:val="single" w:sz="8" w:space="0" w:color="000000"/>
            </w:tcBorders>
            <w:tcMar>
              <w:bottom w:w="28" w:type="dxa"/>
            </w:tcMar>
            <w:vAlign w:val="center"/>
          </w:tcPr>
          <w:p>
            <w:pPr>
              <w:pStyle w:val="TableContents"/>
              <w:bidi w:val="0"/>
              <w:spacing w:before="0" w:after="0"/>
              <w:ind w:left="0" w:right="0" w:hanging="0"/>
              <w:jc w:val="left"/>
              <w:rPr/>
            </w:pPr>
            <w:r>
              <w:rPr/>
              <w:t>  ​ ​ ​ ​ ​ ​ ​ ​ ​ ​ ​ ​ ​ ​ ​ ​ ​ ​ ​ ​ ​ ​</w:t>
            </w:r>
          </w:p>
        </w:tc>
        <w:tc>
          <w:tcPr>
            <w:tcW w:w="10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Interest Rate</w:t>
            </w:r>
            <w:r>
              <w:rPr>
                <w:rFonts w:ascii="Times New Roman;Times;serif" w:hAnsi="Times New Roman;Times;serif"/>
                <w:sz w:val="16"/>
              </w:rPr>
              <w:br/>
            </w:r>
            <w:r>
              <w:rPr>
                <w:rFonts w:ascii="Times New Roman;Times;serif" w:hAnsi="Times New Roman;Times;serif"/>
                <w:b/>
                <w:sz w:val="16"/>
              </w:rPr>
              <w:t>(per annum)</w:t>
            </w:r>
          </w:p>
        </w:tc>
        <w:tc>
          <w:tcPr>
            <w:tcW w:w="1486" w:type="dxa"/>
            <w:tcBorders>
              <w:bottom w:val="single" w:sz="8" w:space="0" w:color="000000"/>
            </w:tcBorders>
            <w:tcMar>
              <w:bottom w:w="28" w:type="dxa"/>
            </w:tcMar>
            <w:vAlign w:val="center"/>
          </w:tcPr>
          <w:p>
            <w:pPr>
              <w:pStyle w:val="TableContents"/>
              <w:bidi w:val="0"/>
              <w:spacing w:before="0" w:after="0"/>
              <w:ind w:left="0" w:right="0" w:hanging="0"/>
              <w:jc w:val="left"/>
              <w:rPr/>
            </w:pPr>
            <w:r>
              <w:rPr/>
              <w:t>  ​ ​ ​ ​ ​ ​ ​ ​ ​ ​ ​ ​ ​ ​ ​ ​ ​ ​ ​ ​ ​ ​</w:t>
            </w:r>
          </w:p>
        </w:tc>
        <w:tc>
          <w:tcPr>
            <w:tcW w:w="10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Issue Date</w:t>
            </w:r>
          </w:p>
        </w:tc>
        <w:tc>
          <w:tcPr>
            <w:tcW w:w="1486" w:type="dxa"/>
            <w:tcBorders>
              <w:bottom w:val="single" w:sz="8" w:space="0" w:color="000000"/>
            </w:tcBorders>
            <w:tcMar>
              <w:bottom w:w="28" w:type="dxa"/>
            </w:tcMar>
            <w:vAlign w:val="center"/>
          </w:tcPr>
          <w:p>
            <w:pPr>
              <w:pStyle w:val="TableContents"/>
              <w:bidi w:val="0"/>
              <w:spacing w:before="0" w:after="0"/>
              <w:ind w:left="0" w:right="0" w:hanging="0"/>
              <w:jc w:val="center"/>
              <w:rPr/>
            </w:pPr>
            <w:r>
              <w:rPr/>
              <w:t>  ​ ​ ​ ​ ​ ​ ​ ​ ​ ​ ​ ​ ​ ​ ​ ​ ​ ​ ​ ​ ​ ​</w:t>
            </w:r>
          </w:p>
        </w:tc>
        <w:tc>
          <w:tcPr>
            <w:tcW w:w="12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 Date</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 million</w:t>
            </w:r>
          </w:p>
        </w:tc>
        <w:tc>
          <w:tcPr>
            <w:tcW w:w="14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7/17/1998</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7/15/2028</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 million</w:t>
            </w:r>
          </w:p>
        </w:tc>
        <w:tc>
          <w:tcPr>
            <w:tcW w:w="1486"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7.375</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1/21/2000</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5/15/2029</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 million</w:t>
            </w:r>
          </w:p>
        </w:tc>
        <w:tc>
          <w:tcPr>
            <w:tcW w:w="14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1/3/2003</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5/15/2032</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 million</w:t>
            </w:r>
          </w:p>
        </w:tc>
        <w:tc>
          <w:tcPr>
            <w:tcW w:w="1486"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11/17/2009</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11/30/2039</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 million</w:t>
            </w:r>
          </w:p>
        </w:tc>
        <w:tc>
          <w:tcPr>
            <w:tcW w:w="14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2/26/2015</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3/1/2035</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 million</w:t>
            </w:r>
          </w:p>
        </w:tc>
        <w:tc>
          <w:tcPr>
            <w:tcW w:w="1486"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2/26/2015</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3/1/2045</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 million</w:t>
            </w:r>
          </w:p>
        </w:tc>
        <w:tc>
          <w:tcPr>
            <w:tcW w:w="14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11/8/2017</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11/15/2027</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billion</w:t>
            </w:r>
          </w:p>
        </w:tc>
        <w:tc>
          <w:tcPr>
            <w:tcW w:w="1486"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5/22/2019</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7/15/2049</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 million</w:t>
            </w:r>
          </w:p>
        </w:tc>
        <w:tc>
          <w:tcPr>
            <w:tcW w:w="14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11/17/2020</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3/15/2028</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billion</w:t>
            </w:r>
          </w:p>
        </w:tc>
        <w:tc>
          <w:tcPr>
            <w:tcW w:w="14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11/17/2020</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3/15/2031</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 million</w:t>
            </w:r>
          </w:p>
        </w:tc>
        <w:tc>
          <w:tcPr>
            <w:tcW w:w="14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11/17/2020</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11/15/2050</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 million</w:t>
            </w:r>
          </w:p>
        </w:tc>
        <w:tc>
          <w:tcPr>
            <w:tcW w:w="14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5/12/2021</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6/1/2029</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 million</w:t>
            </w:r>
          </w:p>
        </w:tc>
        <w:tc>
          <w:tcPr>
            <w:tcW w:w="14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5/12/2021</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6/1/2041</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billion</w:t>
            </w:r>
          </w:p>
        </w:tc>
        <w:tc>
          <w:tcPr>
            <w:tcW w:w="14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5/12/2022</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4/15/2032</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 million</w:t>
            </w:r>
          </w:p>
        </w:tc>
        <w:tc>
          <w:tcPr>
            <w:tcW w:w="14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4.625</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2/15/2023</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2/15/2030</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 million</w:t>
            </w:r>
          </w:p>
        </w:tc>
        <w:tc>
          <w:tcPr>
            <w:tcW w:w="14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4.625</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2/15/2023</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2/15/2033</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 million</w:t>
            </w:r>
          </w:p>
        </w:tc>
        <w:tc>
          <w:tcPr>
            <w:tcW w:w="14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8/3/2023</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2/15/2029</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 billion</w:t>
            </w:r>
          </w:p>
        </w:tc>
        <w:tc>
          <w:tcPr>
            <w:tcW w:w="14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8/3/2023</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2/15/2034</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 million</w:t>
            </w:r>
          </w:p>
        </w:tc>
        <w:tc>
          <w:tcPr>
            <w:tcW w:w="14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4.950</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7/3/2024</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7/3/2027</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 million</w:t>
            </w:r>
          </w:p>
        </w:tc>
        <w:tc>
          <w:tcPr>
            <w:tcW w:w="14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4.950</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7/3/2024</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7/3/2031</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billion</w:t>
            </w:r>
          </w:p>
        </w:tc>
        <w:tc>
          <w:tcPr>
            <w:tcW w:w="14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11/4/2024</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3/15/2028</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 million</w:t>
            </w:r>
          </w:p>
        </w:tc>
        <w:tc>
          <w:tcPr>
            <w:tcW w:w="14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11/4/2024</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3/15/2030</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 million</w:t>
            </w:r>
          </w:p>
        </w:tc>
        <w:tc>
          <w:tcPr>
            <w:tcW w:w="14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11/4/2024</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3/15/2032</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 billion</w:t>
            </w:r>
          </w:p>
        </w:tc>
        <w:tc>
          <w:tcPr>
            <w:tcW w:w="14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4.950</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11/4/2024</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3/15/2035</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 billion</w:t>
            </w:r>
          </w:p>
        </w:tc>
        <w:tc>
          <w:tcPr>
            <w:tcW w:w="14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5.350</w:t>
            </w:r>
          </w:p>
        </w:tc>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11/4/2024</w:t>
            </w:r>
          </w:p>
        </w:tc>
        <w:tc>
          <w:tcPr>
            <w:tcW w:w="148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10/15/2054</w:t>
            </w:r>
          </w:p>
        </w:tc>
      </w:tr>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 million*</w:t>
            </w:r>
          </w:p>
        </w:tc>
        <w:tc>
          <w:tcPr>
            <w:tcW w:w="14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3.875</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6/25/2025</w:t>
            </w:r>
          </w:p>
        </w:tc>
        <w:tc>
          <w:tcPr>
            <w:tcW w:w="148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1/15/2029</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9979" w:type="dxa"/>
            <w:tcBorders/>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Senior Notes were issued pursuant to an offer to exchange up to $485 million of outstanding unregistered notes previously issued by WMI in a private exchange offer in connection with WMI’s acquisition of Stericycle, Inc.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04" w:name="_Hlk22035760"/>
      <w:bookmarkStart w:id="1705" w:name="wm-20260630xex31d1.htm"/>
      <w:bookmarkStart w:id="1706" w:name="kswm20260630xex31d1"/>
      <w:bookmarkEnd w:id="1704"/>
      <w:bookmarkEnd w:id="1705"/>
      <w:bookmarkEnd w:id="1706"/>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 James C. Fish, Jr., certify that: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1.   I have reviewed this report on Form 10-Q of Waste Management, Inc.;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pStyle w:val="TextBody"/>
        <w:bidi w:val="0"/>
        <w:spacing w:before="0" w:after="0"/>
        <w:ind w:left="0" w:right="0" w:hanging="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36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0"/>
        <w:ind w:left="36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173" w:type="dxa"/>
        <w:jc w:val="center"/>
        <w:tblInd w:w="0" w:type="dxa"/>
        <w:tblLayout w:type="fixed"/>
        <w:tblCellMar>
          <w:top w:w="0" w:type="dxa"/>
          <w:left w:w="0" w:type="dxa"/>
          <w:bottom w:w="0" w:type="dxa"/>
          <w:right w:w="0" w:type="dxa"/>
        </w:tblCellMar>
      </w:tblPr>
      <w:tblGrid>
        <w:gridCol w:w="1711"/>
        <w:gridCol w:w="406"/>
        <w:gridCol w:w="205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086485" cy="175260"/>
                      <wp:effectExtent l="0" t="0" r="0" b="0"/>
                      <wp:wrapNone/>
                      <wp:docPr id="462" name="Frame462"/>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57810" cy="175260"/>
                      <wp:effectExtent l="0" t="0" r="0" b="0"/>
                      <wp:wrapNone/>
                      <wp:docPr id="463" name="Frame46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05560" cy="175260"/>
                      <wp:effectExtent l="0" t="0" r="0" b="0"/>
                      <wp:wrapNone/>
                      <wp:docPr id="464" name="Frame464"/>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James C. Fish, Jr.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James C. Fish, Jr.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Executive Officer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07" w:name="wm-20260630xex31d2.htm"/>
      <w:bookmarkStart w:id="1708" w:name="kswm20260630xex31d2"/>
      <w:bookmarkEnd w:id="1707"/>
      <w:bookmarkEnd w:id="1708"/>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 David L. Reed, certify that: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1.   I have reviewed this report on Form 10-Q of Waste Management, Inc.;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pStyle w:val="TextBody"/>
        <w:bidi w:val="0"/>
        <w:spacing w:before="0" w:after="0"/>
        <w:ind w:left="0" w:right="0" w:hanging="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36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0"/>
        <w:ind w:left="36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6618" w:type="dxa"/>
        <w:jc w:val="center"/>
        <w:tblInd w:w="0" w:type="dxa"/>
        <w:tblLayout w:type="fixed"/>
        <w:tblCellMar>
          <w:top w:w="0" w:type="dxa"/>
          <w:left w:w="0" w:type="dxa"/>
          <w:bottom w:w="0" w:type="dxa"/>
          <w:right w:w="0" w:type="dxa"/>
        </w:tblCellMar>
      </w:tblPr>
      <w:tblGrid>
        <w:gridCol w:w="1711"/>
        <w:gridCol w:w="406"/>
        <w:gridCol w:w="4501"/>
      </w:tblGrid>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L. REED</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L. Reed</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Executive Vice President and 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09" w:name="wm-20260630xex32d1.htm"/>
      <w:bookmarkStart w:id="1710" w:name="kswm20260630xex32d1"/>
      <w:bookmarkEnd w:id="1709"/>
      <w:bookmarkEnd w:id="1710"/>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of Waste Management, Inc. (the “Company”) on Form 10-Q for the period ended June 30, 2026 as filed with the Securities and Exchange Commission on the date hereof (the “Report”), I, James C. Fish, Jr., Chief Executive Officer of the Company, certify, pursuant to 18 U.S.C. § 1350, as adopted pursuant to § 906 of the Sarbanes-Oxley Act of 2002, that:</w:t>
      </w:r>
    </w:p>
    <w:p>
      <w:pPr>
        <w:pStyle w:val="TextBody"/>
        <w:bidi w:val="0"/>
        <w:spacing w:before="0" w:after="0"/>
        <w:ind w:left="0" w:right="0" w:hanging="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3693" w:type="dxa"/>
        <w:jc w:val="center"/>
        <w:tblInd w:w="0" w:type="dxa"/>
        <w:tblLayout w:type="fixed"/>
        <w:tblCellMar>
          <w:top w:w="0" w:type="dxa"/>
          <w:left w:w="0" w:type="dxa"/>
          <w:bottom w:w="0" w:type="dxa"/>
          <w:right w:w="0" w:type="dxa"/>
        </w:tblCellMar>
      </w:tblPr>
      <w:tblGrid>
        <w:gridCol w:w="1231"/>
        <w:gridCol w:w="406"/>
        <w:gridCol w:w="205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781685" cy="175260"/>
                      <wp:effectExtent l="0" t="0" r="0" b="0"/>
                      <wp:wrapNone/>
                      <wp:docPr id="465" name="Frame46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57810" cy="175260"/>
                      <wp:effectExtent l="0" t="0" r="0" b="0"/>
                      <wp:wrapNone/>
                      <wp:docPr id="466" name="Frame46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05560" cy="175260"/>
                      <wp:effectExtent l="0" t="0" r="0" b="0"/>
                      <wp:wrapNone/>
                      <wp:docPr id="467" name="Frame467"/>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JAMES C. FISH, JR.</w:t>
            </w:r>
          </w:p>
        </w:tc>
      </w:tr>
      <w:tr>
        <w:trPr/>
        <w:tc>
          <w:tcPr>
            <w:tcW w:w="12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James C. Fish, Jr.</w:t>
            </w:r>
          </w:p>
        </w:tc>
      </w:tr>
      <w:tr>
        <w:trPr/>
        <w:tc>
          <w:tcPr>
            <w:tcW w:w="12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Executive Officer</w:t>
            </w:r>
          </w:p>
        </w:tc>
      </w:tr>
      <w:tr>
        <w:trPr/>
        <w:tc>
          <w:tcPr>
            <w:tcW w:w="12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11" w:name="wm-20260630xex32d2.htm"/>
      <w:bookmarkStart w:id="1712" w:name="kswm20260630xex32d2"/>
      <w:bookmarkEnd w:id="1711"/>
      <w:bookmarkEnd w:id="1712"/>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of Waste Management, Inc. (the “Company”) on Form 10-Q for the period ended June 30, 2026 as filed with the Securities and Exchange Commission on the date hereof (the “Report”), I, David L. Reed, Chief Financial Officer of the Company, certify, pursuant to 18 U.S.C. § 1350, as adopted pursuant to § 906 of the Sarbanes-Oxley Act of 2002, that:</w:t>
      </w:r>
    </w:p>
    <w:p>
      <w:pPr>
        <w:pStyle w:val="TextBody"/>
        <w:bidi w:val="0"/>
        <w:spacing w:before="0" w:after="0"/>
        <w:ind w:left="0" w:right="0" w:hanging="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360" w:right="0" w:firstLine="36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6138" w:type="dxa"/>
        <w:jc w:val="center"/>
        <w:tblInd w:w="0" w:type="dxa"/>
        <w:tblLayout w:type="fixed"/>
        <w:tblCellMar>
          <w:top w:w="0" w:type="dxa"/>
          <w:left w:w="0" w:type="dxa"/>
          <w:bottom w:w="0" w:type="dxa"/>
          <w:right w:w="0" w:type="dxa"/>
        </w:tblCellMar>
      </w:tblPr>
      <w:tblGrid>
        <w:gridCol w:w="1231"/>
        <w:gridCol w:w="406"/>
        <w:gridCol w:w="450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781685" cy="175260"/>
                      <wp:effectExtent l="0" t="0" r="0" b="0"/>
                      <wp:wrapNone/>
                      <wp:docPr id="468" name="Frame46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57810" cy="175260"/>
                      <wp:effectExtent l="0" t="0" r="0" b="0"/>
                      <wp:wrapNone/>
                      <wp:docPr id="469" name="Frame46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858770" cy="175260"/>
                      <wp:effectExtent l="0" t="0" r="0" b="0"/>
                      <wp:wrapNone/>
                      <wp:docPr id="470" name="Frame470"/>
                      <a:graphic xmlns:a="http://schemas.openxmlformats.org/drawingml/2006/main">
                        <a:graphicData uri="http://schemas.microsoft.com/office/word/2010/wordprocessingShape">
                          <wps:wsp>
                            <wps:cNvSpPr txBox="1"/>
                            <wps:spPr>
                              <a:xfrm>
                                <a:off x="0" y="0"/>
                                <a:ext cx="2858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L. REED</w:t>
            </w:r>
          </w:p>
        </w:tc>
      </w:tr>
      <w:tr>
        <w:trPr/>
        <w:tc>
          <w:tcPr>
            <w:tcW w:w="12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L. Reed</w:t>
            </w:r>
          </w:p>
        </w:tc>
      </w:tr>
      <w:tr>
        <w:trPr/>
        <w:tc>
          <w:tcPr>
            <w:tcW w:w="12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Executive Vice President and</w:t>
            </w:r>
            <w:r>
              <w:rPr>
                <w:rFonts w:ascii="Times New Roman;Times;serif" w:hAnsi="Times New Roman;Times;serif"/>
                <w:sz w:val="20"/>
              </w:rPr>
              <w:t xml:space="preserve"> </w:t>
            </w:r>
            <w:r>
              <w:rPr>
                <w:rFonts w:ascii="Times New Roman;Times;serif" w:hAnsi="Times New Roman;Times;serif"/>
                <w:i/>
                <w:sz w:val="20"/>
              </w:rPr>
              <w:t>Chief Financial Officer</w:t>
            </w:r>
          </w:p>
        </w:tc>
      </w:tr>
      <w:tr>
        <w:trPr/>
        <w:tc>
          <w:tcPr>
            <w:tcW w:w="12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713" w:name="wm-20260630xex95.htm"/>
      <w:bookmarkStart w:id="1714" w:name="kswm20260630xex95"/>
      <w:bookmarkEnd w:id="1713"/>
      <w:bookmarkEnd w:id="1714"/>
      <w:r>
        <w:rPr>
          <w:rFonts w:ascii="Times New Roman;Times;serif" w:hAnsi="Times New Roman;Times;serif"/>
          <w:b/>
          <w:sz w:val="20"/>
        </w:rPr>
        <w:t>Exhibit 95</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Mine Safety Disclosures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pStyle w:val="TextBody"/>
        <w:bidi w:val="0"/>
        <w:spacing w:lineRule="auto" w:line="285" w:before="0" w:after="0"/>
        <w:ind w:left="0" w:right="0" w:firstLine="36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During the quarter ended June 30, 2026,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or (f) a proposed assessment from the MSHA.</w:t>
      </w:r>
    </w:p>
    <w:p>
      <w:pPr>
        <w:pStyle w:val="TextBody"/>
        <w:bidi w:val="0"/>
        <w:spacing w:lineRule="auto" w:line="285" w:before="0" w:after="0"/>
        <w:ind w:left="0" w:right="0" w:firstLine="36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In addition, during the quarter ended June 30, 2026,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3768/000110465926060755/tm2614440d2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37324</Words>
  <Characters>204187</Characters>
  <CharactersWithSpaces>245284</CharactersWithSpaces>
  <Paragraphs>9964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