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5"/>
        <w:spacing w:after="0"/>
        <w:rPr>
          <w:sz w:val="20"/>
          <w:szCs w:val="20"/>
          <w:color w:val="auto"/>
        </w:rPr>
      </w:pPr>
      <w:r>
        <w:rPr>
          <w:rFonts w:ascii="Courier New" w:cs="Courier New" w:eastAsia="Courier New" w:hAnsi="Courier New"/>
          <w:sz w:val="15"/>
          <w:szCs w:val="15"/>
          <w:color w:val="auto"/>
        </w:rPr>
        <w:t>1</w:t>
      </w:r>
    </w:p>
    <w:p>
      <w:pPr>
        <w:spacing w:after="0" w:line="362" w:lineRule="exact"/>
        <w:rPr>
          <w:sz w:val="24"/>
          <w:szCs w:val="24"/>
          <w:color w:val="auto"/>
        </w:rPr>
      </w:pPr>
    </w:p>
    <w:p>
      <w:pPr>
        <w:ind w:left="465"/>
        <w:spacing w:after="0"/>
        <w:rPr>
          <w:sz w:val="20"/>
          <w:szCs w:val="20"/>
          <w:color w:val="auto"/>
        </w:rPr>
      </w:pPr>
      <w:r>
        <w:rPr>
          <w:rFonts w:ascii="Courier New" w:cs="Courier New" w:eastAsia="Courier New" w:hAnsi="Courier New"/>
          <w:sz w:val="15"/>
          <w:szCs w:val="15"/>
          <w:color w:val="auto"/>
        </w:rPr>
        <w:t>AS FILED WITH THE SECURITIES AND EXCHANGE COMMISSION ON JULY 19, 1996</w:t>
      </w:r>
    </w:p>
    <w:p>
      <w:pPr>
        <w:spacing w:after="0" w:line="200" w:lineRule="exact"/>
        <w:rPr>
          <w:sz w:val="24"/>
          <w:szCs w:val="24"/>
          <w:color w:val="auto"/>
        </w:rPr>
      </w:pPr>
    </w:p>
    <w:p>
      <w:pPr>
        <w:spacing w:after="0" w:line="340" w:lineRule="exact"/>
        <w:rPr>
          <w:sz w:val="24"/>
          <w:szCs w:val="24"/>
          <w:color w:val="auto"/>
        </w:rPr>
      </w:pPr>
    </w:p>
    <w:p>
      <w:pPr>
        <w:ind w:left="4985"/>
        <w:spacing w:after="0"/>
        <w:rPr>
          <w:sz w:val="20"/>
          <w:szCs w:val="20"/>
          <w:color w:val="auto"/>
        </w:rPr>
      </w:pPr>
      <w:r>
        <w:rPr>
          <w:rFonts w:ascii="Courier New" w:cs="Courier New" w:eastAsia="Courier New" w:hAnsi="Courier New"/>
          <w:sz w:val="15"/>
          <w:szCs w:val="15"/>
          <w:color w:val="auto"/>
        </w:rPr>
        <w:t>REGISTRATION NO. 333-08161</w:t>
      </w:r>
    </w:p>
    <w:p>
      <w:pPr>
        <w:spacing w:after="0" w:line="185" w:lineRule="exact"/>
        <w:rPr>
          <w:sz w:val="24"/>
          <w:szCs w:val="24"/>
          <w:color w:val="auto"/>
        </w:rPr>
      </w:pPr>
    </w:p>
    <w:p>
      <w:pPr>
        <w:ind w:left="185" w:hanging="185"/>
        <w:spacing w:after="0"/>
        <w:tabs>
          <w:tab w:leader="none" w:pos="18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21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AND EXCHANGE COMMISSION</w:t>
      </w:r>
    </w:p>
    <w:p>
      <w:pPr>
        <w:spacing w:after="0" w:line="7" w:lineRule="exact"/>
        <w:rPr>
          <w:rFonts w:ascii="Courier New" w:cs="Courier New" w:eastAsia="Courier New" w:hAnsi="Courier New"/>
          <w:sz w:val="15"/>
          <w:szCs w:val="15"/>
          <w:color w:val="auto"/>
        </w:rPr>
      </w:pPr>
    </w:p>
    <w:p>
      <w:pPr>
        <w:ind w:left="26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Washington, D.C. 20549</w:t>
      </w:r>
    </w:p>
    <w:p>
      <w:pPr>
        <w:spacing w:after="0" w:line="185" w:lineRule="exact"/>
        <w:rPr>
          <w:sz w:val="24"/>
          <w:szCs w:val="24"/>
          <w:color w:val="auto"/>
        </w:rPr>
      </w:pPr>
    </w:p>
    <w:p>
      <w:pPr>
        <w:ind w:left="2685"/>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4"/>
          <w:szCs w:val="24"/>
          <w:color w:val="auto"/>
        </w:rPr>
      </w:pPr>
    </w:p>
    <w:p>
      <w:pPr>
        <w:ind w:left="2945"/>
        <w:spacing w:after="0"/>
        <w:rPr>
          <w:sz w:val="20"/>
          <w:szCs w:val="20"/>
          <w:color w:val="auto"/>
        </w:rPr>
      </w:pPr>
      <w:r>
        <w:rPr>
          <w:rFonts w:ascii="Courier New" w:cs="Courier New" w:eastAsia="Courier New" w:hAnsi="Courier New"/>
          <w:sz w:val="15"/>
          <w:szCs w:val="15"/>
          <w:color w:val="auto"/>
        </w:rPr>
        <w:t>AMENDMENT NO. 1</w:t>
      </w:r>
    </w:p>
    <w:p>
      <w:pPr>
        <w:spacing w:after="0" w:line="362"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TO</w:t>
      </w:r>
    </w:p>
    <w:p>
      <w:pPr>
        <w:spacing w:after="0" w:line="185"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FORM S-4</w:t>
      </w:r>
    </w:p>
    <w:p>
      <w:pPr>
        <w:spacing w:after="0" w:line="185" w:lineRule="exact"/>
        <w:rPr>
          <w:sz w:val="24"/>
          <w:szCs w:val="24"/>
          <w:color w:val="auto"/>
        </w:rPr>
      </w:pPr>
    </w:p>
    <w:p>
      <w:pPr>
        <w:jc w:val="center"/>
        <w:ind w:right="2934"/>
        <w:spacing w:after="0"/>
        <w:rPr>
          <w:sz w:val="20"/>
          <w:szCs w:val="20"/>
          <w:color w:val="auto"/>
        </w:rPr>
      </w:pPr>
      <w:r>
        <w:rPr>
          <w:rFonts w:ascii="Courier New" w:cs="Courier New" w:eastAsia="Courier New" w:hAnsi="Courier New"/>
          <w:sz w:val="15"/>
          <w:szCs w:val="15"/>
          <w:color w:val="auto"/>
        </w:rPr>
        <w:t>REGISTRATION STATEMENT UNDER THE SECURITIES ACT OF 1933</w:t>
      </w:r>
    </w:p>
    <w:p>
      <w:pPr>
        <w:spacing w:after="0" w:line="185" w:lineRule="exact"/>
        <w:rPr>
          <w:sz w:val="24"/>
          <w:szCs w:val="24"/>
          <w:color w:val="auto"/>
        </w:rPr>
      </w:pPr>
    </w:p>
    <w:p>
      <w:pPr>
        <w:ind w:left="268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USA WASTE SERVICES, INC.</w:t>
      </w:r>
    </w:p>
    <w:p>
      <w:pPr>
        <w:spacing w:after="0" w:line="8"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40" w:lineRule="exact"/>
        <w:rPr>
          <w:sz w:val="24"/>
          <w:szCs w:val="24"/>
          <w:color w:val="auto"/>
        </w:rPr>
      </w:pPr>
    </w:p>
    <w:tbl>
      <w:tblPr>
        <w:tblLayout w:type="fixed"/>
        <w:tblInd w:w="5" w:type="dxa"/>
        <w:tblCellMar>
          <w:top w:w="0" w:type="dxa"/>
          <w:left w:w="0" w:type="dxa"/>
          <w:bottom w:w="0" w:type="dxa"/>
          <w:right w:w="0" w:type="dxa"/>
        </w:tblCellMar>
      </w:tblPr>
      <w:tr>
        <w:trPr>
          <w:trHeight w:val="172"/>
        </w:trPr>
        <w:tc>
          <w:tcPr>
            <w:tcW w:w="3400" w:type="dxa"/>
            <w:vAlign w:val="bottom"/>
          </w:tcPr>
          <w:p>
            <w:pPr>
              <w:jc w:val="center"/>
              <w:ind w:right="183"/>
              <w:spacing w:after="0"/>
              <w:rPr>
                <w:sz w:val="20"/>
                <w:szCs w:val="20"/>
                <w:color w:val="auto"/>
              </w:rPr>
            </w:pPr>
            <w:r>
              <w:rPr>
                <w:rFonts w:ascii="Courier New" w:cs="Courier New" w:eastAsia="Courier New" w:hAnsi="Courier New"/>
                <w:sz w:val="15"/>
                <w:szCs w:val="15"/>
                <w:color w:val="auto"/>
              </w:rPr>
              <w:t>DELAWARE</w:t>
            </w:r>
          </w:p>
        </w:tc>
        <w:tc>
          <w:tcPr>
            <w:tcW w:w="1760" w:type="dxa"/>
            <w:vAlign w:val="bottom"/>
          </w:tcPr>
          <w:p>
            <w:pPr>
              <w:jc w:val="center"/>
              <w:ind w:left="763"/>
              <w:spacing w:after="0"/>
              <w:rPr>
                <w:sz w:val="20"/>
                <w:szCs w:val="20"/>
                <w:color w:val="auto"/>
              </w:rPr>
            </w:pPr>
            <w:r>
              <w:rPr>
                <w:rFonts w:ascii="Courier New" w:cs="Courier New" w:eastAsia="Courier New" w:hAnsi="Courier New"/>
                <w:sz w:val="15"/>
                <w:szCs w:val="15"/>
                <w:color w:val="auto"/>
                <w:w w:val="99"/>
              </w:rPr>
              <w:t>4953</w:t>
            </w:r>
          </w:p>
        </w:tc>
        <w:tc>
          <w:tcPr>
            <w:tcW w:w="166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73-1309529</w:t>
            </w:r>
          </w:p>
        </w:tc>
      </w:tr>
      <w:tr>
        <w:trPr>
          <w:trHeight w:val="177"/>
        </w:trPr>
        <w:tc>
          <w:tcPr>
            <w:tcW w:w="3400" w:type="dxa"/>
            <w:vAlign w:val="bottom"/>
          </w:tcPr>
          <w:p>
            <w:pPr>
              <w:jc w:val="center"/>
              <w:ind w:right="183"/>
              <w:spacing w:after="0"/>
              <w:rPr>
                <w:sz w:val="20"/>
                <w:szCs w:val="20"/>
                <w:color w:val="auto"/>
              </w:rPr>
            </w:pPr>
            <w:r>
              <w:rPr>
                <w:rFonts w:ascii="Courier New" w:cs="Courier New" w:eastAsia="Courier New" w:hAnsi="Courier New"/>
                <w:sz w:val="15"/>
                <w:szCs w:val="15"/>
                <w:color w:val="auto"/>
              </w:rPr>
              <w:t>(State or other jurisdiction</w:t>
            </w:r>
          </w:p>
        </w:tc>
        <w:tc>
          <w:tcPr>
            <w:tcW w:w="3420" w:type="dxa"/>
            <w:vAlign w:val="bottom"/>
            <w:gridSpan w:val="2"/>
          </w:tcPr>
          <w:p>
            <w:pPr>
              <w:jc w:val="center"/>
              <w:ind w:right="743"/>
              <w:spacing w:after="0"/>
              <w:rPr>
                <w:sz w:val="20"/>
                <w:szCs w:val="20"/>
                <w:color w:val="auto"/>
              </w:rPr>
            </w:pPr>
            <w:r>
              <w:rPr>
                <w:rFonts w:ascii="Courier New" w:cs="Courier New" w:eastAsia="Courier New" w:hAnsi="Courier New"/>
                <w:sz w:val="15"/>
                <w:szCs w:val="15"/>
                <w:color w:val="auto"/>
              </w:rPr>
              <w:t>(Primary Standard Industrial</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(I.R.S. employer</w:t>
            </w:r>
          </w:p>
        </w:tc>
      </w:tr>
      <w:tr>
        <w:trPr>
          <w:trHeight w:val="177"/>
        </w:trPr>
        <w:tc>
          <w:tcPr>
            <w:tcW w:w="3400" w:type="dxa"/>
            <w:vAlign w:val="bottom"/>
          </w:tcPr>
          <w:p>
            <w:pPr>
              <w:spacing w:after="0"/>
              <w:rPr>
                <w:sz w:val="20"/>
                <w:szCs w:val="20"/>
                <w:color w:val="auto"/>
              </w:rPr>
            </w:pPr>
            <w:r>
              <w:rPr>
                <w:rFonts w:ascii="Courier New" w:cs="Courier New" w:eastAsia="Courier New" w:hAnsi="Courier New"/>
                <w:sz w:val="15"/>
                <w:szCs w:val="15"/>
                <w:color w:val="auto"/>
              </w:rPr>
              <w:t>of incorporation or organization)</w:t>
            </w:r>
          </w:p>
        </w:tc>
        <w:tc>
          <w:tcPr>
            <w:tcW w:w="3420" w:type="dxa"/>
            <w:vAlign w:val="bottom"/>
            <w:gridSpan w:val="2"/>
          </w:tcPr>
          <w:p>
            <w:pPr>
              <w:jc w:val="center"/>
              <w:ind w:right="743"/>
              <w:spacing w:after="0"/>
              <w:rPr>
                <w:sz w:val="20"/>
                <w:szCs w:val="20"/>
                <w:color w:val="auto"/>
              </w:rPr>
            </w:pPr>
            <w:r>
              <w:rPr>
                <w:rFonts w:ascii="Courier New" w:cs="Courier New" w:eastAsia="Courier New" w:hAnsi="Courier New"/>
                <w:sz w:val="15"/>
                <w:szCs w:val="15"/>
                <w:color w:val="auto"/>
              </w:rPr>
              <w:t>Classification Number)</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Identification Number)</w:t>
            </w:r>
          </w:p>
        </w:tc>
      </w:tr>
      <w:tr>
        <w:trPr>
          <w:trHeight w:val="355"/>
        </w:trPr>
        <w:tc>
          <w:tcPr>
            <w:tcW w:w="3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GREGORY</w:t>
            </w:r>
          </w:p>
        </w:tc>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rPr>
              <w:t>T. SANGALIS</w:t>
            </w:r>
          </w:p>
        </w:tc>
      </w:tr>
      <w:tr>
        <w:trPr>
          <w:trHeight w:val="177"/>
        </w:trPr>
        <w:tc>
          <w:tcPr>
            <w:tcW w:w="3400" w:type="dxa"/>
            <w:vAlign w:val="bottom"/>
          </w:tcPr>
          <w:p>
            <w:pPr>
              <w:jc w:val="center"/>
              <w:ind w:left="1123"/>
              <w:spacing w:after="0"/>
              <w:rPr>
                <w:sz w:val="20"/>
                <w:szCs w:val="20"/>
                <w:color w:val="auto"/>
              </w:rPr>
            </w:pPr>
            <w:r>
              <w:rPr>
                <w:rFonts w:ascii="Courier New" w:cs="Courier New" w:eastAsia="Courier New" w:hAnsi="Courier New"/>
                <w:sz w:val="15"/>
                <w:szCs w:val="15"/>
                <w:color w:val="auto"/>
              </w:rPr>
              <w:t>USA WASTE SERVICES, INC.</w:t>
            </w:r>
          </w:p>
        </w:tc>
        <w:tc>
          <w:tcPr>
            <w:tcW w:w="1760" w:type="dxa"/>
            <w:vAlign w:val="bottom"/>
          </w:tcPr>
          <w:p>
            <w:pPr>
              <w:spacing w:after="0"/>
              <w:rPr>
                <w:sz w:val="15"/>
                <w:szCs w:val="15"/>
                <w:color w:val="auto"/>
              </w:rPr>
            </w:pPr>
          </w:p>
        </w:tc>
        <w:tc>
          <w:tcPr>
            <w:tcW w:w="37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USA WASTE SERVICES, INC.</w:t>
            </w:r>
          </w:p>
        </w:tc>
      </w:tr>
      <w:tr>
        <w:trPr>
          <w:trHeight w:val="177"/>
        </w:trPr>
        <w:tc>
          <w:tcPr>
            <w:tcW w:w="3400" w:type="dxa"/>
            <w:vAlign w:val="bottom"/>
          </w:tcPr>
          <w:p>
            <w:pPr>
              <w:jc w:val="center"/>
              <w:ind w:left="1123"/>
              <w:spacing w:after="0"/>
              <w:rPr>
                <w:sz w:val="20"/>
                <w:szCs w:val="20"/>
                <w:color w:val="auto"/>
              </w:rPr>
            </w:pPr>
            <w:r>
              <w:rPr>
                <w:rFonts w:ascii="Courier New" w:cs="Courier New" w:eastAsia="Courier New" w:hAnsi="Courier New"/>
                <w:sz w:val="15"/>
                <w:szCs w:val="15"/>
                <w:color w:val="auto"/>
              </w:rPr>
              <w:t>5400 LBJ FREEWAY</w:t>
            </w:r>
          </w:p>
        </w:tc>
        <w:tc>
          <w:tcPr>
            <w:tcW w:w="1760" w:type="dxa"/>
            <w:vAlign w:val="bottom"/>
          </w:tcPr>
          <w:p>
            <w:pPr>
              <w:spacing w:after="0"/>
              <w:rPr>
                <w:sz w:val="15"/>
                <w:szCs w:val="15"/>
                <w:color w:val="auto"/>
              </w:rPr>
            </w:pPr>
          </w:p>
        </w:tc>
        <w:tc>
          <w:tcPr>
            <w:tcW w:w="37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5400 LBJ FREEWAY</w:t>
            </w:r>
          </w:p>
        </w:tc>
      </w:tr>
      <w:tr>
        <w:trPr>
          <w:trHeight w:val="177"/>
        </w:trPr>
        <w:tc>
          <w:tcPr>
            <w:tcW w:w="3400" w:type="dxa"/>
            <w:vAlign w:val="bottom"/>
          </w:tcPr>
          <w:p>
            <w:pPr>
              <w:jc w:val="center"/>
              <w:ind w:left="1223"/>
              <w:spacing w:after="0"/>
              <w:rPr>
                <w:sz w:val="20"/>
                <w:szCs w:val="20"/>
                <w:color w:val="auto"/>
              </w:rPr>
            </w:pPr>
            <w:r>
              <w:rPr>
                <w:rFonts w:ascii="Courier New" w:cs="Courier New" w:eastAsia="Courier New" w:hAnsi="Courier New"/>
                <w:sz w:val="15"/>
                <w:szCs w:val="15"/>
                <w:color w:val="auto"/>
              </w:rPr>
              <w:t>SUITE 300-TOWER ONE</w:t>
            </w:r>
          </w:p>
        </w:tc>
        <w:tc>
          <w:tcPr>
            <w:tcW w:w="1760" w:type="dxa"/>
            <w:vAlign w:val="bottom"/>
          </w:tcPr>
          <w:p>
            <w:pPr>
              <w:spacing w:after="0"/>
              <w:rPr>
                <w:sz w:val="15"/>
                <w:szCs w:val="15"/>
                <w:color w:val="auto"/>
              </w:rPr>
            </w:pPr>
          </w:p>
        </w:tc>
        <w:tc>
          <w:tcPr>
            <w:tcW w:w="3700" w:type="dxa"/>
            <w:vAlign w:val="bottom"/>
            <w:gridSpan w:val="2"/>
          </w:tcPr>
          <w:p>
            <w:pPr>
              <w:jc w:val="center"/>
              <w:ind w:left="3"/>
              <w:spacing w:after="0"/>
              <w:rPr>
                <w:sz w:val="20"/>
                <w:szCs w:val="20"/>
                <w:color w:val="auto"/>
              </w:rPr>
            </w:pPr>
            <w:r>
              <w:rPr>
                <w:rFonts w:ascii="Courier New" w:cs="Courier New" w:eastAsia="Courier New" w:hAnsi="Courier New"/>
                <w:sz w:val="15"/>
                <w:szCs w:val="15"/>
                <w:color w:val="auto"/>
              </w:rPr>
              <w:t>SUITE 300-TOWER ONE</w:t>
            </w:r>
          </w:p>
        </w:tc>
      </w:tr>
      <w:tr>
        <w:trPr>
          <w:trHeight w:val="177"/>
        </w:trPr>
        <w:tc>
          <w:tcPr>
            <w:tcW w:w="3400" w:type="dxa"/>
            <w:vAlign w:val="bottom"/>
          </w:tcPr>
          <w:p>
            <w:pPr>
              <w:jc w:val="center"/>
              <w:ind w:left="1223"/>
              <w:spacing w:after="0"/>
              <w:rPr>
                <w:sz w:val="20"/>
                <w:szCs w:val="20"/>
                <w:color w:val="auto"/>
              </w:rPr>
            </w:pPr>
            <w:r>
              <w:rPr>
                <w:rFonts w:ascii="Courier New" w:cs="Courier New" w:eastAsia="Courier New" w:hAnsi="Courier New"/>
                <w:sz w:val="15"/>
                <w:szCs w:val="15"/>
                <w:color w:val="auto"/>
              </w:rPr>
              <w:t>DALLAS, TEXAS 75240</w:t>
            </w:r>
          </w:p>
        </w:tc>
        <w:tc>
          <w:tcPr>
            <w:tcW w:w="1760" w:type="dxa"/>
            <w:vAlign w:val="bottom"/>
          </w:tcPr>
          <w:p>
            <w:pPr>
              <w:spacing w:after="0"/>
              <w:rPr>
                <w:sz w:val="15"/>
                <w:szCs w:val="15"/>
                <w:color w:val="auto"/>
              </w:rPr>
            </w:pPr>
          </w:p>
        </w:tc>
        <w:tc>
          <w:tcPr>
            <w:tcW w:w="3700" w:type="dxa"/>
            <w:vAlign w:val="bottom"/>
            <w:gridSpan w:val="2"/>
          </w:tcPr>
          <w:p>
            <w:pPr>
              <w:jc w:val="center"/>
              <w:ind w:left="3"/>
              <w:spacing w:after="0"/>
              <w:rPr>
                <w:sz w:val="20"/>
                <w:szCs w:val="20"/>
                <w:color w:val="auto"/>
              </w:rPr>
            </w:pPr>
            <w:r>
              <w:rPr>
                <w:rFonts w:ascii="Courier New" w:cs="Courier New" w:eastAsia="Courier New" w:hAnsi="Courier New"/>
                <w:sz w:val="15"/>
                <w:szCs w:val="15"/>
                <w:color w:val="auto"/>
              </w:rPr>
              <w:t>DALLAS, TEXAS 75240</w:t>
            </w:r>
          </w:p>
        </w:tc>
      </w:tr>
      <w:tr>
        <w:trPr>
          <w:trHeight w:val="177"/>
        </w:trPr>
        <w:tc>
          <w:tcPr>
            <w:tcW w:w="3400" w:type="dxa"/>
            <w:vAlign w:val="bottom"/>
          </w:tcPr>
          <w:p>
            <w:pPr>
              <w:jc w:val="center"/>
              <w:ind w:left="1123"/>
              <w:spacing w:after="0"/>
              <w:rPr>
                <w:sz w:val="20"/>
                <w:szCs w:val="20"/>
                <w:color w:val="auto"/>
              </w:rPr>
            </w:pPr>
            <w:r>
              <w:rPr>
                <w:rFonts w:ascii="Courier New" w:cs="Courier New" w:eastAsia="Courier New" w:hAnsi="Courier New"/>
                <w:sz w:val="15"/>
                <w:szCs w:val="15"/>
                <w:color w:val="auto"/>
              </w:rPr>
              <w:t>(214) 383-7900</w:t>
            </w:r>
          </w:p>
        </w:tc>
        <w:tc>
          <w:tcPr>
            <w:tcW w:w="17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(214)</w:t>
            </w:r>
          </w:p>
        </w:tc>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rPr>
              <w:t>383-7900</w:t>
            </w:r>
          </w:p>
        </w:tc>
      </w:tr>
      <w:tr>
        <w:trPr>
          <w:trHeight w:val="177"/>
        </w:trPr>
        <w:tc>
          <w:tcPr>
            <w:tcW w:w="5160" w:type="dxa"/>
            <w:vAlign w:val="bottom"/>
            <w:gridSpan w:val="2"/>
          </w:tcPr>
          <w:p>
            <w:pPr>
              <w:jc w:val="center"/>
              <w:ind w:right="383"/>
              <w:spacing w:after="0"/>
              <w:rPr>
                <w:sz w:val="20"/>
                <w:szCs w:val="20"/>
                <w:color w:val="auto"/>
              </w:rPr>
            </w:pPr>
            <w:r>
              <w:rPr>
                <w:rFonts w:ascii="Courier New" w:cs="Courier New" w:eastAsia="Courier New" w:hAnsi="Courier New"/>
                <w:sz w:val="15"/>
                <w:szCs w:val="15"/>
                <w:color w:val="auto"/>
              </w:rPr>
              <w:t>(Name, address, including zip code,</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(Name, address,</w:t>
            </w:r>
          </w:p>
        </w:tc>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rPr>
              <w:t>including zip code,</w:t>
            </w:r>
          </w:p>
        </w:tc>
      </w:tr>
      <w:tr>
        <w:trPr>
          <w:trHeight w:val="177"/>
        </w:trPr>
        <w:tc>
          <w:tcPr>
            <w:tcW w:w="5160" w:type="dxa"/>
            <w:vAlign w:val="bottom"/>
            <w:gridSpan w:val="2"/>
          </w:tcPr>
          <w:p>
            <w:pPr>
              <w:jc w:val="center"/>
              <w:ind w:right="383"/>
              <w:spacing w:after="0"/>
              <w:rPr>
                <w:sz w:val="20"/>
                <w:szCs w:val="20"/>
                <w:color w:val="auto"/>
              </w:rPr>
            </w:pPr>
            <w:r>
              <w:rPr>
                <w:rFonts w:ascii="Courier New" w:cs="Courier New" w:eastAsia="Courier New" w:hAnsi="Courier New"/>
                <w:sz w:val="15"/>
                <w:szCs w:val="15"/>
                <w:color w:val="auto"/>
              </w:rPr>
              <w:t>and telephone number, including</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and telephone</w:t>
            </w:r>
          </w:p>
        </w:tc>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rPr>
              <w:t>number, including</w:t>
            </w:r>
          </w:p>
        </w:tc>
      </w:tr>
      <w:tr>
        <w:trPr>
          <w:trHeight w:val="177"/>
        </w:trPr>
        <w:tc>
          <w:tcPr>
            <w:tcW w:w="5160" w:type="dxa"/>
            <w:vAlign w:val="bottom"/>
            <w:gridSpan w:val="2"/>
          </w:tcPr>
          <w:p>
            <w:pPr>
              <w:jc w:val="center"/>
              <w:ind w:right="383"/>
              <w:spacing w:after="0"/>
              <w:rPr>
                <w:sz w:val="20"/>
                <w:szCs w:val="20"/>
                <w:color w:val="auto"/>
              </w:rPr>
            </w:pPr>
            <w:r>
              <w:rPr>
                <w:rFonts w:ascii="Courier New" w:cs="Courier New" w:eastAsia="Courier New" w:hAnsi="Courier New"/>
                <w:sz w:val="15"/>
                <w:szCs w:val="15"/>
                <w:color w:val="auto"/>
              </w:rPr>
              <w:t>area code, of registrant)</w:t>
            </w:r>
          </w:p>
        </w:tc>
        <w:tc>
          <w:tcPr>
            <w:tcW w:w="37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area code, of agent for service)</w:t>
            </w:r>
          </w:p>
        </w:tc>
      </w:tr>
      <w:tr>
        <w:trPr>
          <w:trHeight w:val="532"/>
        </w:trPr>
        <w:tc>
          <w:tcPr>
            <w:tcW w:w="5160" w:type="dxa"/>
            <w:vAlign w:val="bottom"/>
            <w:gridSpan w:val="2"/>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55"/>
        </w:trPr>
        <w:tc>
          <w:tcPr>
            <w:tcW w:w="5160" w:type="dxa"/>
            <w:vAlign w:val="bottom"/>
            <w:gridSpan w:val="2"/>
          </w:tcPr>
          <w:p>
            <w:pPr>
              <w:jc w:val="right"/>
              <w:ind w:right="943"/>
              <w:spacing w:after="0"/>
              <w:rPr>
                <w:sz w:val="20"/>
                <w:szCs w:val="20"/>
                <w:color w:val="auto"/>
              </w:rPr>
            </w:pPr>
            <w:r>
              <w:rPr>
                <w:rFonts w:ascii="Courier New" w:cs="Courier New" w:eastAsia="Courier New" w:hAnsi="Courier New"/>
                <w:sz w:val="15"/>
                <w:szCs w:val="15"/>
                <w:color w:val="auto"/>
              </w:rPr>
              <w:t>Copies to:</w:t>
            </w:r>
          </w:p>
        </w:tc>
        <w:tc>
          <w:tcPr>
            <w:tcW w:w="16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710"/>
        </w:trPr>
        <w:tc>
          <w:tcPr>
            <w:tcW w:w="3400" w:type="dxa"/>
            <w:vAlign w:val="bottom"/>
          </w:tcPr>
          <w:p>
            <w:pPr>
              <w:jc w:val="center"/>
              <w:ind w:left="1223"/>
              <w:spacing w:after="0"/>
              <w:rPr>
                <w:sz w:val="20"/>
                <w:szCs w:val="20"/>
                <w:color w:val="auto"/>
              </w:rPr>
            </w:pPr>
            <w:r>
              <w:rPr>
                <w:rFonts w:ascii="Courier New" w:cs="Courier New" w:eastAsia="Courier New" w:hAnsi="Courier New"/>
                <w:sz w:val="15"/>
                <w:szCs w:val="15"/>
                <w:color w:val="auto"/>
              </w:rPr>
              <w:t>STEPHEN A. MASSAD</w:t>
            </w:r>
          </w:p>
        </w:tc>
        <w:tc>
          <w:tcPr>
            <w:tcW w:w="1760" w:type="dxa"/>
            <w:vAlign w:val="bottom"/>
          </w:tcPr>
          <w:p>
            <w:pPr>
              <w:spacing w:after="0"/>
              <w:rPr>
                <w:sz w:val="24"/>
                <w:szCs w:val="24"/>
                <w:color w:val="auto"/>
              </w:rPr>
            </w:pPr>
          </w:p>
        </w:tc>
        <w:tc>
          <w:tcPr>
            <w:tcW w:w="3700" w:type="dxa"/>
            <w:vAlign w:val="bottom"/>
            <w:gridSpan w:val="2"/>
          </w:tcPr>
          <w:p>
            <w:pPr>
              <w:jc w:val="center"/>
              <w:ind w:left="23"/>
              <w:spacing w:after="0"/>
              <w:rPr>
                <w:sz w:val="20"/>
                <w:szCs w:val="20"/>
                <w:color w:val="auto"/>
              </w:rPr>
            </w:pPr>
            <w:r>
              <w:rPr>
                <w:rFonts w:ascii="Courier New" w:cs="Courier New" w:eastAsia="Courier New" w:hAnsi="Courier New"/>
                <w:sz w:val="15"/>
                <w:szCs w:val="15"/>
                <w:color w:val="auto"/>
              </w:rPr>
              <w:t>WILLIAM N. FINNEGAN, IV</w:t>
            </w:r>
          </w:p>
        </w:tc>
      </w:tr>
      <w:tr>
        <w:trPr>
          <w:trHeight w:val="177"/>
        </w:trPr>
        <w:tc>
          <w:tcPr>
            <w:tcW w:w="3400" w:type="dxa"/>
            <w:vAlign w:val="bottom"/>
          </w:tcPr>
          <w:p>
            <w:pPr>
              <w:jc w:val="center"/>
              <w:ind w:left="1223"/>
              <w:spacing w:after="0"/>
              <w:rPr>
                <w:sz w:val="20"/>
                <w:szCs w:val="20"/>
                <w:color w:val="auto"/>
              </w:rPr>
            </w:pPr>
            <w:r>
              <w:rPr>
                <w:rFonts w:ascii="Courier New" w:cs="Courier New" w:eastAsia="Courier New" w:hAnsi="Courier New"/>
                <w:sz w:val="15"/>
                <w:szCs w:val="15"/>
                <w:color w:val="auto"/>
              </w:rPr>
              <w:t>BAKER &amp; BOTTS, L.L.P.</w:t>
            </w:r>
          </w:p>
        </w:tc>
        <w:tc>
          <w:tcPr>
            <w:tcW w:w="1760" w:type="dxa"/>
            <w:vAlign w:val="bottom"/>
          </w:tcPr>
          <w:p>
            <w:pPr>
              <w:spacing w:after="0"/>
              <w:rPr>
                <w:sz w:val="15"/>
                <w:szCs w:val="15"/>
                <w:color w:val="auto"/>
              </w:rPr>
            </w:pPr>
          </w:p>
        </w:tc>
        <w:tc>
          <w:tcPr>
            <w:tcW w:w="37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ANDREWS &amp; KURTH L.L.P.</w:t>
            </w:r>
          </w:p>
        </w:tc>
      </w:tr>
      <w:tr>
        <w:trPr>
          <w:trHeight w:val="177"/>
        </w:trPr>
        <w:tc>
          <w:tcPr>
            <w:tcW w:w="5160" w:type="dxa"/>
            <w:vAlign w:val="bottom"/>
            <w:gridSpan w:val="2"/>
          </w:tcPr>
          <w:p>
            <w:pPr>
              <w:jc w:val="center"/>
              <w:ind w:right="483"/>
              <w:spacing w:after="0"/>
              <w:rPr>
                <w:sz w:val="20"/>
                <w:szCs w:val="20"/>
                <w:color w:val="auto"/>
              </w:rPr>
            </w:pPr>
            <w:r>
              <w:rPr>
                <w:rFonts w:ascii="Courier New" w:cs="Courier New" w:eastAsia="Courier New" w:hAnsi="Courier New"/>
                <w:sz w:val="15"/>
                <w:szCs w:val="15"/>
                <w:color w:val="auto"/>
              </w:rPr>
              <w:t>910 LOUISIANA STREET, 31ST FLOOR</w:t>
            </w:r>
          </w:p>
        </w:tc>
        <w:tc>
          <w:tcPr>
            <w:tcW w:w="3700" w:type="dxa"/>
            <w:vAlign w:val="bottom"/>
            <w:gridSpan w:val="2"/>
          </w:tcPr>
          <w:p>
            <w:pPr>
              <w:jc w:val="center"/>
              <w:ind w:left="3"/>
              <w:spacing w:after="0"/>
              <w:rPr>
                <w:sz w:val="20"/>
                <w:szCs w:val="20"/>
                <w:color w:val="auto"/>
              </w:rPr>
            </w:pPr>
            <w:r>
              <w:rPr>
                <w:rFonts w:ascii="Courier New" w:cs="Courier New" w:eastAsia="Courier New" w:hAnsi="Courier New"/>
                <w:sz w:val="15"/>
                <w:szCs w:val="15"/>
                <w:color w:val="auto"/>
              </w:rPr>
              <w:t>4200 TEXAS COMMERCE TOWER</w:t>
            </w:r>
          </w:p>
        </w:tc>
      </w:tr>
      <w:tr>
        <w:trPr>
          <w:trHeight w:val="177"/>
        </w:trPr>
        <w:tc>
          <w:tcPr>
            <w:tcW w:w="3400" w:type="dxa"/>
            <w:vAlign w:val="bottom"/>
          </w:tcPr>
          <w:p>
            <w:pPr>
              <w:jc w:val="center"/>
              <w:ind w:left="1123"/>
              <w:spacing w:after="0"/>
              <w:rPr>
                <w:sz w:val="20"/>
                <w:szCs w:val="20"/>
                <w:color w:val="auto"/>
              </w:rPr>
            </w:pPr>
            <w:r>
              <w:rPr>
                <w:rFonts w:ascii="Courier New" w:cs="Courier New" w:eastAsia="Courier New" w:hAnsi="Courier New"/>
                <w:sz w:val="15"/>
                <w:szCs w:val="15"/>
                <w:color w:val="auto"/>
              </w:rPr>
              <w:t>HOUSTON, TEXAS 77002</w:t>
            </w:r>
          </w:p>
        </w:tc>
        <w:tc>
          <w:tcPr>
            <w:tcW w:w="1760" w:type="dxa"/>
            <w:vAlign w:val="bottom"/>
          </w:tcPr>
          <w:p>
            <w:pPr>
              <w:spacing w:after="0"/>
              <w:rPr>
                <w:sz w:val="15"/>
                <w:szCs w:val="15"/>
                <w:color w:val="auto"/>
              </w:rPr>
            </w:pPr>
          </w:p>
        </w:tc>
        <w:tc>
          <w:tcPr>
            <w:tcW w:w="37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HOUSTON, TEXAS 77002</w:t>
            </w:r>
          </w:p>
        </w:tc>
      </w:tr>
      <w:tr>
        <w:trPr>
          <w:trHeight w:val="177"/>
        </w:trPr>
        <w:tc>
          <w:tcPr>
            <w:tcW w:w="3400" w:type="dxa"/>
            <w:vAlign w:val="bottom"/>
          </w:tcPr>
          <w:p>
            <w:pPr>
              <w:jc w:val="center"/>
              <w:ind w:left="1123"/>
              <w:spacing w:after="0"/>
              <w:rPr>
                <w:sz w:val="20"/>
                <w:szCs w:val="20"/>
                <w:color w:val="auto"/>
              </w:rPr>
            </w:pPr>
            <w:r>
              <w:rPr>
                <w:rFonts w:ascii="Courier New" w:cs="Courier New" w:eastAsia="Courier New" w:hAnsi="Courier New"/>
                <w:sz w:val="15"/>
                <w:szCs w:val="15"/>
                <w:color w:val="auto"/>
              </w:rPr>
              <w:t>(713) 229-1234</w:t>
            </w:r>
          </w:p>
        </w:tc>
        <w:tc>
          <w:tcPr>
            <w:tcW w:w="17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(713)</w:t>
            </w:r>
          </w:p>
        </w:tc>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rPr>
              <w:t>220-4200</w:t>
            </w:r>
          </w:p>
        </w:tc>
      </w:tr>
    </w:tbl>
    <w:p>
      <w:pPr>
        <w:spacing w:after="0" w:line="360" w:lineRule="exact"/>
        <w:rPr>
          <w:sz w:val="24"/>
          <w:szCs w:val="24"/>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the effective date of this Registration Statement and the satisfaction or waiver of all other conditions to the merger (the "Merger") of Quatro Acquisition Corp. ("Acquisition") with and into Sanifill, Inc. ("Sanifill") pursuant to the Agreement and Plan of Merger dated as of June 22, 1996, among USA Waste Services, Inc., Acquisition and Sanifill, described in the enclosed Joint Proxy Statement/Prospectus.</w:t>
      </w:r>
    </w:p>
    <w:p>
      <w:pPr>
        <w:spacing w:after="0" w:line="176" w:lineRule="exact"/>
        <w:rPr>
          <w:sz w:val="24"/>
          <w:szCs w:val="24"/>
          <w:color w:val="auto"/>
        </w:rPr>
      </w:pPr>
    </w:p>
    <w:p>
      <w:pPr>
        <w:ind w:left="5" w:right="2939" w:firstLine="461"/>
        <w:spacing w:after="0" w:line="252" w:lineRule="auto"/>
        <w:rPr>
          <w:sz w:val="20"/>
          <w:szCs w:val="20"/>
          <w:color w:val="auto"/>
        </w:rPr>
      </w:pPr>
      <w:r>
        <w:rPr>
          <w:rFonts w:ascii="Courier New" w:cs="Courier New" w:eastAsia="Courier New" w:hAnsi="Courier New"/>
          <w:sz w:val="15"/>
          <w:szCs w:val="15"/>
          <w:color w:val="auto"/>
        </w:rPr>
        <w:t>If the securities being registered on the Form are to be offered in connection with the formation of a holding company and there is compliance with General Instruction G, check the following box. / /</w:t>
      </w:r>
    </w:p>
    <w:p>
      <w:pPr>
        <w:spacing w:after="0" w:line="175" w:lineRule="exact"/>
        <w:rPr>
          <w:sz w:val="24"/>
          <w:szCs w:val="24"/>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 /</w:t>
      </w:r>
    </w:p>
    <w:p>
      <w:pPr>
        <w:spacing w:after="0" w:line="354" w:lineRule="exact"/>
        <w:rPr>
          <w:sz w:val="24"/>
          <w:szCs w:val="24"/>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176" w:lineRule="exact"/>
        <w:rPr>
          <w:sz w:val="24"/>
          <w:szCs w:val="24"/>
          <w:color w:val="auto"/>
        </w:rPr>
      </w:pPr>
    </w:p>
    <w:p>
      <w:pPr>
        <w:ind w:left="185" w:hanging="185"/>
        <w:spacing w:after="0"/>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5" w:top="236" w:right="1440" w:bottom="253" w:gutter="0" w:footer="0" w:header="0"/>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8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CROSS-REFERENCE SHEET</w:t>
      </w:r>
    </w:p>
    <w:p>
      <w:pPr>
        <w:sectPr>
          <w:pgSz w:w="11900" w:h="16838" w:orient="portrait"/>
          <w:cols w:equalWidth="0" w:num="1">
            <w:col w:w="11060"/>
          </w:cols>
          <w:pgMar w:left="240" w:top="295" w:right="59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left="1000"/>
        <w:spacing w:after="0"/>
        <w:rPr>
          <w:sz w:val="20"/>
          <w:szCs w:val="20"/>
          <w:color w:val="auto"/>
        </w:rPr>
      </w:pPr>
      <w:r>
        <w:rPr>
          <w:rFonts w:ascii="Courier New" w:cs="Courier New" w:eastAsia="Courier New" w:hAnsi="Courier New"/>
          <w:sz w:val="15"/>
          <w:szCs w:val="15"/>
          <w:color w:val="auto"/>
        </w:rPr>
        <w:t>ITEM NUMBER IN FORM S-4</w:t>
      </w:r>
    </w:p>
    <w:p>
      <w:pPr>
        <w:spacing w:after="0" w:line="8" w:lineRule="exact"/>
        <w:rPr>
          <w:sz w:val="20"/>
          <w:szCs w:val="20"/>
          <w:color w:val="auto"/>
        </w:rPr>
      </w:pPr>
    </w:p>
    <w:p>
      <w:pPr>
        <w:jc w:val="center"/>
        <w:ind w:left="10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LOCATION IN JOINT PROXY STATEMENT AND PROSPECTUS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2">
            <w:col w:w="5540" w:space="180"/>
            <w:col w:w="5340"/>
          </w:cols>
          <w:pgMar w:left="240" w:top="295" w:right="59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 Information About the Transaction</w:t>
      </w:r>
    </w:p>
    <w:p>
      <w:pPr>
        <w:spacing w:after="0" w:line="8" w:lineRule="exact"/>
        <w:rPr>
          <w:sz w:val="20"/>
          <w:szCs w:val="20"/>
          <w:color w:val="auto"/>
        </w:rPr>
      </w:pPr>
    </w:p>
    <w:p>
      <w:pPr>
        <w:ind w:left="1000" w:hanging="359"/>
        <w:spacing w:after="0"/>
        <w:tabs>
          <w:tab w:leader="none" w:pos="10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Forepart of Registration Statement and Outside</w:t>
      </w:r>
    </w:p>
    <w:p>
      <w:pPr>
        <w:spacing w:after="0" w:line="185" w:lineRule="exact"/>
        <w:rPr>
          <w:sz w:val="20"/>
          <w:szCs w:val="20"/>
          <w:color w:val="auto"/>
        </w:rPr>
      </w:pPr>
    </w:p>
    <w:p>
      <w:pPr>
        <w:ind w:left="1000" w:hanging="359"/>
        <w:spacing w:after="0"/>
        <w:tabs>
          <w:tab w:leader="none" w:pos="10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Inside Front and Outside Back Cover Pages of</w:t>
      </w:r>
    </w:p>
    <w:p>
      <w:pPr>
        <w:spacing w:after="0" w:line="8" w:lineRule="exact"/>
        <w:rPr>
          <w:sz w:val="20"/>
          <w:szCs w:val="20"/>
          <w:color w:val="auto"/>
        </w:rPr>
      </w:pPr>
    </w:p>
    <w:p>
      <w:pPr>
        <w:ind w:left="1200"/>
        <w:spacing w:after="0"/>
        <w:tabs>
          <w:tab w:leader="none" w:pos="5700" w:val="left"/>
        </w:tabs>
        <w:rPr>
          <w:sz w:val="20"/>
          <w:szCs w:val="20"/>
          <w:color w:val="auto"/>
        </w:rPr>
      </w:pPr>
      <w:r>
        <w:rPr>
          <w:rFonts w:ascii="Courier New" w:cs="Courier New" w:eastAsia="Courier New" w:hAnsi="Courier New"/>
          <w:sz w:val="15"/>
          <w:szCs w:val="15"/>
          <w:color w:val="auto"/>
        </w:rPr>
        <w:t>Prospectus.....................................</w:t>
        <w:tab/>
        <w:t>Cover Page; Available Information; Table of Contents</w:t>
      </w:r>
    </w:p>
    <w:p>
      <w:pPr>
        <w:spacing w:after="0" w:line="8" w:lineRule="exact"/>
        <w:rPr>
          <w:sz w:val="20"/>
          <w:szCs w:val="20"/>
          <w:color w:val="auto"/>
        </w:rPr>
      </w:pPr>
    </w:p>
    <w:p>
      <w:pPr>
        <w:ind w:left="1000" w:hanging="359"/>
        <w:spacing w:after="0"/>
        <w:tabs>
          <w:tab w:leader="none" w:pos="10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 Factors, Ratio of Earnings to Fixed Charges</w:t>
      </w:r>
    </w:p>
    <w:p>
      <w:pPr>
        <w:spacing w:after="0" w:line="8"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80" w:type="dxa"/>
            <w:vAlign w:val="bottom"/>
          </w:tcPr>
          <w:p>
            <w:pPr>
              <w:spacing w:after="0"/>
              <w:rPr>
                <w:sz w:val="14"/>
                <w:szCs w:val="14"/>
                <w:color w:val="auto"/>
              </w:rPr>
            </w:pPr>
          </w:p>
        </w:tc>
        <w:tc>
          <w:tcPr>
            <w:tcW w:w="4700" w:type="dxa"/>
            <w:vAlign w:val="bottom"/>
          </w:tcPr>
          <w:p>
            <w:pPr>
              <w:jc w:val="right"/>
              <w:ind w:right="3"/>
              <w:spacing w:after="0"/>
              <w:rPr>
                <w:sz w:val="20"/>
                <w:szCs w:val="20"/>
                <w:color w:val="auto"/>
              </w:rPr>
            </w:pPr>
            <w:r>
              <w:rPr>
                <w:rFonts w:ascii="Courier New" w:cs="Courier New" w:eastAsia="Courier New" w:hAnsi="Courier New"/>
                <w:sz w:val="15"/>
                <w:szCs w:val="15"/>
                <w:color w:val="auto"/>
              </w:rPr>
              <w:t>and Other Information..........................</w:t>
            </w:r>
          </w:p>
        </w:tc>
        <w:tc>
          <w:tcPr>
            <w:tcW w:w="5260" w:type="dxa"/>
            <w:vAlign w:val="bottom"/>
          </w:tcPr>
          <w:p>
            <w:pPr>
              <w:ind w:left="100"/>
              <w:spacing w:after="0"/>
              <w:rPr>
                <w:sz w:val="20"/>
                <w:szCs w:val="20"/>
                <w:color w:val="auto"/>
              </w:rPr>
            </w:pPr>
            <w:r>
              <w:rPr>
                <w:rFonts w:ascii="Courier New" w:cs="Courier New" w:eastAsia="Courier New" w:hAnsi="Courier New"/>
                <w:sz w:val="15"/>
                <w:szCs w:val="15"/>
                <w:color w:val="auto"/>
              </w:rPr>
              <w:t>Summary; The Merger and Related Transactions</w:t>
            </w:r>
          </w:p>
        </w:tc>
      </w:tr>
      <w:tr>
        <w:trPr>
          <w:trHeight w:val="177"/>
        </w:trPr>
        <w:tc>
          <w:tcPr>
            <w:tcW w:w="280" w:type="dxa"/>
            <w:vAlign w:val="bottom"/>
          </w:tcPr>
          <w:p>
            <w:pPr>
              <w:jc w:val="right"/>
              <w:ind w:right="23"/>
              <w:spacing w:after="0"/>
              <w:rPr>
                <w:sz w:val="20"/>
                <w:szCs w:val="20"/>
                <w:color w:val="auto"/>
              </w:rPr>
            </w:pPr>
            <w:r>
              <w:rPr>
                <w:rFonts w:ascii="Courier New" w:cs="Courier New" w:eastAsia="Courier New" w:hAnsi="Courier New"/>
                <w:sz w:val="15"/>
                <w:szCs w:val="15"/>
                <w:color w:val="auto"/>
                <w:w w:val="88"/>
              </w:rPr>
              <w:t>4.</w:t>
            </w:r>
          </w:p>
        </w:tc>
        <w:tc>
          <w:tcPr>
            <w:tcW w:w="4700" w:type="dxa"/>
            <w:vAlign w:val="bottom"/>
          </w:tcPr>
          <w:p>
            <w:pPr>
              <w:jc w:val="right"/>
              <w:ind w:right="3"/>
              <w:spacing w:after="0"/>
              <w:rPr>
                <w:sz w:val="20"/>
                <w:szCs w:val="20"/>
                <w:color w:val="auto"/>
              </w:rPr>
            </w:pPr>
            <w:r>
              <w:rPr>
                <w:rFonts w:ascii="Courier New" w:cs="Courier New" w:eastAsia="Courier New" w:hAnsi="Courier New"/>
                <w:sz w:val="15"/>
                <w:szCs w:val="15"/>
                <w:color w:val="auto"/>
              </w:rPr>
              <w:t>Terms of the Transaction.........................</w:t>
            </w:r>
          </w:p>
        </w:tc>
        <w:tc>
          <w:tcPr>
            <w:tcW w:w="5260" w:type="dxa"/>
            <w:vAlign w:val="bottom"/>
          </w:tcPr>
          <w:p>
            <w:pPr>
              <w:ind w:left="100"/>
              <w:spacing w:after="0"/>
              <w:rPr>
                <w:sz w:val="20"/>
                <w:szCs w:val="20"/>
                <w:color w:val="auto"/>
              </w:rPr>
            </w:pPr>
            <w:r>
              <w:rPr>
                <w:rFonts w:ascii="Courier New" w:cs="Courier New" w:eastAsia="Courier New" w:hAnsi="Courier New"/>
                <w:sz w:val="15"/>
                <w:szCs w:val="15"/>
                <w:color w:val="auto"/>
              </w:rPr>
              <w:t>The Meetings; The Merger and Related Transactions; The</w:t>
            </w:r>
          </w:p>
        </w:tc>
      </w:tr>
      <w:tr>
        <w:trPr>
          <w:trHeight w:val="177"/>
        </w:trPr>
        <w:tc>
          <w:tcPr>
            <w:tcW w:w="28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5260" w:type="dxa"/>
            <w:vAlign w:val="bottom"/>
          </w:tcPr>
          <w:p>
            <w:pPr>
              <w:ind w:left="280"/>
              <w:spacing w:after="0"/>
              <w:rPr>
                <w:sz w:val="20"/>
                <w:szCs w:val="20"/>
                <w:color w:val="auto"/>
              </w:rPr>
            </w:pPr>
            <w:r>
              <w:rPr>
                <w:rFonts w:ascii="Courier New" w:cs="Courier New" w:eastAsia="Courier New" w:hAnsi="Courier New"/>
                <w:sz w:val="15"/>
                <w:szCs w:val="15"/>
                <w:color w:val="auto"/>
              </w:rPr>
              <w:t>Plan of Merger and Terms of the Merger; Description of</w:t>
            </w:r>
          </w:p>
        </w:tc>
      </w:tr>
      <w:tr>
        <w:trPr>
          <w:trHeight w:val="177"/>
        </w:trPr>
        <w:tc>
          <w:tcPr>
            <w:tcW w:w="28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5260" w:type="dxa"/>
            <w:vAlign w:val="bottom"/>
          </w:tcPr>
          <w:p>
            <w:pPr>
              <w:ind w:left="280"/>
              <w:spacing w:after="0"/>
              <w:rPr>
                <w:sz w:val="20"/>
                <w:szCs w:val="20"/>
                <w:color w:val="auto"/>
              </w:rPr>
            </w:pPr>
            <w:r>
              <w:rPr>
                <w:rFonts w:ascii="Courier New" w:cs="Courier New" w:eastAsia="Courier New" w:hAnsi="Courier New"/>
                <w:sz w:val="15"/>
                <w:szCs w:val="15"/>
                <w:color w:val="auto"/>
              </w:rPr>
              <w:t>USA Waste Capital Stock; Comparison of Rights of</w:t>
            </w:r>
          </w:p>
        </w:tc>
      </w:tr>
      <w:tr>
        <w:trPr>
          <w:trHeight w:val="177"/>
        </w:trPr>
        <w:tc>
          <w:tcPr>
            <w:tcW w:w="28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5260" w:type="dxa"/>
            <w:vAlign w:val="bottom"/>
          </w:tcPr>
          <w:p>
            <w:pPr>
              <w:ind w:left="280"/>
              <w:spacing w:after="0"/>
              <w:rPr>
                <w:sz w:val="20"/>
                <w:szCs w:val="20"/>
                <w:color w:val="auto"/>
              </w:rPr>
            </w:pPr>
            <w:r>
              <w:rPr>
                <w:rFonts w:ascii="Courier New" w:cs="Courier New" w:eastAsia="Courier New" w:hAnsi="Courier New"/>
                <w:sz w:val="15"/>
                <w:szCs w:val="15"/>
                <w:color w:val="auto"/>
              </w:rPr>
              <w:t>Stockholders of USA Waste and Sanifill</w:t>
            </w:r>
          </w:p>
        </w:tc>
      </w:tr>
      <w:tr>
        <w:trPr>
          <w:trHeight w:val="177"/>
        </w:trPr>
        <w:tc>
          <w:tcPr>
            <w:tcW w:w="280" w:type="dxa"/>
            <w:vAlign w:val="bottom"/>
          </w:tcPr>
          <w:p>
            <w:pPr>
              <w:jc w:val="right"/>
              <w:ind w:right="23"/>
              <w:spacing w:after="0"/>
              <w:rPr>
                <w:sz w:val="20"/>
                <w:szCs w:val="20"/>
                <w:color w:val="auto"/>
              </w:rPr>
            </w:pPr>
            <w:r>
              <w:rPr>
                <w:rFonts w:ascii="Courier New" w:cs="Courier New" w:eastAsia="Courier New" w:hAnsi="Courier New"/>
                <w:sz w:val="15"/>
                <w:szCs w:val="15"/>
                <w:color w:val="auto"/>
                <w:w w:val="88"/>
              </w:rPr>
              <w:t>5.</w:t>
            </w:r>
          </w:p>
        </w:tc>
        <w:tc>
          <w:tcPr>
            <w:tcW w:w="4700" w:type="dxa"/>
            <w:vAlign w:val="bottom"/>
          </w:tcPr>
          <w:p>
            <w:pPr>
              <w:jc w:val="right"/>
              <w:ind w:right="3"/>
              <w:spacing w:after="0"/>
              <w:rPr>
                <w:sz w:val="20"/>
                <w:szCs w:val="20"/>
                <w:color w:val="auto"/>
              </w:rPr>
            </w:pPr>
            <w:r>
              <w:rPr>
                <w:rFonts w:ascii="Courier New" w:cs="Courier New" w:eastAsia="Courier New" w:hAnsi="Courier New"/>
                <w:sz w:val="15"/>
                <w:szCs w:val="15"/>
                <w:color w:val="auto"/>
              </w:rPr>
              <w:t>Pro forma Financial Information..................</w:t>
            </w:r>
          </w:p>
        </w:tc>
        <w:tc>
          <w:tcPr>
            <w:tcW w:w="5260" w:type="dxa"/>
            <w:vAlign w:val="bottom"/>
          </w:tcPr>
          <w:p>
            <w:pPr>
              <w:ind w:left="100"/>
              <w:spacing w:after="0"/>
              <w:rPr>
                <w:sz w:val="20"/>
                <w:szCs w:val="20"/>
                <w:color w:val="auto"/>
              </w:rPr>
            </w:pPr>
            <w:r>
              <w:rPr>
                <w:rFonts w:ascii="Courier New" w:cs="Courier New" w:eastAsia="Courier New" w:hAnsi="Courier New"/>
                <w:sz w:val="15"/>
                <w:szCs w:val="15"/>
                <w:color w:val="auto"/>
              </w:rPr>
              <w:t>Summary; USA Waste and Sanifill Combined Unaudited Pro</w:t>
            </w:r>
          </w:p>
        </w:tc>
      </w:tr>
      <w:tr>
        <w:trPr>
          <w:trHeight w:val="177"/>
        </w:trPr>
        <w:tc>
          <w:tcPr>
            <w:tcW w:w="28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5260" w:type="dxa"/>
            <w:vAlign w:val="bottom"/>
          </w:tcPr>
          <w:p>
            <w:pPr>
              <w:ind w:left="280"/>
              <w:spacing w:after="0"/>
              <w:rPr>
                <w:sz w:val="20"/>
                <w:szCs w:val="20"/>
                <w:color w:val="auto"/>
              </w:rPr>
            </w:pPr>
            <w:r>
              <w:rPr>
                <w:rFonts w:ascii="Courier New" w:cs="Courier New" w:eastAsia="Courier New" w:hAnsi="Courier New"/>
                <w:sz w:val="15"/>
                <w:szCs w:val="15"/>
                <w:color w:val="auto"/>
              </w:rPr>
              <w:t>Forma Condensed Financial Statements</w:t>
            </w:r>
          </w:p>
        </w:tc>
      </w:tr>
      <w:tr>
        <w:trPr>
          <w:trHeight w:val="177"/>
        </w:trPr>
        <w:tc>
          <w:tcPr>
            <w:tcW w:w="280" w:type="dxa"/>
            <w:vAlign w:val="bottom"/>
          </w:tcPr>
          <w:p>
            <w:pPr>
              <w:jc w:val="right"/>
              <w:ind w:right="23"/>
              <w:spacing w:after="0"/>
              <w:rPr>
                <w:sz w:val="20"/>
                <w:szCs w:val="20"/>
                <w:color w:val="auto"/>
              </w:rPr>
            </w:pPr>
            <w:r>
              <w:rPr>
                <w:rFonts w:ascii="Courier New" w:cs="Courier New" w:eastAsia="Courier New" w:hAnsi="Courier New"/>
                <w:sz w:val="15"/>
                <w:szCs w:val="15"/>
                <w:color w:val="auto"/>
                <w:w w:val="88"/>
              </w:rPr>
              <w:t>6.</w:t>
            </w:r>
          </w:p>
        </w:tc>
        <w:tc>
          <w:tcPr>
            <w:tcW w:w="470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Material Contacts with the Company Being</w:t>
            </w:r>
          </w:p>
        </w:tc>
        <w:tc>
          <w:tcPr>
            <w:tcW w:w="5260" w:type="dxa"/>
            <w:vAlign w:val="bottom"/>
          </w:tcPr>
          <w:p>
            <w:pPr>
              <w:spacing w:after="0"/>
              <w:rPr>
                <w:sz w:val="15"/>
                <w:szCs w:val="15"/>
                <w:color w:val="auto"/>
              </w:rPr>
            </w:pPr>
          </w:p>
        </w:tc>
      </w:tr>
      <w:tr>
        <w:trPr>
          <w:trHeight w:val="177"/>
        </w:trPr>
        <w:tc>
          <w:tcPr>
            <w:tcW w:w="280" w:type="dxa"/>
            <w:vAlign w:val="bottom"/>
          </w:tcPr>
          <w:p>
            <w:pPr>
              <w:spacing w:after="0"/>
              <w:rPr>
                <w:sz w:val="15"/>
                <w:szCs w:val="15"/>
                <w:color w:val="auto"/>
              </w:rPr>
            </w:pPr>
          </w:p>
        </w:tc>
        <w:tc>
          <w:tcPr>
            <w:tcW w:w="4700" w:type="dxa"/>
            <w:vAlign w:val="bottom"/>
          </w:tcPr>
          <w:p>
            <w:pPr>
              <w:jc w:val="right"/>
              <w:ind w:right="3"/>
              <w:spacing w:after="0"/>
              <w:rPr>
                <w:sz w:val="20"/>
                <w:szCs w:val="20"/>
                <w:color w:val="auto"/>
              </w:rPr>
            </w:pPr>
            <w:r>
              <w:rPr>
                <w:rFonts w:ascii="Courier New" w:cs="Courier New" w:eastAsia="Courier New" w:hAnsi="Courier New"/>
                <w:sz w:val="15"/>
                <w:szCs w:val="15"/>
                <w:color w:val="auto"/>
              </w:rPr>
              <w:t>Acquired.......................................</w:t>
            </w:r>
          </w:p>
        </w:tc>
        <w:tc>
          <w:tcPr>
            <w:tcW w:w="5260" w:type="dxa"/>
            <w:vAlign w:val="bottom"/>
          </w:tcPr>
          <w:p>
            <w:pPr>
              <w:ind w:left="100"/>
              <w:spacing w:after="0"/>
              <w:rPr>
                <w:sz w:val="20"/>
                <w:szCs w:val="20"/>
                <w:color w:val="auto"/>
              </w:rPr>
            </w:pPr>
            <w:r>
              <w:rPr>
                <w:rFonts w:ascii="Courier New" w:cs="Courier New" w:eastAsia="Courier New" w:hAnsi="Courier New"/>
                <w:sz w:val="15"/>
                <w:szCs w:val="15"/>
                <w:color w:val="auto"/>
              </w:rPr>
              <w:t>The Merger and Related Transactions</w:t>
            </w:r>
          </w:p>
        </w:tc>
      </w:tr>
    </w:tbl>
    <w:p>
      <w:pPr>
        <w:spacing w:after="0" w:line="5" w:lineRule="exact"/>
        <w:rPr>
          <w:sz w:val="20"/>
          <w:szCs w:val="20"/>
          <w:color w:val="auto"/>
        </w:rPr>
      </w:pPr>
    </w:p>
    <w:p>
      <w:pPr>
        <w:ind w:left="1200" w:right="5520" w:hanging="559"/>
        <w:spacing w:after="0" w:line="250" w:lineRule="auto"/>
        <w:tabs>
          <w:tab w:leader="none" w:pos="101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Information Required for Reoffering by Persons and Parties Deemed to be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20" w:type="dxa"/>
            <w:vAlign w:val="bottom"/>
          </w:tcPr>
          <w:p>
            <w:pPr>
              <w:spacing w:after="0"/>
              <w:rPr>
                <w:sz w:val="14"/>
                <w:szCs w:val="14"/>
                <w:color w:val="auto"/>
              </w:rPr>
            </w:pPr>
          </w:p>
        </w:tc>
        <w:tc>
          <w:tcPr>
            <w:tcW w:w="4700" w:type="dxa"/>
            <w:vAlign w:val="bottom"/>
          </w:tcPr>
          <w:p>
            <w:pPr>
              <w:jc w:val="right"/>
              <w:ind w:right="3"/>
              <w:spacing w:after="0"/>
              <w:rPr>
                <w:sz w:val="20"/>
                <w:szCs w:val="20"/>
                <w:color w:val="auto"/>
              </w:rPr>
            </w:pPr>
            <w:r>
              <w:rPr>
                <w:rFonts w:ascii="Courier New" w:cs="Courier New" w:eastAsia="Courier New" w:hAnsi="Courier New"/>
                <w:sz w:val="15"/>
                <w:szCs w:val="15"/>
                <w:color w:val="auto"/>
              </w:rPr>
              <w:t>Underwriters...................................</w:t>
            </w:r>
          </w:p>
        </w:tc>
        <w:tc>
          <w:tcPr>
            <w:tcW w:w="47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7"/>
        </w:trPr>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w:t>
            </w:r>
          </w:p>
        </w:tc>
        <w:tc>
          <w:tcPr>
            <w:tcW w:w="470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Interests of Named Experts and Counsel...........</w:t>
            </w:r>
          </w:p>
        </w:tc>
        <w:tc>
          <w:tcPr>
            <w:tcW w:w="47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7"/>
        </w:trPr>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w:t>
            </w:r>
          </w:p>
        </w:tc>
        <w:tc>
          <w:tcPr>
            <w:tcW w:w="4700" w:type="dxa"/>
            <w:vAlign w:val="bottom"/>
          </w:tcPr>
          <w:p>
            <w:pPr>
              <w:jc w:val="right"/>
              <w:ind w:right="1203"/>
              <w:spacing w:after="0"/>
              <w:rPr>
                <w:sz w:val="20"/>
                <w:szCs w:val="20"/>
                <w:color w:val="auto"/>
              </w:rPr>
            </w:pPr>
            <w:r>
              <w:rPr>
                <w:rFonts w:ascii="Courier New" w:cs="Courier New" w:eastAsia="Courier New" w:hAnsi="Courier New"/>
                <w:sz w:val="15"/>
                <w:szCs w:val="15"/>
                <w:color w:val="auto"/>
              </w:rPr>
              <w:t>Disclosure of Commission Position on</w:t>
            </w:r>
          </w:p>
        </w:tc>
        <w:tc>
          <w:tcPr>
            <w:tcW w:w="4700" w:type="dxa"/>
            <w:vAlign w:val="bottom"/>
          </w:tcPr>
          <w:p>
            <w:pPr>
              <w:spacing w:after="0"/>
              <w:rPr>
                <w:sz w:val="15"/>
                <w:szCs w:val="15"/>
                <w:color w:val="auto"/>
              </w:rPr>
            </w:pPr>
          </w:p>
        </w:tc>
      </w:tr>
      <w:tr>
        <w:trPr>
          <w:trHeight w:val="177"/>
        </w:trPr>
        <w:tc>
          <w:tcPr>
            <w:tcW w:w="920" w:type="dxa"/>
            <w:vAlign w:val="bottom"/>
          </w:tcPr>
          <w:p>
            <w:pPr>
              <w:spacing w:after="0"/>
              <w:rPr>
                <w:sz w:val="15"/>
                <w:szCs w:val="15"/>
                <w:color w:val="auto"/>
              </w:rPr>
            </w:pPr>
          </w:p>
        </w:tc>
        <w:tc>
          <w:tcPr>
            <w:tcW w:w="4700" w:type="dxa"/>
            <w:vAlign w:val="bottom"/>
          </w:tcPr>
          <w:p>
            <w:pPr>
              <w:jc w:val="right"/>
              <w:ind w:right="1203"/>
              <w:spacing w:after="0"/>
              <w:rPr>
                <w:sz w:val="20"/>
                <w:szCs w:val="20"/>
                <w:color w:val="auto"/>
              </w:rPr>
            </w:pPr>
            <w:r>
              <w:rPr>
                <w:rFonts w:ascii="Courier New" w:cs="Courier New" w:eastAsia="Courier New" w:hAnsi="Courier New"/>
                <w:sz w:val="15"/>
                <w:szCs w:val="15"/>
                <w:color w:val="auto"/>
              </w:rPr>
              <w:t>Indemnification for Securities Act</w:t>
            </w:r>
          </w:p>
        </w:tc>
        <w:tc>
          <w:tcPr>
            <w:tcW w:w="4700" w:type="dxa"/>
            <w:vAlign w:val="bottom"/>
          </w:tcPr>
          <w:p>
            <w:pPr>
              <w:spacing w:after="0"/>
              <w:rPr>
                <w:sz w:val="15"/>
                <w:szCs w:val="15"/>
                <w:color w:val="auto"/>
              </w:rPr>
            </w:pPr>
          </w:p>
        </w:tc>
      </w:tr>
      <w:tr>
        <w:trPr>
          <w:trHeight w:val="177"/>
        </w:trPr>
        <w:tc>
          <w:tcPr>
            <w:tcW w:w="920" w:type="dxa"/>
            <w:vAlign w:val="bottom"/>
          </w:tcPr>
          <w:p>
            <w:pPr>
              <w:spacing w:after="0"/>
              <w:rPr>
                <w:sz w:val="15"/>
                <w:szCs w:val="15"/>
                <w:color w:val="auto"/>
              </w:rPr>
            </w:pPr>
          </w:p>
        </w:tc>
        <w:tc>
          <w:tcPr>
            <w:tcW w:w="4700" w:type="dxa"/>
            <w:vAlign w:val="bottom"/>
          </w:tcPr>
          <w:p>
            <w:pPr>
              <w:jc w:val="right"/>
              <w:ind w:right="3"/>
              <w:spacing w:after="0"/>
              <w:rPr>
                <w:sz w:val="20"/>
                <w:szCs w:val="20"/>
                <w:color w:val="auto"/>
              </w:rPr>
            </w:pPr>
            <w:r>
              <w:rPr>
                <w:rFonts w:ascii="Courier New" w:cs="Courier New" w:eastAsia="Courier New" w:hAnsi="Courier New"/>
                <w:sz w:val="15"/>
                <w:szCs w:val="15"/>
                <w:color w:val="auto"/>
              </w:rPr>
              <w:t>Liabilities....................................</w:t>
            </w:r>
          </w:p>
        </w:tc>
        <w:tc>
          <w:tcPr>
            <w:tcW w:w="47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7"/>
        </w:trPr>
        <w:tc>
          <w:tcPr>
            <w:tcW w:w="5620" w:type="dxa"/>
            <w:vAlign w:val="bottom"/>
            <w:gridSpan w:val="2"/>
          </w:tcPr>
          <w:p>
            <w:pPr>
              <w:jc w:val="right"/>
              <w:ind w:right="2323"/>
              <w:spacing w:after="0"/>
              <w:rPr>
                <w:sz w:val="20"/>
                <w:szCs w:val="20"/>
                <w:color w:val="auto"/>
              </w:rPr>
            </w:pPr>
            <w:r>
              <w:rPr>
                <w:rFonts w:ascii="Courier New" w:cs="Courier New" w:eastAsia="Courier New" w:hAnsi="Courier New"/>
                <w:sz w:val="15"/>
                <w:szCs w:val="15"/>
                <w:color w:val="auto"/>
              </w:rPr>
              <w:t>B. Information About the Registrant</w:t>
            </w:r>
          </w:p>
        </w:tc>
        <w:tc>
          <w:tcPr>
            <w:tcW w:w="4700" w:type="dxa"/>
            <w:vAlign w:val="bottom"/>
          </w:tcPr>
          <w:p>
            <w:pPr>
              <w:spacing w:after="0"/>
              <w:rPr>
                <w:sz w:val="15"/>
                <w:szCs w:val="15"/>
                <w:color w:val="auto"/>
              </w:rPr>
            </w:pPr>
          </w:p>
        </w:tc>
      </w:tr>
      <w:tr>
        <w:trPr>
          <w:trHeight w:val="177"/>
        </w:trPr>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w:t>
            </w:r>
          </w:p>
        </w:tc>
        <w:tc>
          <w:tcPr>
            <w:tcW w:w="470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Information with Respect to S-3 Registrants......</w:t>
            </w:r>
          </w:p>
        </w:tc>
        <w:tc>
          <w:tcPr>
            <w:tcW w:w="4700" w:type="dxa"/>
            <w:vAlign w:val="bottom"/>
          </w:tcPr>
          <w:p>
            <w:pPr>
              <w:ind w:left="100"/>
              <w:spacing w:after="0"/>
              <w:rPr>
                <w:sz w:val="20"/>
                <w:szCs w:val="20"/>
                <w:color w:val="auto"/>
              </w:rPr>
            </w:pPr>
            <w:r>
              <w:rPr>
                <w:rFonts w:ascii="Courier New" w:cs="Courier New" w:eastAsia="Courier New" w:hAnsi="Courier New"/>
                <w:sz w:val="15"/>
                <w:szCs w:val="15"/>
                <w:color w:val="auto"/>
              </w:rPr>
              <w:t>Incorporation of Certain Information by Reference;</w:t>
            </w:r>
          </w:p>
        </w:tc>
      </w:tr>
      <w:tr>
        <w:trPr>
          <w:trHeight w:val="177"/>
        </w:trPr>
        <w:tc>
          <w:tcPr>
            <w:tcW w:w="9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4700" w:type="dxa"/>
            <w:vAlign w:val="bottom"/>
          </w:tcPr>
          <w:p>
            <w:pPr>
              <w:ind w:left="280"/>
              <w:spacing w:after="0"/>
              <w:rPr>
                <w:sz w:val="20"/>
                <w:szCs w:val="20"/>
                <w:color w:val="auto"/>
              </w:rPr>
            </w:pPr>
            <w:r>
              <w:rPr>
                <w:rFonts w:ascii="Courier New" w:cs="Courier New" w:eastAsia="Courier New" w:hAnsi="Courier New"/>
                <w:sz w:val="15"/>
                <w:szCs w:val="15"/>
                <w:color w:val="auto"/>
              </w:rPr>
              <w:t>Summary; Risk Factors; The Merger and Related</w:t>
            </w:r>
          </w:p>
        </w:tc>
      </w:tr>
    </w:tbl>
    <w:p>
      <w:pPr>
        <w:spacing w:after="0" w:line="5"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Transactions; Description of USA Waste Capital Stock;</w:t>
      </w:r>
    </w:p>
    <w:p>
      <w:pPr>
        <w:spacing w:after="0" w:line="8"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The Plan of Merger and Terms of the Merger</w:t>
      </w:r>
    </w:p>
    <w:p>
      <w:pPr>
        <w:spacing w:after="0" w:line="8" w:lineRule="exact"/>
        <w:rPr>
          <w:sz w:val="20"/>
          <w:szCs w:val="20"/>
          <w:color w:val="auto"/>
        </w:rPr>
      </w:pPr>
    </w:p>
    <w:p>
      <w:pPr>
        <w:ind w:left="1000" w:hanging="452"/>
        <w:spacing w:after="0"/>
        <w:tabs>
          <w:tab w:leader="none" w:pos="10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Incorporation of Certain Information by</w:t>
      </w:r>
    </w:p>
    <w:p>
      <w:pPr>
        <w:spacing w:after="0" w:line="8" w:lineRule="exact"/>
        <w:rPr>
          <w:sz w:val="20"/>
          <w:szCs w:val="20"/>
          <w:color w:val="auto"/>
        </w:rPr>
      </w:pPr>
    </w:p>
    <w:p>
      <w:pPr>
        <w:ind w:left="1200"/>
        <w:spacing w:after="0"/>
        <w:tabs>
          <w:tab w:leader="none" w:pos="5700" w:val="left"/>
        </w:tabs>
        <w:rPr>
          <w:sz w:val="20"/>
          <w:szCs w:val="20"/>
          <w:color w:val="auto"/>
        </w:rPr>
      </w:pPr>
      <w:r>
        <w:rPr>
          <w:rFonts w:ascii="Courier New" w:cs="Courier New" w:eastAsia="Courier New" w:hAnsi="Courier New"/>
          <w:sz w:val="15"/>
          <w:szCs w:val="15"/>
          <w:color w:val="auto"/>
        </w:rPr>
        <w:t>Reference......................................</w:t>
        <w:tab/>
        <w:t>Incorporation of Certain Information by Reference</w:t>
      </w:r>
    </w:p>
    <w:p>
      <w:pPr>
        <w:spacing w:after="0" w:line="8" w:lineRule="exact"/>
        <w:rPr>
          <w:sz w:val="20"/>
          <w:szCs w:val="20"/>
          <w:color w:val="auto"/>
        </w:rPr>
      </w:pPr>
    </w:p>
    <w:p>
      <w:pPr>
        <w:ind w:left="1000" w:hanging="452"/>
        <w:spacing w:after="0"/>
        <w:tabs>
          <w:tab w:leader="none" w:pos="10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with Respect to S-2 or S-3</w:t>
      </w:r>
    </w:p>
    <w:p>
      <w:pPr>
        <w:spacing w:after="0" w:line="8" w:lineRule="exact"/>
        <w:rPr>
          <w:sz w:val="20"/>
          <w:szCs w:val="20"/>
          <w:color w:val="auto"/>
        </w:rPr>
      </w:pPr>
    </w:p>
    <w:p>
      <w:pPr>
        <w:ind w:left="1200"/>
        <w:spacing w:after="0"/>
        <w:tabs>
          <w:tab w:leader="none" w:pos="5700" w:val="left"/>
        </w:tabs>
        <w:rPr>
          <w:sz w:val="20"/>
          <w:szCs w:val="20"/>
          <w:color w:val="auto"/>
        </w:rPr>
      </w:pPr>
      <w:r>
        <w:rPr>
          <w:rFonts w:ascii="Courier New" w:cs="Courier New" w:eastAsia="Courier New" w:hAnsi="Courier New"/>
          <w:sz w:val="15"/>
          <w:szCs w:val="15"/>
          <w:color w:val="auto"/>
        </w:rPr>
        <w:t>Registrants....................................</w:t>
      </w:r>
      <w:r>
        <w:rPr>
          <w:sz w:val="20"/>
          <w:szCs w:val="20"/>
          <w:color w:val="auto"/>
        </w:rPr>
        <w:tab/>
      </w:r>
      <w:r>
        <w:rPr>
          <w:rFonts w:ascii="Courier New" w:cs="Courier New" w:eastAsia="Courier New" w:hAnsi="Courier New"/>
          <w:sz w:val="13"/>
          <w:szCs w:val="13"/>
          <w:color w:val="auto"/>
        </w:rPr>
        <w:t>*</w:t>
      </w:r>
    </w:p>
    <w:p>
      <w:pPr>
        <w:spacing w:after="0" w:line="8" w:lineRule="exact"/>
        <w:rPr>
          <w:sz w:val="20"/>
          <w:szCs w:val="20"/>
          <w:color w:val="auto"/>
        </w:rPr>
      </w:pPr>
    </w:p>
    <w:p>
      <w:pPr>
        <w:ind w:left="1000" w:hanging="452"/>
        <w:spacing w:after="0"/>
        <w:tabs>
          <w:tab w:leader="none" w:pos="10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Incorporation of Certain Information by</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20" w:type="dxa"/>
            <w:vAlign w:val="bottom"/>
          </w:tcPr>
          <w:p>
            <w:pPr>
              <w:spacing w:after="0"/>
              <w:rPr>
                <w:sz w:val="14"/>
                <w:szCs w:val="14"/>
                <w:color w:val="auto"/>
              </w:rPr>
            </w:pPr>
          </w:p>
        </w:tc>
        <w:tc>
          <w:tcPr>
            <w:tcW w:w="1620" w:type="dxa"/>
            <w:vAlign w:val="bottom"/>
            <w:gridSpan w:val="2"/>
          </w:tcPr>
          <w:p>
            <w:pPr>
              <w:ind w:left="280"/>
              <w:spacing w:after="0"/>
              <w:rPr>
                <w:sz w:val="20"/>
                <w:szCs w:val="20"/>
                <w:color w:val="auto"/>
              </w:rPr>
            </w:pPr>
            <w:r>
              <w:rPr>
                <w:rFonts w:ascii="Courier New" w:cs="Courier New" w:eastAsia="Courier New" w:hAnsi="Courier New"/>
                <w:sz w:val="5"/>
                <w:szCs w:val="5"/>
                <w:color w:val="auto"/>
                <w:w w:val="93"/>
              </w:rPr>
              <w:t>Reference......................................</w:t>
            </w:r>
          </w:p>
        </w:tc>
        <w:tc>
          <w:tcPr>
            <w:tcW w:w="3080" w:type="dxa"/>
            <w:vAlign w:val="bottom"/>
          </w:tcPr>
          <w:p>
            <w:pPr>
              <w:spacing w:after="0"/>
              <w:rPr>
                <w:sz w:val="14"/>
                <w:szCs w:val="14"/>
                <w:color w:val="auto"/>
              </w:rPr>
            </w:pPr>
          </w:p>
        </w:tc>
        <w:tc>
          <w:tcPr>
            <w:tcW w:w="47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7"/>
        </w:trPr>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w:t>
            </w:r>
          </w:p>
        </w:tc>
        <w:tc>
          <w:tcPr>
            <w:tcW w:w="1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Information with</w:t>
            </w:r>
          </w:p>
        </w:tc>
        <w:tc>
          <w:tcPr>
            <w:tcW w:w="3080" w:type="dxa"/>
            <w:vAlign w:val="bottom"/>
          </w:tcPr>
          <w:p>
            <w:pPr>
              <w:ind w:left="40"/>
              <w:spacing w:after="0"/>
              <w:rPr>
                <w:sz w:val="20"/>
                <w:szCs w:val="20"/>
                <w:color w:val="auto"/>
              </w:rPr>
            </w:pPr>
            <w:r>
              <w:rPr>
                <w:rFonts w:ascii="Courier New" w:cs="Courier New" w:eastAsia="Courier New" w:hAnsi="Courier New"/>
                <w:sz w:val="15"/>
                <w:szCs w:val="15"/>
                <w:color w:val="auto"/>
              </w:rPr>
              <w:t>Respect to Registrants Other</w:t>
            </w:r>
          </w:p>
        </w:tc>
        <w:tc>
          <w:tcPr>
            <w:tcW w:w="4700" w:type="dxa"/>
            <w:vAlign w:val="bottom"/>
          </w:tcPr>
          <w:p>
            <w:pPr>
              <w:spacing w:after="0"/>
              <w:rPr>
                <w:sz w:val="15"/>
                <w:szCs w:val="15"/>
                <w:color w:val="auto"/>
              </w:rPr>
            </w:pPr>
          </w:p>
        </w:tc>
      </w:tr>
      <w:tr>
        <w:trPr>
          <w:trHeight w:val="177"/>
        </w:trPr>
        <w:tc>
          <w:tcPr>
            <w:tcW w:w="920" w:type="dxa"/>
            <w:vAlign w:val="bottom"/>
          </w:tcPr>
          <w:p>
            <w:pPr>
              <w:spacing w:after="0"/>
              <w:rPr>
                <w:sz w:val="15"/>
                <w:szCs w:val="15"/>
                <w:color w:val="auto"/>
              </w:rPr>
            </w:pPr>
          </w:p>
        </w:tc>
        <w:tc>
          <w:tcPr>
            <w:tcW w:w="1380" w:type="dxa"/>
            <w:vAlign w:val="bottom"/>
          </w:tcPr>
          <w:p>
            <w:pPr>
              <w:jc w:val="right"/>
              <w:ind w:right="35"/>
              <w:spacing w:after="0"/>
              <w:rPr>
                <w:sz w:val="20"/>
                <w:szCs w:val="20"/>
                <w:color w:val="auto"/>
              </w:rPr>
            </w:pPr>
            <w:r>
              <w:rPr>
                <w:rFonts w:ascii="Courier New" w:cs="Courier New" w:eastAsia="Courier New" w:hAnsi="Courier New"/>
                <w:sz w:val="15"/>
                <w:szCs w:val="15"/>
                <w:color w:val="auto"/>
              </w:rPr>
              <w:t>Than S-2 or</w:t>
            </w:r>
          </w:p>
        </w:tc>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rPr>
              <w:t>S-3 Registrants....................</w:t>
            </w:r>
          </w:p>
        </w:tc>
        <w:tc>
          <w:tcPr>
            <w:tcW w:w="47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7"/>
        </w:trPr>
        <w:tc>
          <w:tcPr>
            <w:tcW w:w="2300" w:type="dxa"/>
            <w:vAlign w:val="bottom"/>
            <w:gridSpan w:val="2"/>
          </w:tcPr>
          <w:p>
            <w:pPr>
              <w:jc w:val="right"/>
              <w:ind w:right="35"/>
              <w:spacing w:after="0"/>
              <w:rPr>
                <w:sz w:val="20"/>
                <w:szCs w:val="20"/>
                <w:color w:val="auto"/>
              </w:rPr>
            </w:pPr>
            <w:r>
              <w:rPr>
                <w:rFonts w:ascii="Courier New" w:cs="Courier New" w:eastAsia="Courier New" w:hAnsi="Courier New"/>
                <w:sz w:val="15"/>
                <w:szCs w:val="15"/>
                <w:color w:val="auto"/>
              </w:rPr>
              <w:t>C. Information About the</w:t>
            </w:r>
          </w:p>
        </w:tc>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rPr>
              <w:t>Company Being Acquired</w:t>
            </w:r>
          </w:p>
        </w:tc>
        <w:tc>
          <w:tcPr>
            <w:tcW w:w="4700" w:type="dxa"/>
            <w:vAlign w:val="bottom"/>
          </w:tcPr>
          <w:p>
            <w:pPr>
              <w:spacing w:after="0"/>
              <w:rPr>
                <w:sz w:val="15"/>
                <w:szCs w:val="15"/>
                <w:color w:val="auto"/>
              </w:rPr>
            </w:pPr>
          </w:p>
        </w:tc>
      </w:tr>
      <w:tr>
        <w:trPr>
          <w:trHeight w:val="177"/>
        </w:trPr>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w:t>
            </w:r>
          </w:p>
        </w:tc>
        <w:tc>
          <w:tcPr>
            <w:tcW w:w="1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Information with</w:t>
            </w:r>
          </w:p>
        </w:tc>
        <w:tc>
          <w:tcPr>
            <w:tcW w:w="3080" w:type="dxa"/>
            <w:vAlign w:val="bottom"/>
          </w:tcPr>
          <w:p>
            <w:pPr>
              <w:ind w:left="40"/>
              <w:spacing w:after="0"/>
              <w:rPr>
                <w:sz w:val="20"/>
                <w:szCs w:val="20"/>
                <w:color w:val="auto"/>
              </w:rPr>
            </w:pPr>
            <w:r>
              <w:rPr>
                <w:rFonts w:ascii="Courier New" w:cs="Courier New" w:eastAsia="Courier New" w:hAnsi="Courier New"/>
                <w:sz w:val="15"/>
                <w:szCs w:val="15"/>
                <w:color w:val="auto"/>
              </w:rPr>
              <w:t>Respect to S-3 Companies........</w:t>
            </w:r>
          </w:p>
        </w:tc>
        <w:tc>
          <w:tcPr>
            <w:tcW w:w="4700" w:type="dxa"/>
            <w:vAlign w:val="bottom"/>
          </w:tcPr>
          <w:p>
            <w:pPr>
              <w:ind w:left="100"/>
              <w:spacing w:after="0"/>
              <w:rPr>
                <w:sz w:val="20"/>
                <w:szCs w:val="20"/>
                <w:color w:val="auto"/>
              </w:rPr>
            </w:pPr>
            <w:r>
              <w:rPr>
                <w:rFonts w:ascii="Courier New" w:cs="Courier New" w:eastAsia="Courier New" w:hAnsi="Courier New"/>
                <w:sz w:val="15"/>
                <w:szCs w:val="15"/>
                <w:color w:val="auto"/>
              </w:rPr>
              <w:t>Incorporation of Certain Information by Reference;</w:t>
            </w:r>
          </w:p>
        </w:tc>
      </w:tr>
    </w:tbl>
    <w:p>
      <w:pPr>
        <w:spacing w:after="0" w:line="5"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Summary; The Merger and Related Transactions; Comparison</w:t>
      </w:r>
    </w:p>
    <w:p>
      <w:pPr>
        <w:spacing w:after="0" w:line="8"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of Rights of Stockholders of USA Waste and Sanifill</w:t>
      </w:r>
    </w:p>
    <w:p>
      <w:pPr>
        <w:spacing w:after="0" w:line="8" w:lineRule="exact"/>
        <w:rPr>
          <w:sz w:val="20"/>
          <w:szCs w:val="20"/>
          <w:color w:val="auto"/>
        </w:rPr>
      </w:pPr>
    </w:p>
    <w:p>
      <w:pPr>
        <w:ind w:left="1000" w:hanging="452"/>
        <w:spacing w:after="0"/>
        <w:tabs>
          <w:tab w:leader="none" w:pos="10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with Respect to S-2 or S-3</w:t>
      </w:r>
    </w:p>
    <w:p>
      <w:pPr>
        <w:spacing w:after="0" w:line="185" w:lineRule="exact"/>
        <w:rPr>
          <w:sz w:val="20"/>
          <w:szCs w:val="20"/>
          <w:color w:val="auto"/>
        </w:rPr>
      </w:pPr>
    </w:p>
    <w:p>
      <w:pPr>
        <w:ind w:left="1000" w:hanging="452"/>
        <w:spacing w:after="0"/>
        <w:tabs>
          <w:tab w:leader="none" w:pos="10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with Respect to Companies Other than</w:t>
      </w:r>
    </w:p>
    <w:p>
      <w:pPr>
        <w:sectPr>
          <w:pgSz w:w="11900" w:h="16838" w:orient="portrait"/>
          <w:cols w:equalWidth="0" w:num="1">
            <w:col w:w="11060"/>
          </w:cols>
          <w:pgMar w:left="240" w:top="295" w:right="599" w:bottom="1440" w:gutter="0" w:footer="0" w:header="0"/>
          <w:type w:val="continuous"/>
        </w:sectPr>
      </w:pP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S-2 or S-3 Companies...........................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Voting and Management Information</w:t>
      </w:r>
    </w:p>
    <w:p>
      <w:pPr>
        <w:spacing w:after="0" w:line="8" w:lineRule="exact"/>
        <w:rPr>
          <w:sz w:val="20"/>
          <w:szCs w:val="20"/>
          <w:color w:val="auto"/>
        </w:rPr>
      </w:pPr>
    </w:p>
    <w:p>
      <w:pPr>
        <w:ind w:left="540"/>
        <w:spacing w:after="0"/>
        <w:tabs>
          <w:tab w:leader="none" w:pos="980" w:val="left"/>
        </w:tabs>
        <w:rPr>
          <w:sz w:val="20"/>
          <w:szCs w:val="20"/>
          <w:color w:val="auto"/>
        </w:rPr>
      </w:pPr>
      <w:r>
        <w:rPr>
          <w:rFonts w:ascii="Courier New" w:cs="Courier New" w:eastAsia="Courier New" w:hAnsi="Courier New"/>
          <w:sz w:val="15"/>
          <w:szCs w:val="15"/>
          <w:color w:val="auto"/>
        </w:rPr>
        <w:t>18.</w:t>
        <w:tab/>
        <w:t>Information if Proxies, Consents or</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Authorizations are to be Solicited.............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The Merger and Related Transactions; The</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Meetings</w:t>
      </w:r>
    </w:p>
    <w:p>
      <w:pPr>
        <w:spacing w:after="0" w:line="8" w:lineRule="exact"/>
        <w:rPr>
          <w:sz w:val="20"/>
          <w:szCs w:val="20"/>
          <w:color w:val="auto"/>
        </w:rPr>
      </w:pPr>
    </w:p>
    <w:p>
      <w:pPr>
        <w:sectPr>
          <w:pgSz w:w="11900" w:h="16838" w:orient="portrait"/>
          <w:cols w:equalWidth="0" w:num="2">
            <w:col w:w="5540" w:space="180"/>
            <w:col w:w="5340"/>
          </w:cols>
          <w:pgMar w:left="240" w:top="295" w:right="599" w:bottom="1440" w:gutter="0" w:footer="0" w:header="0"/>
          <w:type w:val="continuous"/>
        </w:sectPr>
      </w:pPr>
    </w:p>
    <w:p>
      <w:pPr>
        <w:ind w:left="1200" w:right="5520" w:hanging="652"/>
        <w:spacing w:after="0" w:line="250" w:lineRule="auto"/>
        <w:tabs>
          <w:tab w:leader="none" w:pos="101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if Proxies, Consents or Authorizations are not to be Solicited or in an</w:t>
      </w:r>
    </w:p>
    <w:p>
      <w:pPr>
        <w:spacing w:after="0" w:line="1" w:lineRule="exact"/>
        <w:rPr>
          <w:sz w:val="20"/>
          <w:szCs w:val="20"/>
          <w:color w:val="auto"/>
        </w:rPr>
      </w:pPr>
    </w:p>
    <w:p>
      <w:pPr>
        <w:ind w:left="1200"/>
        <w:spacing w:after="0"/>
        <w:tabs>
          <w:tab w:leader="none" w:pos="5700" w:val="left"/>
        </w:tabs>
        <w:rPr>
          <w:sz w:val="20"/>
          <w:szCs w:val="20"/>
          <w:color w:val="auto"/>
        </w:rPr>
      </w:pPr>
      <w:r>
        <w:rPr>
          <w:rFonts w:ascii="Courier New" w:cs="Courier New" w:eastAsia="Courier New" w:hAnsi="Courier New"/>
          <w:sz w:val="15"/>
          <w:szCs w:val="15"/>
          <w:color w:val="auto"/>
        </w:rPr>
        <w:t>Exchange Offer.................................</w:t>
      </w:r>
      <w:r>
        <w:rPr>
          <w:sz w:val="20"/>
          <w:szCs w:val="20"/>
          <w:color w:val="auto"/>
        </w:rPr>
        <w:tab/>
      </w:r>
      <w:r>
        <w:rPr>
          <w:rFonts w:ascii="Courier New" w:cs="Courier New" w:eastAsia="Courier New" w:hAnsi="Courier New"/>
          <w:sz w:val="13"/>
          <w:szCs w:val="13"/>
          <w:color w:val="auto"/>
        </w:rPr>
        <w:t>*</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Omitted because the item is inapplicable or the answer thereto is negative.</w:t>
      </w:r>
    </w:p>
    <w:p>
      <w:pPr>
        <w:sectPr>
          <w:pgSz w:w="11900" w:h="16838" w:orient="portrait"/>
          <w:cols w:equalWidth="0" w:num="1">
            <w:col w:w="11060"/>
          </w:cols>
          <w:pgMar w:left="240" w:top="295" w:right="599" w:bottom="1440" w:gutter="0" w:footer="0" w:header="0"/>
          <w:type w:val="continuous"/>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USA WASTE SERVICES, INC.</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5400 LBJ FREEWAY</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SUITE 300 -- TOWER ONE</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DALLAS, TEXAS 75240</w:t>
      </w:r>
    </w:p>
    <w:p>
      <w:pPr>
        <w:spacing w:after="0" w:line="362"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July 19, 1996</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Stockholder of USA Waste Services, Inc.:</w:t>
      </w:r>
    </w:p>
    <w:p>
      <w:pPr>
        <w:spacing w:after="0" w:line="362"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You are invited to attend a Special Meeting of Stockholders (the "Special Meeting") of USA Waste Services, Inc. ("USA Waste") to be held on August 27, 1996 at 2:00 p.m., Central time. The Special Meeting will be held at The Four Seasons Hotel, 1300 Lamar Street, Houston, Texas.</w:t>
      </w:r>
    </w:p>
    <w:p>
      <w:pPr>
        <w:spacing w:after="0" w:line="354"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At the Special Meeting, you will be asked to consider and vote upon a proposal to approve and adopt the Agreement and Plan of Merger dated as of June 22, 1996 (the "Merger Agreement"), by and among USA Waste, Quatro Acquisition Corp., a wholly owned subsidiary of USA Waste ("Acquisition"), and Sanifill, Inc. ("Sanifill") and a proposal to approve an amendment to USA Waste's Restated Certificate of Incorporation to increase the number of authorized shares of USA Waste common stock, par value $.01 per share ("USA Waste Common Stock"), to 300,000,000 shares.</w:t>
      </w:r>
    </w:p>
    <w:p>
      <w:pPr>
        <w:spacing w:after="0" w:line="353"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Merger Agreement provides, among other things, for the merger of Acquisition with and into Sanifill (the "Merger"), pursuant to which Sanifill would become a wholly owned subsidiary of USA Waste. Each outstanding share of common stock of Sanifill would be converted into 1.70 shares of USA Waste Common Stock (the "Exchange Ratio"). Based upon the number of shares of Sanifill common stock outstanding as of July 18, 1996, USA Waste would issue approximately 43.1 million shares of USA Waste Common Stock to the stockholders of Sanifill pursuant to the Merger. These shares would represent approximately 33% of the total shares of USA Waste Common Stock expected to be outstanding immediately after the Merger. The Merger is subject to a number of conditions, including obtaining the approval of the stockholders of USA Waste and Sanifill and obtaining any necessary regulatory waivers or approvals. The Merger is also conditioned on the approval of the proposal to increase the number of authorized shares of USA Waste Common Stock. A summary of the basic terms and conditions of the Merger, certain financial and other information relating to USA Waste and Sanifill and a copy of the Merger Agreement are set forth in the accompanying Joint Proxy Statement and Prospectus. Please review and consider the enclosed materials carefully.</w:t>
      </w:r>
    </w:p>
    <w:p>
      <w:pPr>
        <w:spacing w:after="0" w:line="200" w:lineRule="exact"/>
        <w:rPr>
          <w:sz w:val="20"/>
          <w:szCs w:val="20"/>
          <w:color w:val="auto"/>
        </w:rPr>
      </w:pPr>
    </w:p>
    <w:p>
      <w:pPr>
        <w:spacing w:after="0" w:line="340"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Your Board of Directors has approved the Merger Agreement. In addition, the Board of Directors of USA Waste has received an opinion dated June 21, 1996 from Donaldson, Lufkin &amp; Jenrette Securities Corporation (a copy of which is included in the accompanying Joint Proxy Statement and Prospectus) that the Exchange Ratio is fair to USA Waste from a financial point of view. THE BOARD OF DIRECTORS OF USA WASTE BELIEVES THAT THE PROPOSED MERGER AND THE OTHER PROPOSAL DESCRIBED ABOVE ARE IN THE BEST INTERESTS OF USA WASTE AND ITS STOCKHOLDERS AND RECOMMENDS THAT YOU VOTE FOR APPROVAL AND ADOPTION OF THE MERGER AGREEMENT AND THE OTHER PROPOSAL SET FORTH IN THE JOINT PROXY STATEMENT AND PROSPECTUS.</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Regardless of the number of shares you hold or whether you plan to attend the Special Meeting, we urge you to complete, sign, date and return the enclosed proxy card immediately. If you attend the Special Meeting, you may vote in person if you wish, even if you have previously returned your proxy card.</w:t>
      </w:r>
    </w:p>
    <w:p>
      <w:pPr>
        <w:spacing w:after="0" w:line="176"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Sincerely,</w:t>
      </w:r>
    </w:p>
    <w:p>
      <w:pPr>
        <w:spacing w:after="0" w:line="185"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/s/ JOHN E. DRURY</w:t>
      </w:r>
    </w:p>
    <w:p>
      <w:pPr>
        <w:spacing w:after="0" w:line="8"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John E. Drury</w:t>
      </w:r>
    </w:p>
    <w:p>
      <w:pPr>
        <w:spacing w:after="0" w:line="8"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Chairman of the Board</w:t>
      </w:r>
    </w:p>
    <w:p>
      <w:pPr>
        <w:sectPr>
          <w:pgSz w:w="11900" w:h="16838" w:orient="portrait"/>
          <w:cols w:equalWidth="0" w:num="1">
            <w:col w:w="10219"/>
          </w:cols>
          <w:pgMar w:left="240" w:top="295"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USA WASTE SERVICES, INC.</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5400 LBJ FREEWAY</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SUITE 300 -- TOWER ONE</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DALLAS, TEXAS 75240</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NOTICE OF SPECIAL MEETING OF STOCKHOLDERS</w:t>
      </w:r>
    </w:p>
    <w:p>
      <w:pPr>
        <w:spacing w:after="0" w:line="185"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TO BE HELD ON AUGUST 27, 1996</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of USA Waste Services, Inc.:</w:t>
      </w:r>
    </w:p>
    <w:p>
      <w:pPr>
        <w:spacing w:after="0" w:line="36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Notice is hereby given that a Special Meeting of Stockholders (the "Special Meeting") of USA Waste Services, Inc. ("USA Waste") will be held at The Four Seasons Hotel, 1300 Lamar Street, Houston, Texas, on August 27, 1996, at 2:00 p.m., Central time, to consider and act upon the following proposals:</w:t>
      </w:r>
    </w:p>
    <w:p>
      <w:pPr>
        <w:spacing w:after="0" w:line="354" w:lineRule="exact"/>
        <w:rPr>
          <w:sz w:val="20"/>
          <w:szCs w:val="20"/>
          <w:color w:val="auto"/>
        </w:rPr>
      </w:pPr>
    </w:p>
    <w:p>
      <w:pPr>
        <w:ind w:right="2939" w:firstLine="456"/>
        <w:spacing w:after="0" w:line="251" w:lineRule="auto"/>
        <w:tabs>
          <w:tab w:leader="none" w:pos="73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and adopt the Agreement and Plan of Merger dated as of June 22, 1996, by and among USA Waste, Quatro Acquisition Corp., a wholly owned subsidiary of USA Waste ("Acquisition"), and Sanifill, Inc. ("Sanifill") providing for, among other things, the merger of Acquisition with and into Sanifill and the conversion of each outstanding share of Sanifill common stock, par value $.01 per share, into 1.70 shares of USA Waste common stock, par value $.01 per share ("USA Waste Common Stock").</w:t>
      </w:r>
    </w:p>
    <w:p>
      <w:pPr>
        <w:spacing w:after="0" w:line="175" w:lineRule="exact"/>
        <w:rPr>
          <w:rFonts w:ascii="Courier New" w:cs="Courier New" w:eastAsia="Courier New" w:hAnsi="Courier New"/>
          <w:sz w:val="15"/>
          <w:szCs w:val="15"/>
          <w:color w:val="auto"/>
        </w:rPr>
      </w:pPr>
    </w:p>
    <w:p>
      <w:pPr>
        <w:ind w:right="2939" w:firstLine="456"/>
        <w:spacing w:after="0" w:line="252" w:lineRule="auto"/>
        <w:tabs>
          <w:tab w:leader="none" w:pos="73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 amendment to the Restated Certificate of Incorporation of USA Waste to increase the authorized shares of USA Waste Common Stock from 150,000,000 shares to 300,000,000 shares.</w:t>
      </w:r>
    </w:p>
    <w:p>
      <w:pPr>
        <w:spacing w:after="0" w:line="175" w:lineRule="exact"/>
        <w:rPr>
          <w:sz w:val="20"/>
          <w:szCs w:val="20"/>
          <w:color w:val="auto"/>
        </w:rPr>
      </w:pPr>
    </w:p>
    <w:p>
      <w:pPr>
        <w:ind w:right="3299" w:firstLine="461"/>
        <w:spacing w:after="0" w:line="253" w:lineRule="auto"/>
        <w:rPr>
          <w:sz w:val="20"/>
          <w:szCs w:val="20"/>
          <w:color w:val="auto"/>
        </w:rPr>
      </w:pPr>
      <w:r>
        <w:rPr>
          <w:rFonts w:ascii="Courier New" w:cs="Courier New" w:eastAsia="Courier New" w:hAnsi="Courier New"/>
          <w:sz w:val="15"/>
          <w:szCs w:val="15"/>
          <w:color w:val="auto"/>
        </w:rPr>
        <w:t>The implementation of Proposal No. 1 is conditioned on the approval of Proposal No. 2.</w:t>
      </w:r>
    </w:p>
    <w:p>
      <w:pPr>
        <w:spacing w:after="0" w:line="174"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meeting may be recessed from time to time, and actions with respect to the matters specified in this notice may be taken at any reconvened meeting without further notice to stockholders unless required by the Bylaws of USA Waste.</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Only stockholders of record at the close of business on July 18, 1996, are entitled to notice of and to vote on all matters at the Special Meeting and any adjournments thereof. A list of all stockholders will be available at the Special Meeting and, during the 10-day period immediately prior to the Special Meeting, at the offices of USA Waste, located at 5400 LBJ Freeway, Suite 300 -- Tower One, Dallas, Texas 75240, during ordinary business hours.</w:t>
      </w:r>
    </w:p>
    <w:p>
      <w:pPr>
        <w:spacing w:after="0" w:line="176"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5"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/s/ GREGORY T. SANGALIS</w:t>
      </w:r>
    </w:p>
    <w:p>
      <w:pPr>
        <w:spacing w:after="0" w:line="8"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Gregory T. Sangalis</w:t>
      </w:r>
    </w:p>
    <w:p>
      <w:pPr>
        <w:spacing w:after="0" w:line="8"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Corporate Secretary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19, 1996</w:t>
      </w:r>
    </w:p>
    <w:p>
      <w:pPr>
        <w:spacing w:after="0" w:line="185" w:lineRule="exact"/>
        <w:rPr>
          <w:sz w:val="20"/>
          <w:szCs w:val="20"/>
          <w:color w:val="auto"/>
        </w:rPr>
      </w:pPr>
    </w:p>
    <w:p>
      <w:pPr>
        <w:jc w:val="center"/>
        <w:ind w:right="3119"/>
        <w:spacing w:after="0" w:line="251" w:lineRule="auto"/>
        <w:rPr>
          <w:sz w:val="20"/>
          <w:szCs w:val="20"/>
          <w:color w:val="auto"/>
        </w:rPr>
      </w:pPr>
      <w:r>
        <w:rPr>
          <w:rFonts w:ascii="Courier New" w:cs="Courier New" w:eastAsia="Courier New" w:hAnsi="Courier New"/>
          <w:sz w:val="15"/>
          <w:szCs w:val="15"/>
          <w:color w:val="auto"/>
        </w:rPr>
        <w:t>WHETHER OR NOT YOU INTEND TO BE PRESENT AT THE SPECIAL MEETING, PLEASE SIGN AND DATE THE ENCLOSED PROXY AND RETURN IT IN THE ENCLOSED PREPAID ENVELOPE. IF YOU ATTEND THE SPECIAL MEETING, YOU MAY VOTE EITHER IN PERSON OR BY YOUR PROXY.</w:t>
      </w:r>
    </w:p>
    <w:p>
      <w:pPr>
        <w:sectPr>
          <w:pgSz w:w="11900" w:h="16838" w:orient="portrait"/>
          <w:cols w:equalWidth="0" w:num="1">
            <w:col w:w="10219"/>
          </w:cols>
          <w:pgMar w:left="240" w:top="295"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185"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SANIFILL, INC.</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2777 ALLEN PARKWAY</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SUITE 700</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HOUSTON, TEXAS 77019</w:t>
      </w:r>
    </w:p>
    <w:p>
      <w:pPr>
        <w:spacing w:after="0" w:line="362"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July 19, 1996</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Stockholder of Sanifill, Inc.:</w:t>
      </w:r>
    </w:p>
    <w:p>
      <w:pPr>
        <w:spacing w:after="0" w:line="362"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You are invited to attend a Special Meeting of Stockholders (the "Special Meeting") of Sanifill, Inc. ("Sanifill") to be held August 27, 1996 at 11:00 a.m., Central time. The Special Meeting will be held at The Four Seasons Hotel, 1300 Lamar Street, Houston, Texas.</w:t>
      </w:r>
    </w:p>
    <w:p>
      <w:pPr>
        <w:spacing w:after="0" w:line="354"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At the Special Meeting, you will be asked to consider and vote upon a proposal to approve and adopt the Agreement and Plan of Merger dated as of June 22, 1996 (the "Merger Agreement"), by and among USA Waste Services, Inc. ("USA Waste"), Quatro Acquisition Corp., a wholly owned subsidiary of USA Waste ("Acquisition"), and Sanifill.</w:t>
      </w:r>
    </w:p>
    <w:p>
      <w:pPr>
        <w:spacing w:after="0" w:line="354"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Merger Agreement provides, among other things, for the merger of Acquisition with and into Sanifill (the "Merger"), pursuant to which Sanifill would become a wholly owned subsidiary of USA Waste. Each outstanding share of common stock of Sanifill would be converted into 1.70 shares (the "Exchange Ratio") of USA Waste common stock, par value $.01 per share ("USA Waste Common Stock"). Based upon the number of shares of Sanifill common stock outstanding as of July 18, 1996, USA Waste would issue approximately 43.1 million shares of USA Waste Common Stock to the stockholders of Sanifill pursuant to the Merger. These shares would represent approximately 33% of the total shares of USA Waste Common Stock expected to be outstanding immediately after the Merger. The Merger is subject to a number of conditions, including obtaining the approval of the stockholders of USA Waste and Sanifill and obtaining any necessary regulatory waivers or approvals. A summary of the basic terms and conditions of the Merger, certain financial and other information relating to USA Waste and Sanifill and a copy of the Merger Agreement are set forth in the accompanying Joint Proxy Statement and Prospectus. Please review and consider the enclosed materials carefully.</w:t>
      </w:r>
    </w:p>
    <w:p>
      <w:pPr>
        <w:spacing w:after="0" w:line="200" w:lineRule="exact"/>
        <w:rPr>
          <w:sz w:val="20"/>
          <w:szCs w:val="20"/>
          <w:color w:val="auto"/>
        </w:rPr>
      </w:pPr>
    </w:p>
    <w:p>
      <w:pPr>
        <w:spacing w:after="0" w:line="340"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Your Board of Directors has approved the Merger Agreement. In addition, the Board of Directors of Sanifill has received an opinion dated June 21, 1996 from Merrill Lynch, Pierce, Fenner &amp; Smith Incorporated (a copy of which is included in the accompanying Joint Proxy Statement and Prospectus) that, as of such date, the Exchange Ratio is fair to the stockholders of Sanifill from a financial point of view. THE BOARD OF DIRECTORS OF SANIFILL BELIEVES THAT THE PROPOSED MERGER IS IN THE BEST INTERESTS OF SANIFILL AND ITS STOCKHOLDERS AND UNANIMOUSLY RECOMMENDS THAT YOU VOTE FOR APPROVAL AND ADOPTION OF THE MERGER AGREEMENT.</w:t>
      </w:r>
    </w:p>
    <w:p>
      <w:pPr>
        <w:spacing w:after="0" w:line="353"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Regardless of the number of shares you hold or whether you plan to attend the Special Meeting, we urge you to complete, sign, date and return the enclosed proxy card immediately. If you attend the Special Meeting, you may vote in person if you wish, even if you have previously returned your proxy card.</w:t>
      </w:r>
    </w:p>
    <w:p>
      <w:pPr>
        <w:spacing w:after="0" w:line="176"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Sincerely,</w:t>
      </w:r>
    </w:p>
    <w:p>
      <w:pPr>
        <w:spacing w:after="0" w:line="185"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/s/ LORNE D. BAIN</w:t>
      </w:r>
    </w:p>
    <w:p>
      <w:pPr>
        <w:spacing w:after="0" w:line="8"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Lorne D. Bain</w:t>
      </w:r>
    </w:p>
    <w:p>
      <w:pPr>
        <w:spacing w:after="0" w:line="8"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Chairman of the Board</w:t>
      </w:r>
    </w:p>
    <w:p>
      <w:pPr>
        <w:sectPr>
          <w:pgSz w:w="11900" w:h="16838" w:orient="portrait"/>
          <w:cols w:equalWidth="0" w:num="1">
            <w:col w:w="10219"/>
          </w:cols>
          <w:pgMar w:left="240" w:top="295"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185"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SANIFILL, INC.</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2777 ALLEN PARKWAY</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SUITE 700</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HOUSTON, TEXAS 77019</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NOTICE OF SPECIAL MEETING OF STOCKHOLDERS</w:t>
      </w:r>
    </w:p>
    <w:p>
      <w:pPr>
        <w:spacing w:after="0" w:line="185"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TO BE HELD ON AUGUST 27, 1996</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of Sanifill, Inc.:</w:t>
      </w:r>
    </w:p>
    <w:p>
      <w:pPr>
        <w:spacing w:after="0" w:line="36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Notice is hereby given that a Special Meeting of Stockholders (the "Special Meeting") of Sanifill, Inc. ("Sanifill") will be held at The Four Seasons Hotel, 1300 Lamar Street, Houston, Texas, on August 27, 1996, at 11:00 a.m., Central time, to consider and act upon the following proposal:</w:t>
      </w:r>
    </w:p>
    <w:p>
      <w:pPr>
        <w:spacing w:after="0" w:line="354"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To approve and adopt the Agreement and Plan of Merger dated as of June 22, 1996, by and among Sanifill, USA Waste Services, Inc. ("USA Waste") and Quatro Acquisition Corp., a wholly owned subsidiary of USA Waste ("Acquisition"), providing, among other things, for the merger of Acquisition with and into Sanifill and the conversion of each outstanding share of Sanifill common stock, par value $.01 per share, into 1.70 shares of USA Waste common stock, par value $.01 per share.</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meeting may be recessed from time to time, and actions with respect to the matters specified in this notice may be taken at any reconvened meeting without further notice to stockholders unless required by the Bylaws of Sanifill.</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Only stockholders of record at the close of business on July 18, 1996, are entitled to notice of and to vote on the Merger proposal at the Special Meeting and any adjournments thereof. A list of all stockholders will be available at the Special Meeting and, during the 10-day period prior to the Special Meeting, at the offices of Sanifill, located at 2777 Allen Parkway, Suite 700, Houston, Texas 77019, during ordinary business hours.</w:t>
      </w:r>
    </w:p>
    <w:p>
      <w:pPr>
        <w:spacing w:after="0" w:line="176"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5"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/s/ H. STEVEN WALTON</w:t>
      </w:r>
    </w:p>
    <w:p>
      <w:pPr>
        <w:spacing w:after="0" w:line="8"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H. Steven Walton</w:t>
      </w:r>
    </w:p>
    <w:p>
      <w:pPr>
        <w:spacing w:after="0" w:line="8"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Secretary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19, 1996</w:t>
      </w:r>
    </w:p>
    <w:p>
      <w:pPr>
        <w:spacing w:after="0" w:line="185" w:lineRule="exact"/>
        <w:rPr>
          <w:sz w:val="20"/>
          <w:szCs w:val="20"/>
          <w:color w:val="auto"/>
        </w:rPr>
      </w:pPr>
    </w:p>
    <w:p>
      <w:pPr>
        <w:jc w:val="center"/>
        <w:ind w:right="3119"/>
        <w:spacing w:after="0" w:line="251" w:lineRule="auto"/>
        <w:rPr>
          <w:sz w:val="20"/>
          <w:szCs w:val="20"/>
          <w:color w:val="auto"/>
        </w:rPr>
      </w:pPr>
      <w:r>
        <w:rPr>
          <w:rFonts w:ascii="Courier New" w:cs="Courier New" w:eastAsia="Courier New" w:hAnsi="Courier New"/>
          <w:sz w:val="15"/>
          <w:szCs w:val="15"/>
          <w:color w:val="auto"/>
        </w:rPr>
        <w:t>WHETHER OR NOT YOU INTEND TO BE PRESENT AT THE SPECIAL MEETING, PLEASE SIGN AND DATE THE ENCLOSED PROXY AND RETURN IT IN THE ENCLOSED PREPAID ENVELOPE. IF YOU ATTEND THE SPECIAL MEETING, YOU MAY VOTE EITHER IN PERSON OR BY YOUR PROXY.</w:t>
      </w:r>
    </w:p>
    <w:p>
      <w:pPr>
        <w:sectPr>
          <w:pgSz w:w="11900" w:h="16838" w:orient="portrait"/>
          <w:cols w:equalWidth="0" w:num="1">
            <w:col w:w="10219"/>
          </w:cols>
          <w:pgMar w:left="240" w:top="295"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19"/>
          </w:cols>
          <w:pgMar w:left="240" w:top="295" w:right="1440" w:bottom="1440" w:gutter="0" w:footer="0" w:header="0"/>
        </w:sect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SANIFILL, INC.</w:t>
      </w:r>
    </w:p>
    <w:p>
      <w:pPr>
        <w:spacing w:after="0" w:line="200" w:lineRule="exact"/>
        <w:rPr>
          <w:sz w:val="20"/>
          <w:szCs w:val="20"/>
          <w:color w:val="auto"/>
        </w:rPr>
      </w:pPr>
    </w:p>
    <w:p>
      <w:pPr>
        <w:sectPr>
          <w:pgSz w:w="11900" w:h="16838" w:orient="portrait"/>
          <w:cols w:equalWidth="0" w:num="2">
            <w:col w:w="5360" w:space="720"/>
            <w:col w:w="4139"/>
          </w:cols>
          <w:pgMar w:left="240" w:top="295" w:right="1440" w:bottom="1440" w:gutter="0" w:footer="0" w:header="0"/>
          <w:type w:val="continuous"/>
        </w:sectPr>
      </w:pPr>
    </w:p>
    <w:p>
      <w:pPr>
        <w:spacing w:after="0" w:line="162"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JOINT PROXY STATEMENT AND PROSPECTUS</w:t>
      </w:r>
    </w:p>
    <w:p>
      <w:pPr>
        <w:sectPr>
          <w:pgSz w:w="11900" w:h="16838" w:orient="portrait"/>
          <w:cols w:equalWidth="0" w:num="1">
            <w:col w:w="10219"/>
          </w:cols>
          <w:pgMar w:left="240" w:top="295" w:right="1440" w:bottom="1440" w:gutter="0" w:footer="0" w:header="0"/>
          <w:type w:val="continuous"/>
        </w:sectPr>
      </w:pPr>
    </w:p>
    <w:p>
      <w:pPr>
        <w:spacing w:after="0" w:line="362"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This Joint Proxy Statement and Prospectus is being furnished to the stockholders of USA Waste Services, Inc., a Delaware corporation ("USA Waste"), in connection with the solicitation of proxies by its Board of Directors to be voted at the Special Meeting of Stockholders of USA Waste (the "USA Waste Special Meeting") scheduled to be held on August 27, 1996, at 2:00 p.m., Central time, at The Four Seasons Hotel, 1300 Lamar Street, Houston, Texas, and at any adjournment or postponement thereof, and to the stockholders of Sanifill, Inc., a Delaware corporation ("Sanifill"), in connection with the solicitation of proxies by its Board of Directors to be voted at the Special Meeting of Stockholders of Sanifill (the "Sanifill Special Meeting") scheduled to be held on August 27, 1996, at 11:00 a.m., Central time, at The Four Seasons Hotel, 1300 Lamar Street, Houston, Texas, and at any adjournment or postponement thereof.</w:t>
      </w:r>
    </w:p>
    <w:p>
      <w:pPr>
        <w:spacing w:after="0" w:line="360"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At the USA Waste Special Meeting and the Sanifill Special Meeting, the holders of USA Waste common stock, par value $.01 per share ("USA Waste Common Stock"), and the holders of Sanifill common stock, par value $.01 per share ("Sanifill Common Stock"), will be asked to consider and vote upon a proposal to approve and adopt the Agreement and Plan of Merger dated as of June 22, 1996 (the "Merger Agreement"), among USA Waste, Quatro Acquisition Corp., a wholly owned subsidiary of USA Waste ("Acquisition"), and Sanifill providing, among other things, for the merger of Acquisition with and into Sanifill (the "Merger"). Such approvals are a condition to consummating the Merger. Upon consummation of the Merger, Sanifill will become a wholly owned subsidiary of USA Waste and the holders of the issued and outstanding shares of Sanifill Common Stock will receive, at the effective time of the Merger, 1.70 shares of USA Waste Common Stock for each share of Sanifill Common Stock held by them. See "The Plan of Merger and Terms of the Merger." A copy of the Merger Agreement is attached hereto as Annex A and incorporated herein by reference.</w:t>
      </w:r>
    </w:p>
    <w:p>
      <w:pPr>
        <w:spacing w:after="0" w:line="361"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On July 18, 1996, the closing sale price of USA Waste Common Stock on the New York Stock Exchange was $27 1/4 per share. Based upon such closing price, the consideration to be received by stockholders of Sanifill pursuant to the Merger would be $46.325 per share of Sanifill Common Stock. Based upon the number of shares of Sanifill Common Stock outstanding as of July 18, 1996, approximately 132.3 million shares of USA Waste Common Stock are expected to be outstanding immediately after the Merger is consummated, of which approximately 33% will be owned by former stockholders of Sanifill and approximately 67% will be owned by current stockholders of USA Waste.</w:t>
      </w:r>
    </w:p>
    <w:p>
      <w:pPr>
        <w:spacing w:after="0" w:line="200" w:lineRule="exact"/>
        <w:rPr>
          <w:sz w:val="20"/>
          <w:szCs w:val="20"/>
          <w:color w:val="auto"/>
        </w:rPr>
      </w:pPr>
    </w:p>
    <w:p>
      <w:pPr>
        <w:spacing w:after="0" w:line="330" w:lineRule="exact"/>
        <w:rPr>
          <w:sz w:val="20"/>
          <w:szCs w:val="20"/>
          <w:color w:val="auto"/>
        </w:rPr>
      </w:pPr>
    </w:p>
    <w:p>
      <w:pPr>
        <w:ind w:right="2839" w:firstLine="461"/>
        <w:spacing w:after="0" w:line="253" w:lineRule="auto"/>
        <w:rPr>
          <w:sz w:val="20"/>
          <w:szCs w:val="20"/>
          <w:color w:val="auto"/>
        </w:rPr>
      </w:pPr>
      <w:r>
        <w:rPr>
          <w:rFonts w:ascii="Courier New" w:cs="Courier New" w:eastAsia="Courier New" w:hAnsi="Courier New"/>
          <w:sz w:val="15"/>
          <w:szCs w:val="15"/>
          <w:color w:val="auto"/>
        </w:rPr>
        <w:t>SEE "RISK FACTORS" BEGINNING ON PAGE 14 FOR CERTAIN CONSIDERATIONS RELEVANT TO THE DECISION ON WHETHER TO VOTE FOR THE MERGER.</w:t>
      </w:r>
    </w:p>
    <w:p>
      <w:pPr>
        <w:spacing w:after="0" w:line="200" w:lineRule="exact"/>
        <w:rPr>
          <w:sz w:val="20"/>
          <w:szCs w:val="20"/>
          <w:color w:val="auto"/>
        </w:rPr>
      </w:pPr>
    </w:p>
    <w:p>
      <w:pPr>
        <w:spacing w:after="0" w:line="329" w:lineRule="exact"/>
        <w:rPr>
          <w:sz w:val="20"/>
          <w:szCs w:val="20"/>
          <w:color w:val="auto"/>
        </w:rPr>
      </w:pPr>
    </w:p>
    <w:p>
      <w:pPr>
        <w:ind w:right="2939" w:firstLine="554"/>
        <w:spacing w:after="0" w:line="250" w:lineRule="auto"/>
        <w:rPr>
          <w:sz w:val="20"/>
          <w:szCs w:val="20"/>
          <w:color w:val="auto"/>
        </w:rPr>
      </w:pPr>
      <w:r>
        <w:rPr>
          <w:rFonts w:ascii="Courier New" w:cs="Courier New" w:eastAsia="Courier New" w:hAnsi="Courier New"/>
          <w:sz w:val="15"/>
          <w:szCs w:val="15"/>
          <w:color w:val="auto"/>
        </w:rPr>
        <w:t>This Joint Proxy Statement and Prospectus also constitutes the prospectus of USA Waste that is a part of the Registration Statement (as hereinafter defined) of USA Waste filed with the Securities and Exchange Commission with respect to the issuance and exchange of up to approximately 54.6 million shares of USA Waste Common Stock to be issued pursuant to the Merger (which includes shares underlying options and warrants to purchase Sanifill Common Stock currently held by Sanifill employees and shares issuable upon the conversion of outstanding convertible debentures of Sanifill). This Joint Proxy Statement and Prospectus is first being mailed to the stockholders of USA Waste and the stockholders of Sanifill on or about July 23, 1996.</w:t>
      </w:r>
    </w:p>
    <w:p>
      <w:pPr>
        <w:spacing w:after="0" w:line="359" w:lineRule="exact"/>
        <w:rPr>
          <w:sz w:val="20"/>
          <w:szCs w:val="20"/>
          <w:color w:val="auto"/>
        </w:rPr>
      </w:pPr>
    </w:p>
    <w:p>
      <w:pPr>
        <w:ind w:left="80" w:right="3479" w:hanging="91"/>
        <w:spacing w:after="0" w:line="250" w:lineRule="auto"/>
        <w:rPr>
          <w:sz w:val="20"/>
          <w:szCs w:val="20"/>
          <w:color w:val="auto"/>
        </w:rPr>
      </w:pPr>
      <w:r>
        <w:rPr>
          <w:rFonts w:ascii="Courier New" w:cs="Courier New" w:eastAsia="Courier New" w:hAnsi="Courier New"/>
          <w:sz w:val="15"/>
          <w:szCs w:val="15"/>
          <w:color w:val="auto"/>
        </w:rPr>
        <w:t>THE SECURITIES TO BE ISSUED IN CONNECTION WITH THE MERGER HAVE NOT BEEN APPROVED OR DISAPPROVED BY THE SECURITIES AND EXCHANGE COMMISSION OR ANY</w:t>
      </w:r>
    </w:p>
    <w:p>
      <w:pPr>
        <w:spacing w:after="0" w:line="1" w:lineRule="exact"/>
        <w:rPr>
          <w:sz w:val="20"/>
          <w:szCs w:val="20"/>
          <w:color w:val="auto"/>
        </w:rPr>
      </w:pPr>
    </w:p>
    <w:p>
      <w:pPr>
        <w:ind w:left="280" w:right="3219" w:hanging="91"/>
        <w:spacing w:after="0" w:line="250" w:lineRule="auto"/>
        <w:rPr>
          <w:sz w:val="20"/>
          <w:szCs w:val="20"/>
          <w:color w:val="auto"/>
        </w:rPr>
      </w:pPr>
      <w:r>
        <w:rPr>
          <w:rFonts w:ascii="Courier New" w:cs="Courier New" w:eastAsia="Courier New" w:hAnsi="Courier New"/>
          <w:sz w:val="15"/>
          <w:szCs w:val="15"/>
          <w:color w:val="auto"/>
        </w:rPr>
        <w:t>STATE SECURITIES COMMISSION NOR HAS THE SECURITIES AND EXCHANGE COMMISSION OR ANY STATE SECURITIES COMMISSION PASSED UPON THE ACCURACY OR ADEQUACY</w:t>
      </w:r>
    </w:p>
    <w:p>
      <w:pPr>
        <w:spacing w:after="0" w:line="1" w:lineRule="exact"/>
        <w:rPr>
          <w:sz w:val="20"/>
          <w:szCs w:val="20"/>
          <w:color w:val="auto"/>
        </w:rPr>
      </w:pPr>
    </w:p>
    <w:p>
      <w:pPr>
        <w:ind w:left="460" w:right="3579"/>
        <w:spacing w:after="0" w:line="253" w:lineRule="auto"/>
        <w:rPr>
          <w:sz w:val="20"/>
          <w:szCs w:val="20"/>
          <w:color w:val="auto"/>
        </w:rPr>
      </w:pPr>
      <w:r>
        <w:rPr>
          <w:rFonts w:ascii="Courier New" w:cs="Courier New" w:eastAsia="Courier New" w:hAnsi="Courier New"/>
          <w:sz w:val="15"/>
          <w:szCs w:val="15"/>
          <w:color w:val="auto"/>
        </w:rPr>
        <w:t>OF THIS JOINT PROXY STATEMENT AND PROSPECTUS. ANY REPRESENTATION TO THE CONTRARY IS A CRIMINAL OFFENSE.</w:t>
      </w:r>
    </w:p>
    <w:p>
      <w:pPr>
        <w:spacing w:after="0" w:line="35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DATE OF THIS JOINT PROXY STATEMENT AND PROSPECTUS IS JULY 19, 1996.</w:t>
      </w:r>
    </w:p>
    <w:p>
      <w:pPr>
        <w:sectPr>
          <w:pgSz w:w="11900" w:h="16838" w:orient="portrait"/>
          <w:cols w:equalWidth="0" w:num="1">
            <w:col w:w="10219"/>
          </w:cols>
          <w:pgMar w:left="240" w:top="295" w:right="1440" w:bottom="1440" w:gutter="0" w:footer="0" w:header="0"/>
          <w:type w:val="continuous"/>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NO PERSON HAS BEEN AUTHORIZED TO GIVE ANY INFORMATION OR TO MAKE ANY REPRESENTATION NOT CONTAINED IN THIS JOINT PROXY STATEMENT AND PROSPECTUS, AND, IF GIVEN OR MADE, SUCH INFORMATION OR REPRESENTATION MUST NOT BE RELIED UPON AS HAVING BEEN AUTHORIZED BY USA WASTE OR SANIFILL. THIS JOINT PROXY STATEMENT AND PROSPECTUS DOES NOT CONSTITUTE AN OFFER TO SELL, OR A SOLICITATION OF AN OFFER TO BUY, USA WASTE COMMON STOCK, OR A SOLICITATION OF A PROXY, IN ANY JURISDICTION WHERE, OR TO ANY PERSON TO WHOM, IT IS UNLAWFUL TO MAKE SUCH AN OFFER OR SOLICITATION. NEITHER THE DELIVERY OF THIS JOINT PROXY STATEMENT AND PROSPECTUS NOR ANY DISTRIBUTION OF SECURITIES MADE HEREUNDER SHALL, UNDER ANY CIRCUMSTANCES, CREATE AN IMPLICATION THAT THERE HAS BEEN NO CHANGE IN THE AFFAIRS OF USA WASTE OR SANIFILL SINCE THE DATE HEREOF OR THAT THE INFORMATION IN THIS JOINT PROXY STATEMENT AND PROSPECTUS IS CORRECT AS OF ANY TIME SUBSEQUENT TO THE DATE HEREOF. ALL INFORMATION HEREIN WITH RESPECT TO USA WASTE AND ACQUISITION HAS BEEN FURNISHED BY USA WASTE, AND ALL INFORMATION HEREIN WITH RESPECT TO SANIFILL HAS BEEN FURNISHED BY SANIFILL.</w:t>
      </w:r>
    </w:p>
    <w:p>
      <w:pPr>
        <w:spacing w:after="0" w:line="18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AVAILABLE INFORMATION</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USA Waste and Sanifill are subject to the informational requirements of the Securities Exchange Act of 1934, as amended (the "Exchange Act"), and, in accordance therewith, file reports, proxy statements and other information with the Securities and Exchange Commission (the "Commission"). Such reports, proxy statements and other information may be inspected and copied at the offices of the Commission, Room 1024, Judiciary Plaza, 450 Fifth Street, N.W., Washington, D.C. 20549, and the Regional Offices of the Commission in Chicago, Illinois at CitiCorp Center, 500 W. Madison, Suite 1400, Chicago, Illinois 60661-2511 and in New York, New York at 7 World Trade Center, Suite 1300, New York, New York 10048. Copies of such materials may be obtained from the Public Reference Section of the Commission at Judiciary Plaza, 450 Fifth Street, N.W., Washington, D.C. 20549 at prescribed rates. The Commission maintains an Internet web site that contains reports, proxy and information statements and other information regarding registrants that file electronically with the Commission (http://www.sec.gov). Furthermore, USA Waste's and Sanifill's securities are listed on the New York Stock Exchange (the "NYSE"), and the reports, proxy statements and other information of USA Waste and Sanifill described above may also be inspected at the NYSE at 20 Broad Street, New York, New York 10005. Upon consummation of the Merger, listing of the Sanifill Common Stock on the NYSE will be terminated.</w:t>
      </w:r>
    </w:p>
    <w:p>
      <w:pPr>
        <w:spacing w:after="0" w:line="363"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USA Waste has filed with the Commission a registration statement (the "Registration Statement") on Form S-4 under the Securities Act of 1933, as amended (the "Securities Act"), with respect to the securities offered hereby. This Joint Proxy Statement and Prospectus also constitutes the Prospectus of USA Waste filed as part of the Registration Statement and does not contain all of the information set forth in the Registration Statement and the exhibits thereto, certain parts of which are omitted in accordance with the rules of the Commission. Statements made in this Joint Proxy Statement and Prospectus as to the contents of any contract, agreement or other document referred to are not necessarily complete; with respect to each such contract, agreement or other document filed as an exhibit to the Registration Statement, reference is made to the exhibit for a more complete description of the matter involved, and each such statement shall be qualified in its entirety by such reference. The Registration Statement and any amendments thereto, including exhibits filed as a part thereof, are available for inspection and copying at the Commission's offices as described above. After the Merger, registration of the Sanifill Common Stock under the Exchange Act will be terminated.</w:t>
      </w:r>
    </w:p>
    <w:p>
      <w:pPr>
        <w:spacing w:after="0" w:line="185"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INCORPORATION OF CERTAIN INFORMATION BY REFERENCE</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USA Waste incorporates herein by reference the following documents filed by it with the Commission (File No. 1-12154) pursuant to the Exchange Act: (i) its Annual Report on Form 10-K for the year ended December 31, 1995, (ii) its Quarterly Report on Form 10-Q for the quarter ended March 31, 1996, (iii) its Current Report on Form 8-K dated January 9, 1996, its Current Report on Form 8-K dated May 22, 1996, as amended by its Form 8-K/A (Amendment No. 1) filed on May 29, 1996, its Form 8-K/A (Amendment No. 2) filed June 28, 1996 and its Form</w:t>
      </w:r>
    </w:p>
    <w:p>
      <w:pPr>
        <w:spacing w:after="0" w:line="3"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8-K/A (Amendment No. 3) filed July 1, 1996, and its Current Report on Form 8-K dated June 22, 1996 and (iv) the description of USA Waste Common Stock contained in its Registration Statement on Form 8-A dated July 1, 1993, as amended by Form 8-B dated July 13, 1995.</w:t>
      </w:r>
    </w:p>
    <w:p>
      <w:pPr>
        <w:spacing w:after="0" w:line="17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95"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Sanifill incorporates herein by reference the following documents filed by it with the Commission (File No. 1-10490) pursuant to the Exchange Act: (i) its Annual Report on Form 10-K for the year ended December 31, 1995, (ii) its Quarterly Report on Form 10-Q for the quarter ended March 31, 1996, and (iii) its Current Reports on Form 8-K dated February 5, 1996, February 11, 1996, February 23, 1996, March 4, 1996, March 20, 1996, March 28, 1996, June 5, 1996 and June 22, 1996.</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All documents filed by USA Waste and Sanifill pursuant to Section 13(a), 13(c), 14 or 15(d) of the Exchange Act subsequent to the date of this Joint Proxy Statement and Prospectus and prior to the date of the USA Waste Special Meeting and the Sanifill Special Meeting shall be deemed to be incorporated by reference in this Joint Proxy Statement and Prospectus and to be part hereof from the date of filing of such document. All information appearing in this Joint Proxy Statement and Prospectus is qualified in its entirety by the information and financial statements (including notes thereto) appearing in the documents incorporated by reference herein. Any statement contained in a document incorporated or deemed to be incorporated by reference herein shall be modified or superseded, for purposes of this Joint Proxy Statement and Prospectus, to the extent that a statement contained herein or in any subsequently filed document that is deemed to be incorporated herein modifies or supersedes any such statement. Any statement so modified or superseded shall not be deemed, except as so modified or superseded, to constitute a part of this Joint Proxy Statement and Prospectus.</w:t>
      </w:r>
    </w:p>
    <w:p>
      <w:pPr>
        <w:spacing w:after="0" w:line="184"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THIS JOINT PROXY STATEMENT AND PROSPECTUS INCORPORATES DOCUMENTS BY REFERENCE THAT ARE NOT PRESENTED HEREIN OR DELIVERED HEREWITH. USA WASTE AND SANIFILL HEREBY UNDERTAKE TO PROVIDE, BY FIRST CLASS MAIL OR OTHER EQUALLY PROMPT MEANS WITHIN ONE BUSINESS DAY OF RECEIPT OF A REQUEST, WITHOUT CHARGE TO EACH PERSON, INCLUDING ANY BENEFICIAL OWNER, TO WHOM A COPY OF THIS JOINT PROXY STATEMENT AND PROSPECTUS HAS BEEN DELIVERED, ON WRITTEN OR ORAL REQUEST OF ANY SUCH PERSON, A COPY OF ANY AND ALL OF THE DOCUMENTS REFERRED TO ABOVE THAT HAVE BEEN OR MAY BE INCORPORATED INTO THIS JOINT PROXY STATEMENT AND PROSPECTUS BY REFERENCE, OTHER THAN EXHIBITS TO SUCH DOCUMENTS (UNLESS SUCH EXHIBITS ARE SPECIFICALLY INCORPORATED BY REFERENCE INTO SUCH DOCUMENTS). DOCUMENTS RELATING TO USA WASTE ARE AVAILABLE UPON REQUEST FROM USA WASTE SERVICES, INC., 5400 LBJ FREEWAY, SUITE 300 -- TOWER ONE, DALLAS, TEXAS 75240, ATTENTION: CORPORATE SECRETARY, TELEPHONE NUMBER 214-383-7900. DOCUMENTS RELATING TO SANIFILL ARE AVAILABLE UPON REQUEST FROM SANIFILL, INC., 2777 ALLEN PARKWAY, SUITE 700, HOUSTON, TEXAS 77019, ATTENTION: CORPORATE SECRETARY, TELEPHONE NUMBER</w:t>
      </w:r>
    </w:p>
    <w:p>
      <w:pPr>
        <w:spacing w:after="0" w:line="7"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713-942-6200. IN ORDER TO ENSURE TIMELY DELIVERY OF THE DOCUMENTS, ANY REQUEST SHOULD BE MADE BY AUGUST 20, 1996.</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295"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2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TABLE OF CONTENTS</w:t>
            </w:r>
          </w:p>
        </w:tc>
      </w:tr>
      <w:tr>
        <w:trPr>
          <w:trHeight w:val="710"/>
        </w:trPr>
        <w:tc>
          <w:tcPr>
            <w:tcW w:w="4060" w:type="dxa"/>
            <w:vAlign w:val="bottom"/>
          </w:tcPr>
          <w:p>
            <w:pPr>
              <w:spacing w:after="0"/>
              <w:rPr>
                <w:sz w:val="24"/>
                <w:szCs w:val="24"/>
                <w:color w:val="auto"/>
              </w:rPr>
            </w:pP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4"/>
              </w:rPr>
              <w:t>PAGE</w:t>
            </w:r>
          </w:p>
        </w:tc>
      </w:tr>
      <w:tr>
        <w:trPr>
          <w:trHeight w:val="177"/>
        </w:trPr>
        <w:tc>
          <w:tcPr>
            <w:tcW w:w="4060" w:type="dxa"/>
            <w:vAlign w:val="bottom"/>
          </w:tcPr>
          <w:p>
            <w:pPr>
              <w:spacing w:after="0"/>
              <w:rPr>
                <w:sz w:val="15"/>
                <w:szCs w:val="15"/>
                <w:color w:val="auto"/>
              </w:rPr>
            </w:pP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4"/>
              </w:rPr>
              <w:t>----</w:t>
            </w:r>
          </w:p>
        </w:tc>
      </w:tr>
      <w:tr>
        <w:trPr>
          <w:trHeight w:val="355"/>
        </w:trPr>
        <w:tc>
          <w:tcPr>
            <w:tcW w:w="4060" w:type="dxa"/>
            <w:vAlign w:val="bottom"/>
          </w:tcPr>
          <w:p>
            <w:pPr>
              <w:spacing w:after="0"/>
              <w:rPr>
                <w:sz w:val="20"/>
                <w:szCs w:val="20"/>
                <w:color w:val="auto"/>
              </w:rPr>
            </w:pPr>
            <w:r>
              <w:rPr>
                <w:rFonts w:ascii="Courier New" w:cs="Courier New" w:eastAsia="Courier New" w:hAnsi="Courier New"/>
                <w:sz w:val="15"/>
                <w:szCs w:val="15"/>
                <w:color w:val="auto"/>
              </w:rPr>
              <w:t>AVAILABLE INFORMATION.......................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i</w:t>
            </w:r>
          </w:p>
        </w:tc>
      </w:tr>
      <w:tr>
        <w:trPr>
          <w:trHeight w:val="177"/>
        </w:trPr>
        <w:tc>
          <w:tcPr>
            <w:tcW w:w="4060" w:type="dxa"/>
            <w:vAlign w:val="bottom"/>
          </w:tcPr>
          <w:p>
            <w:pPr>
              <w:spacing w:after="0"/>
              <w:rPr>
                <w:sz w:val="20"/>
                <w:szCs w:val="20"/>
                <w:color w:val="auto"/>
              </w:rPr>
            </w:pPr>
            <w:r>
              <w:rPr>
                <w:rFonts w:ascii="Courier New" w:cs="Courier New" w:eastAsia="Courier New" w:hAnsi="Courier New"/>
                <w:sz w:val="15"/>
                <w:szCs w:val="15"/>
                <w:color w:val="auto"/>
              </w:rPr>
              <w:t>INCORPORATION OF CERTAIN INFORMATION BY</w:t>
            </w:r>
          </w:p>
        </w:tc>
        <w:tc>
          <w:tcPr>
            <w:tcW w:w="460" w:type="dxa"/>
            <w:vAlign w:val="bottom"/>
          </w:tcPr>
          <w:p>
            <w:pPr>
              <w:spacing w:after="0"/>
              <w:rPr>
                <w:sz w:val="15"/>
                <w:szCs w:val="15"/>
                <w:color w:val="auto"/>
              </w:rPr>
            </w:pP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REFERENCE.................................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i</w:t>
            </w:r>
          </w:p>
        </w:tc>
      </w:tr>
      <w:tr>
        <w:trPr>
          <w:trHeight w:val="177"/>
        </w:trPr>
        <w:tc>
          <w:tcPr>
            <w:tcW w:w="4060" w:type="dxa"/>
            <w:vAlign w:val="bottom"/>
          </w:tcPr>
          <w:p>
            <w:pPr>
              <w:spacing w:after="0"/>
              <w:rPr>
                <w:sz w:val="20"/>
                <w:szCs w:val="20"/>
                <w:color w:val="auto"/>
              </w:rPr>
            </w:pPr>
            <w:r>
              <w:rPr>
                <w:rFonts w:ascii="Courier New" w:cs="Courier New" w:eastAsia="Courier New" w:hAnsi="Courier New"/>
                <w:sz w:val="15"/>
                <w:szCs w:val="15"/>
                <w:color w:val="auto"/>
              </w:rPr>
              <w:t>SUMMARY.....................................</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The Companies.............................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The Meetings..............................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The Merger................................</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Stockholders' Comparative Rights..........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Market Price Data.........................</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Summary Financial Information.............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Additional Proposal to be Presented at the</w:t>
            </w:r>
          </w:p>
        </w:tc>
        <w:tc>
          <w:tcPr>
            <w:tcW w:w="460" w:type="dxa"/>
            <w:vAlign w:val="bottom"/>
          </w:tcPr>
          <w:p>
            <w:pPr>
              <w:spacing w:after="0"/>
              <w:rPr>
                <w:sz w:val="15"/>
                <w:szCs w:val="15"/>
                <w:color w:val="auto"/>
              </w:rPr>
            </w:pPr>
          </w:p>
        </w:tc>
      </w:tr>
      <w:tr>
        <w:trPr>
          <w:trHeight w:val="177"/>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USA Waste Special Meeting...............</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7"/>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RISK FACTORS................................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Forward-Looking Statements May Not Prove</w:t>
            </w:r>
          </w:p>
        </w:tc>
        <w:tc>
          <w:tcPr>
            <w:tcW w:w="460" w:type="dxa"/>
            <w:vAlign w:val="bottom"/>
          </w:tcPr>
          <w:p>
            <w:pPr>
              <w:spacing w:after="0"/>
              <w:rPr>
                <w:sz w:val="15"/>
                <w:szCs w:val="15"/>
                <w:color w:val="auto"/>
              </w:rPr>
            </w:pPr>
          </w:p>
        </w:tc>
      </w:tr>
      <w:tr>
        <w:trPr>
          <w:trHeight w:val="177"/>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Accurate................................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Expected Benefits of Combined Business May</w:t>
            </w:r>
          </w:p>
        </w:tc>
        <w:tc>
          <w:tcPr>
            <w:tcW w:w="460" w:type="dxa"/>
            <w:vAlign w:val="bottom"/>
          </w:tcPr>
          <w:p>
            <w:pPr>
              <w:spacing w:after="0"/>
              <w:rPr>
                <w:sz w:val="15"/>
                <w:szCs w:val="15"/>
                <w:color w:val="auto"/>
              </w:rPr>
            </w:pPr>
          </w:p>
        </w:tc>
      </w:tr>
      <w:tr>
        <w:trPr>
          <w:trHeight w:val="177"/>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Not be Achieved.........................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Stock Prices May Vary in Response to</w:t>
            </w:r>
          </w:p>
        </w:tc>
        <w:tc>
          <w:tcPr>
            <w:tcW w:w="460" w:type="dxa"/>
            <w:vAlign w:val="bottom"/>
          </w:tcPr>
          <w:p>
            <w:pPr>
              <w:spacing w:after="0"/>
              <w:rPr>
                <w:sz w:val="15"/>
                <w:szCs w:val="15"/>
                <w:color w:val="auto"/>
              </w:rPr>
            </w:pPr>
          </w:p>
        </w:tc>
      </w:tr>
      <w:tr>
        <w:trPr>
          <w:trHeight w:val="177"/>
        </w:trPr>
        <w:tc>
          <w:tcPr>
            <w:tcW w:w="4060" w:type="dxa"/>
            <w:vAlign w:val="bottom"/>
          </w:tcPr>
          <w:p>
            <w:pPr>
              <w:ind w:left="360"/>
              <w:spacing w:after="0"/>
              <w:rPr>
                <w:sz w:val="20"/>
                <w:szCs w:val="20"/>
                <w:color w:val="auto"/>
              </w:rPr>
            </w:pPr>
            <w:r>
              <w:rPr>
                <w:rFonts w:ascii="Courier New" w:cs="Courier New" w:eastAsia="Courier New" w:hAnsi="Courier New"/>
                <w:sz w:val="15"/>
                <w:szCs w:val="15"/>
                <w:color w:val="auto"/>
              </w:rPr>
              <w:t>Changes in Business and Economic</w:t>
            </w:r>
          </w:p>
        </w:tc>
        <w:tc>
          <w:tcPr>
            <w:tcW w:w="460" w:type="dxa"/>
            <w:vAlign w:val="bottom"/>
          </w:tcPr>
          <w:p>
            <w:pPr>
              <w:spacing w:after="0"/>
              <w:rPr>
                <w:sz w:val="15"/>
                <w:szCs w:val="15"/>
                <w:color w:val="auto"/>
              </w:rPr>
            </w:pPr>
          </w:p>
        </w:tc>
      </w:tr>
      <w:tr>
        <w:trPr>
          <w:trHeight w:val="177"/>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Conditions..............................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No Assurance of Successful Management and</w:t>
            </w:r>
          </w:p>
        </w:tc>
        <w:tc>
          <w:tcPr>
            <w:tcW w:w="460" w:type="dxa"/>
            <w:vAlign w:val="bottom"/>
          </w:tcPr>
          <w:p>
            <w:pPr>
              <w:spacing w:after="0"/>
              <w:rPr>
                <w:sz w:val="15"/>
                <w:szCs w:val="15"/>
                <w:color w:val="auto"/>
              </w:rPr>
            </w:pPr>
          </w:p>
        </w:tc>
      </w:tr>
      <w:tr>
        <w:trPr>
          <w:trHeight w:val="177"/>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Maintenance of Growth...................</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Need for Capital; Debt Financing..........</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Profitability May be Affected by</w:t>
            </w:r>
          </w:p>
        </w:tc>
        <w:tc>
          <w:tcPr>
            <w:tcW w:w="460" w:type="dxa"/>
            <w:vAlign w:val="bottom"/>
          </w:tcPr>
          <w:p>
            <w:pPr>
              <w:spacing w:after="0"/>
              <w:rPr>
                <w:sz w:val="15"/>
                <w:szCs w:val="15"/>
                <w:color w:val="auto"/>
              </w:rPr>
            </w:pPr>
          </w:p>
        </w:tc>
      </w:tr>
      <w:tr>
        <w:trPr>
          <w:trHeight w:val="177"/>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Competition.............................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Potential Adverse Effect of Government</w:t>
            </w:r>
          </w:p>
        </w:tc>
        <w:tc>
          <w:tcPr>
            <w:tcW w:w="460" w:type="dxa"/>
            <w:vAlign w:val="bottom"/>
          </w:tcPr>
          <w:p>
            <w:pPr>
              <w:spacing w:after="0"/>
              <w:rPr>
                <w:sz w:val="15"/>
                <w:szCs w:val="15"/>
                <w:color w:val="auto"/>
              </w:rPr>
            </w:pPr>
          </w:p>
        </w:tc>
      </w:tr>
      <w:tr>
        <w:trPr>
          <w:trHeight w:val="177"/>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Regulation..............................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Potential Environmental Liability.........</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Shares Eligible for Future Sale May</w:t>
            </w:r>
          </w:p>
        </w:tc>
        <w:tc>
          <w:tcPr>
            <w:tcW w:w="460" w:type="dxa"/>
            <w:vAlign w:val="bottom"/>
          </w:tcPr>
          <w:p>
            <w:pPr>
              <w:spacing w:after="0"/>
              <w:rPr>
                <w:sz w:val="15"/>
                <w:szCs w:val="15"/>
                <w:color w:val="auto"/>
              </w:rPr>
            </w:pPr>
          </w:p>
        </w:tc>
      </w:tr>
      <w:tr>
        <w:trPr>
          <w:trHeight w:val="177"/>
        </w:trPr>
        <w:tc>
          <w:tcPr>
            <w:tcW w:w="4060" w:type="dxa"/>
            <w:vAlign w:val="bottom"/>
          </w:tcPr>
          <w:p>
            <w:pPr>
              <w:ind w:left="360"/>
              <w:spacing w:after="0"/>
              <w:rPr>
                <w:sz w:val="20"/>
                <w:szCs w:val="20"/>
                <w:color w:val="auto"/>
              </w:rPr>
            </w:pPr>
            <w:r>
              <w:rPr>
                <w:rFonts w:ascii="Courier New" w:cs="Courier New" w:eastAsia="Courier New" w:hAnsi="Courier New"/>
                <w:sz w:val="15"/>
                <w:szCs w:val="15"/>
                <w:color w:val="auto"/>
              </w:rPr>
              <w:t>Adversely Affect Market Price of</w:t>
            </w:r>
          </w:p>
        </w:tc>
        <w:tc>
          <w:tcPr>
            <w:tcW w:w="460" w:type="dxa"/>
            <w:vAlign w:val="bottom"/>
          </w:tcPr>
          <w:p>
            <w:pPr>
              <w:spacing w:after="0"/>
              <w:rPr>
                <w:sz w:val="15"/>
                <w:szCs w:val="15"/>
                <w:color w:val="auto"/>
              </w:rPr>
            </w:pPr>
          </w:p>
        </w:tc>
      </w:tr>
      <w:tr>
        <w:trPr>
          <w:trHeight w:val="177"/>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Stock...................................</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7"/>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THE MEETINGS................................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Date, Time and Place of the Meetings......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Purpose of the Meetings...................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Record Date and Outstanding Shares........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Voting and Revocation of Proxies..........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Vote Required for Approval................</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Solicitation of Proxies...................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7"/>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THE MERGER AND RELATED TRANSACTIONS.........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General Description of the Merger.........</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Background of the Merger..................</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USA Waste's Reasons for the Merger........</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Recommendation of the Board of Directors</w:t>
            </w:r>
          </w:p>
        </w:tc>
        <w:tc>
          <w:tcPr>
            <w:tcW w:w="460" w:type="dxa"/>
            <w:vAlign w:val="bottom"/>
          </w:tcPr>
          <w:p>
            <w:pPr>
              <w:spacing w:after="0"/>
              <w:rPr>
                <w:sz w:val="15"/>
                <w:szCs w:val="15"/>
                <w:color w:val="auto"/>
              </w:rPr>
            </w:pPr>
          </w:p>
        </w:tc>
      </w:tr>
      <w:tr>
        <w:trPr>
          <w:trHeight w:val="177"/>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of USA Waste............................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Sanifill's Reasons for the Merger.........</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Recommendation of the Board of Directors</w:t>
            </w:r>
          </w:p>
        </w:tc>
        <w:tc>
          <w:tcPr>
            <w:tcW w:w="460" w:type="dxa"/>
            <w:vAlign w:val="bottom"/>
          </w:tcPr>
          <w:p>
            <w:pPr>
              <w:spacing w:after="0"/>
              <w:rPr>
                <w:sz w:val="15"/>
                <w:szCs w:val="15"/>
                <w:color w:val="auto"/>
              </w:rPr>
            </w:pPr>
          </w:p>
        </w:tc>
      </w:tr>
      <w:tr>
        <w:trPr>
          <w:trHeight w:val="177"/>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of Sanifill.............................</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Opinion of Financial Advisor to USA</w:t>
            </w:r>
          </w:p>
        </w:tc>
        <w:tc>
          <w:tcPr>
            <w:tcW w:w="460" w:type="dxa"/>
            <w:vAlign w:val="bottom"/>
          </w:tcPr>
          <w:p>
            <w:pPr>
              <w:spacing w:after="0"/>
              <w:rPr>
                <w:sz w:val="15"/>
                <w:szCs w:val="15"/>
                <w:color w:val="auto"/>
              </w:rPr>
            </w:pPr>
          </w:p>
        </w:tc>
      </w:tr>
      <w:tr>
        <w:trPr>
          <w:trHeight w:val="177"/>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Waste...................................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Opinion of Financial Advisor to</w:t>
            </w:r>
          </w:p>
        </w:tc>
        <w:tc>
          <w:tcPr>
            <w:tcW w:w="460" w:type="dxa"/>
            <w:vAlign w:val="bottom"/>
          </w:tcPr>
          <w:p>
            <w:pPr>
              <w:spacing w:after="0"/>
              <w:rPr>
                <w:sz w:val="15"/>
                <w:szCs w:val="15"/>
                <w:color w:val="auto"/>
              </w:rPr>
            </w:pPr>
          </w:p>
        </w:tc>
      </w:tr>
      <w:tr>
        <w:trPr>
          <w:trHeight w:val="177"/>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Sanifill................................</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Conflicts of Interest.....................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Certain Federal Income Tax Consequences...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No Appraisal or Dissenters' Rights........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Accounting Treatment......................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Government and Regulatory Approvals.......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Restrictions on Resales by Affiliates.....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Board of Directors After the Merger.......</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Meetings, Committees and Compensation.....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Officers..................................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7"/>
        </w:trPr>
        <w:tc>
          <w:tcPr>
            <w:tcW w:w="4060" w:type="dxa"/>
            <w:vAlign w:val="bottom"/>
          </w:tcPr>
          <w:p>
            <w:pPr>
              <w:spacing w:after="0"/>
              <w:rPr>
                <w:sz w:val="20"/>
                <w:szCs w:val="20"/>
                <w:color w:val="auto"/>
              </w:rPr>
            </w:pPr>
            <w:r>
              <w:rPr>
                <w:rFonts w:ascii="Courier New" w:cs="Courier New" w:eastAsia="Courier New" w:hAnsi="Courier New"/>
                <w:sz w:val="15"/>
                <w:szCs w:val="15"/>
                <w:color w:val="auto"/>
              </w:rPr>
              <w:t>AMENDMENT TO USA WASTE RESTATED CERTIFICATE</w:t>
            </w:r>
          </w:p>
        </w:tc>
        <w:tc>
          <w:tcPr>
            <w:tcW w:w="460" w:type="dxa"/>
            <w:vAlign w:val="bottom"/>
          </w:tcPr>
          <w:p>
            <w:pPr>
              <w:spacing w:after="0"/>
              <w:rPr>
                <w:sz w:val="15"/>
                <w:szCs w:val="15"/>
                <w:color w:val="auto"/>
              </w:rPr>
            </w:pP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OF INCORPORATION..........................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7"/>
        </w:trPr>
        <w:tc>
          <w:tcPr>
            <w:tcW w:w="4060" w:type="dxa"/>
            <w:vAlign w:val="bottom"/>
          </w:tcPr>
          <w:p>
            <w:pPr>
              <w:spacing w:after="0"/>
              <w:rPr>
                <w:sz w:val="20"/>
                <w:szCs w:val="20"/>
                <w:color w:val="auto"/>
              </w:rPr>
            </w:pPr>
            <w:r>
              <w:rPr>
                <w:rFonts w:ascii="Courier New" w:cs="Courier New" w:eastAsia="Courier New" w:hAnsi="Courier New"/>
                <w:sz w:val="15"/>
                <w:szCs w:val="15"/>
                <w:color w:val="auto"/>
              </w:rPr>
              <w:t>THE PLAN OF MERGER AND TERMS OF THE</w:t>
            </w:r>
          </w:p>
        </w:tc>
        <w:tc>
          <w:tcPr>
            <w:tcW w:w="460" w:type="dxa"/>
            <w:vAlign w:val="bottom"/>
          </w:tcPr>
          <w:p>
            <w:pPr>
              <w:spacing w:after="0"/>
              <w:rPr>
                <w:sz w:val="15"/>
                <w:szCs w:val="15"/>
                <w:color w:val="auto"/>
              </w:rPr>
            </w:pP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MERGER....................................</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Effective Time of the Merger..............</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Manner and Basis for Converting Shares....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Assumption of Sanifill Options and</w:t>
            </w:r>
          </w:p>
        </w:tc>
        <w:tc>
          <w:tcPr>
            <w:tcW w:w="460" w:type="dxa"/>
            <w:vAlign w:val="bottom"/>
          </w:tcPr>
          <w:p>
            <w:pPr>
              <w:spacing w:after="0"/>
              <w:rPr>
                <w:sz w:val="15"/>
                <w:szCs w:val="15"/>
                <w:color w:val="auto"/>
              </w:rPr>
            </w:pPr>
          </w:p>
        </w:tc>
      </w:tr>
      <w:tr>
        <w:trPr>
          <w:trHeight w:val="177"/>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Sanifill Warrants.......................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Treatment of Sanifill Convertible</w:t>
            </w:r>
          </w:p>
        </w:tc>
        <w:tc>
          <w:tcPr>
            <w:tcW w:w="460" w:type="dxa"/>
            <w:vAlign w:val="bottom"/>
          </w:tcPr>
          <w:p>
            <w:pPr>
              <w:spacing w:after="0"/>
              <w:rPr>
                <w:sz w:val="15"/>
                <w:szCs w:val="15"/>
                <w:color w:val="auto"/>
              </w:rPr>
            </w:pPr>
          </w:p>
        </w:tc>
      </w:tr>
      <w:tr>
        <w:trPr>
          <w:trHeight w:val="177"/>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Debentures..............................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Conditions to the Merger..................</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Representations and Warranties of USA</w:t>
            </w:r>
          </w:p>
        </w:tc>
        <w:tc>
          <w:tcPr>
            <w:tcW w:w="460" w:type="dxa"/>
            <w:vAlign w:val="bottom"/>
          </w:tcPr>
          <w:p>
            <w:pPr>
              <w:spacing w:after="0"/>
              <w:rPr>
                <w:sz w:val="15"/>
                <w:szCs w:val="15"/>
                <w:color w:val="auto"/>
              </w:rPr>
            </w:pPr>
          </w:p>
        </w:tc>
      </w:tr>
      <w:tr>
        <w:trPr>
          <w:trHeight w:val="177"/>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Waste and Sanifill......................</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532"/>
        </w:trPr>
        <w:tc>
          <w:tcPr>
            <w:tcW w:w="4060" w:type="dxa"/>
            <w:vAlign w:val="bottom"/>
          </w:tcPr>
          <w:p>
            <w:pPr>
              <w:spacing w:after="0"/>
              <w:rPr>
                <w:sz w:val="24"/>
                <w:szCs w:val="24"/>
                <w:color w:val="auto"/>
              </w:rPr>
            </w:pP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4"/>
              </w:rPr>
              <w:t>PAGE</w:t>
            </w:r>
          </w:p>
        </w:tc>
      </w:tr>
      <w:tr>
        <w:trPr>
          <w:trHeight w:val="177"/>
        </w:trPr>
        <w:tc>
          <w:tcPr>
            <w:tcW w:w="4060" w:type="dxa"/>
            <w:vAlign w:val="bottom"/>
          </w:tcPr>
          <w:p>
            <w:pPr>
              <w:spacing w:after="0"/>
              <w:rPr>
                <w:sz w:val="15"/>
                <w:szCs w:val="15"/>
                <w:color w:val="auto"/>
              </w:rPr>
            </w:pP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4"/>
              </w:rPr>
              <w:t>----</w:t>
            </w:r>
          </w:p>
        </w:tc>
      </w:tr>
      <w:tr>
        <w:trPr>
          <w:trHeight w:val="355"/>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Survival of Representations, Warranties</w:t>
            </w:r>
          </w:p>
        </w:tc>
        <w:tc>
          <w:tcPr>
            <w:tcW w:w="460" w:type="dxa"/>
            <w:vAlign w:val="bottom"/>
          </w:tcPr>
          <w:p>
            <w:pPr>
              <w:spacing w:after="0"/>
              <w:rPr>
                <w:sz w:val="24"/>
                <w:szCs w:val="24"/>
                <w:color w:val="auto"/>
              </w:rPr>
            </w:pPr>
          </w:p>
        </w:tc>
      </w:tr>
      <w:tr>
        <w:trPr>
          <w:trHeight w:val="177"/>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and Agreements..........................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Conduct of the Business of USA Waste and</w:t>
            </w:r>
          </w:p>
        </w:tc>
        <w:tc>
          <w:tcPr>
            <w:tcW w:w="460" w:type="dxa"/>
            <w:vAlign w:val="bottom"/>
          </w:tcPr>
          <w:p>
            <w:pPr>
              <w:spacing w:after="0"/>
              <w:rPr>
                <w:sz w:val="15"/>
                <w:szCs w:val="15"/>
                <w:color w:val="auto"/>
              </w:rPr>
            </w:pPr>
          </w:p>
        </w:tc>
      </w:tr>
      <w:tr>
        <w:trPr>
          <w:trHeight w:val="177"/>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Sanifill Prior to the Merger............</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No Solicitation of Acquisition</w:t>
            </w:r>
          </w:p>
        </w:tc>
        <w:tc>
          <w:tcPr>
            <w:tcW w:w="460" w:type="dxa"/>
            <w:vAlign w:val="bottom"/>
          </w:tcPr>
          <w:p>
            <w:pPr>
              <w:spacing w:after="0"/>
              <w:rPr>
                <w:sz w:val="15"/>
                <w:szCs w:val="15"/>
                <w:color w:val="auto"/>
              </w:rPr>
            </w:pPr>
          </w:p>
        </w:tc>
      </w:tr>
    </w:tbl>
    <w:p>
      <w:pPr>
        <w:sectPr>
          <w:pgSz w:w="11900" w:h="16838" w:orient="portrait"/>
          <w:cols w:equalWidth="0" w:num="1">
            <w:col w:w="10219"/>
          </w:cols>
          <w:pgMar w:left="240" w:top="295" w:right="1440" w:bottom="0" w:gutter="0" w:footer="0" w:header="0"/>
        </w:sectPr>
      </w:pPr>
    </w:p>
    <w:bookmarkStart w:id="10" w:name="page11"/>
    <w:bookmarkEnd w:id="10"/>
    <w:p>
      <w:pPr>
        <w:ind w:left="360"/>
        <w:spacing w:after="0"/>
        <w:tabs>
          <w:tab w:leader="dot" w:pos="4320" w:val="left"/>
        </w:tabs>
        <w:rPr>
          <w:sz w:val="20"/>
          <w:szCs w:val="20"/>
          <w:color w:val="auto"/>
        </w:rPr>
      </w:pPr>
      <w:r>
        <w:rPr>
          <w:rFonts w:ascii="Courier New" w:cs="Courier New" w:eastAsia="Courier New" w:hAnsi="Courier New"/>
          <w:sz w:val="15"/>
          <w:szCs w:val="15"/>
          <w:color w:val="auto"/>
        </w:rPr>
        <w:t>Transactions</w:t>
      </w:r>
      <w:r>
        <w:rPr>
          <w:sz w:val="20"/>
          <w:szCs w:val="20"/>
          <w:color w:val="auto"/>
        </w:rPr>
        <w:tab/>
      </w:r>
      <w:r>
        <w:rPr>
          <w:rFonts w:ascii="Courier New" w:cs="Courier New" w:eastAsia="Courier New" w:hAnsi="Courier New"/>
          <w:sz w:val="15"/>
          <w:szCs w:val="15"/>
          <w:color w:val="auto"/>
        </w:rPr>
        <w:t>48</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Conduct of the Business of the Combined</w:t>
      </w:r>
    </w:p>
    <w:p>
      <w:pPr>
        <w:spacing w:after="0" w:line="8" w:lineRule="exact"/>
        <w:rPr>
          <w:sz w:val="20"/>
          <w:szCs w:val="20"/>
          <w:color w:val="auto"/>
        </w:rPr>
      </w:pPr>
    </w:p>
    <w:p>
      <w:pPr>
        <w:ind w:left="360"/>
        <w:spacing w:after="0"/>
        <w:tabs>
          <w:tab w:leader="dot" w:pos="4320" w:val="left"/>
        </w:tabs>
        <w:rPr>
          <w:sz w:val="20"/>
          <w:szCs w:val="20"/>
          <w:color w:val="auto"/>
        </w:rPr>
      </w:pPr>
      <w:r>
        <w:rPr>
          <w:rFonts w:ascii="Courier New" w:cs="Courier New" w:eastAsia="Courier New" w:hAnsi="Courier New"/>
          <w:sz w:val="15"/>
          <w:szCs w:val="15"/>
          <w:color w:val="auto"/>
        </w:rPr>
        <w:t>Companies Following the Merger</w:t>
      </w:r>
      <w:r>
        <w:rPr>
          <w:sz w:val="20"/>
          <w:szCs w:val="20"/>
          <w:color w:val="auto"/>
        </w:rPr>
        <w:tab/>
      </w:r>
      <w:r>
        <w:rPr>
          <w:rFonts w:ascii="Courier New" w:cs="Courier New" w:eastAsia="Courier New" w:hAnsi="Courier New"/>
          <w:sz w:val="15"/>
          <w:szCs w:val="15"/>
          <w:color w:val="auto"/>
        </w:rPr>
        <w:t>48</w:t>
      </w:r>
    </w:p>
    <w:p>
      <w:pPr>
        <w:spacing w:after="0" w:line="8" w:lineRule="exact"/>
        <w:rPr>
          <w:sz w:val="20"/>
          <w:szCs w:val="20"/>
          <w:color w:val="auto"/>
        </w:rPr>
      </w:pPr>
    </w:p>
    <w:p>
      <w:pPr>
        <w:ind w:left="180"/>
        <w:spacing w:after="0"/>
        <w:tabs>
          <w:tab w:leader="dot" w:pos="4320" w:val="left"/>
        </w:tabs>
        <w:rPr>
          <w:sz w:val="20"/>
          <w:szCs w:val="20"/>
          <w:color w:val="auto"/>
        </w:rPr>
      </w:pPr>
      <w:r>
        <w:rPr>
          <w:rFonts w:ascii="Courier New" w:cs="Courier New" w:eastAsia="Courier New" w:hAnsi="Courier New"/>
          <w:sz w:val="15"/>
          <w:szCs w:val="15"/>
          <w:color w:val="auto"/>
        </w:rPr>
        <w:t>Termination or Amendment</w:t>
      </w:r>
      <w:r>
        <w:rPr>
          <w:sz w:val="20"/>
          <w:szCs w:val="20"/>
          <w:color w:val="auto"/>
        </w:rPr>
        <w:tab/>
      </w:r>
      <w:r>
        <w:rPr>
          <w:rFonts w:ascii="Courier New" w:cs="Courier New" w:eastAsia="Courier New" w:hAnsi="Courier New"/>
          <w:sz w:val="15"/>
          <w:szCs w:val="15"/>
          <w:color w:val="auto"/>
        </w:rPr>
        <w:t>48</w:t>
      </w:r>
    </w:p>
    <w:p>
      <w:pPr>
        <w:spacing w:after="0" w:line="8" w:lineRule="exact"/>
        <w:rPr>
          <w:sz w:val="20"/>
          <w:szCs w:val="20"/>
          <w:color w:val="auto"/>
        </w:rPr>
      </w:pPr>
    </w:p>
    <w:p>
      <w:pPr>
        <w:ind w:left="180"/>
        <w:spacing w:after="0"/>
        <w:tabs>
          <w:tab w:leader="dot" w:pos="4320" w:val="left"/>
        </w:tabs>
        <w:rPr>
          <w:sz w:val="20"/>
          <w:szCs w:val="20"/>
          <w:color w:val="auto"/>
        </w:rPr>
      </w:pPr>
      <w:r>
        <w:rPr>
          <w:rFonts w:ascii="Courier New" w:cs="Courier New" w:eastAsia="Courier New" w:hAnsi="Courier New"/>
          <w:sz w:val="15"/>
          <w:szCs w:val="15"/>
          <w:color w:val="auto"/>
        </w:rPr>
        <w:t>Termination Fees</w:t>
      </w:r>
      <w:r>
        <w:rPr>
          <w:sz w:val="20"/>
          <w:szCs w:val="20"/>
          <w:color w:val="auto"/>
        </w:rPr>
        <w:tab/>
      </w:r>
      <w:r>
        <w:rPr>
          <w:rFonts w:ascii="Courier New" w:cs="Courier New" w:eastAsia="Courier New" w:hAnsi="Courier New"/>
          <w:sz w:val="15"/>
          <w:szCs w:val="15"/>
          <w:color w:val="auto"/>
        </w:rPr>
        <w:t>49</w:t>
      </w:r>
    </w:p>
    <w:p>
      <w:pPr>
        <w:spacing w:after="0" w:line="8" w:lineRule="exact"/>
        <w:rPr>
          <w:sz w:val="20"/>
          <w:szCs w:val="20"/>
          <w:color w:val="auto"/>
        </w:rPr>
      </w:pPr>
    </w:p>
    <w:p>
      <w:pPr>
        <w:ind w:left="180"/>
        <w:spacing w:after="0"/>
        <w:tabs>
          <w:tab w:leader="dot" w:pos="4320" w:val="left"/>
        </w:tabs>
        <w:rPr>
          <w:sz w:val="20"/>
          <w:szCs w:val="20"/>
          <w:color w:val="auto"/>
        </w:rPr>
      </w:pPr>
      <w:r>
        <w:rPr>
          <w:rFonts w:ascii="Courier New" w:cs="Courier New" w:eastAsia="Courier New" w:hAnsi="Courier New"/>
          <w:sz w:val="15"/>
          <w:szCs w:val="15"/>
          <w:color w:val="auto"/>
        </w:rPr>
        <w:t>Expenses</w:t>
      </w:r>
      <w:r>
        <w:rPr>
          <w:sz w:val="20"/>
          <w:szCs w:val="20"/>
          <w:color w:val="auto"/>
        </w:rPr>
        <w:tab/>
      </w:r>
      <w:r>
        <w:rPr>
          <w:rFonts w:ascii="Courier New" w:cs="Courier New" w:eastAsia="Courier New" w:hAnsi="Courier New"/>
          <w:sz w:val="15"/>
          <w:szCs w:val="15"/>
          <w:color w:val="auto"/>
        </w:rPr>
        <w:t>50</w:t>
      </w:r>
    </w:p>
    <w:p>
      <w:pPr>
        <w:spacing w:after="0" w:line="8" w:lineRule="exact"/>
        <w:rPr>
          <w:sz w:val="20"/>
          <w:szCs w:val="20"/>
          <w:color w:val="auto"/>
        </w:rPr>
      </w:pPr>
    </w:p>
    <w:p>
      <w:pPr>
        <w:ind w:left="180"/>
        <w:spacing w:after="0"/>
        <w:tabs>
          <w:tab w:leader="dot" w:pos="4320" w:val="left"/>
        </w:tabs>
        <w:rPr>
          <w:sz w:val="20"/>
          <w:szCs w:val="20"/>
          <w:color w:val="auto"/>
        </w:rPr>
      </w:pPr>
      <w:r>
        <w:rPr>
          <w:rFonts w:ascii="Courier New" w:cs="Courier New" w:eastAsia="Courier New" w:hAnsi="Courier New"/>
          <w:sz w:val="15"/>
          <w:szCs w:val="15"/>
          <w:color w:val="auto"/>
        </w:rPr>
        <w:t>Office Relocation</w:t>
      </w:r>
      <w:r>
        <w:rPr>
          <w:sz w:val="20"/>
          <w:szCs w:val="20"/>
          <w:color w:val="auto"/>
        </w:rPr>
        <w:tab/>
      </w:r>
      <w:r>
        <w:rPr>
          <w:rFonts w:ascii="Courier New" w:cs="Courier New" w:eastAsia="Courier New" w:hAnsi="Courier New"/>
          <w:sz w:val="15"/>
          <w:szCs w:val="15"/>
          <w:color w:val="auto"/>
        </w:rPr>
        <w:t>50</w:t>
      </w:r>
    </w:p>
    <w:p>
      <w:pPr>
        <w:spacing w:after="0" w:line="8" w:lineRule="exact"/>
        <w:rPr>
          <w:sz w:val="20"/>
          <w:szCs w:val="20"/>
          <w:color w:val="auto"/>
        </w:rPr>
      </w:pPr>
    </w:p>
    <w:p>
      <w:pPr>
        <w:ind w:left="180"/>
        <w:spacing w:after="0"/>
        <w:tabs>
          <w:tab w:leader="dot" w:pos="4320" w:val="left"/>
        </w:tabs>
        <w:rPr>
          <w:sz w:val="20"/>
          <w:szCs w:val="20"/>
          <w:color w:val="auto"/>
        </w:rPr>
      </w:pPr>
      <w:r>
        <w:rPr>
          <w:rFonts w:ascii="Courier New" w:cs="Courier New" w:eastAsia="Courier New" w:hAnsi="Courier New"/>
          <w:sz w:val="15"/>
          <w:szCs w:val="15"/>
          <w:color w:val="auto"/>
        </w:rPr>
        <w:t>Indemnification and Insurance</w:t>
      </w:r>
      <w:r>
        <w:rPr>
          <w:sz w:val="20"/>
          <w:szCs w:val="20"/>
          <w:color w:val="auto"/>
        </w:rPr>
        <w:tab/>
      </w:r>
      <w:r>
        <w:rPr>
          <w:rFonts w:ascii="Courier New" w:cs="Courier New" w:eastAsia="Courier New" w:hAnsi="Courier New"/>
          <w:sz w:val="15"/>
          <w:szCs w:val="15"/>
          <w:color w:val="auto"/>
        </w:rPr>
        <w:t>50</w:t>
      </w:r>
    </w:p>
    <w:p>
      <w:pPr>
        <w:spacing w:after="0" w:line="8" w:lineRule="exact"/>
        <w:rPr>
          <w:sz w:val="20"/>
          <w:szCs w:val="20"/>
          <w:color w:val="auto"/>
        </w:rPr>
      </w:pPr>
    </w:p>
    <w:p>
      <w:pPr>
        <w:ind w:left="180"/>
        <w:spacing w:after="0"/>
        <w:tabs>
          <w:tab w:leader="dot" w:pos="4320" w:val="left"/>
        </w:tabs>
        <w:rPr>
          <w:sz w:val="20"/>
          <w:szCs w:val="20"/>
          <w:color w:val="auto"/>
        </w:rPr>
      </w:pPr>
      <w:r>
        <w:rPr>
          <w:rFonts w:ascii="Courier New" w:cs="Courier New" w:eastAsia="Courier New" w:hAnsi="Courier New"/>
          <w:sz w:val="15"/>
          <w:szCs w:val="15"/>
          <w:color w:val="auto"/>
        </w:rPr>
        <w:t>Other Agreements</w:t>
      </w:r>
      <w:r>
        <w:rPr>
          <w:sz w:val="20"/>
          <w:szCs w:val="20"/>
          <w:color w:val="auto"/>
        </w:rPr>
        <w:tab/>
      </w:r>
      <w:r>
        <w:rPr>
          <w:rFonts w:ascii="Courier New" w:cs="Courier New" w:eastAsia="Courier New" w:hAnsi="Courier New"/>
          <w:sz w:val="15"/>
          <w:szCs w:val="15"/>
          <w:color w:val="auto"/>
        </w:rPr>
        <w:t>50</w:t>
      </w:r>
    </w:p>
    <w:p>
      <w:pPr>
        <w:spacing w:after="0" w:line="8" w:lineRule="exact"/>
        <w:rPr>
          <w:sz w:val="20"/>
          <w:szCs w:val="20"/>
          <w:color w:val="auto"/>
        </w:rPr>
      </w:pPr>
    </w:p>
    <w:p>
      <w:pPr>
        <w:ind w:left="180"/>
        <w:spacing w:after="0"/>
        <w:tabs>
          <w:tab w:leader="dot" w:pos="4320" w:val="left"/>
        </w:tabs>
        <w:rPr>
          <w:sz w:val="20"/>
          <w:szCs w:val="20"/>
          <w:color w:val="auto"/>
        </w:rPr>
      </w:pPr>
      <w:r>
        <w:rPr>
          <w:rFonts w:ascii="Courier New" w:cs="Courier New" w:eastAsia="Courier New" w:hAnsi="Courier New"/>
          <w:sz w:val="15"/>
          <w:szCs w:val="15"/>
          <w:color w:val="auto"/>
        </w:rPr>
        <w:t>Voting Agreements</w:t>
      </w:r>
      <w:r>
        <w:rPr>
          <w:sz w:val="20"/>
          <w:szCs w:val="20"/>
          <w:color w:val="auto"/>
        </w:rPr>
        <w:tab/>
      </w:r>
      <w:r>
        <w:rPr>
          <w:rFonts w:ascii="Courier New" w:cs="Courier New" w:eastAsia="Courier New" w:hAnsi="Courier New"/>
          <w:sz w:val="15"/>
          <w:szCs w:val="15"/>
          <w:color w:val="auto"/>
        </w:rPr>
        <w:t>52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RIGHTS OF STOCKHOLDERS OF USA</w:t>
      </w:r>
    </w:p>
    <w:p>
      <w:pPr>
        <w:spacing w:after="0" w:line="8" w:lineRule="exact"/>
        <w:rPr>
          <w:sz w:val="20"/>
          <w:szCs w:val="20"/>
          <w:color w:val="auto"/>
        </w:rPr>
      </w:pPr>
    </w:p>
    <w:p>
      <w:pPr>
        <w:ind w:left="180"/>
        <w:spacing w:after="0"/>
        <w:tabs>
          <w:tab w:leader="dot" w:pos="4320" w:val="left"/>
        </w:tabs>
        <w:rPr>
          <w:sz w:val="20"/>
          <w:szCs w:val="20"/>
          <w:color w:val="auto"/>
        </w:rPr>
      </w:pPr>
      <w:r>
        <w:rPr>
          <w:rFonts w:ascii="Courier New" w:cs="Courier New" w:eastAsia="Courier New" w:hAnsi="Courier New"/>
          <w:sz w:val="15"/>
          <w:szCs w:val="15"/>
          <w:color w:val="auto"/>
        </w:rPr>
        <w:t>WASTE AND SANIFILL</w:t>
      </w:r>
      <w:r>
        <w:rPr>
          <w:sz w:val="20"/>
          <w:szCs w:val="20"/>
          <w:color w:val="auto"/>
        </w:rPr>
        <w:tab/>
      </w:r>
      <w:r>
        <w:rPr>
          <w:rFonts w:ascii="Courier New" w:cs="Courier New" w:eastAsia="Courier New" w:hAnsi="Courier New"/>
          <w:sz w:val="15"/>
          <w:szCs w:val="15"/>
          <w:color w:val="auto"/>
        </w:rPr>
        <w:t>53</w:t>
      </w:r>
    </w:p>
    <w:p>
      <w:pPr>
        <w:spacing w:after="0" w:line="8" w:lineRule="exact"/>
        <w:rPr>
          <w:sz w:val="20"/>
          <w:szCs w:val="20"/>
          <w:color w:val="auto"/>
        </w:rPr>
      </w:pPr>
    </w:p>
    <w:p>
      <w:pPr>
        <w:ind w:left="180"/>
        <w:spacing w:after="0"/>
        <w:tabs>
          <w:tab w:leader="dot" w:pos="432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5"/>
          <w:szCs w:val="15"/>
          <w:color w:val="auto"/>
        </w:rPr>
        <w:t>53</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Number of Directors; Removal of Directors;</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Filling of Vacancies on the Board of</w:t>
      </w:r>
    </w:p>
    <w:p>
      <w:pPr>
        <w:spacing w:after="0" w:line="8" w:lineRule="exact"/>
        <w:rPr>
          <w:sz w:val="20"/>
          <w:szCs w:val="20"/>
          <w:color w:val="auto"/>
        </w:rPr>
      </w:pPr>
    </w:p>
    <w:p>
      <w:pPr>
        <w:ind w:left="360"/>
        <w:spacing w:after="0"/>
        <w:tabs>
          <w:tab w:leader="dot" w:pos="4320" w:val="left"/>
        </w:tabs>
        <w:rPr>
          <w:sz w:val="20"/>
          <w:szCs w:val="20"/>
          <w:color w:val="auto"/>
        </w:rPr>
      </w:pPr>
      <w:r>
        <w:rPr>
          <w:rFonts w:ascii="Courier New" w:cs="Courier New" w:eastAsia="Courier New" w:hAnsi="Courier New"/>
          <w:sz w:val="15"/>
          <w:szCs w:val="15"/>
          <w:color w:val="auto"/>
        </w:rPr>
        <w:t>Directors</w:t>
      </w:r>
      <w:r>
        <w:rPr>
          <w:sz w:val="20"/>
          <w:szCs w:val="20"/>
          <w:color w:val="auto"/>
        </w:rPr>
        <w:tab/>
      </w:r>
      <w:r>
        <w:rPr>
          <w:rFonts w:ascii="Courier New" w:cs="Courier New" w:eastAsia="Courier New" w:hAnsi="Courier New"/>
          <w:sz w:val="15"/>
          <w:szCs w:val="15"/>
          <w:color w:val="auto"/>
        </w:rPr>
        <w:t>53</w:t>
      </w:r>
    </w:p>
    <w:p>
      <w:pPr>
        <w:spacing w:after="0" w:line="8" w:lineRule="exact"/>
        <w:rPr>
          <w:sz w:val="20"/>
          <w:szCs w:val="20"/>
          <w:color w:val="auto"/>
        </w:rPr>
      </w:pPr>
    </w:p>
    <w:p>
      <w:pPr>
        <w:ind w:left="180"/>
        <w:spacing w:after="0"/>
        <w:tabs>
          <w:tab w:leader="dot" w:pos="4320" w:val="left"/>
        </w:tabs>
        <w:rPr>
          <w:sz w:val="20"/>
          <w:szCs w:val="20"/>
          <w:color w:val="auto"/>
        </w:rPr>
      </w:pPr>
      <w:r>
        <w:rPr>
          <w:rFonts w:ascii="Courier New" w:cs="Courier New" w:eastAsia="Courier New" w:hAnsi="Courier New"/>
          <w:sz w:val="15"/>
          <w:szCs w:val="15"/>
          <w:color w:val="auto"/>
        </w:rPr>
        <w:t>Voting</w:t>
      </w:r>
      <w:r>
        <w:rPr>
          <w:sz w:val="20"/>
          <w:szCs w:val="20"/>
          <w:color w:val="auto"/>
        </w:rPr>
        <w:tab/>
      </w:r>
      <w:r>
        <w:rPr>
          <w:rFonts w:ascii="Courier New" w:cs="Courier New" w:eastAsia="Courier New" w:hAnsi="Courier New"/>
          <w:sz w:val="15"/>
          <w:szCs w:val="15"/>
          <w:color w:val="auto"/>
        </w:rPr>
        <w:t>53</w:t>
      </w:r>
    </w:p>
    <w:p>
      <w:pPr>
        <w:spacing w:after="0" w:line="8" w:lineRule="exact"/>
        <w:rPr>
          <w:sz w:val="20"/>
          <w:szCs w:val="20"/>
          <w:color w:val="auto"/>
        </w:rPr>
      </w:pPr>
    </w:p>
    <w:p>
      <w:pPr>
        <w:ind w:left="180"/>
        <w:spacing w:after="0"/>
        <w:tabs>
          <w:tab w:leader="dot" w:pos="4320" w:val="left"/>
        </w:tabs>
        <w:rPr>
          <w:sz w:val="20"/>
          <w:szCs w:val="20"/>
          <w:color w:val="auto"/>
        </w:rPr>
      </w:pPr>
      <w:r>
        <w:rPr>
          <w:rFonts w:ascii="Courier New" w:cs="Courier New" w:eastAsia="Courier New" w:hAnsi="Courier New"/>
          <w:sz w:val="15"/>
          <w:szCs w:val="15"/>
          <w:color w:val="auto"/>
        </w:rPr>
        <w:t>Stockholder Nominations and Proposals</w:t>
      </w:r>
      <w:r>
        <w:rPr>
          <w:sz w:val="20"/>
          <w:szCs w:val="20"/>
          <w:color w:val="auto"/>
        </w:rPr>
        <w:tab/>
      </w:r>
      <w:r>
        <w:rPr>
          <w:rFonts w:ascii="Courier New" w:cs="Courier New" w:eastAsia="Courier New" w:hAnsi="Courier New"/>
          <w:sz w:val="15"/>
          <w:szCs w:val="15"/>
          <w:color w:val="auto"/>
        </w:rPr>
        <w:t>53</w:t>
      </w:r>
    </w:p>
    <w:p>
      <w:pPr>
        <w:spacing w:after="0" w:line="8" w:lineRule="exact"/>
        <w:rPr>
          <w:sz w:val="20"/>
          <w:szCs w:val="20"/>
          <w:color w:val="auto"/>
        </w:rPr>
      </w:pPr>
    </w:p>
    <w:p>
      <w:pPr>
        <w:ind w:left="180"/>
        <w:spacing w:after="0"/>
        <w:tabs>
          <w:tab w:leader="dot" w:pos="4320" w:val="left"/>
        </w:tabs>
        <w:rPr>
          <w:sz w:val="20"/>
          <w:szCs w:val="20"/>
          <w:color w:val="auto"/>
        </w:rPr>
      </w:pPr>
      <w:r>
        <w:rPr>
          <w:rFonts w:ascii="Courier New" w:cs="Courier New" w:eastAsia="Courier New" w:hAnsi="Courier New"/>
          <w:sz w:val="15"/>
          <w:szCs w:val="15"/>
          <w:color w:val="auto"/>
        </w:rPr>
        <w:t>Fair Price Provision</w:t>
      </w:r>
      <w:r>
        <w:rPr>
          <w:sz w:val="20"/>
          <w:szCs w:val="20"/>
          <w:color w:val="auto"/>
        </w:rPr>
        <w:tab/>
      </w:r>
      <w:r>
        <w:rPr>
          <w:rFonts w:ascii="Courier New" w:cs="Courier New" w:eastAsia="Courier New" w:hAnsi="Courier New"/>
          <w:sz w:val="15"/>
          <w:szCs w:val="15"/>
          <w:color w:val="auto"/>
        </w:rPr>
        <w:t>54</w:t>
      </w:r>
    </w:p>
    <w:p>
      <w:pPr>
        <w:spacing w:after="0" w:line="8" w:lineRule="exact"/>
        <w:rPr>
          <w:sz w:val="20"/>
          <w:szCs w:val="20"/>
          <w:color w:val="auto"/>
        </w:rPr>
      </w:pPr>
    </w:p>
    <w:p>
      <w:pPr>
        <w:ind w:left="180"/>
        <w:spacing w:after="0"/>
        <w:tabs>
          <w:tab w:leader="dot" w:pos="4320" w:val="left"/>
        </w:tabs>
        <w:rPr>
          <w:sz w:val="20"/>
          <w:szCs w:val="20"/>
          <w:color w:val="auto"/>
        </w:rPr>
      </w:pPr>
      <w:r>
        <w:rPr>
          <w:rFonts w:ascii="Courier New" w:cs="Courier New" w:eastAsia="Courier New" w:hAnsi="Courier New"/>
          <w:sz w:val="15"/>
          <w:szCs w:val="15"/>
          <w:color w:val="auto"/>
        </w:rPr>
        <w:t>Amendment of Certain Charter Provisions</w:t>
      </w:r>
      <w:r>
        <w:rPr>
          <w:sz w:val="20"/>
          <w:szCs w:val="20"/>
          <w:color w:val="auto"/>
        </w:rPr>
        <w:tab/>
      </w:r>
      <w:r>
        <w:rPr>
          <w:rFonts w:ascii="Courier New" w:cs="Courier New" w:eastAsia="Courier New" w:hAnsi="Courier New"/>
          <w:sz w:val="15"/>
          <w:szCs w:val="15"/>
          <w:color w:val="auto"/>
        </w:rPr>
        <w:t>55</w:t>
      </w:r>
    </w:p>
    <w:p>
      <w:pPr>
        <w:spacing w:after="0" w:line="8" w:lineRule="exact"/>
        <w:rPr>
          <w:sz w:val="20"/>
          <w:szCs w:val="20"/>
          <w:color w:val="auto"/>
        </w:rPr>
      </w:pPr>
    </w:p>
    <w:p>
      <w:pPr>
        <w:ind w:left="180"/>
        <w:spacing w:after="0"/>
        <w:tabs>
          <w:tab w:leader="dot" w:pos="4320" w:val="left"/>
        </w:tabs>
        <w:rPr>
          <w:sz w:val="20"/>
          <w:szCs w:val="20"/>
          <w:color w:val="auto"/>
        </w:rPr>
      </w:pPr>
      <w:r>
        <w:rPr>
          <w:rFonts w:ascii="Courier New" w:cs="Courier New" w:eastAsia="Courier New" w:hAnsi="Courier New"/>
          <w:sz w:val="15"/>
          <w:szCs w:val="15"/>
          <w:color w:val="auto"/>
        </w:rPr>
        <w:t>Sanifill Rights Plan</w:t>
      </w:r>
      <w:r>
        <w:rPr>
          <w:sz w:val="20"/>
          <w:szCs w:val="20"/>
          <w:color w:val="auto"/>
        </w:rPr>
        <w:tab/>
      </w:r>
      <w:r>
        <w:rPr>
          <w:rFonts w:ascii="Courier New" w:cs="Courier New" w:eastAsia="Courier New" w:hAnsi="Courier New"/>
          <w:sz w:val="15"/>
          <w:szCs w:val="15"/>
          <w:color w:val="auto"/>
        </w:rPr>
        <w:t>55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AND SANIFILL COMBINED UNAUDITED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 FORMA CONDENSED FINANCIAL</w:t>
      </w:r>
    </w:p>
    <w:p>
      <w:pPr>
        <w:spacing w:after="0" w:line="8" w:lineRule="exact"/>
        <w:rPr>
          <w:sz w:val="20"/>
          <w:szCs w:val="20"/>
          <w:color w:val="auto"/>
        </w:rPr>
      </w:pPr>
    </w:p>
    <w:p>
      <w:pPr>
        <w:ind w:left="180"/>
        <w:spacing w:after="0"/>
        <w:tabs>
          <w:tab w:leader="dot" w:pos="4320" w:val="left"/>
        </w:tabs>
        <w:rPr>
          <w:sz w:val="20"/>
          <w:szCs w:val="20"/>
          <w:color w:val="auto"/>
        </w:rPr>
      </w:pPr>
      <w:r>
        <w:rPr>
          <w:rFonts w:ascii="Courier New" w:cs="Courier New" w:eastAsia="Courier New" w:hAnsi="Courier New"/>
          <w:sz w:val="15"/>
          <w:szCs w:val="15"/>
          <w:color w:val="auto"/>
        </w:rPr>
        <w:t>STATEMENTS</w:t>
      </w:r>
      <w:r>
        <w:rPr>
          <w:sz w:val="20"/>
          <w:szCs w:val="20"/>
          <w:color w:val="auto"/>
        </w:rPr>
        <w:tab/>
      </w:r>
      <w:r>
        <w:rPr>
          <w:rFonts w:ascii="Courier New" w:cs="Courier New" w:eastAsia="Courier New" w:hAnsi="Courier New"/>
          <w:sz w:val="15"/>
          <w:szCs w:val="15"/>
          <w:color w:val="auto"/>
        </w:rPr>
        <w:t>56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AND SANIFILL NOTES TO COMBINED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UNAUDITED PRO FORMA CONDENSED FINANCIAL</w:t>
      </w:r>
    </w:p>
    <w:p>
      <w:pPr>
        <w:spacing w:after="0" w:line="8" w:lineRule="exact"/>
        <w:rPr>
          <w:sz w:val="20"/>
          <w:szCs w:val="20"/>
          <w:color w:val="auto"/>
        </w:rPr>
      </w:pPr>
    </w:p>
    <w:p>
      <w:pPr>
        <w:ind w:left="180"/>
        <w:spacing w:after="0"/>
        <w:tabs>
          <w:tab w:leader="dot" w:pos="4320" w:val="left"/>
        </w:tabs>
        <w:rPr>
          <w:sz w:val="20"/>
          <w:szCs w:val="20"/>
          <w:color w:val="auto"/>
        </w:rPr>
      </w:pPr>
      <w:r>
        <w:rPr>
          <w:rFonts w:ascii="Courier New" w:cs="Courier New" w:eastAsia="Courier New" w:hAnsi="Courier New"/>
          <w:sz w:val="15"/>
          <w:szCs w:val="15"/>
          <w:color w:val="auto"/>
        </w:rPr>
        <w:t>STATEMENTS</w:t>
      </w:r>
      <w:r>
        <w:rPr>
          <w:sz w:val="20"/>
          <w:szCs w:val="20"/>
          <w:color w:val="auto"/>
        </w:rPr>
        <w:tab/>
      </w:r>
      <w:r>
        <w:rPr>
          <w:rFonts w:ascii="Courier New" w:cs="Courier New" w:eastAsia="Courier New" w:hAnsi="Courier New"/>
          <w:sz w:val="15"/>
          <w:szCs w:val="15"/>
          <w:color w:val="auto"/>
        </w:rPr>
        <w:t>62</w:t>
      </w:r>
    </w:p>
    <w:p>
      <w:pPr>
        <w:spacing w:after="0" w:line="8" w:lineRule="exact"/>
        <w:rPr>
          <w:sz w:val="20"/>
          <w:szCs w:val="20"/>
          <w:color w:val="auto"/>
        </w:rPr>
      </w:pPr>
    </w:p>
    <w:p>
      <w:pPr>
        <w:ind w:left="180"/>
        <w:spacing w:after="0"/>
        <w:tabs>
          <w:tab w:leader="dot" w:pos="4320" w:val="left"/>
        </w:tabs>
        <w:rPr>
          <w:sz w:val="20"/>
          <w:szCs w:val="20"/>
          <w:color w:val="auto"/>
        </w:rPr>
      </w:pPr>
      <w:r>
        <w:rPr>
          <w:rFonts w:ascii="Courier New" w:cs="Courier New" w:eastAsia="Courier New" w:hAnsi="Courier New"/>
          <w:sz w:val="15"/>
          <w:szCs w:val="15"/>
          <w:color w:val="auto"/>
        </w:rPr>
        <w:t>Basis of Presentation</w:t>
      </w:r>
      <w:r>
        <w:rPr>
          <w:sz w:val="20"/>
          <w:szCs w:val="20"/>
          <w:color w:val="auto"/>
        </w:rPr>
        <w:tab/>
      </w:r>
      <w:r>
        <w:rPr>
          <w:rFonts w:ascii="Courier New" w:cs="Courier New" w:eastAsia="Courier New" w:hAnsi="Courier New"/>
          <w:sz w:val="15"/>
          <w:szCs w:val="15"/>
          <w:color w:val="auto"/>
        </w:rPr>
        <w:t>62</w:t>
      </w:r>
    </w:p>
    <w:p>
      <w:pPr>
        <w:spacing w:after="0" w:line="8" w:lineRule="exact"/>
        <w:rPr>
          <w:sz w:val="20"/>
          <w:szCs w:val="20"/>
          <w:color w:val="auto"/>
        </w:rPr>
      </w:pPr>
    </w:p>
    <w:p>
      <w:pPr>
        <w:ind w:left="180"/>
        <w:spacing w:after="0"/>
        <w:tabs>
          <w:tab w:leader="dot" w:pos="4320" w:val="left"/>
        </w:tabs>
        <w:rPr>
          <w:sz w:val="20"/>
          <w:szCs w:val="20"/>
          <w:color w:val="auto"/>
        </w:rPr>
      </w:pPr>
      <w:r>
        <w:rPr>
          <w:rFonts w:ascii="Courier New" w:cs="Courier New" w:eastAsia="Courier New" w:hAnsi="Courier New"/>
          <w:sz w:val="15"/>
          <w:szCs w:val="15"/>
          <w:color w:val="auto"/>
        </w:rPr>
        <w:t>Pro Forma Adjustments</w:t>
      </w:r>
      <w:r>
        <w:rPr>
          <w:sz w:val="20"/>
          <w:szCs w:val="20"/>
          <w:color w:val="auto"/>
        </w:rPr>
        <w:tab/>
      </w:r>
      <w:r>
        <w:rPr>
          <w:rFonts w:ascii="Courier New" w:cs="Courier New" w:eastAsia="Courier New" w:hAnsi="Courier New"/>
          <w:sz w:val="15"/>
          <w:szCs w:val="15"/>
          <w:color w:val="auto"/>
        </w:rPr>
        <w:t>62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SUPPLEMENTALLY PROVIDED INFORMATION RELATING</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TO THE COMBINED UNAUDITED PRO FORMA</w:t>
      </w:r>
    </w:p>
    <w:p>
      <w:pPr>
        <w:spacing w:after="0" w:line="8" w:lineRule="exact"/>
        <w:rPr>
          <w:sz w:val="20"/>
          <w:szCs w:val="20"/>
          <w:color w:val="auto"/>
        </w:rPr>
      </w:pPr>
    </w:p>
    <w:p>
      <w:pPr>
        <w:ind w:left="180"/>
        <w:spacing w:after="0"/>
        <w:tabs>
          <w:tab w:leader="dot" w:pos="4320" w:val="left"/>
        </w:tabs>
        <w:rPr>
          <w:sz w:val="20"/>
          <w:szCs w:val="20"/>
          <w:color w:val="auto"/>
        </w:rPr>
      </w:pPr>
      <w:r>
        <w:rPr>
          <w:rFonts w:ascii="Courier New" w:cs="Courier New" w:eastAsia="Courier New" w:hAnsi="Courier New"/>
          <w:sz w:val="15"/>
          <w:szCs w:val="15"/>
          <w:color w:val="auto"/>
        </w:rPr>
        <w:t>CONDENSED FINANCIAL STATEMENTS</w:t>
      </w:r>
      <w:r>
        <w:rPr>
          <w:sz w:val="20"/>
          <w:szCs w:val="20"/>
          <w:color w:val="auto"/>
        </w:rPr>
        <w:tab/>
      </w:r>
      <w:r>
        <w:rPr>
          <w:rFonts w:ascii="Courier New" w:cs="Courier New" w:eastAsia="Courier New" w:hAnsi="Courier New"/>
          <w:sz w:val="15"/>
          <w:szCs w:val="15"/>
          <w:color w:val="auto"/>
        </w:rPr>
        <w:t>63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STOCKHOLDERS OF USA WASTE AND</w:t>
      </w:r>
    </w:p>
    <w:p>
      <w:pPr>
        <w:spacing w:after="0" w:line="8" w:lineRule="exact"/>
        <w:rPr>
          <w:sz w:val="20"/>
          <w:szCs w:val="20"/>
          <w:color w:val="auto"/>
        </w:rPr>
      </w:pPr>
    </w:p>
    <w:p>
      <w:pPr>
        <w:ind w:left="180"/>
        <w:spacing w:after="0"/>
        <w:tabs>
          <w:tab w:leader="dot" w:pos="4320" w:val="left"/>
        </w:tabs>
        <w:rPr>
          <w:sz w:val="20"/>
          <w:szCs w:val="20"/>
          <w:color w:val="auto"/>
        </w:rPr>
      </w:pPr>
      <w:r>
        <w:rPr>
          <w:rFonts w:ascii="Courier New" w:cs="Courier New" w:eastAsia="Courier New" w:hAnsi="Courier New"/>
          <w:sz w:val="15"/>
          <w:szCs w:val="15"/>
          <w:color w:val="auto"/>
        </w:rPr>
        <w:t>SANIFILL</w:t>
      </w:r>
      <w:r>
        <w:rPr>
          <w:sz w:val="20"/>
          <w:szCs w:val="20"/>
          <w:color w:val="auto"/>
        </w:rPr>
        <w:tab/>
      </w:r>
      <w:r>
        <w:rPr>
          <w:rFonts w:ascii="Courier New" w:cs="Courier New" w:eastAsia="Courier New" w:hAnsi="Courier New"/>
          <w:sz w:val="15"/>
          <w:szCs w:val="15"/>
          <w:color w:val="auto"/>
        </w:rPr>
        <w:t>68</w:t>
      </w:r>
    </w:p>
    <w:p>
      <w:pPr>
        <w:spacing w:after="0" w:line="8" w:lineRule="exact"/>
        <w:rPr>
          <w:sz w:val="20"/>
          <w:szCs w:val="20"/>
          <w:color w:val="auto"/>
        </w:rPr>
      </w:pPr>
    </w:p>
    <w:p>
      <w:pPr>
        <w:ind w:left="180"/>
        <w:spacing w:after="0"/>
        <w:tabs>
          <w:tab w:leader="dot" w:pos="4320" w:val="left"/>
        </w:tabs>
        <w:rPr>
          <w:sz w:val="20"/>
          <w:szCs w:val="20"/>
          <w:color w:val="auto"/>
        </w:rPr>
      </w:pPr>
      <w:r>
        <w:rPr>
          <w:rFonts w:ascii="Courier New" w:cs="Courier New" w:eastAsia="Courier New" w:hAnsi="Courier New"/>
          <w:sz w:val="15"/>
          <w:szCs w:val="15"/>
          <w:color w:val="auto"/>
        </w:rPr>
        <w:t>USA Waste</w:t>
      </w:r>
      <w:r>
        <w:rPr>
          <w:sz w:val="20"/>
          <w:szCs w:val="20"/>
          <w:color w:val="auto"/>
        </w:rPr>
        <w:tab/>
      </w:r>
      <w:r>
        <w:rPr>
          <w:rFonts w:ascii="Courier New" w:cs="Courier New" w:eastAsia="Courier New" w:hAnsi="Courier New"/>
          <w:sz w:val="15"/>
          <w:szCs w:val="15"/>
          <w:color w:val="auto"/>
        </w:rPr>
        <w:t>68</w:t>
      </w:r>
    </w:p>
    <w:p>
      <w:pPr>
        <w:spacing w:after="0" w:line="8" w:lineRule="exact"/>
        <w:rPr>
          <w:sz w:val="20"/>
          <w:szCs w:val="20"/>
          <w:color w:val="auto"/>
        </w:rPr>
      </w:pPr>
    </w:p>
    <w:p>
      <w:pPr>
        <w:ind w:left="180"/>
        <w:spacing w:after="0"/>
        <w:tabs>
          <w:tab w:leader="dot" w:pos="4320" w:val="left"/>
        </w:tabs>
        <w:rPr>
          <w:sz w:val="20"/>
          <w:szCs w:val="20"/>
          <w:color w:val="auto"/>
        </w:rPr>
      </w:pPr>
      <w:r>
        <w:rPr>
          <w:rFonts w:ascii="Courier New" w:cs="Courier New" w:eastAsia="Courier New" w:hAnsi="Courier New"/>
          <w:sz w:val="15"/>
          <w:szCs w:val="15"/>
          <w:color w:val="auto"/>
        </w:rPr>
        <w:t>Sanifill</w:t>
      </w:r>
      <w:r>
        <w:rPr>
          <w:sz w:val="20"/>
          <w:szCs w:val="20"/>
          <w:color w:val="auto"/>
        </w:rPr>
        <w:tab/>
      </w:r>
      <w:r>
        <w:rPr>
          <w:rFonts w:ascii="Courier New" w:cs="Courier New" w:eastAsia="Courier New" w:hAnsi="Courier New"/>
          <w:sz w:val="15"/>
          <w:szCs w:val="15"/>
          <w:color w:val="auto"/>
        </w:rPr>
        <w:t>69</w:t>
      </w:r>
    </w:p>
    <w:p>
      <w:pPr>
        <w:spacing w:after="0" w:line="8" w:lineRule="exact"/>
        <w:rPr>
          <w:sz w:val="20"/>
          <w:szCs w:val="20"/>
          <w:color w:val="auto"/>
        </w:rPr>
      </w:pPr>
    </w:p>
    <w:p>
      <w:pPr>
        <w:spacing w:after="0"/>
        <w:tabs>
          <w:tab w:leader="dot" w:pos="4320" w:val="left"/>
        </w:tabs>
        <w:rPr>
          <w:sz w:val="20"/>
          <w:szCs w:val="20"/>
          <w:color w:val="auto"/>
        </w:rPr>
      </w:pPr>
      <w:r>
        <w:rPr>
          <w:rFonts w:ascii="Courier New" w:cs="Courier New" w:eastAsia="Courier New" w:hAnsi="Courier New"/>
          <w:sz w:val="15"/>
          <w:szCs w:val="15"/>
          <w:color w:val="auto"/>
        </w:rPr>
        <w:t>MARKET PRICE DATA</w:t>
      </w:r>
      <w:r>
        <w:rPr>
          <w:sz w:val="20"/>
          <w:szCs w:val="20"/>
          <w:color w:val="auto"/>
        </w:rPr>
        <w:tab/>
      </w:r>
      <w:r>
        <w:rPr>
          <w:rFonts w:ascii="Courier New" w:cs="Courier New" w:eastAsia="Courier New" w:hAnsi="Courier New"/>
          <w:sz w:val="15"/>
          <w:szCs w:val="15"/>
          <w:color w:val="auto"/>
        </w:rPr>
        <w:t>71</w:t>
      </w:r>
    </w:p>
    <w:p>
      <w:pPr>
        <w:spacing w:after="0" w:line="8" w:lineRule="exact"/>
        <w:rPr>
          <w:sz w:val="20"/>
          <w:szCs w:val="20"/>
          <w:color w:val="auto"/>
        </w:rPr>
      </w:pPr>
    </w:p>
    <w:p>
      <w:pPr>
        <w:ind w:left="180"/>
        <w:spacing w:after="0"/>
        <w:tabs>
          <w:tab w:leader="dot" w:pos="4320" w:val="left"/>
        </w:tabs>
        <w:rPr>
          <w:sz w:val="20"/>
          <w:szCs w:val="20"/>
          <w:color w:val="auto"/>
        </w:rPr>
      </w:pPr>
      <w:r>
        <w:rPr>
          <w:rFonts w:ascii="Courier New" w:cs="Courier New" w:eastAsia="Courier New" w:hAnsi="Courier New"/>
          <w:sz w:val="15"/>
          <w:szCs w:val="15"/>
          <w:color w:val="auto"/>
        </w:rPr>
        <w:t>Market Information</w:t>
      </w:r>
      <w:r>
        <w:rPr>
          <w:sz w:val="20"/>
          <w:szCs w:val="20"/>
          <w:color w:val="auto"/>
        </w:rPr>
        <w:tab/>
      </w:r>
      <w:r>
        <w:rPr>
          <w:rFonts w:ascii="Courier New" w:cs="Courier New" w:eastAsia="Courier New" w:hAnsi="Courier New"/>
          <w:sz w:val="15"/>
          <w:szCs w:val="15"/>
          <w:color w:val="auto"/>
        </w:rPr>
        <w:t>71</w:t>
      </w:r>
    </w:p>
    <w:p>
      <w:pPr>
        <w:spacing w:after="0" w:line="8" w:lineRule="exact"/>
        <w:rPr>
          <w:sz w:val="20"/>
          <w:szCs w:val="20"/>
          <w:color w:val="auto"/>
        </w:rPr>
      </w:pPr>
    </w:p>
    <w:p>
      <w:pPr>
        <w:ind w:left="180"/>
        <w:spacing w:after="0"/>
        <w:tabs>
          <w:tab w:leader="dot" w:pos="4320" w:val="left"/>
        </w:tabs>
        <w:rPr>
          <w:sz w:val="20"/>
          <w:szCs w:val="20"/>
          <w:color w:val="auto"/>
        </w:rPr>
      </w:pPr>
      <w:r>
        <w:rPr>
          <w:rFonts w:ascii="Courier New" w:cs="Courier New" w:eastAsia="Courier New" w:hAnsi="Courier New"/>
          <w:sz w:val="15"/>
          <w:szCs w:val="15"/>
          <w:color w:val="auto"/>
        </w:rPr>
        <w:t>Dividend Information</w:t>
      </w:r>
      <w:r>
        <w:rPr>
          <w:sz w:val="20"/>
          <w:szCs w:val="20"/>
          <w:color w:val="auto"/>
        </w:rPr>
        <w:tab/>
      </w:r>
      <w:r>
        <w:rPr>
          <w:rFonts w:ascii="Courier New" w:cs="Courier New" w:eastAsia="Courier New" w:hAnsi="Courier New"/>
          <w:sz w:val="15"/>
          <w:szCs w:val="15"/>
          <w:color w:val="auto"/>
        </w:rPr>
        <w:t>71</w:t>
      </w:r>
    </w:p>
    <w:p>
      <w:pPr>
        <w:spacing w:after="0" w:line="8" w:lineRule="exact"/>
        <w:rPr>
          <w:sz w:val="20"/>
          <w:szCs w:val="20"/>
          <w:color w:val="auto"/>
        </w:rPr>
      </w:pPr>
    </w:p>
    <w:p>
      <w:pPr>
        <w:spacing w:after="0"/>
        <w:tabs>
          <w:tab w:leader="dot" w:pos="4320" w:val="left"/>
        </w:tabs>
        <w:rPr>
          <w:sz w:val="20"/>
          <w:szCs w:val="20"/>
          <w:color w:val="auto"/>
        </w:rPr>
      </w:pPr>
      <w:r>
        <w:rPr>
          <w:rFonts w:ascii="Courier New" w:cs="Courier New" w:eastAsia="Courier New" w:hAnsi="Courier New"/>
          <w:sz w:val="15"/>
          <w:szCs w:val="15"/>
          <w:color w:val="auto"/>
        </w:rPr>
        <w:t>DESCRIPTION OF USA WASTE CAPITAL STOCK</w:t>
      </w:r>
      <w:r>
        <w:rPr>
          <w:sz w:val="20"/>
          <w:szCs w:val="20"/>
          <w:color w:val="auto"/>
        </w:rPr>
        <w:tab/>
      </w:r>
      <w:r>
        <w:rPr>
          <w:rFonts w:ascii="Courier New" w:cs="Courier New" w:eastAsia="Courier New" w:hAnsi="Courier New"/>
          <w:sz w:val="15"/>
          <w:szCs w:val="15"/>
          <w:color w:val="auto"/>
        </w:rPr>
        <w:t>72</w:t>
      </w:r>
    </w:p>
    <w:p>
      <w:pPr>
        <w:spacing w:after="0" w:line="8" w:lineRule="exact"/>
        <w:rPr>
          <w:sz w:val="20"/>
          <w:szCs w:val="20"/>
          <w:color w:val="auto"/>
        </w:rPr>
      </w:pPr>
    </w:p>
    <w:p>
      <w:pPr>
        <w:ind w:left="180"/>
        <w:spacing w:after="0"/>
        <w:tabs>
          <w:tab w:leader="dot" w:pos="432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5"/>
          <w:szCs w:val="15"/>
          <w:color w:val="auto"/>
        </w:rPr>
        <w:t>72</w:t>
      </w:r>
    </w:p>
    <w:p>
      <w:pPr>
        <w:spacing w:after="0" w:line="8" w:lineRule="exact"/>
        <w:rPr>
          <w:sz w:val="20"/>
          <w:szCs w:val="20"/>
          <w:color w:val="auto"/>
        </w:rPr>
      </w:pPr>
    </w:p>
    <w:p>
      <w:pPr>
        <w:ind w:left="180"/>
        <w:spacing w:after="0"/>
        <w:tabs>
          <w:tab w:leader="dot" w:pos="4320" w:val="left"/>
        </w:tabs>
        <w:rPr>
          <w:sz w:val="20"/>
          <w:szCs w:val="20"/>
          <w:color w:val="auto"/>
        </w:rPr>
      </w:pPr>
      <w:r>
        <w:rPr>
          <w:rFonts w:ascii="Courier New" w:cs="Courier New" w:eastAsia="Courier New" w:hAnsi="Courier New"/>
          <w:sz w:val="15"/>
          <w:szCs w:val="15"/>
          <w:color w:val="auto"/>
        </w:rPr>
        <w:t>Preferred Stock</w:t>
      </w:r>
      <w:r>
        <w:rPr>
          <w:sz w:val="20"/>
          <w:szCs w:val="20"/>
          <w:color w:val="auto"/>
        </w:rPr>
        <w:tab/>
      </w:r>
      <w:r>
        <w:rPr>
          <w:rFonts w:ascii="Courier New" w:cs="Courier New" w:eastAsia="Courier New" w:hAnsi="Courier New"/>
          <w:sz w:val="15"/>
          <w:szCs w:val="15"/>
          <w:color w:val="auto"/>
        </w:rPr>
        <w:t>72</w:t>
      </w:r>
    </w:p>
    <w:p>
      <w:pPr>
        <w:spacing w:after="0" w:line="8" w:lineRule="exact"/>
        <w:rPr>
          <w:sz w:val="20"/>
          <w:szCs w:val="20"/>
          <w:color w:val="auto"/>
        </w:rPr>
      </w:pPr>
    </w:p>
    <w:p>
      <w:pPr>
        <w:ind w:left="180"/>
        <w:spacing w:after="0"/>
        <w:tabs>
          <w:tab w:leader="dot" w:pos="4320" w:val="left"/>
        </w:tabs>
        <w:rPr>
          <w:sz w:val="20"/>
          <w:szCs w:val="20"/>
          <w:color w:val="auto"/>
        </w:rPr>
      </w:pPr>
      <w:r>
        <w:rPr>
          <w:rFonts w:ascii="Courier New" w:cs="Courier New" w:eastAsia="Courier New" w:hAnsi="Courier New"/>
          <w:sz w:val="15"/>
          <w:szCs w:val="15"/>
          <w:color w:val="auto"/>
        </w:rPr>
        <w:t>Authorized But Unissued Shares</w:t>
      </w:r>
      <w:r>
        <w:rPr>
          <w:sz w:val="20"/>
          <w:szCs w:val="20"/>
          <w:color w:val="auto"/>
        </w:rPr>
        <w:tab/>
      </w:r>
      <w:r>
        <w:rPr>
          <w:rFonts w:ascii="Courier New" w:cs="Courier New" w:eastAsia="Courier New" w:hAnsi="Courier New"/>
          <w:sz w:val="15"/>
          <w:szCs w:val="15"/>
          <w:color w:val="auto"/>
        </w:rPr>
        <w:t>72</w:t>
      </w:r>
    </w:p>
    <w:p>
      <w:pPr>
        <w:spacing w:after="0" w:line="8" w:lineRule="exact"/>
        <w:rPr>
          <w:sz w:val="20"/>
          <w:szCs w:val="20"/>
          <w:color w:val="auto"/>
        </w:rPr>
      </w:pPr>
    </w:p>
    <w:p>
      <w:pPr>
        <w:ind w:left="180"/>
        <w:spacing w:after="0"/>
        <w:tabs>
          <w:tab w:leader="dot" w:pos="4320" w:val="left"/>
        </w:tabs>
        <w:rPr>
          <w:sz w:val="20"/>
          <w:szCs w:val="20"/>
          <w:color w:val="auto"/>
        </w:rPr>
      </w:pPr>
      <w:r>
        <w:rPr>
          <w:rFonts w:ascii="Courier New" w:cs="Courier New" w:eastAsia="Courier New" w:hAnsi="Courier New"/>
          <w:sz w:val="15"/>
          <w:szCs w:val="15"/>
          <w:color w:val="auto"/>
        </w:rPr>
        <w:t>Transfer Agent and Registrar</w:t>
      </w:r>
      <w:r>
        <w:rPr>
          <w:sz w:val="20"/>
          <w:szCs w:val="20"/>
          <w:color w:val="auto"/>
        </w:rPr>
        <w:tab/>
      </w:r>
      <w:r>
        <w:rPr>
          <w:rFonts w:ascii="Courier New" w:cs="Courier New" w:eastAsia="Courier New" w:hAnsi="Courier New"/>
          <w:sz w:val="15"/>
          <w:szCs w:val="15"/>
          <w:color w:val="auto"/>
        </w:rPr>
        <w:t>72</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Limited Liability and Indemnification of</w:t>
      </w:r>
    </w:p>
    <w:p>
      <w:pPr>
        <w:spacing w:after="0" w:line="8" w:lineRule="exact"/>
        <w:rPr>
          <w:sz w:val="20"/>
          <w:szCs w:val="20"/>
          <w:color w:val="auto"/>
        </w:rPr>
      </w:pPr>
    </w:p>
    <w:p>
      <w:pPr>
        <w:ind w:left="360"/>
        <w:spacing w:after="0"/>
        <w:tabs>
          <w:tab w:leader="dot" w:pos="4320" w:val="left"/>
        </w:tabs>
        <w:rPr>
          <w:sz w:val="20"/>
          <w:szCs w:val="20"/>
          <w:color w:val="auto"/>
        </w:rPr>
      </w:pPr>
      <w:r>
        <w:rPr>
          <w:rFonts w:ascii="Courier New" w:cs="Courier New" w:eastAsia="Courier New" w:hAnsi="Courier New"/>
          <w:sz w:val="15"/>
          <w:szCs w:val="15"/>
          <w:color w:val="auto"/>
        </w:rPr>
        <w:t>Officers and Directors</w:t>
      </w:r>
      <w:r>
        <w:rPr>
          <w:sz w:val="20"/>
          <w:szCs w:val="20"/>
          <w:color w:val="auto"/>
        </w:rPr>
        <w:tab/>
      </w:r>
      <w:r>
        <w:rPr>
          <w:rFonts w:ascii="Courier New" w:cs="Courier New" w:eastAsia="Courier New" w:hAnsi="Courier New"/>
          <w:sz w:val="15"/>
          <w:szCs w:val="15"/>
          <w:color w:val="auto"/>
        </w:rPr>
        <w:t>72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PROPOSAL OF STOCKHOLDERS FOR ANNUAL</w:t>
      </w:r>
    </w:p>
    <w:p>
      <w:pPr>
        <w:spacing w:after="0" w:line="8" w:lineRule="exact"/>
        <w:rPr>
          <w:sz w:val="20"/>
          <w:szCs w:val="20"/>
          <w:color w:val="auto"/>
        </w:rPr>
      </w:pPr>
    </w:p>
    <w:p>
      <w:pPr>
        <w:ind w:left="180"/>
        <w:spacing w:after="0"/>
        <w:tabs>
          <w:tab w:leader="dot" w:pos="4320" w:val="left"/>
        </w:tabs>
        <w:rPr>
          <w:sz w:val="20"/>
          <w:szCs w:val="20"/>
          <w:color w:val="auto"/>
        </w:rPr>
      </w:pPr>
      <w:r>
        <w:rPr>
          <w:rFonts w:ascii="Courier New" w:cs="Courier New" w:eastAsia="Courier New" w:hAnsi="Courier New"/>
          <w:sz w:val="15"/>
          <w:szCs w:val="15"/>
          <w:color w:val="auto"/>
        </w:rPr>
        <w:t>MEETING</w:t>
      </w:r>
      <w:r>
        <w:rPr>
          <w:sz w:val="20"/>
          <w:szCs w:val="20"/>
          <w:color w:val="auto"/>
        </w:rPr>
        <w:tab/>
      </w:r>
      <w:r>
        <w:rPr>
          <w:rFonts w:ascii="Courier New" w:cs="Courier New" w:eastAsia="Courier New" w:hAnsi="Courier New"/>
          <w:sz w:val="15"/>
          <w:szCs w:val="15"/>
          <w:color w:val="auto"/>
        </w:rPr>
        <w:t>73</w:t>
      </w:r>
    </w:p>
    <w:p>
      <w:pPr>
        <w:spacing w:after="0" w:line="8" w:lineRule="exact"/>
        <w:rPr>
          <w:sz w:val="20"/>
          <w:szCs w:val="20"/>
          <w:color w:val="auto"/>
        </w:rPr>
      </w:pPr>
    </w:p>
    <w:p>
      <w:pPr>
        <w:spacing w:after="0"/>
        <w:tabs>
          <w:tab w:leader="dot" w:pos="4320" w:val="left"/>
        </w:tabs>
        <w:rPr>
          <w:sz w:val="20"/>
          <w:szCs w:val="20"/>
          <w:color w:val="auto"/>
        </w:rPr>
      </w:pPr>
      <w:r>
        <w:rPr>
          <w:rFonts w:ascii="Courier New" w:cs="Courier New" w:eastAsia="Courier New" w:hAnsi="Courier New"/>
          <w:sz w:val="15"/>
          <w:szCs w:val="15"/>
          <w:color w:val="auto"/>
        </w:rPr>
        <w:t>OTHER MATTERS</w:t>
      </w:r>
      <w:r>
        <w:rPr>
          <w:sz w:val="20"/>
          <w:szCs w:val="20"/>
          <w:color w:val="auto"/>
        </w:rPr>
        <w:tab/>
      </w:r>
      <w:r>
        <w:rPr>
          <w:rFonts w:ascii="Courier New" w:cs="Courier New" w:eastAsia="Courier New" w:hAnsi="Courier New"/>
          <w:sz w:val="15"/>
          <w:szCs w:val="15"/>
          <w:color w:val="auto"/>
        </w:rPr>
        <w:t>74</w:t>
      </w:r>
    </w:p>
    <w:p>
      <w:pPr>
        <w:spacing w:after="0" w:line="8" w:lineRule="exact"/>
        <w:rPr>
          <w:sz w:val="20"/>
          <w:szCs w:val="20"/>
          <w:color w:val="auto"/>
        </w:rPr>
      </w:pPr>
    </w:p>
    <w:p>
      <w:pPr>
        <w:spacing w:after="0"/>
        <w:tabs>
          <w:tab w:leader="dot" w:pos="432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74</w:t>
      </w:r>
    </w:p>
    <w:p>
      <w:pPr>
        <w:spacing w:after="0" w:line="8" w:lineRule="exact"/>
        <w:rPr>
          <w:sz w:val="20"/>
          <w:szCs w:val="20"/>
          <w:color w:val="auto"/>
        </w:rPr>
      </w:pPr>
    </w:p>
    <w:p>
      <w:pPr>
        <w:spacing w:after="0"/>
        <w:tabs>
          <w:tab w:leader="dot" w:pos="432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74</w:t>
      </w:r>
    </w:p>
    <w:p>
      <w:pPr>
        <w:spacing w:after="0" w:line="8" w:lineRule="exact"/>
        <w:rPr>
          <w:sz w:val="20"/>
          <w:szCs w:val="20"/>
          <w:color w:val="auto"/>
        </w:rPr>
      </w:pPr>
    </w:p>
    <w:p>
      <w:pPr>
        <w:spacing w:after="0"/>
        <w:tabs>
          <w:tab w:leader="dot" w:pos="4320" w:val="left"/>
        </w:tabs>
        <w:rPr>
          <w:sz w:val="20"/>
          <w:szCs w:val="20"/>
          <w:color w:val="auto"/>
        </w:rPr>
      </w:pPr>
      <w:r>
        <w:rPr>
          <w:rFonts w:ascii="Courier New" w:cs="Courier New" w:eastAsia="Courier New" w:hAnsi="Courier New"/>
          <w:sz w:val="15"/>
          <w:szCs w:val="15"/>
          <w:color w:val="auto"/>
        </w:rPr>
        <w:t>INDEPENDENT AUDITORS</w:t>
      </w:r>
      <w:r>
        <w:rPr>
          <w:sz w:val="20"/>
          <w:szCs w:val="20"/>
          <w:color w:val="auto"/>
        </w:rPr>
        <w:tab/>
      </w:r>
      <w:r>
        <w:rPr>
          <w:rFonts w:ascii="Courier New" w:cs="Courier New" w:eastAsia="Courier New" w:hAnsi="Courier New"/>
          <w:sz w:val="15"/>
          <w:szCs w:val="15"/>
          <w:color w:val="auto"/>
        </w:rPr>
        <w:t>74</w:t>
      </w:r>
    </w:p>
    <w:p>
      <w:pPr>
        <w:spacing w:after="0" w:line="8" w:lineRule="exact"/>
        <w:rPr>
          <w:sz w:val="20"/>
          <w:szCs w:val="20"/>
          <w:color w:val="auto"/>
        </w:rPr>
      </w:pPr>
    </w:p>
    <w:p>
      <w:pPr>
        <w:spacing w:after="0"/>
        <w:tabs>
          <w:tab w:leader="dot" w:pos="4220" w:val="left"/>
        </w:tabs>
        <w:rPr>
          <w:sz w:val="20"/>
          <w:szCs w:val="20"/>
          <w:color w:val="auto"/>
        </w:rPr>
      </w:pPr>
      <w:r>
        <w:rPr>
          <w:rFonts w:ascii="Courier New" w:cs="Courier New" w:eastAsia="Courier New" w:hAnsi="Courier New"/>
          <w:sz w:val="15"/>
          <w:szCs w:val="15"/>
          <w:color w:val="auto"/>
        </w:rPr>
        <w:t>ANNEX A -- Agreement and Plan of Merger</w:t>
      </w:r>
      <w:r>
        <w:rPr>
          <w:sz w:val="20"/>
          <w:szCs w:val="20"/>
          <w:color w:val="auto"/>
        </w:rPr>
        <w:tab/>
      </w:r>
      <w:r>
        <w:rPr>
          <w:rFonts w:ascii="Courier New" w:cs="Courier New" w:eastAsia="Courier New" w:hAnsi="Courier New"/>
          <w:sz w:val="15"/>
          <w:szCs w:val="15"/>
          <w:color w:val="auto"/>
        </w:rPr>
        <w:t>A-1</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Amendment No. 1 to Agreement</w:t>
      </w:r>
    </w:p>
    <w:p>
      <w:pPr>
        <w:spacing w:after="0" w:line="8" w:lineRule="exact"/>
        <w:rPr>
          <w:sz w:val="20"/>
          <w:szCs w:val="20"/>
          <w:color w:val="auto"/>
        </w:rPr>
      </w:pPr>
    </w:p>
    <w:p>
      <w:pPr>
        <w:jc w:val="right"/>
        <w:ind w:right="5699"/>
        <w:spacing w:after="0"/>
        <w:tabs>
          <w:tab w:leader="dot" w:pos="360" w:val="left"/>
        </w:tabs>
        <w:rPr>
          <w:sz w:val="20"/>
          <w:szCs w:val="20"/>
          <w:color w:val="auto"/>
        </w:rPr>
      </w:pPr>
      <w:r>
        <w:rPr>
          <w:rFonts w:ascii="Courier New" w:cs="Courier New" w:eastAsia="Courier New" w:hAnsi="Courier New"/>
          <w:sz w:val="15"/>
          <w:szCs w:val="15"/>
          <w:color w:val="auto"/>
        </w:rPr>
        <w:t>and Plan of Merger</w:t>
      </w:r>
      <w:r>
        <w:rPr>
          <w:sz w:val="20"/>
          <w:szCs w:val="20"/>
          <w:color w:val="auto"/>
        </w:rPr>
        <w:tab/>
      </w:r>
      <w:r>
        <w:rPr>
          <w:rFonts w:ascii="Courier New" w:cs="Courier New" w:eastAsia="Courier New" w:hAnsi="Courier New"/>
          <w:sz w:val="15"/>
          <w:szCs w:val="15"/>
          <w:color w:val="auto"/>
        </w:rPr>
        <w:t>A-36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ANNEX B -- Opinion of Donaldson, Lufkin &amp;</w:t>
      </w:r>
    </w:p>
    <w:p>
      <w:pPr>
        <w:spacing w:after="0" w:line="8" w:lineRule="exact"/>
        <w:rPr>
          <w:sz w:val="20"/>
          <w:szCs w:val="20"/>
          <w:color w:val="auto"/>
        </w:rPr>
      </w:pPr>
    </w:p>
    <w:p>
      <w:pPr>
        <w:ind w:left="180"/>
        <w:spacing w:after="0"/>
        <w:tabs>
          <w:tab w:leader="dot" w:pos="4220" w:val="left"/>
        </w:tabs>
        <w:rPr>
          <w:sz w:val="20"/>
          <w:szCs w:val="20"/>
          <w:color w:val="auto"/>
        </w:rPr>
      </w:pPr>
      <w:r>
        <w:rPr>
          <w:rFonts w:ascii="Courier New" w:cs="Courier New" w:eastAsia="Courier New" w:hAnsi="Courier New"/>
          <w:sz w:val="15"/>
          <w:szCs w:val="15"/>
          <w:color w:val="auto"/>
        </w:rPr>
        <w:t>Jenrette Securities Corporation</w:t>
      </w:r>
      <w:r>
        <w:rPr>
          <w:sz w:val="20"/>
          <w:szCs w:val="20"/>
          <w:color w:val="auto"/>
        </w:rPr>
        <w:tab/>
      </w:r>
      <w:r>
        <w:rPr>
          <w:rFonts w:ascii="Courier New" w:cs="Courier New" w:eastAsia="Courier New" w:hAnsi="Courier New"/>
          <w:sz w:val="15"/>
          <w:szCs w:val="15"/>
          <w:color w:val="auto"/>
        </w:rPr>
        <w:t>B-1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ANNEX C -- Opinion of Merrill Lynch, Pierce,</w:t>
      </w:r>
    </w:p>
    <w:p>
      <w:pPr>
        <w:spacing w:after="0" w:line="8" w:lineRule="exact"/>
        <w:rPr>
          <w:sz w:val="20"/>
          <w:szCs w:val="20"/>
          <w:color w:val="auto"/>
        </w:rPr>
      </w:pPr>
    </w:p>
    <w:p>
      <w:pPr>
        <w:ind w:left="180"/>
        <w:spacing w:after="0"/>
        <w:tabs>
          <w:tab w:leader="dot" w:pos="4220" w:val="left"/>
        </w:tabs>
        <w:rPr>
          <w:sz w:val="20"/>
          <w:szCs w:val="20"/>
          <w:color w:val="auto"/>
        </w:rPr>
      </w:pPr>
      <w:r>
        <w:rPr>
          <w:rFonts w:ascii="Courier New" w:cs="Courier New" w:eastAsia="Courier New" w:hAnsi="Courier New"/>
          <w:sz w:val="15"/>
          <w:szCs w:val="15"/>
          <w:color w:val="auto"/>
        </w:rPr>
        <w:t>Fenner &amp; Smith Incorporated</w:t>
      </w:r>
      <w:r>
        <w:rPr>
          <w:sz w:val="20"/>
          <w:szCs w:val="20"/>
          <w:color w:val="auto"/>
        </w:rPr>
        <w:tab/>
      </w:r>
      <w:r>
        <w:rPr>
          <w:rFonts w:ascii="Courier New" w:cs="Courier New" w:eastAsia="Courier New" w:hAnsi="Courier New"/>
          <w:sz w:val="15"/>
          <w:szCs w:val="15"/>
          <w:color w:val="auto"/>
        </w:rPr>
        <w:t>C-1</w:t>
      </w:r>
    </w:p>
    <w:p>
      <w:pPr>
        <w:spacing w:after="0" w:line="200" w:lineRule="exact"/>
        <w:rPr>
          <w:sz w:val="20"/>
          <w:szCs w:val="20"/>
          <w:color w:val="auto"/>
        </w:rPr>
      </w:pPr>
    </w:p>
    <w:p>
      <w:pPr>
        <w:spacing w:after="0" w:line="34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142"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11</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SUMMARY</w:t>
      </w:r>
    </w:p>
    <w:p>
      <w:pPr>
        <w:spacing w:after="0" w:line="185" w:lineRule="exact"/>
        <w:rPr>
          <w:sz w:val="20"/>
          <w:szCs w:val="20"/>
          <w:color w:val="auto"/>
        </w:rPr>
      </w:pPr>
    </w:p>
    <w:p>
      <w:pPr>
        <w:ind w:right="3119" w:firstLine="461"/>
        <w:spacing w:after="0" w:line="251" w:lineRule="auto"/>
        <w:rPr>
          <w:sz w:val="20"/>
          <w:szCs w:val="20"/>
          <w:color w:val="auto"/>
        </w:rPr>
      </w:pPr>
      <w:r>
        <w:rPr>
          <w:rFonts w:ascii="Courier New" w:cs="Courier New" w:eastAsia="Courier New" w:hAnsi="Courier New"/>
          <w:sz w:val="15"/>
          <w:szCs w:val="15"/>
          <w:color w:val="auto"/>
        </w:rPr>
        <w:t>The following is a summary of certain information contained elsewhere or incorporated by reference in this Joint Proxy Statement and Prospectus. The information contained in this summary is qualified in its entirety by, and should be read in conjunction with, the more detailed information appearing elsewhere in this Joint Proxy Statement and Prospectus and the documents incorporated herein by reference.</w:t>
      </w:r>
    </w:p>
    <w:p>
      <w:pPr>
        <w:spacing w:after="0" w:line="176"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THE COMPANIES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 AND QUATRO ACQUISITION CORP.</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USA Waste Services, Inc. is the third largest integrated solid waste management company in North America and serves municipal, commercial, industrial and residential customers in 24 states. USA Waste's solid waste management services include collection, transfer and disposal operations and, to a lesser extent, recycling and certain other waste management services. USA Waste owns or operates 39 landfills, 26 transfer stations and 72 collection operations and serves more than 1.3 million customers. Quatro Acquisition Corp. is a wholly owned subsidiary of USA Waste organized for the purpose of effecting the Merger pursuant to the Merger Agreement. Acquisition has no material assets and has not engaged in and prior to the Merger will not engage in any activities except those required to effectuate the Merger. The principal executive offices of USA Waste and Acquisition are located at 5400 LBJ Freeway, Suite 300 -- Tower One, Dallas, Texas 75240, and their telephone number is (214) 383-7900.</w:t>
      </w:r>
    </w:p>
    <w:p>
      <w:pPr>
        <w:spacing w:after="0" w:line="183" w:lineRule="exact"/>
        <w:rPr>
          <w:sz w:val="20"/>
          <w:szCs w:val="20"/>
          <w:color w:val="auto"/>
        </w:rPr>
      </w:pPr>
    </w:p>
    <w:p>
      <w:pPr>
        <w:ind w:right="3299" w:firstLine="461"/>
        <w:spacing w:after="0" w:line="252" w:lineRule="auto"/>
        <w:rPr>
          <w:sz w:val="20"/>
          <w:szCs w:val="20"/>
          <w:color w:val="auto"/>
        </w:rPr>
      </w:pPr>
      <w:r>
        <w:rPr>
          <w:rFonts w:ascii="Courier New" w:cs="Courier New" w:eastAsia="Courier New" w:hAnsi="Courier New"/>
          <w:sz w:val="15"/>
          <w:szCs w:val="15"/>
          <w:color w:val="auto"/>
        </w:rPr>
        <w:t>Pursuant to the terms of the Merger Agreement, USA Waste has agreed to transfer its principal executive offices to Houston, Texas, as soon as practicable after the Effective Time (as hereinafter defined).</w:t>
      </w:r>
    </w:p>
    <w:p>
      <w:pPr>
        <w:spacing w:after="0" w:line="17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Additional information concerning USA Waste is included in USA Waste's reports filed under the Exchange Act that are incorporated by reference in this Joint Proxy Statement and Prospectus. See "Available Information" and "Incorporation of Certain Information by Reference."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SANIFILL, INC.</w:t>
      </w:r>
    </w:p>
    <w:p>
      <w:pPr>
        <w:spacing w:after="0" w:line="185" w:lineRule="exact"/>
        <w:rPr>
          <w:sz w:val="20"/>
          <w:szCs w:val="20"/>
          <w:color w:val="auto"/>
        </w:rPr>
      </w:pPr>
    </w:p>
    <w:p>
      <w:pPr>
        <w:ind w:right="3119" w:firstLine="461"/>
        <w:spacing w:after="0" w:line="251" w:lineRule="auto"/>
        <w:rPr>
          <w:sz w:val="20"/>
          <w:szCs w:val="20"/>
          <w:color w:val="auto"/>
        </w:rPr>
      </w:pPr>
      <w:r>
        <w:rPr>
          <w:rFonts w:ascii="Courier New" w:cs="Courier New" w:eastAsia="Courier New" w:hAnsi="Courier New"/>
          <w:sz w:val="15"/>
          <w:szCs w:val="15"/>
          <w:color w:val="auto"/>
        </w:rPr>
        <w:t>Sanifill, Inc. owns and operates nonhazardous waste disposal, treatment, collection, transfer and recycling businesses and complementary operations. Since it was founded in 1989, Sanifill has completed the acquisition of 142 disposal, collection and related businesses. As of June 30, 1996, Sanifill operated 50 disposal and treatment facilities, 26 transfer stations and 36 collection operations. In addition, Sanifill provides sludge treatment and organic recycling services. The principal executive offices of Sanifill are located at 2777 Allen Parkway, Suite 700, Houston, Texas 77019, and its telephone number is (713) 942-6200.</w:t>
      </w:r>
    </w:p>
    <w:p>
      <w:pPr>
        <w:spacing w:after="0" w:line="17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Additional information concerning Sanifill is included in Sanifill's reports filed under the Exchange Act that are incorporated by reference in this Joint Proxy Statement and Prospectus. See "Available Information" and "Incorporation of Certain Information by Reference."</w:t>
      </w:r>
    </w:p>
    <w:p>
      <w:pPr>
        <w:spacing w:after="0" w:line="17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THE MEETINGS</w:t>
      </w:r>
    </w:p>
    <w:p>
      <w:pPr>
        <w:spacing w:after="0" w:line="362"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USA Waste Special Meeting will be held at 2:00 p.m., Central time on August 27, 1996, at The Four Seasons Hotel, 1300 Lamar Street, Houston, Texas, for the purpose of considering and acting upon proposals to (i) approve and adopt the Merger Agreement ("Proposal No. 1") and (ii) approve an amendment to the USA Waste Restated Certificate of Incorporation to increase the number of authorized shares of USA Waste Common Stock to 300,000,000 shares ("Proposal No. 2"). The implementation of Proposal No. 1 is conditioned on the approval of Proposal No. 2. The Sanifill Special Meeting will be held at 11:00 a.m., Central time on August 27, 1996, at The Four Seasons Hotel, 1300 Lamar Street, Houston, Texas, for the sole purpose of voting on the Merger Agreement. The USA Waste Special Meeting and the Sanifill Special Meeting are sometimes referred to collectively hereinafter as the "Meetings."</w:t>
      </w:r>
    </w:p>
    <w:p>
      <w:pPr>
        <w:spacing w:after="0" w:line="36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95"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12</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Only those stockholders of USA Waste and of Sanifill of record at the close of business on July 18, 1996 (the "Record Date") are entitled to notice of, and to vote at, the USA Waste Special Meeting and the Sanifill Special Meeting, respectively.</w:t>
      </w:r>
    </w:p>
    <w:p>
      <w:pPr>
        <w:spacing w:after="0" w:line="354"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Pursuant to the rules of the NYSE, approval and adoption of the Merger Agreement requires the affirmative vote of a majority of the shares of USA Waste Common Stock voted, in person or by proxy, at the USA Waste Special Meeting, provided that the total vote cast on the proposal represents over 50% in interest of all shares of USA Waste Common Stock entitled to vote on the proposal. However, the implementation of the Merger is conditioned on the approval of Proposal No. 2, which, pursuant to Delaware law, requires the affirmative vote of a majority of the outstanding shares of USA Waste Common Stock. At the close of business on the Record Date, there were approximately</w:t>
      </w:r>
    </w:p>
    <w:p>
      <w:pPr>
        <w:spacing w:after="0" w:line="4"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89.2 million shares of USA Waste Common Stock outstanding and entitled to vote at the USA Waste Special Meeting. In connection with the execution of the Merger Agreement, John E. Drury, Donald F. Moorehead, Jr., Alexander W. Rangos, John G. Rangos, Sr., John Rangos Development Corporation, Inc., Kosti Shirvanian and David Sutherland-Yoest each executed a voting agreement and irrevocable proxy pursuant to which they (i) agreed to vote an aggregate of 18,700,112 shares of USA Waste Common Stock (or approximately 21% of the shares of USA Waste Common Stock outstanding on the Record Date) held by them for approval and adoption of the Merger Agreement and (ii) granted irrevocable proxies with respect to such shares, which proxies permit Sanifill to vote such shares in favor of approval and adoption of the Merger Agreement. See "The Plan of Merger and Terms of the Merger -- Voting Agreements." All executive officers and directors of USA Waste who are stockholders of USA Waste, who together with their affiliates own approximately 20 million shares of USA Common Stock (including shares subject to the voting agreements and irrevocable proxies discussed above) representing approximately 22.5% of the shares of USA Waste Common Stock outstanding as of the Record Date, have indicated to USA Waste that they intend to vote the shares of USA Waste Common Stock over which they have voting control in favor of approval and adoption of the Merger Agreement. See "The Meetings -- Vote Required for Approval."</w:t>
      </w:r>
    </w:p>
    <w:p>
      <w:pPr>
        <w:spacing w:after="0" w:line="200" w:lineRule="exact"/>
        <w:rPr>
          <w:sz w:val="20"/>
          <w:szCs w:val="20"/>
          <w:color w:val="auto"/>
        </w:rPr>
      </w:pPr>
    </w:p>
    <w:p>
      <w:pPr>
        <w:spacing w:after="0" w:line="341"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Pursuant to Delaware law approval and adoption of the Merger Agreement requires the affirmative vote of a majority of the shares of Sanifill Common Stock outstanding on the Record Date. At the close of business on the Record Date, there were approximately 25.4 million shares of Sanifill Common Stock outstanding and entitled to vote at the Sanifill Special Meeting. In connection with the execution of the Merger Agreement, Lorne D. Bain, Larry J. Martin, Rodney R. Proto and Alfred C. Warrington, IV each executed a voting agreement and irrevocable proxy pursuant to which they (i) agreed to vote an aggregate of 1,292,717 shares of Sanifill Common Stock (or approximately 5.1% of the shares of Sanifill Common Stock outstanding on the Record Date) held by them for approval and adoption of the Merger Agreement and (ii) granted irrevocable proxies with respect to such shares, which proxies permit certain officers of USA Waste to vote such shares in favor of approval and adoption of the Merger Agreement. See "The Plan of Merger and Terms of the Merger -- Voting Agreements." All executive officers and directors of Sanifill who are stockholders of Sanifill, who collectively have the right to vote approximately 1.4 million shares of Sanifill Common Stock (including shares subject to the voting agreements and irrevocable proxies discussed above), representing approximately 5.5% of the shares of Sanifill Common Stock outstanding as of the Record Date, have indicated to Sanifill that they intend to vote such shares in favor of approval and adoption of the Merger Agreement. See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 -- Vote Required for Approval."</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THE MERGER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RECOMMENDATIONS OF THE BOARDS OF DIRECTORS</w:t>
      </w:r>
    </w:p>
    <w:p>
      <w:pPr>
        <w:spacing w:after="0" w:line="185"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The Board of Directors of USA Waste has approved the Merger Agreement and has directed that it be submitted to the stockholders of USA Waste for their consideration. The Board of Directors of USA Waste recommends that the stockholders of USA Waste approve and adopt the Merger Agreement. See "The Merger and Related Transactions -- Background of the Merger," "-- USA Waste's Reasons for the Merger," "-- Recommendation of the Board of Directors of USA Waste" and "-- Conflicts of Interest." The implementation of the Merger Agreement, if it is approved and adopted, is conditioned on the approval of</w:t>
      </w:r>
    </w:p>
    <w:p>
      <w:pPr>
        <w:sectPr>
          <w:pgSz w:w="11900" w:h="16838" w:orient="portrait"/>
          <w:cols w:equalWidth="0" w:num="1">
            <w:col w:w="10219"/>
          </w:cols>
          <w:pgMar w:left="240" w:top="295" w:right="1440" w:bottom="1440" w:gutter="0" w:footer="0" w:header="0"/>
        </w:sectPr>
      </w:pPr>
    </w:p>
    <w:p>
      <w:pPr>
        <w:spacing w:after="0" w:line="17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5" w:right="1440" w:bottom="1440" w:gutter="0" w:footer="0" w:header="0"/>
          <w:type w:val="continuous"/>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13</w:t>
      </w:r>
    </w:p>
    <w:p>
      <w:pPr>
        <w:spacing w:after="0" w:line="185"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Proposal No. 2 by the stockholders of USA Waste. The Board of Directors of USA Waste also recommends adoption of such proposal.</w:t>
      </w:r>
    </w:p>
    <w:p>
      <w:pPr>
        <w:spacing w:after="0" w:line="352"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The Board of Directors of Sanifill has approved the Merger Agreement and has directed that it be submitted to the stockholders of Sanifill for their consideration. The Board of Directors of Sanifill unanimously recommends that the stockholders of Sanifill approve and adopt the Merger Agreement. See "The Merger and Related Transactions -- Background of the Merger," "-- Sanifill's Reasons for the Merger" and "-- Recommendation of the Board of Directors of Sanifill." In considering the recommendation of the Board of Directors of Sanifill with respect to the Merger, Sanifill stockholders should be aware that certain officers and directors of Sanifill have direct or indirect interests in recommending approval and adoption of the Merger Agreement, apart from their interests as stockholders of Sanifill, which are separate from those of unaffiliated stockholders of Sanifill. See "The Merger and Related Transactions -- Conflicts of Interest."</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CONFLICTS OF INTEREST</w:t>
      </w:r>
    </w:p>
    <w:p>
      <w:pPr>
        <w:spacing w:after="0" w:line="362"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Certain members of the Board of Directors and management of Sanifill have certain interests separate from their interests as stockholders. Such interests include the following: (i) certain officers of Sanifill will become officers and employees of USA Waste upon consummation of the Merger, including Mr. Rodney R. Proto, Sanifill's President and Chief Operating Officer, who will serve as USA Waste's President and Chief Operating Officer to be effective at the Effective Time and who is expected to enter into an employment agreement with USA Waste on terms substantially similar to those contained in employment agreements between USA Waste and its current executive officers and Mr. Lorne D. Bain, Sanifill's Chairman and Chief Executive Officer, and Mr. J. Chris Brewster, Sanifill's Vice President and Chief Financial Officer, who have each executed an employment agreement with USA Waste and Sanifill for a renewable one-year term to be effective at the Effective Time, (ii) Mr. Bain and Mr. Brewster will also receive certain payments under their prior employment agreements with Sanifill as a result of the Merger, (iii) Mr. Proto and two non-officer designees of Sanifill will be elected to the USA Waste Board of Directors and one of such persons will be elected to the Executive Committee of the USA Waste Board of Directors, (iv) any person elected to the USA Waste Board of Directors pursuant to the Merger Agreement who is not an employee of USA Waste will receive an annual grant of options to purchase 10,000 shares of USA Waste Common Stock pursuant to USA Waste's Non-Employee Director Plan, (v) certain officers and directors of Sanifill hold options and warrants to acquire shares of Sanifill Common Stock, which will become options and warrants to acquire shares of USA Waste Common Stock upon consummation of the Merger and (vi) certain officers, directors and employees of Sanifill will be indemnified by USA Waste against certain liabilities. For more information on such conflicts of interest, see "The Merger and Related Transactions -- Conflicts of Interest" and "The Plan of Merger and Terms of the Merger -- Other Agreements."</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OPINIONS OF FINANCIAL ADVISORS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On June 21, 1996, the Board of Directors of USA Waste received a written opinion from Donaldson, Lufkin &amp; Jenrette Securities Corporation ("DLJ") to the effect that, as of such date, the Exchange Ratio (as hereinafter defined) is fair to USA Waste from a financial point of view. On June 21, 1996, the Board of Directors of Sanifill received a written opinion from Merrill Lynch, Pierce, Fenner &amp; Smith Incorporated ("Merrill Lynch") that, as of such date, the Exchange Ratio is fair to the stockholders of Sanifill from a financial point of view. The full texts of the written opinions of DLJ and Merrill Lynch are attached to this Joint Proxy Statement and Prospectus as Annex B and Annex C, respectively. See "The Merger and Related Transactions -- Opinion of Financial Advisor to USA Waste" and "-- Opinion of Financial Advisor to Sanifill."</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TERMS OF THE MERGER</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Exchange Ratio. At the Effective Time, Acquisition will merge with and into Sanifill, and Sanifill will become a wholly owned subsidiary of USA Waste. In the Merger, each outstanding share of Sanifill Common Stock (other than shares of Sanifill Common Stock held by USA Waste) will be converted into 1.70 shares of USA Waste Common Stock (the "Exchange Ratio").</w:t>
      </w:r>
    </w:p>
    <w:p>
      <w:pPr>
        <w:sectPr>
          <w:pgSz w:w="11900" w:h="16838" w:orient="portrait"/>
          <w:cols w:equalWidth="0" w:num="1">
            <w:col w:w="10219"/>
          </w:cols>
          <w:pgMar w:left="240" w:top="295" w:right="1440" w:bottom="1440" w:gutter="0" w:footer="0" w:header="0"/>
        </w:sectPr>
      </w:pPr>
    </w:p>
    <w:p>
      <w:pPr>
        <w:spacing w:after="0" w:line="17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5" w:right="1440" w:bottom="1440" w:gutter="0" w:footer="0" w:header="0"/>
          <w:type w:val="continuous"/>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14</w:t>
      </w:r>
    </w:p>
    <w:p>
      <w:pPr>
        <w:spacing w:after="0" w:line="362"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Based upon the number of shares of USA Waste Common Stock and Sanifill Common Stock outstanding as of the Record Date, approximately 132.3 million shares of USA Waste Common Stock are expected to be outstanding immediately after the Effective Time, of which approximately 43.1 million shares, representing approximately 33% of the total, will be held by former holders of Sanifill Common Stock.</w:t>
      </w:r>
    </w:p>
    <w:p>
      <w:pPr>
        <w:spacing w:after="0" w:line="353"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Fractional Shares. No fractional shares of USA Waste Common Stock will be issued pursuant to the Merger. In lieu of such fractional shares, each holder who would otherwise receive a fractional share will receive cash (without interest) in an amount equal to the product of such fractional part of a share of USA Waste Common Stock multiplied by the average closing price per share of USA Waste Common Stock on the NYSE during the 10 trading days immediately preceding the Effective Time.</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Effective Time of the Merger. The Merger will become effective at such time as shall be stated in a certificate of merger to be filed with the Secretary of State of the State of Delaware (the "Effective Time"). Assuming the requisite stockholder approval of the Merger Agreement is obtained, it is anticipated that the Effective Time of the Merger will occur as soon as practicable following the Meetings. If all other conditions to the Merger have not been satisfied prior to the Meetings, however, it is expected that the Merger will occur as soon as practicable after such conditions have been satisfied or waived.</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Exchange of Sanifill Common Stock Certificates. Promptly after consummation of the Merger, Boston EquiServe (the "Exchange Agent") will mail a letter of transmittal with instructions to each holder of record of Sanifill Common Stock for use in exchanging certificates representing shares of Sanifill Common Stock for certificates representing shares of USA Waste Common Stock and cash in lieu of any fractional shares. CERTIFICATES SHOULD NOT BE SURRENDERED BY THE HOLDERS OF SANIFILL COMMON STOCK UNTIL THEY HAVE RECEIVED THE LETTER OF TRANSMITTAL FROM THE EXCHANGE AGENT. See "The Plan of Merger and Terms of the Merger -- Manner and Basis for Converting Shares."</w:t>
      </w:r>
    </w:p>
    <w:p>
      <w:pPr>
        <w:spacing w:after="0" w:line="17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Assumption of Sanifill Options and Sanifill Warrants. Pursuant to the Merger Agreement and at the Effective Time, USA Waste will assume the obligations under each outstanding option and warrant to purchase Sanifill Common Stock (a "Sanifill Option" or a "Sanifill Warrant," respectively) that remains unexpired and unexercised in whole or in part. Accordingly, each Sanifill Option and Sanifill Warrant will remain outstanding as an option or warrant to purchase, in place of the shares of Sanifill Common Stock previously subject to such Sanifill Option or Sanifill Warrant, that number of shares of USA Waste Common Stock equal to the product of the number of shares of Sanifill Common Stock subject to the Sanifill Option or Sanifill Warrant multiplied by the Exchange Ratio. The exercise price per share of USA Waste Common Stock will be equal to the previous exercise price per share under the Sanifill Option or Sanifill Warrant divided by the Exchange Ratio. See "The Plan of Merger and Terms of the Merger -- Assumption of Sanifill Options and Sanifill Warrants." As of the Record Date, 13 individuals, representing all executive officers and directors of Sanifill, held options and warrants to acquire approximately 1.5 million shares of Sanifill Common Stock at exercise prices ranging from $10.88 to $44.88 per share. See "The Merger and Related Transactions -- Conflicts of Interest."</w:t>
      </w:r>
    </w:p>
    <w:p>
      <w:pPr>
        <w:spacing w:after="0" w:line="363"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Treatment of Sanifill Convertible Debentures. The 5% Convertible Subordinated Debentures Due March 1, 2006 of Sanifill (the "Sanifill Convertible Debentures") that are outstanding immediately prior to the Effective Time will remain outstanding subsequent to the Effective Time as debt instruments of Sanifill, Inc. as the survivor to the Merger (in such capacity, the "Surviving Corporation"). After the Effective Time, each outstanding Sanifill Convertible Debenture will be convertible into the number of shares of USA Waste Common Stock (and cash amount in lieu of fractional shares) that the holder thereof would have had the right to receive upon the Merger if such Sanifill Convertible Debenture had been converted immediately prior to the Effective Time, subject to subsequent anti-dilution adjustments as provided by the terms of the Sanifill Convertible Debentures. After the Merger, Sanifill, as the Surviving Corporation, must enter into a supplemental indenture with Texas Commerce Bank National Association, as Trustee (the "Trustee"), providing for such conversion right into shares of USA Waste Common Stock. As of March 31, 1996, $115 million in aggregate principal amount of Sanifill Convertible Debentures were outstanding.</w:t>
      </w:r>
    </w:p>
    <w:p>
      <w:pPr>
        <w:spacing w:after="0" w:line="362" w:lineRule="exact"/>
        <w:rPr>
          <w:sz w:val="20"/>
          <w:szCs w:val="20"/>
          <w:color w:val="auto"/>
        </w:rPr>
      </w:pPr>
    </w:p>
    <w:p>
      <w:pPr>
        <w:ind w:right="2839" w:firstLine="461"/>
        <w:spacing w:after="0" w:line="252" w:lineRule="auto"/>
        <w:rPr>
          <w:sz w:val="20"/>
          <w:szCs w:val="20"/>
          <w:color w:val="auto"/>
        </w:rPr>
      </w:pPr>
      <w:r>
        <w:rPr>
          <w:rFonts w:ascii="Courier New" w:cs="Courier New" w:eastAsia="Courier New" w:hAnsi="Courier New"/>
          <w:sz w:val="15"/>
          <w:szCs w:val="15"/>
          <w:color w:val="auto"/>
        </w:rPr>
        <w:t>Indemnification and Insurance. The Merger Agreement provides that the officers, directors, employees and agents of Sanifill will be indemnified by USA Waste against certain liabilities and costs, including those</w:t>
      </w:r>
    </w:p>
    <w:p>
      <w:pPr>
        <w:sectPr>
          <w:pgSz w:w="11900" w:h="16838" w:orient="portrait"/>
          <w:cols w:equalWidth="0" w:num="1">
            <w:col w:w="10219"/>
          </w:cols>
          <w:pgMar w:left="240" w:top="295" w:right="1440" w:bottom="1440" w:gutter="0" w:footer="0" w:header="0"/>
        </w:sectPr>
      </w:pPr>
    </w:p>
    <w:p>
      <w:pPr>
        <w:spacing w:after="0" w:line="17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5" w:right="1440" w:bottom="1440" w:gutter="0" w:footer="0" w:header="0"/>
          <w:type w:val="continuous"/>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15</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arising out of, relating to or in connection with any action or omission occurring prior to the Effective Time or arising out of or pertaining to the transactions contemplated by the Merger Agreement. In addition, pursuant to the terms of the Merger Agreement, USA Waste has agreed to maintain in effect, for a period of six years after the Effective Time, the current policies of directors' and officers' liability insurance maintained by Sanifill and its subsidiaries (or substantially equivalent policies) with respect to matters arising prior to the Effective Time; provided, however, that USA Waste is only required to obtain as much coverage as can be obtained by paying an annual premium less than or equal to two times the current annual premiums for such insurance coverage. In connection with the execution of the Merger Agreement, USA Waste and Sanifill entered into a letter agreement dated as of June 22, 1996 (the "Indemnification Letter Agreement") which provides that the Certificate of Incorporation of the Surviving Corporation as of the Effective Time will contain provisions for the indemnification of officers and directors and related matters identical to the provisions governing such matters contained in the USA Waste Restated Certificate of Incorporation as of June 22, 1996. See "The Plan of Merger and Terms of the Merger -- Indemnification and Insurance."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MERGER</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Certain Federal Income Tax Consequences. It is a condition precedent to the closing of the Merger (i) that USA Waste receive an opinion of its counsel to the effect that no gain or loss will be recognized by USA Waste or Acquisition for U.S. federal income tax purposes as a result of the Merger and (ii) that Sanifill receive an opinion of its counsel to the effect that, in general, no gain or loss will be recognized by Sanifill or holders of Sanifill Common Stock as a result of consummation of the Merger. See "The Merger and Related Transactions -- Certain Federal Income Tax Consequences."</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Accounting Treatment. It is a condition precedent to the closing of the Merger that USA Waste and Sanifill receive letters from Coopers &amp; Lybrand L.L.P. and Arthur Andersen LLP, respectively, dated as of the Effective Time, affirming the appropriateness of "pooling of interests" accounting for the Merger under Accounting Principles Board Opinion No. 16 if consummated in accordance with the Merger Agreement. See "The Merger and Related Transactions -- Accounting Treatment."</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Governmental and Regulatory Approvals. Consummation of the Merger is conditioned upon the expiration or termination of the waiting period applicable under the Hart-Scott-Rodino Antitrust Improvements Act of 1976, as amended (the "HSR Act"). On July 1, 1996, USA Waste and Sanifill filed notification reports under the HSR Act with the Federal Trade Commission and the Antitrust Division of the Department of Justice. The waiting period will expire at 11:59 p.m., on July 31, 1996 unless extended or earlier terminated. See "The Merger and Related Transactions -- Government and Regulatory Approvals." USA Waste and Sanifill are aware of no other governmental or regulatory approvals required for consummation of the Merger, other than as required to comply with applicable federal and state securities laws and as may be required with respect to environmental permits held by Sanifill subsidiaries in certain states that would deem the Merger to be a transfer of those permits.</w:t>
      </w:r>
    </w:p>
    <w:p>
      <w:pPr>
        <w:spacing w:after="0" w:line="183"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No Injunction Preventing Merger. Consummation of the Merger is subject to the condition that no injunction or decree by any federal or state court that prevents the consummation of the Merger shall have been issued and remain in effect.</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Other Conditions to the Merger. In addition to the approval and adoption of the Merger Agreement by the requisite votes of USA Waste stockholders and Sanifill stockholders and the satisfaction of the conditions described above, the respective obligations of USA Waste and Sanifill to effect the Merger are subject to the satisfaction or waiver, where permissible, of certain other conditions, including, without limitation, (i) the shares of USA Waste Common Stock issuable in the Merger and those to be reserved for issuance upon exercise of stock options or warrants or the conversion of convertible securities shall have been authorized for listing on the NYSE, subject to official notice of issuance, and (ii) the Registration Statement shall have become effective and no stop order suspending such effectiveness (or any proceeding for that purpose) shall be in effect. It is also a condition to the implementation of the Merger that Proposal No. 2 to amend USA Waste's Restated Certificate of Incorporation to increase the number of authorized shares of USA Waste Common Stock to 300,000,0000 shares be approved by the stockholders of USA Waste. In addition, the</w:t>
      </w:r>
    </w:p>
    <w:p>
      <w:pPr>
        <w:sectPr>
          <w:pgSz w:w="11900" w:h="16838" w:orient="portrait"/>
          <w:cols w:equalWidth="0" w:num="1">
            <w:col w:w="10219"/>
          </w:cols>
          <w:pgMar w:left="240" w:top="295" w:right="1440" w:bottom="1440" w:gutter="0" w:footer="0" w:header="0"/>
        </w:sectPr>
      </w:pPr>
    </w:p>
    <w:p>
      <w:pPr>
        <w:spacing w:after="0" w:line="36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5" w:right="1440" w:bottom="1440" w:gutter="0" w:footer="0" w:header="0"/>
          <w:type w:val="continuous"/>
        </w:sectPr>
      </w:pPr>
    </w:p>
    <w:bookmarkStart w:id="16" w:name="page17"/>
    <w:bookmarkEnd w:id="16"/>
    <w:p>
      <w:pPr>
        <w:ind w:left="285"/>
        <w:spacing w:after="0"/>
        <w:rPr>
          <w:sz w:val="20"/>
          <w:szCs w:val="20"/>
          <w:color w:val="auto"/>
        </w:rPr>
      </w:pPr>
      <w:r>
        <w:rPr>
          <w:rFonts w:ascii="Courier New" w:cs="Courier New" w:eastAsia="Courier New" w:hAnsi="Courier New"/>
          <w:sz w:val="15"/>
          <w:szCs w:val="15"/>
          <w:color w:val="auto"/>
        </w:rPr>
        <w:t>16</w:t>
      </w:r>
    </w:p>
    <w:p>
      <w:pPr>
        <w:spacing w:after="0" w:line="185"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obligation of USA Waste to effect the Merger is subject to the receipt of letters from affiliates of USA Waste and Sanifill to the effect that such persons will not dispose of USA Waste Common Stock except pursuant to an effective registration statement or in compliance with Rule 145 (or an otherwise exempt transaction) and, in any case, until after the results covering 30 days of post-Merger combined operations of USA Waste and Sanifill have been filed with the Commission, sent to USA Waste's stockholders or otherwise publicly issued. See "The Plan of Merger and Terms of the Merger -- Conditions to the Merger."</w:t>
      </w:r>
    </w:p>
    <w:p>
      <w:pPr>
        <w:spacing w:after="0" w:line="35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 SOLICITATION</w:t>
      </w:r>
    </w:p>
    <w:p>
      <w:pPr>
        <w:spacing w:after="0" w:line="185"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The Merger Agreement provides that Sanifill will not, and will not permit any of its subsidiaries to, initiate, solicit, negotiate, encourage or provide non-public or confidential information to facilitate, and Sanifill will, and will cause each of its subsidiaries to, cause any officer, director or employee, or any attorney, accountant, investment banker, financial advisor or other agent retained by it, not to initiate, solicit, negotiate, encourage or provide non-public or confidential information to facilitate, any proposal or offer to acquire all or any substantial part of the business and properties or any capital stock of Sanifill (any such transaction being referred to as an "Acquisition Transaction"). Notwithstanding the foregoing, Sanifill may, under certain circumstances, furnish to a financially capable corporation, partnership, person or other entity or group (a "Potential Acquirer") confidential or non-public information concerning its business, properties or assets in response to an unsolicited written proposal or indication of interest with respect to a potential or proposed Acquisition Transaction. Sanifill may negotiate with a Potential Acquirer if its Board of Directors, after consulting with its legal counsel, determines in good faith that the failure to provide such confidential or non-public information to or negotiate with such Potential Acquirer would constitute a breach of the Board's fiduciary duty to Sanifill's stockholders. See "The Merger Agreement and Terms of the Merger -- No Solicitation of Acquisition Transactions."</w:t>
      </w:r>
    </w:p>
    <w:p>
      <w:pPr>
        <w:spacing w:after="0" w:line="18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TERMINATION OR AMENDMENT OF MERGER AGREEMENT</w:t>
      </w:r>
    </w:p>
    <w:p>
      <w:pPr>
        <w:spacing w:after="0" w:line="185"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Termination. The Merger Agreement may be terminated under certain circumstances, including (a) with the mutual written consent of USA Waste and Sanifill or (b) by either USA Waste or Sanifill at any time prior to the consummation of the Merger if (i) the Merger is not completed by December 31, 1996, for reasons other than delay on the part of the party requesting termination (the "Terminating Party"), (ii) (x) the representations and warranties of the non-Terminating Party shall fail to be true and correct in all material respects on and as of the date made or, except in the case of any such representations and warranties made as of a specified date, on and as of any subsequent date as if made at and as of such subsequent date and (y) such failure shall not have been cured within 30 days after written notice of such failure is given to the non-Terminating Party by the Terminating Party, (iii) the Merger is enjoined by a final, unappealable court order not entered at the request or with the support of the party requesting termination, (iv) the non-Terminating Party (x) fails to perform in any material respect any of its material covenants in the Merger Agreement and (y) does not cure such default in all material respects within 30 days after notice of such default is given to the non-Terminating Party by the Terminating Party, or (v) the stockholders of the non-Terminating Party fail to approve the Merger at a duly held meeting of the stockholders called for such purpose or any adjournment thereof. Additionally, Sanifill may terminate the Merger Agreement if (i) (x) Sanifill receives an offer or proposal from any Potential Acquirer (excluding any affiliate of Sanifill or any group of which any affiliate of Sanifill is a member) with respect to a merger, sale of substantial assets or other business combination involving Sanifill, (y) Sanifill's Board of Directors determines, in good faith and after consultation with an independent financial advisor, that such offer or proposal (if consummated pursuant to its terms) would result in an Acquisition Transaction more favorable to Sanifill's stockholders than the Merger (any such offer or proposal being referred to as a "Superior Proposal") and resolves to accept such Superior Proposal and (z) Sanifill shall have given USA Waste two days' prior written notice of its intention to terminate or (ii)</w:t>
      </w:r>
    </w:p>
    <w:p>
      <w:pPr>
        <w:spacing w:after="0" w:line="14" w:lineRule="exact"/>
        <w:rPr>
          <w:sz w:val="20"/>
          <w:szCs w:val="20"/>
          <w:color w:val="auto"/>
        </w:rPr>
      </w:pPr>
    </w:p>
    <w:p>
      <w:pPr>
        <w:ind w:left="5" w:right="3019" w:hanging="5"/>
        <w:spacing w:after="0" w:line="251" w:lineRule="auto"/>
        <w:tabs>
          <w:tab w:leader="none" w:pos="37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tender or exchange offer is commenced by a Potential Acquirer (excluding any affiliate of Sanifill or any group of which any affiliate of Sanifill is a member) for all outstanding shares of Sanifill Common Stock, (y) Sanifill's Board of Directors determines, in good faith and after consultation with an independent financial advisor, that such offer constitutes a Superior Proposal and resolves to accept such Superior Proposal or recommend to the stockholders that they tender their shares in such tender or exchange</w:t>
      </w:r>
    </w:p>
    <w:p>
      <w:pPr>
        <w:sectPr>
          <w:pgSz w:w="11900" w:h="16838" w:orient="portrait"/>
          <w:cols w:equalWidth="0" w:num="1">
            <w:col w:w="10225"/>
          </w:cols>
          <w:pgMar w:left="235" w:top="295" w:right="1440" w:bottom="1440" w:gutter="0" w:footer="0" w:header="0"/>
        </w:sectPr>
      </w:pPr>
    </w:p>
    <w:p>
      <w:pPr>
        <w:spacing w:after="0" w:line="176"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5"/>
          </w:cols>
          <w:pgMar w:left="235" w:top="295" w:right="1440"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17</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offer and (z) Sanifill shall have given USA Waste two days' prior written notice of its intention to terminate. Similarly, USA Waste may terminate the Merger Agreement if the Board of Directors of Sanifill shall have resolved to accept a Superior Proposal or shall have recommended to Sanifill's stockholders that they tender their shares in a tender or an exchange offer commenced by a third party (excluding any affiliate of USA Waste or any group of which any affiliate of USA Waste is a member).</w:t>
      </w:r>
    </w:p>
    <w:p>
      <w:pPr>
        <w:spacing w:after="0" w:line="176" w:lineRule="exact"/>
        <w:rPr>
          <w:sz w:val="20"/>
          <w:szCs w:val="20"/>
          <w:color w:val="auto"/>
        </w:rPr>
      </w:pPr>
    </w:p>
    <w:p>
      <w:pPr>
        <w:ind w:right="3119" w:firstLine="461"/>
        <w:spacing w:after="0" w:line="251" w:lineRule="auto"/>
        <w:rPr>
          <w:sz w:val="20"/>
          <w:szCs w:val="20"/>
          <w:color w:val="auto"/>
        </w:rPr>
      </w:pPr>
      <w:r>
        <w:rPr>
          <w:rFonts w:ascii="Courier New" w:cs="Courier New" w:eastAsia="Courier New" w:hAnsi="Courier New"/>
          <w:sz w:val="15"/>
          <w:szCs w:val="15"/>
          <w:color w:val="auto"/>
        </w:rPr>
        <w:t>Amendment. The Merger Agreement may be amended or supplemented by an instrument in writing signed on behalf of each party and in compliance with applicable law. Such amendment may occur at any time before the Merger, including after the Merger Agreement has been approved by the stockholders of USA Waste and the stockholders of Sanifill at the Meetings. See "The Plan of Merger and Terms of the Merger -- Termination or Amendment."</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Termination Fees; Expenses. Under certain circumstances, USA Waste or Sanifill may be required to pay the other a fee of $39 million upon termination of the Merger Agreement. Certain expenses incurred in connection with this Joint Proxy Statement and Prospectus will be shared equally by USA Waste and Sanifill. All other costs and expenses incurred in connection with the Merger Agreement and the transactions contemplated thereby shall be paid by the party incurring such expenses, whether or not the Merger is consummated. See "The Plan of Merger and Terms of the Merger -- Termination Fees" and "-- Expenses."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APPRAISAL OR DISSENTERS' RIGHTS</w:t>
      </w:r>
    </w:p>
    <w:p>
      <w:pPr>
        <w:spacing w:after="0" w:line="185"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Delaware law does not require that holders of USA Waste Common Stock or Sanifill Common Stock who object to the Merger and who vote against or abstain from voting in favor of the Merger be afforded any appraisal or dissenters' rights or the right to receive cash for their shares. Neither USA Waste nor Sanifill intends to make available any such rights to its stockholders.</w:t>
      </w:r>
    </w:p>
    <w:p>
      <w:pPr>
        <w:spacing w:after="0" w:line="17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STOCKHOLDERS' COMPARATIVE RIGHTS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rights of stockholders of Sanifill are currently governed by Delaware law, the Sanifill Certificate of Incorporation and the Sanifill Bylaws. The rights of stockholders of USA Waste are governed by Delaware law and the USA Waste Restated Certificate of Incorporation and the USA Waste Bylaws. Upon consummation of the Merger, stockholders of Sanifill will become stockholders of USA Waste and, as such, their rights thereafter will be governed by Delaware law, the USA Waste Restated Certificate of Incorporation and the USA Waste Bylaws. See "Comparison of Rights of Stockholders of USA Waste and Sanifill."</w:t>
      </w:r>
    </w:p>
    <w:p>
      <w:pPr>
        <w:spacing w:after="0" w:line="17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5"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18</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MARKET PRICE DATA</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USA Waste Common Stock is traded on the NYSE under the symbol "UW." Sanifill Common Stock is traded on the NYSE under the symbol "FIL." The following table sets forth the range of high and low sale prices for USA Waste Common Stock and Sanifill Common Stock as reported on the NYSE for the calendar quarters indicated.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4900" w:type="dxa"/>
            <w:vAlign w:val="bottom"/>
          </w:tcPr>
          <w:p>
            <w:pPr>
              <w:spacing w:after="0"/>
              <w:rPr>
                <w:sz w:val="14"/>
                <w:szCs w:val="14"/>
                <w:color w:val="auto"/>
              </w:rPr>
            </w:pPr>
          </w:p>
        </w:tc>
        <w:tc>
          <w:tcPr>
            <w:tcW w:w="12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USA WASTE</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w w:val="99"/>
              </w:rPr>
              <w:t>SANIFILL</w:t>
            </w:r>
          </w:p>
        </w:tc>
        <w:tc>
          <w:tcPr>
            <w:tcW w:w="320" w:type="dxa"/>
            <w:vAlign w:val="bottom"/>
          </w:tcPr>
          <w:p>
            <w:pPr>
              <w:spacing w:after="0"/>
              <w:rPr>
                <w:sz w:val="14"/>
                <w:szCs w:val="14"/>
                <w:color w:val="auto"/>
              </w:rPr>
            </w:pPr>
          </w:p>
        </w:tc>
      </w:tr>
      <w:tr>
        <w:trPr>
          <w:trHeight w:val="177"/>
        </w:trPr>
        <w:tc>
          <w:tcPr>
            <w:tcW w:w="4900" w:type="dxa"/>
            <w:vAlign w:val="bottom"/>
          </w:tcPr>
          <w:p>
            <w:pPr>
              <w:spacing w:after="0"/>
              <w:rPr>
                <w:sz w:val="15"/>
                <w:szCs w:val="15"/>
                <w:color w:val="auto"/>
              </w:rPr>
            </w:pPr>
          </w:p>
        </w:tc>
        <w:tc>
          <w:tcPr>
            <w:tcW w:w="1420" w:type="dxa"/>
            <w:vAlign w:val="bottom"/>
            <w:gridSpan w:val="4"/>
          </w:tcPr>
          <w:p>
            <w:pPr>
              <w:jc w:val="right"/>
              <w:ind w:right="63"/>
              <w:spacing w:after="0"/>
              <w:rPr>
                <w:sz w:val="20"/>
                <w:szCs w:val="20"/>
                <w:color w:val="auto"/>
              </w:rPr>
            </w:pPr>
            <w:r>
              <w:rPr>
                <w:rFonts w:ascii="Courier New" w:cs="Courier New" w:eastAsia="Courier New" w:hAnsi="Courier New"/>
                <w:sz w:val="15"/>
                <w:szCs w:val="15"/>
                <w:color w:val="auto"/>
              </w:rPr>
              <w:t>COMMON STOCK</w:t>
            </w:r>
          </w:p>
        </w:tc>
        <w:tc>
          <w:tcPr>
            <w:tcW w:w="460" w:type="dxa"/>
            <w:vAlign w:val="bottom"/>
          </w:tcPr>
          <w:p>
            <w:pPr>
              <w:spacing w:after="0"/>
              <w:rPr>
                <w:sz w:val="15"/>
                <w:szCs w:val="15"/>
                <w:color w:val="auto"/>
              </w:rPr>
            </w:pPr>
          </w:p>
        </w:tc>
        <w:tc>
          <w:tcPr>
            <w:tcW w:w="1580" w:type="dxa"/>
            <w:vAlign w:val="bottom"/>
            <w:gridSpan w:val="3"/>
          </w:tcPr>
          <w:p>
            <w:pPr>
              <w:jc w:val="right"/>
              <w:ind w:right="63"/>
              <w:spacing w:after="0"/>
              <w:rPr>
                <w:sz w:val="20"/>
                <w:szCs w:val="20"/>
                <w:color w:val="auto"/>
              </w:rPr>
            </w:pPr>
            <w:r>
              <w:rPr>
                <w:rFonts w:ascii="Courier New" w:cs="Courier New" w:eastAsia="Courier New" w:hAnsi="Courier New"/>
                <w:sz w:val="15"/>
                <w:szCs w:val="15"/>
                <w:color w:val="auto"/>
              </w:rPr>
              <w:t>COMMON STOCK</w:t>
            </w:r>
          </w:p>
        </w:tc>
        <w:tc>
          <w:tcPr>
            <w:tcW w:w="320" w:type="dxa"/>
            <w:vAlign w:val="bottom"/>
          </w:tcPr>
          <w:p>
            <w:pPr>
              <w:spacing w:after="0"/>
              <w:rPr>
                <w:sz w:val="15"/>
                <w:szCs w:val="15"/>
                <w:color w:val="auto"/>
              </w:rPr>
            </w:pPr>
          </w:p>
        </w:tc>
      </w:tr>
      <w:tr>
        <w:trPr>
          <w:trHeight w:val="177"/>
        </w:trPr>
        <w:tc>
          <w:tcPr>
            <w:tcW w:w="490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Courier New" w:cs="Courier New" w:eastAsia="Courier New" w:hAnsi="Courier New"/>
                <w:sz w:val="13"/>
                <w:szCs w:val="13"/>
                <w:color w:val="auto"/>
                <w:w w:val="75"/>
              </w:rPr>
              <w: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r>
      <w:tr>
        <w:trPr>
          <w:trHeight w:val="177"/>
        </w:trPr>
        <w:tc>
          <w:tcPr>
            <w:tcW w:w="4900" w:type="dxa"/>
            <w:vAlign w:val="bottom"/>
          </w:tcPr>
          <w:p>
            <w:pPr>
              <w:spacing w:after="0"/>
              <w:rPr>
                <w:sz w:val="15"/>
                <w:szCs w:val="15"/>
                <w:color w:val="auto"/>
              </w:rPr>
            </w:pP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HIGH</w:t>
            </w:r>
          </w:p>
        </w:tc>
        <w:tc>
          <w:tcPr>
            <w:tcW w:w="380" w:type="dxa"/>
            <w:vAlign w:val="bottom"/>
          </w:tcPr>
          <w:p>
            <w:pPr>
              <w:spacing w:after="0"/>
              <w:rPr>
                <w:sz w:val="15"/>
                <w:szCs w:val="15"/>
                <w:color w:val="auto"/>
              </w:rPr>
            </w:pPr>
          </w:p>
        </w:tc>
        <w:tc>
          <w:tcPr>
            <w:tcW w:w="5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LOW</w:t>
            </w:r>
          </w:p>
        </w:tc>
        <w:tc>
          <w:tcPr>
            <w:tcW w:w="4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HIGH</w:t>
            </w:r>
          </w:p>
        </w:tc>
        <w:tc>
          <w:tcPr>
            <w:tcW w:w="500" w:type="dxa"/>
            <w:vAlign w:val="bottom"/>
          </w:tcPr>
          <w:p>
            <w:pPr>
              <w:spacing w:after="0"/>
              <w:rPr>
                <w:sz w:val="15"/>
                <w:szCs w:val="15"/>
                <w:color w:val="auto"/>
              </w:rPr>
            </w:pPr>
          </w:p>
        </w:tc>
        <w:tc>
          <w:tcPr>
            <w:tcW w:w="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LOW</w:t>
            </w:r>
          </w:p>
        </w:tc>
        <w:tc>
          <w:tcPr>
            <w:tcW w:w="320" w:type="dxa"/>
            <w:vAlign w:val="bottom"/>
          </w:tcPr>
          <w:p>
            <w:pPr>
              <w:spacing w:after="0"/>
              <w:rPr>
                <w:sz w:val="15"/>
                <w:szCs w:val="15"/>
                <w:color w:val="auto"/>
              </w:rPr>
            </w:pPr>
          </w:p>
        </w:tc>
      </w:tr>
      <w:tr>
        <w:trPr>
          <w:trHeight w:val="177"/>
        </w:trPr>
        <w:tc>
          <w:tcPr>
            <w:tcW w:w="490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r>
      <w:tr>
        <w:trPr>
          <w:trHeight w:val="355"/>
        </w:trPr>
        <w:tc>
          <w:tcPr>
            <w:tcW w:w="490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77"/>
        </w:trPr>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First Quarter.....................................</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$ 15</w:t>
            </w:r>
          </w:p>
        </w:tc>
        <w:tc>
          <w:tcPr>
            <w:tcW w:w="380" w:type="dxa"/>
            <w:vAlign w:val="bottom"/>
          </w:tcPr>
          <w:p>
            <w:pPr>
              <w:spacing w:after="0"/>
              <w:rPr>
                <w:sz w:val="15"/>
                <w:szCs w:val="15"/>
                <w:color w:val="auto"/>
              </w:rPr>
            </w:pPr>
          </w:p>
        </w:tc>
        <w:tc>
          <w:tcPr>
            <w:tcW w:w="2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spacing w:after="0"/>
              <w:rPr>
                <w:sz w:val="20"/>
                <w:szCs w:val="20"/>
                <w:color w:val="auto"/>
              </w:rPr>
            </w:pPr>
            <w:r>
              <w:rPr>
                <w:rFonts w:ascii="Courier New" w:cs="Courier New" w:eastAsia="Courier New" w:hAnsi="Courier New"/>
                <w:sz w:val="15"/>
                <w:szCs w:val="15"/>
                <w:color w:val="auto"/>
              </w:rPr>
              <w:t>11 3/8</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$ 25</w:t>
            </w:r>
          </w:p>
        </w:tc>
        <w:tc>
          <w:tcPr>
            <w:tcW w:w="50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$ 20 1/2</w:t>
            </w:r>
          </w:p>
        </w:tc>
      </w:tr>
      <w:tr>
        <w:trPr>
          <w:trHeight w:val="177"/>
        </w:trPr>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Second Quarter....................................</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w:t>
            </w:r>
          </w:p>
        </w:tc>
        <w:tc>
          <w:tcPr>
            <w:tcW w:w="38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6"/>
              </w:rPr>
              <w:t>3/8</w:t>
            </w:r>
          </w:p>
        </w:tc>
        <w:tc>
          <w:tcPr>
            <w:tcW w:w="28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4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3/8</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5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5/8</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320" w:type="dxa"/>
            <w:vAlign w:val="bottom"/>
          </w:tcPr>
          <w:p>
            <w:pPr>
              <w:spacing w:after="0"/>
              <w:rPr>
                <w:sz w:val="15"/>
                <w:szCs w:val="15"/>
                <w:color w:val="auto"/>
              </w:rPr>
            </w:pPr>
          </w:p>
        </w:tc>
      </w:tr>
      <w:tr>
        <w:trPr>
          <w:trHeight w:val="177"/>
        </w:trPr>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Third Quarter.....................................</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w:t>
            </w:r>
          </w:p>
        </w:tc>
        <w:tc>
          <w:tcPr>
            <w:tcW w:w="38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6"/>
              </w:rPr>
              <w:t>1/8</w:t>
            </w:r>
          </w:p>
        </w:tc>
        <w:tc>
          <w:tcPr>
            <w:tcW w:w="28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4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5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7"/>
        </w:trPr>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Fourth Quarter....................................</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w:t>
            </w:r>
          </w:p>
        </w:tc>
        <w:tc>
          <w:tcPr>
            <w:tcW w:w="38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6"/>
              </w:rPr>
              <w:t>1/8</w:t>
            </w:r>
          </w:p>
        </w:tc>
        <w:tc>
          <w:tcPr>
            <w:tcW w:w="28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4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5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7"/>
        </w:trPr>
        <w:tc>
          <w:tcPr>
            <w:tcW w:w="490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7"/>
        </w:trPr>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First Quarter.....................................</w:t>
            </w:r>
          </w:p>
        </w:tc>
        <w:tc>
          <w:tcPr>
            <w:tcW w:w="92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$ 12 3/8</w:t>
            </w:r>
          </w:p>
        </w:tc>
        <w:tc>
          <w:tcPr>
            <w:tcW w:w="2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4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$ 27</w:t>
            </w:r>
          </w:p>
        </w:tc>
        <w:tc>
          <w:tcPr>
            <w:tcW w:w="50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$ 22 3/8</w:t>
            </w:r>
          </w:p>
        </w:tc>
      </w:tr>
      <w:tr>
        <w:trPr>
          <w:trHeight w:val="177"/>
        </w:trPr>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Second Quarter....................................</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w:t>
            </w:r>
          </w:p>
        </w:tc>
        <w:tc>
          <w:tcPr>
            <w:tcW w:w="38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6"/>
              </w:rPr>
              <w:t>5/8</w:t>
            </w:r>
          </w:p>
        </w:tc>
        <w:tc>
          <w:tcPr>
            <w:tcW w:w="28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4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5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5/8</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320" w:type="dxa"/>
            <w:vAlign w:val="bottom"/>
          </w:tcPr>
          <w:p>
            <w:pPr>
              <w:spacing w:after="0"/>
              <w:rPr>
                <w:sz w:val="15"/>
                <w:szCs w:val="15"/>
                <w:color w:val="auto"/>
              </w:rPr>
            </w:pPr>
          </w:p>
        </w:tc>
      </w:tr>
      <w:tr>
        <w:trPr>
          <w:trHeight w:val="177"/>
        </w:trPr>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Third Quarter.....................................</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w:t>
            </w:r>
          </w:p>
        </w:tc>
        <w:tc>
          <w:tcPr>
            <w:tcW w:w="38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6"/>
              </w:rPr>
              <w:t>7/8</w:t>
            </w:r>
          </w:p>
        </w:tc>
        <w:tc>
          <w:tcPr>
            <w:tcW w:w="28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4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5/8</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5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1/8</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7"/>
        </w:trPr>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Fourth Quarter....................................</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w:t>
            </w:r>
          </w:p>
        </w:tc>
        <w:tc>
          <w:tcPr>
            <w:tcW w:w="38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6"/>
              </w:rPr>
              <w:t>1/2</w:t>
            </w:r>
          </w:p>
        </w:tc>
        <w:tc>
          <w:tcPr>
            <w:tcW w:w="28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Courier New" w:cs="Courier New" w:eastAsia="Courier New" w:hAnsi="Courier New"/>
                <w:sz w:val="15"/>
                <w:szCs w:val="15"/>
                <w:color w:val="auto"/>
              </w:rPr>
              <w:t>17</w:t>
            </w:r>
          </w:p>
        </w:tc>
        <w:tc>
          <w:tcPr>
            <w:tcW w:w="4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5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7"/>
        </w:trPr>
        <w:tc>
          <w:tcPr>
            <w:tcW w:w="49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7"/>
        </w:trPr>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First Quarter.....................................</w:t>
            </w:r>
          </w:p>
        </w:tc>
        <w:tc>
          <w:tcPr>
            <w:tcW w:w="92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$ 25 5/8</w:t>
            </w:r>
          </w:p>
        </w:tc>
        <w:tc>
          <w:tcPr>
            <w:tcW w:w="2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spacing w:after="0"/>
              <w:rPr>
                <w:sz w:val="20"/>
                <w:szCs w:val="20"/>
                <w:color w:val="auto"/>
              </w:rPr>
            </w:pPr>
            <w:r>
              <w:rPr>
                <w:rFonts w:ascii="Courier New" w:cs="Courier New" w:eastAsia="Courier New" w:hAnsi="Courier New"/>
                <w:sz w:val="15"/>
                <w:szCs w:val="15"/>
                <w:color w:val="auto"/>
              </w:rPr>
              <w:t>17 1/4</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$ 39 1/4</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$ 33</w:t>
            </w:r>
          </w:p>
        </w:tc>
        <w:tc>
          <w:tcPr>
            <w:tcW w:w="320" w:type="dxa"/>
            <w:vAlign w:val="bottom"/>
          </w:tcPr>
          <w:p>
            <w:pPr>
              <w:spacing w:after="0"/>
              <w:rPr>
                <w:sz w:val="15"/>
                <w:szCs w:val="15"/>
                <w:color w:val="auto"/>
              </w:rPr>
            </w:pPr>
          </w:p>
        </w:tc>
      </w:tr>
      <w:tr>
        <w:trPr>
          <w:trHeight w:val="177"/>
        </w:trPr>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Second Quarter....................................</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w:t>
            </w:r>
          </w:p>
        </w:tc>
        <w:tc>
          <w:tcPr>
            <w:tcW w:w="38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6"/>
              </w:rPr>
              <w:t>1/2</w:t>
            </w:r>
          </w:p>
        </w:tc>
        <w:tc>
          <w:tcPr>
            <w:tcW w:w="28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Courier New" w:cs="Courier New" w:eastAsia="Courier New" w:hAnsi="Courier New"/>
                <w:sz w:val="15"/>
                <w:szCs w:val="15"/>
                <w:color w:val="auto"/>
              </w:rPr>
              <w:t>24</w:t>
            </w:r>
          </w:p>
        </w:tc>
        <w:tc>
          <w:tcPr>
            <w:tcW w:w="4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5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1/8</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r>
      <w:tr>
        <w:trPr>
          <w:trHeight w:val="177"/>
        </w:trPr>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Third Quarter (through July 18)...................</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Courier New" w:cs="Courier New" w:eastAsia="Courier New" w:hAnsi="Courier New"/>
                <w:sz w:val="15"/>
                <w:szCs w:val="15"/>
                <w:color w:val="auto"/>
              </w:rPr>
              <w:t>23</w:t>
            </w:r>
          </w:p>
        </w:tc>
        <w:tc>
          <w:tcPr>
            <w:tcW w:w="4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5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7/8</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3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On June 21, 1996, the last trading day prior to announcement by USA Waste and Sanifill that they had reached an agreement concerning the Merger, the closing sale price of USA Waste Common Stock as reported on the NYSE was $27 1/4 per share, and the closing sale price of Sanifill Common Stock as reported on the NYSE was $47 7/8 per share. The equivalent per share price of Sanifill Common Stock on June 21, 1996, calculated by multiplying the closing sale price of USA Waste Common Stock on the same date by the Exchange Ratio, was $47.3875.</w:t>
      </w:r>
    </w:p>
    <w:p>
      <w:pPr>
        <w:spacing w:after="0" w:line="200" w:lineRule="exact"/>
        <w:rPr>
          <w:sz w:val="20"/>
          <w:szCs w:val="20"/>
          <w:color w:val="auto"/>
        </w:rPr>
      </w:pPr>
    </w:p>
    <w:p>
      <w:pPr>
        <w:spacing w:after="0" w:line="330"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On July 18, 1996, the closing sale price of USA Waste Common Stock as reported on the NYSE was $27 1/4 per share, and the closing sale price of Sanifill Common Stock as reported on the NYSE was $45 7/8 per share. Following the Merger, USA Waste Common Stock will continue to be traded on the NYSE under the symbol "UW," and the listing of Sanifill Common Stock on the NYSE will be terminated.</w:t>
      </w:r>
    </w:p>
    <w:p>
      <w:pPr>
        <w:spacing w:after="0" w:line="35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5"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19</w:t>
      </w:r>
    </w:p>
    <w:p>
      <w:pPr>
        <w:spacing w:after="0" w:line="185"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SUMMARY FINANCIAL INFORMATION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CONSOLIDATED FINANCIAL DATA</w:t>
      </w:r>
    </w:p>
    <w:p>
      <w:pPr>
        <w:spacing w:after="0" w:line="185" w:lineRule="exact"/>
        <w:rPr>
          <w:sz w:val="20"/>
          <w:szCs w:val="20"/>
          <w:color w:val="auto"/>
        </w:rPr>
      </w:pPr>
    </w:p>
    <w:p>
      <w:pPr>
        <w:ind w:right="3220" w:firstLine="461"/>
        <w:spacing w:after="0" w:line="250" w:lineRule="auto"/>
        <w:rPr>
          <w:sz w:val="20"/>
          <w:szCs w:val="20"/>
          <w:color w:val="auto"/>
        </w:rPr>
      </w:pPr>
      <w:r>
        <w:rPr>
          <w:rFonts w:ascii="Courier New" w:cs="Courier New" w:eastAsia="Courier New" w:hAnsi="Courier New"/>
          <w:sz w:val="15"/>
          <w:szCs w:val="15"/>
          <w:color w:val="auto"/>
        </w:rPr>
        <w:t>The following summary consolidated financial data of USA Waste for each of the three years in the period ended December 31, 1995 were derived from USA Waste's audited supplemental consolidated financial statements and for the three months ended March 31, 1995 and 1996, were derived from USA Waste's unaudited supplemental consolidated financial statements. These supplemental consolidated financial statements have been prepared to give retroactive effect to USA Waste's merger with Western Waste Industries on May 7, 1996 using the "pooling of interests" method of accounting for business combinations. The following summary historical consolidated financial data of Sanifill for the three years ended December 31, 1995 were derived from Sanifill's historical consolidated audited financial statements and for the three months ended March 31, 1995 and 1996 were derived from Sanifill's historical unaudited consolidated financial statements. Such unaudited data for USA Waste and Sanifill include all adjustments, consisting of normal recurring accruals, which their respective managements consider necessary to present fairly the information for such periods. The financial data is not necessarily indicative of results to be expected after the Merger is consummated. The financial data should be read in conjunction with the separate audited and unaudited consolidated financial statements and the notes thereto incorporated by reference herein.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gridSpan w:val="3"/>
          </w:tcPr>
          <w:p>
            <w:pPr>
              <w:ind w:left="2580"/>
              <w:spacing w:after="0"/>
              <w:rPr>
                <w:sz w:val="20"/>
                <w:szCs w:val="20"/>
                <w:color w:val="auto"/>
              </w:rPr>
            </w:pPr>
            <w:r>
              <w:rPr>
                <w:rFonts w:ascii="Courier New" w:cs="Courier New" w:eastAsia="Courier New" w:hAnsi="Courier New"/>
                <w:sz w:val="15"/>
                <w:szCs w:val="15"/>
                <w:color w:val="auto"/>
              </w:rPr>
              <w:t>USA WASTE SERVICES, INC.</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710"/>
        </w:trPr>
        <w:tc>
          <w:tcPr>
            <w:tcW w:w="3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THREE MONTHS ENDED</w:t>
            </w:r>
          </w:p>
        </w:tc>
      </w:tr>
      <w:tr>
        <w:trPr>
          <w:trHeight w:val="177"/>
        </w:trPr>
        <w:tc>
          <w:tcPr>
            <w:tcW w:w="3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 31</w:t>
            </w:r>
          </w:p>
        </w:tc>
        <w:tc>
          <w:tcPr>
            <w:tcW w:w="920" w:type="dxa"/>
            <w:vAlign w:val="bottom"/>
          </w:tcPr>
          <w:p>
            <w:pPr>
              <w:spacing w:after="0"/>
              <w:rPr>
                <w:sz w:val="15"/>
                <w:szCs w:val="15"/>
                <w:color w:val="auto"/>
              </w:rPr>
            </w:pPr>
          </w:p>
        </w:tc>
      </w:tr>
      <w:tr>
        <w:trPr>
          <w:trHeight w:val="177"/>
        </w:trPr>
        <w:tc>
          <w:tcPr>
            <w:tcW w:w="39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Courier New" w:cs="Courier New" w:eastAsia="Courier New" w:hAnsi="Courier New"/>
                <w:sz w:val="7"/>
                <w:szCs w:val="7"/>
                <w:color w:val="auto"/>
                <w:w w:val="72"/>
              </w:rPr>
              <w:t>------------------------------------------</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580" w:type="dxa"/>
            <w:vAlign w:val="bottom"/>
            <w:gridSpan w:val="4"/>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1993</w:t>
            </w:r>
          </w:p>
        </w:tc>
        <w:tc>
          <w:tcPr>
            <w:tcW w:w="400" w:type="dxa"/>
            <w:vAlign w:val="bottom"/>
          </w:tcPr>
          <w:p>
            <w:pPr>
              <w:spacing w:after="0"/>
              <w:rPr>
                <w:sz w:val="15"/>
                <w:szCs w:val="15"/>
                <w:color w:val="auto"/>
              </w:rPr>
            </w:pPr>
          </w:p>
        </w:tc>
        <w:tc>
          <w:tcPr>
            <w:tcW w:w="12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1994</w:t>
            </w:r>
          </w:p>
        </w:tc>
        <w:tc>
          <w:tcPr>
            <w:tcW w:w="80" w:type="dxa"/>
            <w:vAlign w:val="bottom"/>
          </w:tcPr>
          <w:p>
            <w:pPr>
              <w:spacing w:after="0"/>
              <w:rPr>
                <w:sz w:val="15"/>
                <w:szCs w:val="15"/>
                <w:color w:val="auto"/>
              </w:rPr>
            </w:pP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1995</w:t>
            </w:r>
          </w:p>
        </w:tc>
        <w:tc>
          <w:tcPr>
            <w:tcW w:w="320" w:type="dxa"/>
            <w:vAlign w:val="bottom"/>
          </w:tcPr>
          <w:p>
            <w:pPr>
              <w:spacing w:after="0"/>
              <w:rPr>
                <w:sz w:val="15"/>
                <w:szCs w:val="15"/>
                <w:color w:val="auto"/>
              </w:rPr>
            </w:pP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5"/>
                <w:szCs w:val="15"/>
                <w:color w:val="auto"/>
              </w:rPr>
            </w:pPr>
          </w:p>
        </w:tc>
        <w:tc>
          <w:tcPr>
            <w:tcW w:w="9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1996</w:t>
            </w:r>
          </w:p>
        </w:tc>
      </w:tr>
      <w:tr>
        <w:trPr>
          <w:trHeight w:val="177"/>
        </w:trPr>
        <w:tc>
          <w:tcPr>
            <w:tcW w:w="39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0" w:type="dxa"/>
            <w:vAlign w:val="bottom"/>
            <w:gridSpan w:val="6"/>
          </w:tcPr>
          <w:p>
            <w:pPr>
              <w:jc w:val="right"/>
              <w:ind w:right="343"/>
              <w:spacing w:after="0"/>
              <w:rPr>
                <w:sz w:val="20"/>
                <w:szCs w:val="20"/>
                <w:color w:val="auto"/>
              </w:rPr>
            </w:pPr>
            <w:r>
              <w:rPr>
                <w:rFonts w:ascii="Courier New" w:cs="Courier New" w:eastAsia="Courier New" w:hAnsi="Courier New"/>
                <w:sz w:val="15"/>
                <w:szCs w:val="15"/>
                <w:color w:val="auto"/>
              </w:rPr>
              <w:t>(IN THOUSANDS, EXCEPT PER SHARE AMOUNTS)</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55"/>
        </w:trPr>
        <w:tc>
          <w:tcPr>
            <w:tcW w:w="39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639,239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705,165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731,000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168,880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201,525</w:t>
            </w:r>
          </w:p>
        </w:tc>
      </w:tr>
      <w:tr>
        <w:trPr>
          <w:trHeight w:val="177"/>
        </w:trPr>
        <w:tc>
          <w:tcPr>
            <w:tcW w:w="39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Operating...............................</w:t>
            </w:r>
          </w:p>
        </w:tc>
        <w:tc>
          <w:tcPr>
            <w:tcW w:w="32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388,727</w:t>
            </w:r>
          </w:p>
        </w:tc>
        <w:tc>
          <w:tcPr>
            <w:tcW w:w="400" w:type="dxa"/>
            <w:vAlign w:val="bottom"/>
          </w:tcPr>
          <w:p>
            <w:pPr>
              <w:spacing w:after="0"/>
              <w:rPr>
                <w:sz w:val="15"/>
                <w:szCs w:val="15"/>
                <w:color w:val="auto"/>
              </w:rPr>
            </w:pP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428,701</w:t>
            </w:r>
          </w:p>
        </w:tc>
        <w:tc>
          <w:tcPr>
            <w:tcW w:w="8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428,331</w:t>
            </w:r>
          </w:p>
        </w:tc>
        <w:tc>
          <w:tcPr>
            <w:tcW w:w="320" w:type="dxa"/>
            <w:vAlign w:val="bottom"/>
          </w:tcPr>
          <w:p>
            <w:pPr>
              <w:spacing w:after="0"/>
              <w:rPr>
                <w:sz w:val="15"/>
                <w:szCs w:val="15"/>
                <w:color w:val="auto"/>
              </w:rPr>
            </w:pP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101,450</w:t>
            </w:r>
          </w:p>
        </w:tc>
        <w:tc>
          <w:tcPr>
            <w:tcW w:w="22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118,101</w:t>
            </w:r>
          </w:p>
        </w:tc>
      </w:tr>
      <w:tr>
        <w:trPr>
          <w:trHeight w:val="177"/>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General and administrative..............</w:t>
            </w:r>
          </w:p>
        </w:tc>
        <w:tc>
          <w:tcPr>
            <w:tcW w:w="32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104,121</w:t>
            </w:r>
          </w:p>
        </w:tc>
        <w:tc>
          <w:tcPr>
            <w:tcW w:w="400" w:type="dxa"/>
            <w:vAlign w:val="bottom"/>
          </w:tcPr>
          <w:p>
            <w:pPr>
              <w:spacing w:after="0"/>
              <w:rPr>
                <w:sz w:val="15"/>
                <w:szCs w:val="15"/>
                <w:color w:val="auto"/>
              </w:rPr>
            </w:pP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108,885</w:t>
            </w:r>
          </w:p>
        </w:tc>
        <w:tc>
          <w:tcPr>
            <w:tcW w:w="8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101,268</w:t>
            </w:r>
          </w:p>
        </w:tc>
        <w:tc>
          <w:tcPr>
            <w:tcW w:w="320" w:type="dxa"/>
            <w:vAlign w:val="bottom"/>
          </w:tcPr>
          <w:p>
            <w:pPr>
              <w:spacing w:after="0"/>
              <w:rPr>
                <w:sz w:val="15"/>
                <w:szCs w:val="15"/>
                <w:color w:val="auto"/>
              </w:rPr>
            </w:pP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26,163</w:t>
            </w:r>
          </w:p>
        </w:tc>
        <w:tc>
          <w:tcPr>
            <w:tcW w:w="22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24,743</w:t>
            </w:r>
          </w:p>
        </w:tc>
      </w:tr>
      <w:tr>
        <w:trPr>
          <w:trHeight w:val="177"/>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32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74,223</w:t>
            </w:r>
          </w:p>
        </w:tc>
        <w:tc>
          <w:tcPr>
            <w:tcW w:w="400" w:type="dxa"/>
            <w:vAlign w:val="bottom"/>
          </w:tcPr>
          <w:p>
            <w:pPr>
              <w:spacing w:after="0"/>
              <w:rPr>
                <w:sz w:val="15"/>
                <w:szCs w:val="15"/>
                <w:color w:val="auto"/>
              </w:rPr>
            </w:pP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83,044</w:t>
            </w:r>
          </w:p>
        </w:tc>
        <w:tc>
          <w:tcPr>
            <w:tcW w:w="8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83,519</w:t>
            </w:r>
          </w:p>
        </w:tc>
        <w:tc>
          <w:tcPr>
            <w:tcW w:w="320" w:type="dxa"/>
            <w:vAlign w:val="bottom"/>
          </w:tcPr>
          <w:p>
            <w:pPr>
              <w:spacing w:after="0"/>
              <w:rPr>
                <w:sz w:val="15"/>
                <w:szCs w:val="15"/>
                <w:color w:val="auto"/>
              </w:rPr>
            </w:pP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19,343</w:t>
            </w:r>
          </w:p>
        </w:tc>
        <w:tc>
          <w:tcPr>
            <w:tcW w:w="22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21,874</w:t>
            </w:r>
          </w:p>
        </w:tc>
      </w:tr>
      <w:tr>
        <w:trPr>
          <w:trHeight w:val="177"/>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Merger costs............................</w:t>
            </w:r>
          </w:p>
        </w:tc>
        <w:tc>
          <w:tcPr>
            <w:tcW w:w="32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3,782</w:t>
            </w:r>
          </w:p>
        </w:tc>
        <w:tc>
          <w:tcPr>
            <w:tcW w:w="8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25,073</w:t>
            </w:r>
          </w:p>
        </w:tc>
        <w:tc>
          <w:tcPr>
            <w:tcW w:w="320" w:type="dxa"/>
            <w:vAlign w:val="bottom"/>
          </w:tcPr>
          <w:p>
            <w:pPr>
              <w:spacing w:after="0"/>
              <w:rPr>
                <w:sz w:val="15"/>
                <w:szCs w:val="15"/>
                <w:color w:val="auto"/>
              </w:rPr>
            </w:pP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Unusual items...........................</w:t>
            </w:r>
          </w:p>
        </w:tc>
        <w:tc>
          <w:tcPr>
            <w:tcW w:w="32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2,672</w:t>
            </w:r>
          </w:p>
        </w:tc>
        <w:tc>
          <w:tcPr>
            <w:tcW w:w="400" w:type="dxa"/>
            <w:vAlign w:val="bottom"/>
          </w:tcPr>
          <w:p>
            <w:pPr>
              <w:spacing w:after="0"/>
              <w:rPr>
                <w:sz w:val="15"/>
                <w:szCs w:val="15"/>
                <w:color w:val="auto"/>
              </w:rPr>
            </w:pP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8,863</w:t>
            </w:r>
          </w:p>
        </w:tc>
        <w:tc>
          <w:tcPr>
            <w:tcW w:w="8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4,733</w:t>
            </w:r>
          </w:p>
        </w:tc>
        <w:tc>
          <w:tcPr>
            <w:tcW w:w="320" w:type="dxa"/>
            <w:vAlign w:val="bottom"/>
          </w:tcPr>
          <w:p>
            <w:pPr>
              <w:spacing w:after="0"/>
              <w:rPr>
                <w:sz w:val="15"/>
                <w:szCs w:val="15"/>
                <w:color w:val="auto"/>
              </w:rPr>
            </w:pP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693</w:t>
            </w:r>
          </w:p>
        </w:tc>
        <w:tc>
          <w:tcPr>
            <w:tcW w:w="22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569,743</w:t>
            </w:r>
          </w:p>
        </w:tc>
        <w:tc>
          <w:tcPr>
            <w:tcW w:w="400" w:type="dxa"/>
            <w:vAlign w:val="bottom"/>
          </w:tcPr>
          <w:p>
            <w:pPr>
              <w:spacing w:after="0"/>
              <w:rPr>
                <w:sz w:val="15"/>
                <w:szCs w:val="15"/>
                <w:color w:val="auto"/>
              </w:rPr>
            </w:pP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633,275</w:t>
            </w:r>
          </w:p>
        </w:tc>
        <w:tc>
          <w:tcPr>
            <w:tcW w:w="8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642,924</w:t>
            </w:r>
          </w:p>
        </w:tc>
        <w:tc>
          <w:tcPr>
            <w:tcW w:w="320" w:type="dxa"/>
            <w:vAlign w:val="bottom"/>
          </w:tcPr>
          <w:p>
            <w:pPr>
              <w:spacing w:after="0"/>
              <w:rPr>
                <w:sz w:val="15"/>
                <w:szCs w:val="15"/>
                <w:color w:val="auto"/>
              </w:rPr>
            </w:pP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147,649</w:t>
            </w:r>
          </w:p>
        </w:tc>
        <w:tc>
          <w:tcPr>
            <w:tcW w:w="22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164,718</w:t>
            </w:r>
          </w:p>
        </w:tc>
      </w:tr>
      <w:tr>
        <w:trPr>
          <w:trHeight w:val="177"/>
        </w:trPr>
        <w:tc>
          <w:tcPr>
            <w:tcW w:w="39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32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69,496</w:t>
            </w:r>
          </w:p>
        </w:tc>
        <w:tc>
          <w:tcPr>
            <w:tcW w:w="400" w:type="dxa"/>
            <w:vAlign w:val="bottom"/>
          </w:tcPr>
          <w:p>
            <w:pPr>
              <w:spacing w:after="0"/>
              <w:rPr>
                <w:sz w:val="15"/>
                <w:szCs w:val="15"/>
                <w:color w:val="auto"/>
              </w:rPr>
            </w:pP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71,890</w:t>
            </w:r>
          </w:p>
        </w:tc>
        <w:tc>
          <w:tcPr>
            <w:tcW w:w="8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88,076</w:t>
            </w:r>
          </w:p>
        </w:tc>
        <w:tc>
          <w:tcPr>
            <w:tcW w:w="320" w:type="dxa"/>
            <w:vAlign w:val="bottom"/>
          </w:tcPr>
          <w:p>
            <w:pPr>
              <w:spacing w:after="0"/>
              <w:rPr>
                <w:sz w:val="15"/>
                <w:szCs w:val="15"/>
                <w:color w:val="auto"/>
              </w:rPr>
            </w:pP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21,231</w:t>
            </w:r>
          </w:p>
        </w:tc>
        <w:tc>
          <w:tcPr>
            <w:tcW w:w="22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36,807</w:t>
            </w:r>
          </w:p>
        </w:tc>
      </w:tr>
      <w:tr>
        <w:trPr>
          <w:trHeight w:val="177"/>
        </w:trPr>
        <w:tc>
          <w:tcPr>
            <w:tcW w:w="39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Stockholder litigation settlement and</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3920" w:type="dxa"/>
            <w:vAlign w:val="bottom"/>
          </w:tcPr>
          <w:p>
            <w:pPr>
              <w:ind w:left="360"/>
              <w:spacing w:after="0"/>
              <w:rPr>
                <w:sz w:val="20"/>
                <w:szCs w:val="20"/>
                <w:color w:val="auto"/>
              </w:rPr>
            </w:pPr>
            <w:r>
              <w:rPr>
                <w:rFonts w:ascii="Courier New" w:cs="Courier New" w:eastAsia="Courier New" w:hAnsi="Courier New"/>
                <w:sz w:val="15"/>
                <w:szCs w:val="15"/>
                <w:color w:val="auto"/>
              </w:rPr>
              <w:t>other litigation related costs........</w:t>
            </w:r>
          </w:p>
        </w:tc>
        <w:tc>
          <w:tcPr>
            <w:tcW w:w="32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(5,500)</w:t>
            </w:r>
          </w:p>
        </w:tc>
        <w:tc>
          <w:tcPr>
            <w:tcW w:w="400" w:type="dxa"/>
            <w:vAlign w:val="bottom"/>
          </w:tcPr>
          <w:p>
            <w:pPr>
              <w:spacing w:after="0"/>
              <w:rPr>
                <w:sz w:val="15"/>
                <w:szCs w:val="15"/>
                <w:color w:val="auto"/>
              </w:rPr>
            </w:pP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(79,400)</w:t>
            </w:r>
          </w:p>
        </w:tc>
        <w:tc>
          <w:tcPr>
            <w:tcW w:w="8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3920" w:type="dxa"/>
            <w:vAlign w:val="bottom"/>
          </w:tcPr>
          <w:p>
            <w:pPr>
              <w:ind w:left="360"/>
              <w:spacing w:after="0"/>
              <w:rPr>
                <w:sz w:val="20"/>
                <w:szCs w:val="20"/>
                <w:color w:val="auto"/>
              </w:rPr>
            </w:pPr>
            <w:r>
              <w:rPr>
                <w:rFonts w:ascii="Courier New" w:cs="Courier New" w:eastAsia="Courier New" w:hAnsi="Courier New"/>
                <w:sz w:val="15"/>
                <w:szCs w:val="15"/>
                <w:color w:val="auto"/>
              </w:rPr>
              <w:t>Nonrecurring interest.................</w:t>
            </w:r>
          </w:p>
        </w:tc>
        <w:tc>
          <w:tcPr>
            <w:tcW w:w="32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(1,254)</w:t>
            </w:r>
          </w:p>
        </w:tc>
        <w:tc>
          <w:tcPr>
            <w:tcW w:w="8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(10,994)</w:t>
            </w:r>
          </w:p>
        </w:tc>
        <w:tc>
          <w:tcPr>
            <w:tcW w:w="320" w:type="dxa"/>
            <w:vAlign w:val="bottom"/>
          </w:tcPr>
          <w:p>
            <w:pPr>
              <w:spacing w:after="0"/>
              <w:rPr>
                <w:sz w:val="15"/>
                <w:szCs w:val="15"/>
                <w:color w:val="auto"/>
              </w:rPr>
            </w:pPr>
          </w:p>
        </w:tc>
        <w:tc>
          <w:tcPr>
            <w:tcW w:w="11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(3,512)</w:t>
            </w:r>
          </w:p>
        </w:tc>
        <w:tc>
          <w:tcPr>
            <w:tcW w:w="22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ind w:left="360"/>
              <w:spacing w:after="0"/>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(39,809)</w:t>
            </w:r>
          </w:p>
        </w:tc>
        <w:tc>
          <w:tcPr>
            <w:tcW w:w="400" w:type="dxa"/>
            <w:vAlign w:val="bottom"/>
          </w:tcPr>
          <w:p>
            <w:pPr>
              <w:spacing w:after="0"/>
              <w:rPr>
                <w:sz w:val="15"/>
                <w:szCs w:val="15"/>
                <w:color w:val="auto"/>
              </w:rPr>
            </w:pP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(38,153)</w:t>
            </w:r>
          </w:p>
        </w:tc>
        <w:tc>
          <w:tcPr>
            <w:tcW w:w="8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(35,437)</w:t>
            </w:r>
          </w:p>
        </w:tc>
        <w:tc>
          <w:tcPr>
            <w:tcW w:w="320" w:type="dxa"/>
            <w:vAlign w:val="bottom"/>
          </w:tcPr>
          <w:p>
            <w:pPr>
              <w:spacing w:after="0"/>
              <w:rPr>
                <w:sz w:val="15"/>
                <w:szCs w:val="15"/>
                <w:color w:val="auto"/>
              </w:rPr>
            </w:pPr>
          </w:p>
        </w:tc>
        <w:tc>
          <w:tcPr>
            <w:tcW w:w="11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(9,687)</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(6,765)</w:t>
            </w:r>
          </w:p>
        </w:tc>
      </w:tr>
      <w:tr>
        <w:trPr>
          <w:trHeight w:val="177"/>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Interest income.........................</w:t>
            </w:r>
          </w:p>
        </w:tc>
        <w:tc>
          <w:tcPr>
            <w:tcW w:w="32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4,338</w:t>
            </w:r>
          </w:p>
        </w:tc>
        <w:tc>
          <w:tcPr>
            <w:tcW w:w="400" w:type="dxa"/>
            <w:vAlign w:val="bottom"/>
          </w:tcPr>
          <w:p>
            <w:pPr>
              <w:spacing w:after="0"/>
              <w:rPr>
                <w:sz w:val="15"/>
                <w:szCs w:val="15"/>
                <w:color w:val="auto"/>
              </w:rPr>
            </w:pP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4,183</w:t>
            </w:r>
          </w:p>
        </w:tc>
        <w:tc>
          <w:tcPr>
            <w:tcW w:w="8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4,222</w:t>
            </w:r>
          </w:p>
        </w:tc>
        <w:tc>
          <w:tcPr>
            <w:tcW w:w="320" w:type="dxa"/>
            <w:vAlign w:val="bottom"/>
          </w:tcPr>
          <w:p>
            <w:pPr>
              <w:spacing w:after="0"/>
              <w:rPr>
                <w:sz w:val="15"/>
                <w:szCs w:val="15"/>
                <w:color w:val="auto"/>
              </w:rPr>
            </w:pP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1,253</w:t>
            </w:r>
          </w:p>
        </w:tc>
        <w:tc>
          <w:tcPr>
            <w:tcW w:w="22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1,721</w:t>
            </w:r>
          </w:p>
        </w:tc>
      </w:tr>
      <w:tr>
        <w:trPr>
          <w:trHeight w:val="177"/>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Other income, net.......................</w:t>
            </w:r>
          </w:p>
        </w:tc>
        <w:tc>
          <w:tcPr>
            <w:tcW w:w="32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1,148</w:t>
            </w:r>
          </w:p>
        </w:tc>
        <w:tc>
          <w:tcPr>
            <w:tcW w:w="400" w:type="dxa"/>
            <w:vAlign w:val="bottom"/>
          </w:tcPr>
          <w:p>
            <w:pPr>
              <w:spacing w:after="0"/>
              <w:rPr>
                <w:sz w:val="15"/>
                <w:szCs w:val="15"/>
                <w:color w:val="auto"/>
              </w:rPr>
            </w:pP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1,249</w:t>
            </w:r>
          </w:p>
        </w:tc>
        <w:tc>
          <w:tcPr>
            <w:tcW w:w="8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3,220</w:t>
            </w:r>
          </w:p>
        </w:tc>
        <w:tc>
          <w:tcPr>
            <w:tcW w:w="320" w:type="dxa"/>
            <w:vAlign w:val="bottom"/>
          </w:tcPr>
          <w:p>
            <w:pPr>
              <w:spacing w:after="0"/>
              <w:rPr>
                <w:sz w:val="15"/>
                <w:szCs w:val="15"/>
                <w:color w:val="auto"/>
              </w:rPr>
            </w:pP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1,069</w:t>
            </w:r>
          </w:p>
        </w:tc>
        <w:tc>
          <w:tcPr>
            <w:tcW w:w="22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567</w:t>
            </w:r>
          </w:p>
        </w:tc>
      </w:tr>
      <w:tr>
        <w:trPr>
          <w:trHeight w:val="177"/>
        </w:trPr>
        <w:tc>
          <w:tcPr>
            <w:tcW w:w="39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(39,823)</w:t>
            </w:r>
          </w:p>
        </w:tc>
        <w:tc>
          <w:tcPr>
            <w:tcW w:w="400" w:type="dxa"/>
            <w:vAlign w:val="bottom"/>
          </w:tcPr>
          <w:p>
            <w:pPr>
              <w:spacing w:after="0"/>
              <w:rPr>
                <w:sz w:val="15"/>
                <w:szCs w:val="15"/>
                <w:color w:val="auto"/>
              </w:rPr>
            </w:pP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(113,375)</w:t>
            </w:r>
          </w:p>
        </w:tc>
        <w:tc>
          <w:tcPr>
            <w:tcW w:w="8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(38,989)</w:t>
            </w:r>
          </w:p>
        </w:tc>
        <w:tc>
          <w:tcPr>
            <w:tcW w:w="320" w:type="dxa"/>
            <w:vAlign w:val="bottom"/>
          </w:tcPr>
          <w:p>
            <w:pPr>
              <w:spacing w:after="0"/>
              <w:rPr>
                <w:sz w:val="15"/>
                <w:szCs w:val="15"/>
                <w:color w:val="auto"/>
              </w:rPr>
            </w:pPr>
          </w:p>
        </w:tc>
        <w:tc>
          <w:tcPr>
            <w:tcW w:w="11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(10,877)</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(4,477)</w:t>
            </w:r>
          </w:p>
        </w:tc>
      </w:tr>
      <w:tr>
        <w:trPr>
          <w:trHeight w:val="177"/>
        </w:trPr>
        <w:tc>
          <w:tcPr>
            <w:tcW w:w="39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32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29,673</w:t>
            </w:r>
          </w:p>
        </w:tc>
        <w:tc>
          <w:tcPr>
            <w:tcW w:w="400" w:type="dxa"/>
            <w:vAlign w:val="bottom"/>
          </w:tcPr>
          <w:p>
            <w:pPr>
              <w:spacing w:after="0"/>
              <w:rPr>
                <w:sz w:val="15"/>
                <w:szCs w:val="15"/>
                <w:color w:val="auto"/>
              </w:rPr>
            </w:pP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(41,485)</w:t>
            </w:r>
          </w:p>
        </w:tc>
        <w:tc>
          <w:tcPr>
            <w:tcW w:w="8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49,087</w:t>
            </w:r>
          </w:p>
        </w:tc>
        <w:tc>
          <w:tcPr>
            <w:tcW w:w="320" w:type="dxa"/>
            <w:vAlign w:val="bottom"/>
          </w:tcPr>
          <w:p>
            <w:pPr>
              <w:spacing w:after="0"/>
              <w:rPr>
                <w:sz w:val="15"/>
                <w:szCs w:val="15"/>
                <w:color w:val="auto"/>
              </w:rPr>
            </w:pP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10,354</w:t>
            </w:r>
          </w:p>
        </w:tc>
        <w:tc>
          <w:tcPr>
            <w:tcW w:w="22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32,330</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32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16,112</w:t>
            </w:r>
          </w:p>
        </w:tc>
        <w:tc>
          <w:tcPr>
            <w:tcW w:w="400" w:type="dxa"/>
            <w:vAlign w:val="bottom"/>
          </w:tcPr>
          <w:p>
            <w:pPr>
              <w:spacing w:after="0"/>
              <w:rPr>
                <w:sz w:val="15"/>
                <w:szCs w:val="15"/>
                <w:color w:val="auto"/>
              </w:rPr>
            </w:pP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17,610</w:t>
            </w:r>
          </w:p>
        </w:tc>
        <w:tc>
          <w:tcPr>
            <w:tcW w:w="8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1,744</w:t>
            </w:r>
          </w:p>
        </w:tc>
        <w:tc>
          <w:tcPr>
            <w:tcW w:w="320" w:type="dxa"/>
            <w:vAlign w:val="bottom"/>
          </w:tcPr>
          <w:p>
            <w:pPr>
              <w:spacing w:after="0"/>
              <w:rPr>
                <w:sz w:val="15"/>
                <w:szCs w:val="15"/>
                <w:color w:val="auto"/>
              </w:rPr>
            </w:pP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5,816</w:t>
            </w:r>
          </w:p>
        </w:tc>
        <w:tc>
          <w:tcPr>
            <w:tcW w:w="22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5,558</w:t>
            </w:r>
          </w:p>
        </w:tc>
      </w:tr>
      <w:tr>
        <w:trPr>
          <w:trHeight w:val="177"/>
        </w:trPr>
        <w:tc>
          <w:tcPr>
            <w:tcW w:w="39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32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13,561</w:t>
            </w:r>
          </w:p>
        </w:tc>
        <w:tc>
          <w:tcPr>
            <w:tcW w:w="400" w:type="dxa"/>
            <w:vAlign w:val="bottom"/>
          </w:tcPr>
          <w:p>
            <w:pPr>
              <w:spacing w:after="0"/>
              <w:rPr>
                <w:sz w:val="15"/>
                <w:szCs w:val="15"/>
                <w:color w:val="auto"/>
              </w:rPr>
            </w:pP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(59,095)</w:t>
            </w:r>
          </w:p>
        </w:tc>
        <w:tc>
          <w:tcPr>
            <w:tcW w:w="8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47,343</w:t>
            </w:r>
          </w:p>
        </w:tc>
        <w:tc>
          <w:tcPr>
            <w:tcW w:w="320" w:type="dxa"/>
            <w:vAlign w:val="bottom"/>
          </w:tcPr>
          <w:p>
            <w:pPr>
              <w:spacing w:after="0"/>
              <w:rPr>
                <w:sz w:val="15"/>
                <w:szCs w:val="15"/>
                <w:color w:val="auto"/>
              </w:rPr>
            </w:pP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4,538</w:t>
            </w:r>
          </w:p>
        </w:tc>
        <w:tc>
          <w:tcPr>
            <w:tcW w:w="22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26,772</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Preferred dividends.......................</w:t>
            </w:r>
          </w:p>
        </w:tc>
        <w:tc>
          <w:tcPr>
            <w:tcW w:w="32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582</w:t>
            </w:r>
          </w:p>
        </w:tc>
        <w:tc>
          <w:tcPr>
            <w:tcW w:w="400" w:type="dxa"/>
            <w:vAlign w:val="bottom"/>
          </w:tcPr>
          <w:p>
            <w:pPr>
              <w:spacing w:after="0"/>
              <w:rPr>
                <w:sz w:val="15"/>
                <w:szCs w:val="15"/>
                <w:color w:val="auto"/>
              </w:rPr>
            </w:pP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565</w:t>
            </w:r>
          </w:p>
        </w:tc>
        <w:tc>
          <w:tcPr>
            <w:tcW w:w="8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available to common stockholders........</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12,979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(59,660)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47,343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4,538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26,772</w:t>
            </w:r>
          </w:p>
        </w:tc>
      </w:tr>
      <w:tr>
        <w:trPr>
          <w:trHeight w:val="177"/>
        </w:trPr>
        <w:tc>
          <w:tcPr>
            <w:tcW w:w="39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available to common stockholders per</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common share............................</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0.19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(0.82)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0.60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0.06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0.29</w:t>
            </w:r>
          </w:p>
        </w:tc>
      </w:tr>
      <w:tr>
        <w:trPr>
          <w:trHeight w:val="177"/>
        </w:trPr>
        <w:tc>
          <w:tcPr>
            <w:tcW w:w="39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common equivalent shares outstanding....</w:t>
            </w:r>
          </w:p>
        </w:tc>
        <w:tc>
          <w:tcPr>
            <w:tcW w:w="32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68,457</w:t>
            </w:r>
          </w:p>
        </w:tc>
        <w:tc>
          <w:tcPr>
            <w:tcW w:w="400" w:type="dxa"/>
            <w:vAlign w:val="bottom"/>
          </w:tcPr>
          <w:p>
            <w:pPr>
              <w:spacing w:after="0"/>
              <w:rPr>
                <w:sz w:val="15"/>
                <w:szCs w:val="15"/>
                <w:color w:val="auto"/>
              </w:rPr>
            </w:pP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72,968</w:t>
            </w:r>
          </w:p>
        </w:tc>
        <w:tc>
          <w:tcPr>
            <w:tcW w:w="8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78,912</w:t>
            </w:r>
          </w:p>
        </w:tc>
        <w:tc>
          <w:tcPr>
            <w:tcW w:w="320" w:type="dxa"/>
            <w:vAlign w:val="bottom"/>
          </w:tcPr>
          <w:p>
            <w:pPr>
              <w:spacing w:after="0"/>
              <w:rPr>
                <w:sz w:val="15"/>
                <w:szCs w:val="15"/>
                <w:color w:val="auto"/>
              </w:rPr>
            </w:pP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74,305</w:t>
            </w:r>
          </w:p>
        </w:tc>
        <w:tc>
          <w:tcPr>
            <w:tcW w:w="22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93,281</w:t>
            </w:r>
          </w:p>
        </w:tc>
      </w:tr>
      <w:tr>
        <w:trPr>
          <w:trHeight w:val="177"/>
        </w:trPr>
        <w:tc>
          <w:tcPr>
            <w:tcW w:w="39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BALANCE SHEET DATA (AT END OF PERIOD):</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46,392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10,687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33,525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30,350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54,750</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32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99,419</w:t>
            </w:r>
          </w:p>
        </w:tc>
        <w:tc>
          <w:tcPr>
            <w:tcW w:w="400" w:type="dxa"/>
            <w:vAlign w:val="bottom"/>
          </w:tcPr>
          <w:p>
            <w:pPr>
              <w:spacing w:after="0"/>
              <w:rPr>
                <w:sz w:val="15"/>
                <w:szCs w:val="15"/>
                <w:color w:val="auto"/>
              </w:rPr>
            </w:pP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118,469</w:t>
            </w:r>
          </w:p>
        </w:tc>
        <w:tc>
          <w:tcPr>
            <w:tcW w:w="8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142,791</w:t>
            </w:r>
          </w:p>
        </w:tc>
        <w:tc>
          <w:tcPr>
            <w:tcW w:w="320" w:type="dxa"/>
            <w:vAlign w:val="bottom"/>
          </w:tcPr>
          <w:p>
            <w:pPr>
              <w:spacing w:after="0"/>
              <w:rPr>
                <w:sz w:val="15"/>
                <w:szCs w:val="15"/>
                <w:color w:val="auto"/>
              </w:rPr>
            </w:pP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120,459</w:t>
            </w:r>
          </w:p>
        </w:tc>
        <w:tc>
          <w:tcPr>
            <w:tcW w:w="22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147,203</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32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8"/>
              </w:rPr>
              <w:t>1,030,038</w:t>
            </w:r>
          </w:p>
        </w:tc>
        <w:tc>
          <w:tcPr>
            <w:tcW w:w="400" w:type="dxa"/>
            <w:vAlign w:val="bottom"/>
          </w:tcPr>
          <w:p>
            <w:pPr>
              <w:spacing w:after="0"/>
              <w:rPr>
                <w:sz w:val="15"/>
                <w:szCs w:val="15"/>
                <w:color w:val="auto"/>
              </w:rPr>
            </w:pP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1,075,508</w:t>
            </w:r>
          </w:p>
        </w:tc>
        <w:tc>
          <w:tcPr>
            <w:tcW w:w="8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1,190,364</w:t>
            </w:r>
          </w:p>
        </w:tc>
        <w:tc>
          <w:tcPr>
            <w:tcW w:w="320" w:type="dxa"/>
            <w:vAlign w:val="bottom"/>
          </w:tcPr>
          <w:p>
            <w:pPr>
              <w:spacing w:after="0"/>
              <w:rPr>
                <w:sz w:val="15"/>
                <w:szCs w:val="15"/>
                <w:color w:val="auto"/>
              </w:rPr>
            </w:pP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1,085,880</w:t>
            </w:r>
          </w:p>
        </w:tc>
        <w:tc>
          <w:tcPr>
            <w:tcW w:w="22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1,262,990</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Long-term debt, including current</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maturities..............................</w:t>
            </w:r>
          </w:p>
        </w:tc>
        <w:tc>
          <w:tcPr>
            <w:tcW w:w="32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496,190</w:t>
            </w:r>
          </w:p>
        </w:tc>
        <w:tc>
          <w:tcPr>
            <w:tcW w:w="400" w:type="dxa"/>
            <w:vAlign w:val="bottom"/>
          </w:tcPr>
          <w:p>
            <w:pPr>
              <w:spacing w:after="0"/>
              <w:rPr>
                <w:sz w:val="15"/>
                <w:szCs w:val="15"/>
                <w:color w:val="auto"/>
              </w:rPr>
            </w:pP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490,904</w:t>
            </w:r>
          </w:p>
        </w:tc>
        <w:tc>
          <w:tcPr>
            <w:tcW w:w="8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450,840</w:t>
            </w:r>
          </w:p>
        </w:tc>
        <w:tc>
          <w:tcPr>
            <w:tcW w:w="320" w:type="dxa"/>
            <w:vAlign w:val="bottom"/>
          </w:tcPr>
          <w:p>
            <w:pPr>
              <w:spacing w:after="0"/>
              <w:rPr>
                <w:sz w:val="15"/>
                <w:szCs w:val="15"/>
                <w:color w:val="auto"/>
              </w:rPr>
            </w:pP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513,345</w:t>
            </w:r>
          </w:p>
        </w:tc>
        <w:tc>
          <w:tcPr>
            <w:tcW w:w="22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487,813</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32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360,152</w:t>
            </w:r>
          </w:p>
        </w:tc>
        <w:tc>
          <w:tcPr>
            <w:tcW w:w="400" w:type="dxa"/>
            <w:vAlign w:val="bottom"/>
          </w:tcPr>
          <w:p>
            <w:pPr>
              <w:spacing w:after="0"/>
              <w:rPr>
                <w:sz w:val="15"/>
                <w:szCs w:val="15"/>
                <w:color w:val="auto"/>
              </w:rPr>
            </w:pP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321,089</w:t>
            </w:r>
          </w:p>
        </w:tc>
        <w:tc>
          <w:tcPr>
            <w:tcW w:w="8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557,387</w:t>
            </w:r>
          </w:p>
        </w:tc>
        <w:tc>
          <w:tcPr>
            <w:tcW w:w="320" w:type="dxa"/>
            <w:vAlign w:val="bottom"/>
          </w:tcPr>
          <w:p>
            <w:pPr>
              <w:spacing w:after="0"/>
              <w:rPr>
                <w:sz w:val="15"/>
                <w:szCs w:val="15"/>
                <w:color w:val="auto"/>
              </w:rPr>
            </w:pP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315,735</w:t>
            </w:r>
          </w:p>
        </w:tc>
        <w:tc>
          <w:tcPr>
            <w:tcW w:w="22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597,792</w:t>
            </w:r>
          </w:p>
        </w:tc>
      </w:tr>
    </w:tbl>
    <w:p>
      <w:pPr>
        <w:spacing w:after="0" w:line="200" w:lineRule="exact"/>
        <w:rPr>
          <w:sz w:val="20"/>
          <w:szCs w:val="20"/>
          <w:color w:val="auto"/>
        </w:rPr>
      </w:pPr>
    </w:p>
    <w:p>
      <w:pPr>
        <w:sectPr>
          <w:pgSz w:w="11900" w:h="16838" w:orient="portrait"/>
          <w:cols w:equalWidth="0" w:num="1">
            <w:col w:w="10600"/>
          </w:cols>
          <w:pgMar w:left="240" w:top="295" w:right="1059" w:bottom="371" w:gutter="0" w:footer="0" w:header="0"/>
        </w:sectPr>
      </w:pPr>
    </w:p>
    <w:p>
      <w:pPr>
        <w:spacing w:after="0" w:line="16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600"/>
          </w:cols>
          <w:pgMar w:left="240" w:top="295" w:right="1059" w:bottom="371" w:gutter="0" w:footer="0" w:header="0"/>
          <w:type w:val="continuous"/>
        </w:sectPr>
      </w:pPr>
    </w:p>
    <w:bookmarkStart w:id="20" w:name="page21"/>
    <w:bookmarkEnd w:id="20"/>
    <w:p>
      <w:pPr>
        <w:ind w:left="285"/>
        <w:spacing w:after="0"/>
        <w:rPr>
          <w:sz w:val="20"/>
          <w:szCs w:val="20"/>
          <w:color w:val="auto"/>
        </w:rPr>
      </w:pPr>
      <w:r>
        <w:rPr>
          <w:rFonts w:ascii="Courier New" w:cs="Courier New" w:eastAsia="Courier New" w:hAnsi="Courier New"/>
          <w:sz w:val="15"/>
          <w:szCs w:val="15"/>
          <w:color w:val="auto"/>
        </w:rPr>
        <w:t>20</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5260" w:type="dxa"/>
            <w:vAlign w:val="bottom"/>
            <w:gridSpan w:val="3"/>
          </w:tcPr>
          <w:p>
            <w:pPr>
              <w:jc w:val="right"/>
              <w:ind w:right="843"/>
              <w:spacing w:after="0"/>
              <w:rPr>
                <w:sz w:val="20"/>
                <w:szCs w:val="20"/>
                <w:color w:val="auto"/>
              </w:rPr>
            </w:pPr>
            <w:r>
              <w:rPr>
                <w:rFonts w:ascii="Courier New" w:cs="Courier New" w:eastAsia="Courier New" w:hAnsi="Courier New"/>
                <w:sz w:val="15"/>
                <w:szCs w:val="15"/>
                <w:color w:val="auto"/>
              </w:rPr>
              <w:t>SANIFILL, INC.</w:t>
            </w: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710"/>
        </w:trPr>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THREE MONTHS ENDED</w:t>
            </w:r>
          </w:p>
        </w:tc>
      </w:tr>
      <w:tr>
        <w:trPr>
          <w:trHeight w:val="177"/>
        </w:trPr>
        <w:tc>
          <w:tcPr>
            <w:tcW w:w="3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 31,</w:t>
            </w:r>
          </w:p>
        </w:tc>
        <w:tc>
          <w:tcPr>
            <w:tcW w:w="880" w:type="dxa"/>
            <w:vAlign w:val="bottom"/>
          </w:tcPr>
          <w:p>
            <w:pPr>
              <w:spacing w:after="0"/>
              <w:rPr>
                <w:sz w:val="15"/>
                <w:szCs w:val="15"/>
                <w:color w:val="auto"/>
              </w:rPr>
            </w:pPr>
          </w:p>
        </w:tc>
      </w:tr>
      <w:tr>
        <w:trPr>
          <w:trHeight w:val="177"/>
        </w:trPr>
        <w:tc>
          <w:tcPr>
            <w:tcW w:w="39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Courier New" w:cs="Courier New" w:eastAsia="Courier New" w:hAnsi="Courier New"/>
                <w:sz w:val="7"/>
                <w:szCs w:val="7"/>
                <w:color w:val="auto"/>
                <w:w w:val="72"/>
              </w:rPr>
              <w:t>------------------------------------------</w:t>
            </w: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580" w:type="dxa"/>
            <w:vAlign w:val="bottom"/>
            <w:gridSpan w:val="4"/>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1993</w:t>
            </w:r>
          </w:p>
        </w:tc>
        <w:tc>
          <w:tcPr>
            <w:tcW w:w="360" w:type="dxa"/>
            <w:vAlign w:val="bottom"/>
          </w:tcPr>
          <w:p>
            <w:pPr>
              <w:spacing w:after="0"/>
              <w:rPr>
                <w:sz w:val="15"/>
                <w:szCs w:val="15"/>
                <w:color w:val="auto"/>
              </w:rPr>
            </w:pPr>
          </w:p>
        </w:tc>
        <w:tc>
          <w:tcPr>
            <w:tcW w:w="13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1994</w:t>
            </w:r>
          </w:p>
        </w:tc>
        <w:tc>
          <w:tcPr>
            <w:tcW w:w="140" w:type="dxa"/>
            <w:vAlign w:val="bottom"/>
          </w:tcPr>
          <w:p>
            <w:pPr>
              <w:spacing w:after="0"/>
              <w:rPr>
                <w:sz w:val="15"/>
                <w:szCs w:val="15"/>
                <w:color w:val="auto"/>
              </w:rPr>
            </w:pPr>
          </w:p>
        </w:tc>
        <w:tc>
          <w:tcPr>
            <w:tcW w:w="9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1995</w:t>
            </w:r>
          </w:p>
        </w:tc>
        <w:tc>
          <w:tcPr>
            <w:tcW w:w="280" w:type="dxa"/>
            <w:vAlign w:val="bottom"/>
          </w:tcPr>
          <w:p>
            <w:pPr>
              <w:spacing w:after="0"/>
              <w:rPr>
                <w:sz w:val="15"/>
                <w:szCs w:val="15"/>
                <w:color w:val="auto"/>
              </w:rPr>
            </w:pP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15"/>
                <w:szCs w:val="15"/>
                <w:color w:val="auto"/>
              </w:rPr>
            </w:pPr>
          </w:p>
        </w:tc>
        <w:tc>
          <w:tcPr>
            <w:tcW w:w="8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1996</w:t>
            </w:r>
          </w:p>
        </w:tc>
      </w:tr>
      <w:tr>
        <w:trPr>
          <w:trHeight w:val="177"/>
        </w:trPr>
        <w:tc>
          <w:tcPr>
            <w:tcW w:w="39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0" w:type="dxa"/>
            <w:vAlign w:val="bottom"/>
            <w:gridSpan w:val="6"/>
          </w:tcPr>
          <w:p>
            <w:pPr>
              <w:jc w:val="right"/>
              <w:ind w:right="343"/>
              <w:spacing w:after="0"/>
              <w:rPr>
                <w:sz w:val="20"/>
                <w:szCs w:val="20"/>
                <w:color w:val="auto"/>
              </w:rPr>
            </w:pPr>
            <w:r>
              <w:rPr>
                <w:rFonts w:ascii="Courier New" w:cs="Courier New" w:eastAsia="Courier New" w:hAnsi="Courier New"/>
                <w:sz w:val="15"/>
                <w:szCs w:val="15"/>
                <w:color w:val="auto"/>
              </w:rPr>
              <w:t>(IN THOUSANDS, EXCEPT PER SHARE AMOUNTS)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55"/>
        </w:trPr>
        <w:tc>
          <w:tcPr>
            <w:tcW w:w="39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(Restated)(1)</w:t>
            </w:r>
          </w:p>
        </w:tc>
        <w:tc>
          <w:tcPr>
            <w:tcW w:w="16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(Restated)(1)</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(Restated)(1)</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139,727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192,479</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256,705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54,064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81,000</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Cost of operations........................</w:t>
            </w:r>
          </w:p>
        </w:tc>
        <w:tc>
          <w:tcPr>
            <w:tcW w:w="22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90,397</w:t>
            </w:r>
          </w:p>
        </w:tc>
        <w:tc>
          <w:tcPr>
            <w:tcW w:w="36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122,274</w:t>
            </w:r>
          </w:p>
        </w:tc>
        <w:tc>
          <w:tcPr>
            <w:tcW w:w="14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160,088</w:t>
            </w:r>
          </w:p>
        </w:tc>
        <w:tc>
          <w:tcPr>
            <w:tcW w:w="280" w:type="dxa"/>
            <w:vAlign w:val="bottom"/>
          </w:tcPr>
          <w:p>
            <w:pPr>
              <w:spacing w:after="0"/>
              <w:rPr>
                <w:sz w:val="15"/>
                <w:szCs w:val="15"/>
                <w:color w:val="auto"/>
              </w:rPr>
            </w:pP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35,038</w:t>
            </w:r>
          </w:p>
        </w:tc>
        <w:tc>
          <w:tcPr>
            <w:tcW w:w="26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51,895</w:t>
            </w:r>
          </w:p>
        </w:tc>
      </w:tr>
      <w:tr>
        <w:trPr>
          <w:trHeight w:val="177"/>
        </w:trPr>
        <w:tc>
          <w:tcPr>
            <w:tcW w:w="39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Gross profit............................</w:t>
            </w:r>
          </w:p>
        </w:tc>
        <w:tc>
          <w:tcPr>
            <w:tcW w:w="22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49,330</w:t>
            </w:r>
          </w:p>
        </w:tc>
        <w:tc>
          <w:tcPr>
            <w:tcW w:w="36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70,205</w:t>
            </w:r>
          </w:p>
        </w:tc>
        <w:tc>
          <w:tcPr>
            <w:tcW w:w="14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96,617</w:t>
            </w:r>
          </w:p>
        </w:tc>
        <w:tc>
          <w:tcPr>
            <w:tcW w:w="280" w:type="dxa"/>
            <w:vAlign w:val="bottom"/>
          </w:tcPr>
          <w:p>
            <w:pPr>
              <w:spacing w:after="0"/>
              <w:rPr>
                <w:sz w:val="15"/>
                <w:szCs w:val="15"/>
                <w:color w:val="auto"/>
              </w:rPr>
            </w:pP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19,026</w:t>
            </w:r>
          </w:p>
        </w:tc>
        <w:tc>
          <w:tcPr>
            <w:tcW w:w="26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29,105</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7"/>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expenses................................</w:t>
            </w:r>
          </w:p>
        </w:tc>
        <w:tc>
          <w:tcPr>
            <w:tcW w:w="22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22,599</w:t>
            </w:r>
          </w:p>
        </w:tc>
        <w:tc>
          <w:tcPr>
            <w:tcW w:w="36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30,633</w:t>
            </w:r>
          </w:p>
        </w:tc>
        <w:tc>
          <w:tcPr>
            <w:tcW w:w="14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39,669</w:t>
            </w:r>
          </w:p>
        </w:tc>
        <w:tc>
          <w:tcPr>
            <w:tcW w:w="280" w:type="dxa"/>
            <w:vAlign w:val="bottom"/>
          </w:tcPr>
          <w:p>
            <w:pPr>
              <w:spacing w:after="0"/>
              <w:rPr>
                <w:sz w:val="15"/>
                <w:szCs w:val="15"/>
                <w:color w:val="auto"/>
              </w:rPr>
            </w:pP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8,118</w:t>
            </w:r>
          </w:p>
        </w:tc>
        <w:tc>
          <w:tcPr>
            <w:tcW w:w="26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12,247</w:t>
            </w:r>
          </w:p>
        </w:tc>
      </w:tr>
      <w:tr>
        <w:trPr>
          <w:trHeight w:val="177"/>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Pooling costs.............................</w:t>
            </w:r>
          </w:p>
        </w:tc>
        <w:tc>
          <w:tcPr>
            <w:tcW w:w="22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566</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7"/>
        </w:trPr>
        <w:tc>
          <w:tcPr>
            <w:tcW w:w="39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Operating income........................</w:t>
            </w:r>
          </w:p>
        </w:tc>
        <w:tc>
          <w:tcPr>
            <w:tcW w:w="22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26,731</w:t>
            </w:r>
          </w:p>
        </w:tc>
        <w:tc>
          <w:tcPr>
            <w:tcW w:w="36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39,572</w:t>
            </w:r>
          </w:p>
        </w:tc>
        <w:tc>
          <w:tcPr>
            <w:tcW w:w="14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56,382</w:t>
            </w:r>
          </w:p>
        </w:tc>
        <w:tc>
          <w:tcPr>
            <w:tcW w:w="280" w:type="dxa"/>
            <w:vAlign w:val="bottom"/>
          </w:tcPr>
          <w:p>
            <w:pPr>
              <w:spacing w:after="0"/>
              <w:rPr>
                <w:sz w:val="15"/>
                <w:szCs w:val="15"/>
                <w:color w:val="auto"/>
              </w:rPr>
            </w:pP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10,908</w:t>
            </w:r>
          </w:p>
        </w:tc>
        <w:tc>
          <w:tcPr>
            <w:tcW w:w="26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16,858</w:t>
            </w:r>
          </w:p>
        </w:tc>
      </w:tr>
      <w:tr>
        <w:trPr>
          <w:trHeight w:val="177"/>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Interest expense..........................</w:t>
            </w:r>
          </w:p>
        </w:tc>
        <w:tc>
          <w:tcPr>
            <w:tcW w:w="22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6,223</w:t>
            </w:r>
          </w:p>
        </w:tc>
        <w:tc>
          <w:tcPr>
            <w:tcW w:w="36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9,525</w:t>
            </w:r>
          </w:p>
        </w:tc>
        <w:tc>
          <w:tcPr>
            <w:tcW w:w="14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13,121</w:t>
            </w:r>
          </w:p>
        </w:tc>
        <w:tc>
          <w:tcPr>
            <w:tcW w:w="280" w:type="dxa"/>
            <w:vAlign w:val="bottom"/>
          </w:tcPr>
          <w:p>
            <w:pPr>
              <w:spacing w:after="0"/>
              <w:rPr>
                <w:sz w:val="15"/>
                <w:szCs w:val="15"/>
                <w:color w:val="auto"/>
              </w:rPr>
            </w:pP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2,903</w:t>
            </w:r>
          </w:p>
        </w:tc>
        <w:tc>
          <w:tcPr>
            <w:tcW w:w="26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4,462</w:t>
            </w:r>
          </w:p>
        </w:tc>
      </w:tr>
      <w:tr>
        <w:trPr>
          <w:trHeight w:val="177"/>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Interest income...........................</w:t>
            </w:r>
          </w:p>
        </w:tc>
        <w:tc>
          <w:tcPr>
            <w:tcW w:w="220" w:type="dxa"/>
            <w:vAlign w:val="bottom"/>
          </w:tcPr>
          <w:p>
            <w:pPr>
              <w:spacing w:after="0"/>
              <w:rPr>
                <w:sz w:val="15"/>
                <w:szCs w:val="15"/>
                <w:color w:val="auto"/>
              </w:rPr>
            </w:pP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(497)</w:t>
            </w:r>
          </w:p>
        </w:tc>
        <w:tc>
          <w:tcPr>
            <w:tcW w:w="360" w:type="dxa"/>
            <w:vAlign w:val="bottom"/>
          </w:tcPr>
          <w:p>
            <w:pPr>
              <w:spacing w:after="0"/>
              <w:rPr>
                <w:sz w:val="15"/>
                <w:szCs w:val="15"/>
                <w:color w:val="auto"/>
              </w:rPr>
            </w:pP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(487)</w:t>
            </w:r>
          </w:p>
        </w:tc>
        <w:tc>
          <w:tcPr>
            <w:tcW w:w="140" w:type="dxa"/>
            <w:vAlign w:val="bottom"/>
          </w:tcPr>
          <w:p>
            <w:pPr>
              <w:spacing w:after="0"/>
              <w:rPr>
                <w:sz w:val="15"/>
                <w:szCs w:val="15"/>
                <w:color w:val="auto"/>
              </w:rPr>
            </w:pP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(1,260)</w:t>
            </w:r>
          </w:p>
        </w:tc>
        <w:tc>
          <w:tcPr>
            <w:tcW w:w="280" w:type="dxa"/>
            <w:vAlign w:val="bottom"/>
          </w:tcPr>
          <w:p>
            <w:pPr>
              <w:spacing w:after="0"/>
              <w:rPr>
                <w:sz w:val="15"/>
                <w:szCs w:val="15"/>
                <w:color w:val="auto"/>
              </w:rPr>
            </w:pP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(226)</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(209)</w:t>
            </w:r>
          </w:p>
        </w:tc>
      </w:tr>
      <w:tr>
        <w:trPr>
          <w:trHeight w:val="177"/>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Other income, net.........................</w:t>
            </w:r>
          </w:p>
        </w:tc>
        <w:tc>
          <w:tcPr>
            <w:tcW w:w="220" w:type="dxa"/>
            <w:vAlign w:val="bottom"/>
          </w:tcPr>
          <w:p>
            <w:pPr>
              <w:spacing w:after="0"/>
              <w:rPr>
                <w:sz w:val="15"/>
                <w:szCs w:val="15"/>
                <w:color w:val="auto"/>
              </w:rPr>
            </w:pP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w:t>
            </w:r>
          </w:p>
        </w:tc>
        <w:tc>
          <w:tcPr>
            <w:tcW w:w="360" w:type="dxa"/>
            <w:vAlign w:val="bottom"/>
          </w:tcPr>
          <w:p>
            <w:pPr>
              <w:spacing w:after="0"/>
              <w:rPr>
                <w:sz w:val="15"/>
                <w:szCs w:val="15"/>
                <w:color w:val="auto"/>
              </w:rPr>
            </w:pP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(1,321)</w:t>
            </w:r>
          </w:p>
        </w:tc>
        <w:tc>
          <w:tcPr>
            <w:tcW w:w="140" w:type="dxa"/>
            <w:vAlign w:val="bottom"/>
          </w:tcPr>
          <w:p>
            <w:pPr>
              <w:spacing w:after="0"/>
              <w:rPr>
                <w:sz w:val="15"/>
                <w:szCs w:val="15"/>
                <w:color w:val="auto"/>
              </w:rPr>
            </w:pP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(1,923)</w:t>
            </w:r>
          </w:p>
        </w:tc>
        <w:tc>
          <w:tcPr>
            <w:tcW w:w="280" w:type="dxa"/>
            <w:vAlign w:val="bottom"/>
          </w:tcPr>
          <w:p>
            <w:pPr>
              <w:spacing w:after="0"/>
              <w:rPr>
                <w:sz w:val="15"/>
                <w:szCs w:val="15"/>
                <w:color w:val="auto"/>
              </w:rPr>
            </w:pP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(328)</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(648)</w:t>
            </w:r>
          </w:p>
        </w:tc>
      </w:tr>
      <w:tr>
        <w:trPr>
          <w:trHeight w:val="177"/>
        </w:trPr>
        <w:tc>
          <w:tcPr>
            <w:tcW w:w="39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Income before income taxes..............</w:t>
            </w:r>
          </w:p>
        </w:tc>
        <w:tc>
          <w:tcPr>
            <w:tcW w:w="22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21,018</w:t>
            </w:r>
          </w:p>
        </w:tc>
        <w:tc>
          <w:tcPr>
            <w:tcW w:w="36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31,855</w:t>
            </w:r>
          </w:p>
        </w:tc>
        <w:tc>
          <w:tcPr>
            <w:tcW w:w="14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46,444</w:t>
            </w:r>
          </w:p>
        </w:tc>
        <w:tc>
          <w:tcPr>
            <w:tcW w:w="280" w:type="dxa"/>
            <w:vAlign w:val="bottom"/>
          </w:tcPr>
          <w:p>
            <w:pPr>
              <w:spacing w:after="0"/>
              <w:rPr>
                <w:sz w:val="15"/>
                <w:szCs w:val="15"/>
                <w:color w:val="auto"/>
              </w:rPr>
            </w:pP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8,559</w:t>
            </w:r>
          </w:p>
        </w:tc>
        <w:tc>
          <w:tcPr>
            <w:tcW w:w="26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13,253</w:t>
            </w:r>
          </w:p>
        </w:tc>
      </w:tr>
      <w:tr>
        <w:trPr>
          <w:trHeight w:val="177"/>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Income taxes..............................</w:t>
            </w:r>
          </w:p>
        </w:tc>
        <w:tc>
          <w:tcPr>
            <w:tcW w:w="22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8,048</w:t>
            </w:r>
          </w:p>
        </w:tc>
        <w:tc>
          <w:tcPr>
            <w:tcW w:w="36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12,622</w:t>
            </w:r>
          </w:p>
        </w:tc>
        <w:tc>
          <w:tcPr>
            <w:tcW w:w="14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18,531</w:t>
            </w:r>
          </w:p>
        </w:tc>
        <w:tc>
          <w:tcPr>
            <w:tcW w:w="280" w:type="dxa"/>
            <w:vAlign w:val="bottom"/>
          </w:tcPr>
          <w:p>
            <w:pPr>
              <w:spacing w:after="0"/>
              <w:rPr>
                <w:sz w:val="15"/>
                <w:szCs w:val="15"/>
                <w:color w:val="auto"/>
              </w:rPr>
            </w:pP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3,387</w:t>
            </w:r>
          </w:p>
        </w:tc>
        <w:tc>
          <w:tcPr>
            <w:tcW w:w="26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5,301</w:t>
            </w:r>
          </w:p>
        </w:tc>
      </w:tr>
      <w:tr>
        <w:trPr>
          <w:trHeight w:val="177"/>
        </w:trPr>
        <w:tc>
          <w:tcPr>
            <w:tcW w:w="39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12,970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19,233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27,913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5,172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7,952</w:t>
            </w:r>
          </w:p>
        </w:tc>
      </w:tr>
      <w:tr>
        <w:trPr>
          <w:trHeight w:val="177"/>
        </w:trPr>
        <w:tc>
          <w:tcPr>
            <w:tcW w:w="3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Earnings per common and common equivalent</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7"/>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share...................................</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0.80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1.07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0.28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0.35</w:t>
            </w:r>
          </w:p>
        </w:tc>
      </w:tr>
      <w:tr>
        <w:trPr>
          <w:trHeight w:val="177"/>
        </w:trPr>
        <w:tc>
          <w:tcPr>
            <w:tcW w:w="3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7"/>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common equivalent shares outstanding....</w:t>
            </w:r>
          </w:p>
        </w:tc>
        <w:tc>
          <w:tcPr>
            <w:tcW w:w="22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16,118</w:t>
            </w:r>
          </w:p>
        </w:tc>
        <w:tc>
          <w:tcPr>
            <w:tcW w:w="36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17,914</w:t>
            </w:r>
          </w:p>
        </w:tc>
        <w:tc>
          <w:tcPr>
            <w:tcW w:w="14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20,216</w:t>
            </w:r>
          </w:p>
        </w:tc>
        <w:tc>
          <w:tcPr>
            <w:tcW w:w="280" w:type="dxa"/>
            <w:vAlign w:val="bottom"/>
          </w:tcPr>
          <w:p>
            <w:pPr>
              <w:spacing w:after="0"/>
              <w:rPr>
                <w:sz w:val="15"/>
                <w:szCs w:val="15"/>
                <w:color w:val="auto"/>
              </w:rPr>
            </w:pP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18,626</w:t>
            </w:r>
          </w:p>
        </w:tc>
        <w:tc>
          <w:tcPr>
            <w:tcW w:w="26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22,989</w:t>
            </w:r>
          </w:p>
        </w:tc>
      </w:tr>
      <w:tr>
        <w:trPr>
          <w:trHeight w:val="177"/>
        </w:trPr>
        <w:tc>
          <w:tcPr>
            <w:tcW w:w="3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BALANCE SHEET DATA (AT END OF PERIOD):</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7"/>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Working capital (deficit).................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(587)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(716)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(3,416)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9,849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(416)</w:t>
            </w:r>
          </w:p>
        </w:tc>
      </w:tr>
      <w:tr>
        <w:trPr>
          <w:trHeight w:val="177"/>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Intangible assets, net....................</w:t>
            </w:r>
          </w:p>
        </w:tc>
        <w:tc>
          <w:tcPr>
            <w:tcW w:w="22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52,738</w:t>
            </w:r>
          </w:p>
        </w:tc>
        <w:tc>
          <w:tcPr>
            <w:tcW w:w="36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66,597</w:t>
            </w:r>
          </w:p>
        </w:tc>
        <w:tc>
          <w:tcPr>
            <w:tcW w:w="14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119,414</w:t>
            </w:r>
          </w:p>
        </w:tc>
        <w:tc>
          <w:tcPr>
            <w:tcW w:w="280" w:type="dxa"/>
            <w:vAlign w:val="bottom"/>
          </w:tcPr>
          <w:p>
            <w:pPr>
              <w:spacing w:after="0"/>
              <w:rPr>
                <w:sz w:val="15"/>
                <w:szCs w:val="15"/>
                <w:color w:val="auto"/>
              </w:rPr>
            </w:pP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71,962</w:t>
            </w:r>
          </w:p>
        </w:tc>
        <w:tc>
          <w:tcPr>
            <w:tcW w:w="26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136,865</w:t>
            </w:r>
          </w:p>
        </w:tc>
      </w:tr>
      <w:tr>
        <w:trPr>
          <w:trHeight w:val="177"/>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22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420,918</w:t>
            </w:r>
          </w:p>
        </w:tc>
        <w:tc>
          <w:tcPr>
            <w:tcW w:w="36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510,865</w:t>
            </w:r>
          </w:p>
        </w:tc>
        <w:tc>
          <w:tcPr>
            <w:tcW w:w="14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775,929</w:t>
            </w:r>
          </w:p>
        </w:tc>
        <w:tc>
          <w:tcPr>
            <w:tcW w:w="280" w:type="dxa"/>
            <w:vAlign w:val="bottom"/>
          </w:tcPr>
          <w:p>
            <w:pPr>
              <w:spacing w:after="0"/>
              <w:rPr>
                <w:sz w:val="15"/>
                <w:szCs w:val="15"/>
                <w:color w:val="auto"/>
              </w:rPr>
            </w:pP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543,080</w:t>
            </w:r>
          </w:p>
        </w:tc>
        <w:tc>
          <w:tcPr>
            <w:tcW w:w="26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934,379</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Long-term debt, including current</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7"/>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maturities..............................</w:t>
            </w:r>
          </w:p>
        </w:tc>
        <w:tc>
          <w:tcPr>
            <w:tcW w:w="22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154,141</w:t>
            </w:r>
          </w:p>
        </w:tc>
        <w:tc>
          <w:tcPr>
            <w:tcW w:w="36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197,769</w:t>
            </w:r>
          </w:p>
        </w:tc>
        <w:tc>
          <w:tcPr>
            <w:tcW w:w="14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280,901</w:t>
            </w:r>
          </w:p>
        </w:tc>
        <w:tc>
          <w:tcPr>
            <w:tcW w:w="280" w:type="dxa"/>
            <w:vAlign w:val="bottom"/>
          </w:tcPr>
          <w:p>
            <w:pPr>
              <w:spacing w:after="0"/>
              <w:rPr>
                <w:sz w:val="15"/>
                <w:szCs w:val="15"/>
                <w:color w:val="auto"/>
              </w:rPr>
            </w:pP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212,342</w:t>
            </w:r>
          </w:p>
        </w:tc>
        <w:tc>
          <w:tcPr>
            <w:tcW w:w="26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373,478</w:t>
            </w:r>
          </w:p>
        </w:tc>
      </w:tr>
      <w:tr>
        <w:trPr>
          <w:trHeight w:val="177"/>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Stockholders' equity......................</w:t>
            </w:r>
          </w:p>
        </w:tc>
        <w:tc>
          <w:tcPr>
            <w:tcW w:w="22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148,245</w:t>
            </w:r>
          </w:p>
        </w:tc>
        <w:tc>
          <w:tcPr>
            <w:tcW w:w="36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182,115</w:t>
            </w:r>
          </w:p>
        </w:tc>
        <w:tc>
          <w:tcPr>
            <w:tcW w:w="14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315,591</w:t>
            </w:r>
          </w:p>
        </w:tc>
        <w:tc>
          <w:tcPr>
            <w:tcW w:w="280" w:type="dxa"/>
            <w:vAlign w:val="bottom"/>
          </w:tcPr>
          <w:p>
            <w:pPr>
              <w:spacing w:after="0"/>
              <w:rPr>
                <w:sz w:val="15"/>
                <w:szCs w:val="15"/>
                <w:color w:val="auto"/>
              </w:rPr>
            </w:pP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196,738</w:t>
            </w:r>
          </w:p>
        </w:tc>
        <w:tc>
          <w:tcPr>
            <w:tcW w:w="26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377,177</w:t>
            </w:r>
          </w:p>
        </w:tc>
      </w:tr>
    </w:tbl>
    <w:p>
      <w:pPr>
        <w:spacing w:after="0" w:line="36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365" w:right="3220" w:hanging="365"/>
        <w:spacing w:after="0" w:line="252" w:lineRule="auto"/>
        <w:tabs>
          <w:tab w:leader="none" w:pos="36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to give effect to the merger of Metropolitan Disposal and Recycling Corporation, which closed in May 1995, using the "pooling of interests" method of accounting.</w:t>
      </w: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605"/>
          </w:cols>
          <w:pgMar w:left="235" w:top="295" w:right="1059"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21</w:t>
      </w:r>
    </w:p>
    <w:p>
      <w:pPr>
        <w:spacing w:after="0" w:line="185" w:lineRule="exact"/>
        <w:rPr>
          <w:sz w:val="20"/>
          <w:szCs w:val="20"/>
          <w:color w:val="auto"/>
        </w:rPr>
      </w:pPr>
    </w:p>
    <w:p>
      <w:pPr>
        <w:jc w:val="center"/>
        <w:ind w:right="2940"/>
        <w:spacing w:after="0"/>
        <w:rPr>
          <w:sz w:val="20"/>
          <w:szCs w:val="20"/>
          <w:color w:val="auto"/>
        </w:rPr>
      </w:pPr>
      <w:r>
        <w:rPr>
          <w:rFonts w:ascii="Courier New" w:cs="Courier New" w:eastAsia="Courier New" w:hAnsi="Courier New"/>
          <w:sz w:val="15"/>
          <w:szCs w:val="15"/>
          <w:color w:val="auto"/>
        </w:rPr>
        <w:t>SUMMARY COMBINED UNAUDITED PRO FORMA CONDENSED</w:t>
      </w:r>
    </w:p>
    <w:p>
      <w:pPr>
        <w:spacing w:after="0" w:line="8" w:lineRule="exact"/>
        <w:rPr>
          <w:sz w:val="20"/>
          <w:szCs w:val="20"/>
          <w:color w:val="auto"/>
        </w:rPr>
      </w:pPr>
    </w:p>
    <w:p>
      <w:pPr>
        <w:jc w:val="center"/>
        <w:ind w:right="3040"/>
        <w:spacing w:after="0"/>
        <w:rPr>
          <w:sz w:val="20"/>
          <w:szCs w:val="20"/>
          <w:color w:val="auto"/>
        </w:rPr>
      </w:pPr>
      <w:r>
        <w:rPr>
          <w:rFonts w:ascii="Courier New" w:cs="Courier New" w:eastAsia="Courier New" w:hAnsi="Courier New"/>
          <w:sz w:val="15"/>
          <w:szCs w:val="15"/>
          <w:color w:val="auto"/>
        </w:rPr>
        <w:t>FINANCIAL INFORMATION</w:t>
      </w:r>
    </w:p>
    <w:p>
      <w:pPr>
        <w:spacing w:after="0" w:line="185" w:lineRule="exact"/>
        <w:rPr>
          <w:sz w:val="20"/>
          <w:szCs w:val="20"/>
          <w:color w:val="auto"/>
        </w:rPr>
      </w:pPr>
    </w:p>
    <w:p>
      <w:pPr>
        <w:ind w:right="2940" w:firstLine="461"/>
        <w:spacing w:after="0" w:line="250" w:lineRule="auto"/>
        <w:rPr>
          <w:sz w:val="20"/>
          <w:szCs w:val="20"/>
          <w:color w:val="auto"/>
        </w:rPr>
      </w:pPr>
      <w:r>
        <w:rPr>
          <w:rFonts w:ascii="Courier New" w:cs="Courier New" w:eastAsia="Courier New" w:hAnsi="Courier New"/>
          <w:sz w:val="15"/>
          <w:szCs w:val="15"/>
          <w:color w:val="auto"/>
        </w:rPr>
        <w:t>The following summary combined unaudited pro forma condensed financial information of USA Waste and Sanifill gives effect to the Merger under the "pooling of interests" method of accounting as if the Merger had been consummated as of the beginning of the periods presented. The pro forma information for the years ended December 31, 1993, 1994 and 1995 was prepared based on the audited supplemental and audited historical financial information of USA Waste and Sanifill, respectively, for such years. The pro forma information for the three months ended March 31, 1995 and 1996 was prepared based on the unaudited supplemental and unaudited historical financial information of USA Waste and Sanifill, respectively, for such periods. In addition to the pro forma adjustments in the combined unaudited pro forma condensed financial statements (which in effect are a restatement of the financial statements as if the Merger were consummated), the impact of certain transactions occurring in 1995 and 1996 is presented supplementally. This supplementally provided information does not include the impact of certain cost and expense savings and other economic benefits that are expected to be realized as a result of the Merger or additional cost reductions relating to landfill and collection operations or additional revenues that may result from volume or price increases. See "Supplementally Provided Information Relating to Combined Unaudited Pro Forma Condensed Financial Statements."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USA WASTE AND SANIFILL</w:t>
            </w: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7"/>
        </w:trPr>
        <w:tc>
          <w:tcPr>
            <w:tcW w:w="3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560" w:type="dxa"/>
            <w:vAlign w:val="bottom"/>
            <w:gridSpan w:val="4"/>
          </w:tcPr>
          <w:p>
            <w:pPr>
              <w:jc w:val="right"/>
              <w:ind w:right="883"/>
              <w:spacing w:after="0"/>
              <w:rPr>
                <w:sz w:val="20"/>
                <w:szCs w:val="20"/>
                <w:color w:val="auto"/>
              </w:rPr>
            </w:pPr>
            <w:r>
              <w:rPr>
                <w:rFonts w:ascii="Courier New" w:cs="Courier New" w:eastAsia="Courier New" w:hAnsi="Courier New"/>
                <w:sz w:val="15"/>
                <w:szCs w:val="15"/>
                <w:color w:val="auto"/>
              </w:rPr>
              <w:t>COMBINED UNAUDITED PRO FORMA</w:t>
            </w:r>
          </w:p>
        </w:tc>
        <w:tc>
          <w:tcPr>
            <w:tcW w:w="320" w:type="dxa"/>
            <w:vAlign w:val="bottom"/>
          </w:tcPr>
          <w:p>
            <w:pPr>
              <w:spacing w:after="0"/>
              <w:rPr>
                <w:sz w:val="15"/>
                <w:szCs w:val="15"/>
                <w:color w:val="auto"/>
              </w:rPr>
            </w:pPr>
          </w:p>
        </w:tc>
        <w:tc>
          <w:tcPr>
            <w:tcW w:w="2300" w:type="dxa"/>
            <w:vAlign w:val="bottom"/>
            <w:gridSpan w:val="2"/>
          </w:tcPr>
          <w:p>
            <w:pPr>
              <w:jc w:val="right"/>
              <w:ind w:right="563"/>
              <w:spacing w:after="0"/>
              <w:rPr>
                <w:sz w:val="20"/>
                <w:szCs w:val="20"/>
                <w:color w:val="auto"/>
              </w:rPr>
            </w:pPr>
            <w:r>
              <w:rPr>
                <w:rFonts w:ascii="Courier New" w:cs="Courier New" w:eastAsia="Courier New" w:hAnsi="Courier New"/>
                <w:sz w:val="15"/>
                <w:szCs w:val="15"/>
                <w:color w:val="auto"/>
              </w:rPr>
              <w:t>SUPPLEMENTALLY</w:t>
            </w:r>
          </w:p>
        </w:tc>
      </w:tr>
      <w:tr>
        <w:trPr>
          <w:trHeight w:val="177"/>
        </w:trPr>
        <w:tc>
          <w:tcPr>
            <w:tcW w:w="3280" w:type="dxa"/>
            <w:vAlign w:val="bottom"/>
          </w:tcPr>
          <w:p>
            <w:pPr>
              <w:spacing w:after="0"/>
              <w:rPr>
                <w:sz w:val="15"/>
                <w:szCs w:val="15"/>
                <w:color w:val="auto"/>
              </w:rPr>
            </w:pPr>
          </w:p>
        </w:tc>
        <w:tc>
          <w:tcPr>
            <w:tcW w:w="4420" w:type="dxa"/>
            <w:vAlign w:val="bottom"/>
            <w:gridSpan w:val="5"/>
          </w:tcPr>
          <w:p>
            <w:pPr>
              <w:jc w:val="right"/>
              <w:ind w:right="803"/>
              <w:spacing w:after="0"/>
              <w:rPr>
                <w:sz w:val="20"/>
                <w:szCs w:val="20"/>
                <w:color w:val="auto"/>
              </w:rPr>
            </w:pPr>
            <w:r>
              <w:rPr>
                <w:rFonts w:ascii="Courier New" w:cs="Courier New" w:eastAsia="Courier New" w:hAnsi="Courier New"/>
                <w:sz w:val="15"/>
                <w:szCs w:val="15"/>
                <w:color w:val="auto"/>
              </w:rPr>
              <w:t>CONDENSED FINANCIAL INFORMATION</w:t>
            </w:r>
          </w:p>
        </w:tc>
        <w:tc>
          <w:tcPr>
            <w:tcW w:w="320" w:type="dxa"/>
            <w:vAlign w:val="bottom"/>
          </w:tcPr>
          <w:p>
            <w:pPr>
              <w:spacing w:after="0"/>
              <w:rPr>
                <w:sz w:val="15"/>
                <w:szCs w:val="15"/>
                <w:color w:val="auto"/>
              </w:rPr>
            </w:pPr>
          </w:p>
        </w:tc>
        <w:tc>
          <w:tcPr>
            <w:tcW w:w="23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PROVIDED INFORMATION</w:t>
            </w:r>
          </w:p>
        </w:tc>
      </w:tr>
      <w:tr>
        <w:trPr>
          <w:trHeight w:val="177"/>
        </w:trPr>
        <w:tc>
          <w:tcPr>
            <w:tcW w:w="328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5"/>
                <w:szCs w:val="5"/>
                <w:color w:val="auto"/>
                <w:w w:val="81"/>
              </w:rPr>
              <w:t>----------------------------------------------</w:t>
            </w: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9"/>
              </w:rPr>
              <w:t>THREE MONTHS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THREE MONTHS</w:t>
            </w:r>
          </w:p>
        </w:tc>
      </w:tr>
      <w:tr>
        <w:trPr>
          <w:trHeight w:val="177"/>
        </w:trPr>
        <w:tc>
          <w:tcPr>
            <w:tcW w:w="3280" w:type="dxa"/>
            <w:vAlign w:val="bottom"/>
          </w:tcPr>
          <w:p>
            <w:pPr>
              <w:spacing w:after="0"/>
              <w:rPr>
                <w:sz w:val="15"/>
                <w:szCs w:val="15"/>
                <w:color w:val="auto"/>
              </w:rPr>
            </w:pPr>
          </w:p>
        </w:tc>
        <w:tc>
          <w:tcPr>
            <w:tcW w:w="3180" w:type="dxa"/>
            <w:vAlign w:val="bottom"/>
            <w:gridSpan w:val="4"/>
          </w:tcPr>
          <w:p>
            <w:pPr>
              <w:jc w:val="right"/>
              <w:ind w:right="583"/>
              <w:spacing w:after="0"/>
              <w:rPr>
                <w:sz w:val="20"/>
                <w:szCs w:val="20"/>
                <w:color w:val="auto"/>
              </w:rPr>
            </w:pPr>
            <w:r>
              <w:rPr>
                <w:rFonts w:ascii="Courier New" w:cs="Courier New" w:eastAsia="Courier New" w:hAnsi="Courier New"/>
                <w:sz w:val="15"/>
                <w:szCs w:val="15"/>
                <w:color w:val="auto"/>
              </w:rPr>
              <w:t>YEAR ENDED DECEMBER 31,</w:t>
            </w:r>
          </w:p>
        </w:tc>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ENDED</w:t>
            </w:r>
          </w:p>
        </w:tc>
        <w:tc>
          <w:tcPr>
            <w:tcW w:w="13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YEAR ENDED</w:t>
            </w:r>
          </w:p>
        </w:tc>
        <w:tc>
          <w:tcPr>
            <w:tcW w:w="12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ENDED</w:t>
            </w:r>
          </w:p>
        </w:tc>
      </w:tr>
      <w:tr>
        <w:trPr>
          <w:trHeight w:val="177"/>
        </w:trPr>
        <w:tc>
          <w:tcPr>
            <w:tcW w:w="328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5"/>
              </w:rPr>
              <w:t>-------------------------------</w:t>
            </w: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MARCH 31,</w:t>
            </w:r>
          </w:p>
        </w:tc>
        <w:tc>
          <w:tcPr>
            <w:tcW w:w="138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DECEMBER 31,</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MARCH 31,</w:t>
            </w:r>
          </w:p>
        </w:tc>
      </w:tr>
      <w:tr>
        <w:trPr>
          <w:trHeight w:val="177"/>
        </w:trPr>
        <w:tc>
          <w:tcPr>
            <w:tcW w:w="3280" w:type="dxa"/>
            <w:vAlign w:val="bottom"/>
          </w:tcPr>
          <w:p>
            <w:pPr>
              <w:spacing w:after="0"/>
              <w:rPr>
                <w:sz w:val="15"/>
                <w:szCs w:val="15"/>
                <w:color w:val="auto"/>
              </w:rPr>
            </w:pP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1993</w:t>
            </w:r>
          </w:p>
        </w:tc>
        <w:tc>
          <w:tcPr>
            <w:tcW w:w="280" w:type="dxa"/>
            <w:vAlign w:val="bottom"/>
          </w:tcPr>
          <w:p>
            <w:pPr>
              <w:spacing w:after="0"/>
              <w:rPr>
                <w:sz w:val="15"/>
                <w:szCs w:val="15"/>
                <w:color w:val="auto"/>
              </w:rPr>
            </w:pPr>
          </w:p>
        </w:tc>
        <w:tc>
          <w:tcPr>
            <w:tcW w:w="9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1994</w:t>
            </w:r>
          </w:p>
        </w:tc>
        <w:tc>
          <w:tcPr>
            <w:tcW w:w="1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1995</w:t>
            </w:r>
          </w:p>
        </w:tc>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1996</w:t>
            </w:r>
          </w:p>
        </w:tc>
        <w:tc>
          <w:tcPr>
            <w:tcW w:w="320" w:type="dxa"/>
            <w:vAlign w:val="bottom"/>
          </w:tcPr>
          <w:p>
            <w:pPr>
              <w:spacing w:after="0"/>
              <w:rPr>
                <w:sz w:val="15"/>
                <w:szCs w:val="15"/>
                <w:color w:val="auto"/>
              </w:rPr>
            </w:pPr>
          </w:p>
        </w:tc>
        <w:tc>
          <w:tcPr>
            <w:tcW w:w="10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1995</w:t>
            </w:r>
          </w:p>
        </w:tc>
        <w:tc>
          <w:tcPr>
            <w:tcW w:w="12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1996</w:t>
            </w:r>
          </w:p>
        </w:tc>
      </w:tr>
      <w:tr>
        <w:trPr>
          <w:trHeight w:val="177"/>
        </w:trPr>
        <w:tc>
          <w:tcPr>
            <w:tcW w:w="328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60" w:type="dxa"/>
            <w:vAlign w:val="bottom"/>
            <w:gridSpan w:val="5"/>
          </w:tcPr>
          <w:p>
            <w:pPr>
              <w:jc w:val="right"/>
              <w:ind w:right="343"/>
              <w:spacing w:after="0"/>
              <w:rPr>
                <w:sz w:val="20"/>
                <w:szCs w:val="20"/>
                <w:color w:val="auto"/>
              </w:rPr>
            </w:pPr>
            <w:r>
              <w:rPr>
                <w:rFonts w:ascii="Courier New" w:cs="Courier New" w:eastAsia="Courier New" w:hAnsi="Courier New"/>
                <w:sz w:val="15"/>
                <w:szCs w:val="15"/>
                <w:color w:val="auto"/>
              </w:rPr>
              <w:t>(IN THOUSANDS, EXCEPT PER SHARE AMOUNTS)</w:t>
            </w:r>
          </w:p>
        </w:tc>
        <w:tc>
          <w:tcPr>
            <w:tcW w:w="1240" w:type="dxa"/>
            <w:vAlign w:val="bottom"/>
          </w:tcPr>
          <w:p>
            <w:pPr>
              <w:spacing w:after="0"/>
              <w:rPr>
                <w:sz w:val="15"/>
                <w:szCs w:val="15"/>
                <w:color w:val="auto"/>
              </w:rPr>
            </w:pPr>
          </w:p>
        </w:tc>
      </w:tr>
      <w:tr>
        <w:trPr>
          <w:trHeight w:val="355"/>
        </w:trPr>
        <w:tc>
          <w:tcPr>
            <w:tcW w:w="32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$778,966</w:t>
            </w:r>
          </w:p>
        </w:tc>
        <w:tc>
          <w:tcPr>
            <w:tcW w:w="12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$ 897,644</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$987,705</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$282,525</w:t>
            </w:r>
          </w:p>
        </w:tc>
        <w:tc>
          <w:tcPr>
            <w:tcW w:w="13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$1,178,126</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$307,757</w:t>
            </w:r>
          </w:p>
        </w:tc>
      </w:tr>
      <w:tr>
        <w:trPr>
          <w:trHeight w:val="177"/>
        </w:trPr>
        <w:tc>
          <w:tcPr>
            <w:tcW w:w="328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Operating........................</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455,282</w:t>
            </w:r>
          </w:p>
        </w:tc>
        <w:tc>
          <w:tcPr>
            <w:tcW w:w="28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520,255</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551,305</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158,956</w:t>
            </w:r>
          </w:p>
        </w:tc>
        <w:tc>
          <w:tcPr>
            <w:tcW w:w="32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672,438</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174,794</w:t>
            </w:r>
          </w:p>
        </w:tc>
      </w:tr>
      <w:tr>
        <w:trPr>
          <w:trHeight w:val="177"/>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General and administrative.......</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126,347</w:t>
            </w:r>
          </w:p>
        </w:tc>
        <w:tc>
          <w:tcPr>
            <w:tcW w:w="28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138,819</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140,051</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36,704</w:t>
            </w:r>
          </w:p>
        </w:tc>
        <w:tc>
          <w:tcPr>
            <w:tcW w:w="32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169,291</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40,042</w:t>
            </w:r>
          </w:p>
        </w:tc>
      </w:tr>
      <w:tr>
        <w:trPr>
          <w:trHeight w:val="177"/>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96,861</w:t>
            </w:r>
          </w:p>
        </w:tc>
        <w:tc>
          <w:tcPr>
            <w:tcW w:w="28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112,860</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119,570</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32,701</w:t>
            </w:r>
          </w:p>
        </w:tc>
        <w:tc>
          <w:tcPr>
            <w:tcW w:w="32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140,785</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35,643</w:t>
            </w:r>
          </w:p>
        </w:tc>
      </w:tr>
      <w:tr>
        <w:trPr>
          <w:trHeight w:val="177"/>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Merger costs.....................</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3,782</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25,639</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25,639</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Unusual items....................</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2,672</w:t>
            </w:r>
          </w:p>
        </w:tc>
        <w:tc>
          <w:tcPr>
            <w:tcW w:w="28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8,863</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4,733</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4,733</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328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328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681,162</w:t>
            </w:r>
          </w:p>
        </w:tc>
        <w:tc>
          <w:tcPr>
            <w:tcW w:w="28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784,579</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841,298</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228,361</w:t>
            </w:r>
          </w:p>
        </w:tc>
        <w:tc>
          <w:tcPr>
            <w:tcW w:w="32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1,012,886</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250,479</w:t>
            </w:r>
          </w:p>
        </w:tc>
      </w:tr>
      <w:tr>
        <w:trPr>
          <w:trHeight w:val="177"/>
        </w:trPr>
        <w:tc>
          <w:tcPr>
            <w:tcW w:w="328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97,804</w:t>
            </w:r>
          </w:p>
        </w:tc>
        <w:tc>
          <w:tcPr>
            <w:tcW w:w="28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113,065</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146,407</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54,164</w:t>
            </w:r>
          </w:p>
        </w:tc>
        <w:tc>
          <w:tcPr>
            <w:tcW w:w="32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165,240</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57,278</w:t>
            </w:r>
          </w:p>
        </w:tc>
      </w:tr>
      <w:tr>
        <w:trPr>
          <w:trHeight w:val="177"/>
        </w:trPr>
        <w:tc>
          <w:tcPr>
            <w:tcW w:w="328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Stockholder litigation settlement</w:t>
            </w: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3280" w:type="dxa"/>
            <w:vAlign w:val="bottom"/>
          </w:tcPr>
          <w:p>
            <w:pPr>
              <w:ind w:left="360"/>
              <w:spacing w:after="0"/>
              <w:rPr>
                <w:sz w:val="20"/>
                <w:szCs w:val="20"/>
                <w:color w:val="auto"/>
              </w:rPr>
            </w:pPr>
            <w:r>
              <w:rPr>
                <w:rFonts w:ascii="Courier New" w:cs="Courier New" w:eastAsia="Courier New" w:hAnsi="Courier New"/>
                <w:sz w:val="15"/>
                <w:szCs w:val="15"/>
                <w:color w:val="auto"/>
              </w:rPr>
              <w:t>and other litigation related</w:t>
            </w: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3280" w:type="dxa"/>
            <w:vAlign w:val="bottom"/>
          </w:tcPr>
          <w:p>
            <w:pPr>
              <w:ind w:left="360"/>
              <w:spacing w:after="0"/>
              <w:rPr>
                <w:sz w:val="20"/>
                <w:szCs w:val="20"/>
                <w:color w:val="auto"/>
              </w:rPr>
            </w:pPr>
            <w:r>
              <w:rPr>
                <w:rFonts w:ascii="Courier New" w:cs="Courier New" w:eastAsia="Courier New" w:hAnsi="Courier New"/>
                <w:sz w:val="15"/>
                <w:szCs w:val="15"/>
                <w:color w:val="auto"/>
              </w:rPr>
              <w:t>costs..........................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(5,500)</w:t>
            </w:r>
          </w:p>
        </w:tc>
        <w:tc>
          <w:tcPr>
            <w:tcW w:w="28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(79,400)</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3280" w:type="dxa"/>
            <w:vAlign w:val="bottom"/>
          </w:tcPr>
          <w:p>
            <w:pPr>
              <w:ind w:left="360"/>
              <w:spacing w:after="0"/>
              <w:rPr>
                <w:sz w:val="20"/>
                <w:szCs w:val="20"/>
                <w:color w:val="auto"/>
              </w:rPr>
            </w:pPr>
            <w:r>
              <w:rPr>
                <w:rFonts w:ascii="Courier New" w:cs="Courier New" w:eastAsia="Courier New" w:hAnsi="Courier New"/>
                <w:sz w:val="15"/>
                <w:szCs w:val="15"/>
                <w:color w:val="auto"/>
              </w:rPr>
              <w:t>Nonrecurring interest..........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(1,254)</w:t>
            </w: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(10,994)</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(10,994)</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3280" w:type="dxa"/>
            <w:vAlign w:val="bottom"/>
          </w:tcPr>
          <w:p>
            <w:pPr>
              <w:ind w:left="360"/>
              <w:spacing w:after="0"/>
              <w:rPr>
                <w:sz w:val="20"/>
                <w:szCs w:val="20"/>
                <w:color w:val="auto"/>
              </w:rPr>
            </w:pPr>
            <w:r>
              <w:rPr>
                <w:rFonts w:ascii="Courier New" w:cs="Courier New" w:eastAsia="Courier New" w:hAnsi="Courier New"/>
                <w:sz w:val="15"/>
                <w:szCs w:val="15"/>
                <w:color w:val="auto"/>
              </w:rPr>
              <w:t>Other..........................</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(46,032)</w:t>
            </w:r>
          </w:p>
        </w:tc>
        <w:tc>
          <w:tcPr>
            <w:tcW w:w="28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(47,678)</w:t>
            </w: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(48,558)</w:t>
            </w:r>
          </w:p>
        </w:tc>
        <w:tc>
          <w:tcPr>
            <w:tcW w:w="12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(11,227)</w:t>
            </w:r>
          </w:p>
        </w:tc>
        <w:tc>
          <w:tcPr>
            <w:tcW w:w="32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(47,307)</w:t>
            </w: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(11,761)</w:t>
            </w:r>
          </w:p>
        </w:tc>
      </w:tr>
      <w:tr>
        <w:trPr>
          <w:trHeight w:val="177"/>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Interest income..................</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4,835</w:t>
            </w:r>
          </w:p>
        </w:tc>
        <w:tc>
          <w:tcPr>
            <w:tcW w:w="28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4,670</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5,482</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1,930</w:t>
            </w:r>
          </w:p>
        </w:tc>
        <w:tc>
          <w:tcPr>
            <w:tcW w:w="32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6,271</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1,930</w:t>
            </w:r>
          </w:p>
        </w:tc>
      </w:tr>
      <w:tr>
        <w:trPr>
          <w:trHeight w:val="177"/>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Other income, net................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1,161</w:t>
            </w:r>
          </w:p>
        </w:tc>
        <w:tc>
          <w:tcPr>
            <w:tcW w:w="28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2,570</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5,143</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1,215</w:t>
            </w:r>
          </w:p>
        </w:tc>
        <w:tc>
          <w:tcPr>
            <w:tcW w:w="32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5,838</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1,566</w:t>
            </w:r>
          </w:p>
        </w:tc>
      </w:tr>
      <w:tr>
        <w:trPr>
          <w:trHeight w:val="177"/>
        </w:trPr>
        <w:tc>
          <w:tcPr>
            <w:tcW w:w="328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3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(45,536)</w:t>
            </w:r>
          </w:p>
        </w:tc>
        <w:tc>
          <w:tcPr>
            <w:tcW w:w="28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(121,092)</w:t>
            </w: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(48,927)</w:t>
            </w:r>
          </w:p>
        </w:tc>
        <w:tc>
          <w:tcPr>
            <w:tcW w:w="12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(8,082)</w:t>
            </w:r>
          </w:p>
        </w:tc>
        <w:tc>
          <w:tcPr>
            <w:tcW w:w="32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(46,192)</w:t>
            </w: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(8,265)</w:t>
            </w:r>
          </w:p>
        </w:tc>
      </w:tr>
      <w:tr>
        <w:trPr>
          <w:trHeight w:val="177"/>
        </w:trPr>
        <w:tc>
          <w:tcPr>
            <w:tcW w:w="328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Income (loss) before income</w:t>
            </w: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taxes............................</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52,268</w:t>
            </w:r>
          </w:p>
        </w:tc>
        <w:tc>
          <w:tcPr>
            <w:tcW w:w="28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(8,027)</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97,480</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46,082</w:t>
            </w:r>
          </w:p>
        </w:tc>
        <w:tc>
          <w:tcPr>
            <w:tcW w:w="32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119,048</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49,013</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Provision for (benefit from) income</w:t>
            </w: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taxes............................</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30,317</w:t>
            </w:r>
          </w:p>
        </w:tc>
        <w:tc>
          <w:tcPr>
            <w:tcW w:w="28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(19,315)</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64,437</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18,433</w:t>
            </w:r>
          </w:p>
        </w:tc>
        <w:tc>
          <w:tcPr>
            <w:tcW w:w="32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70,433</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19,606</w:t>
            </w:r>
          </w:p>
        </w:tc>
      </w:tr>
      <w:tr>
        <w:trPr>
          <w:trHeight w:val="177"/>
        </w:trPr>
        <w:tc>
          <w:tcPr>
            <w:tcW w:w="328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Income from continuing</w:t>
            </w: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operations.......................</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21,951</w:t>
            </w:r>
          </w:p>
        </w:tc>
        <w:tc>
          <w:tcPr>
            <w:tcW w:w="28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11,288</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33,043</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27,649</w:t>
            </w:r>
          </w:p>
        </w:tc>
        <w:tc>
          <w:tcPr>
            <w:tcW w:w="32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48,615</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29,407</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Preferred dividends................</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582</w:t>
            </w:r>
          </w:p>
        </w:tc>
        <w:tc>
          <w:tcPr>
            <w:tcW w:w="28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565</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328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available to common</w:t>
            </w: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stockholders.....................</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$ 21,369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10,723</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$ 33,043</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$ 27,649</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48,615</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$ 29,407</w:t>
            </w:r>
          </w:p>
        </w:tc>
      </w:tr>
      <w:tr>
        <w:trPr>
          <w:trHeight w:val="177"/>
        </w:trPr>
        <w:tc>
          <w:tcPr>
            <w:tcW w:w="328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available to common stockholders</w:t>
            </w: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per common share.................</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0.22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0.10</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0.29</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0.21</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0.37</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0.21</w:t>
            </w:r>
          </w:p>
        </w:tc>
      </w:tr>
      <w:tr>
        <w:trPr>
          <w:trHeight w:val="177"/>
        </w:trPr>
        <w:tc>
          <w:tcPr>
            <w:tcW w:w="328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outstanding......................</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95,858</w:t>
            </w:r>
          </w:p>
        </w:tc>
        <w:tc>
          <w:tcPr>
            <w:tcW w:w="28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103,422</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113,279</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132,362</w:t>
            </w:r>
          </w:p>
        </w:tc>
        <w:tc>
          <w:tcPr>
            <w:tcW w:w="32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131,131</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136,906</w:t>
            </w:r>
          </w:p>
        </w:tc>
      </w:tr>
      <w:tr>
        <w:trPr>
          <w:trHeight w:val="177"/>
        </w:trPr>
        <w:tc>
          <w:tcPr>
            <w:tcW w:w="328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320"/>
          </w:cols>
          <w:pgMar w:left="240" w:top="295" w:right="1339" w:bottom="371" w:gutter="0" w:footer="0" w:header="0"/>
        </w:sectPr>
      </w:pPr>
    </w:p>
    <w:p>
      <w:pPr>
        <w:spacing w:after="0" w:line="16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320"/>
          </w:cols>
          <w:pgMar w:left="240" w:top="295" w:right="1339" w:bottom="371" w:gutter="0" w:footer="0" w:header="0"/>
          <w:type w:val="continuous"/>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5"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6360"/>
        <w:spacing w:after="0"/>
        <w:rPr>
          <w:sz w:val="20"/>
          <w:szCs w:val="20"/>
          <w:color w:val="auto"/>
        </w:rPr>
      </w:pPr>
      <w:r>
        <w:rPr>
          <w:rFonts w:ascii="Courier New" w:cs="Courier New" w:eastAsia="Courier New" w:hAnsi="Courier New"/>
          <w:sz w:val="15"/>
          <w:szCs w:val="15"/>
          <w:color w:val="auto"/>
        </w:rPr>
        <w:t>COMBINED UNAUDITED</w:t>
      </w:r>
    </w:p>
    <w:p>
      <w:pPr>
        <w:spacing w:after="0" w:line="8" w:lineRule="exact"/>
        <w:rPr>
          <w:sz w:val="20"/>
          <w:szCs w:val="20"/>
          <w:color w:val="auto"/>
        </w:rPr>
      </w:pPr>
    </w:p>
    <w:p>
      <w:pPr>
        <w:ind w:left="6360"/>
        <w:spacing w:after="0"/>
        <w:rPr>
          <w:sz w:val="20"/>
          <w:szCs w:val="20"/>
          <w:color w:val="auto"/>
        </w:rPr>
      </w:pPr>
      <w:r>
        <w:rPr>
          <w:rFonts w:ascii="Courier New" w:cs="Courier New" w:eastAsia="Courier New" w:hAnsi="Courier New"/>
          <w:sz w:val="15"/>
          <w:szCs w:val="15"/>
          <w:color w:val="auto"/>
        </w:rPr>
        <w:t>PRO FORMA CONDENSED</w:t>
      </w:r>
    </w:p>
    <w:p>
      <w:pPr>
        <w:spacing w:after="0" w:line="8" w:lineRule="exact"/>
        <w:rPr>
          <w:sz w:val="20"/>
          <w:szCs w:val="20"/>
          <w:color w:val="auto"/>
        </w:rPr>
      </w:pPr>
    </w:p>
    <w:p>
      <w:pPr>
        <w:ind w:left="6820"/>
        <w:spacing w:after="0"/>
        <w:rPr>
          <w:sz w:val="20"/>
          <w:szCs w:val="20"/>
          <w:color w:val="auto"/>
        </w:rPr>
      </w:pPr>
      <w:r>
        <w:rPr>
          <w:rFonts w:ascii="Courier New" w:cs="Courier New" w:eastAsia="Courier New" w:hAnsi="Courier New"/>
          <w:sz w:val="15"/>
          <w:szCs w:val="15"/>
          <w:color w:val="auto"/>
        </w:rPr>
        <w:t>FINANCIAL</w:t>
      </w:r>
    </w:p>
    <w:p>
      <w:pPr>
        <w:spacing w:after="0" w:line="8" w:lineRule="exact"/>
        <w:rPr>
          <w:sz w:val="20"/>
          <w:szCs w:val="20"/>
          <w:color w:val="auto"/>
        </w:rPr>
      </w:pPr>
    </w:p>
    <w:p>
      <w:pPr>
        <w:ind w:left="6460"/>
        <w:spacing w:after="0"/>
        <w:rPr>
          <w:sz w:val="20"/>
          <w:szCs w:val="20"/>
          <w:color w:val="auto"/>
        </w:rPr>
      </w:pPr>
      <w:r>
        <w:rPr>
          <w:rFonts w:ascii="Courier New" w:cs="Courier New" w:eastAsia="Courier New" w:hAnsi="Courier New"/>
          <w:sz w:val="15"/>
          <w:szCs w:val="15"/>
          <w:color w:val="auto"/>
        </w:rPr>
        <w:t>INFORMATION AS OF</w:t>
      </w:r>
    </w:p>
    <w:p>
      <w:pPr>
        <w:spacing w:after="0" w:line="8" w:lineRule="exact"/>
        <w:rPr>
          <w:sz w:val="20"/>
          <w:szCs w:val="20"/>
          <w:color w:val="auto"/>
        </w:rPr>
      </w:pPr>
    </w:p>
    <w:p>
      <w:pPr>
        <w:ind w:left="6540"/>
        <w:spacing w:after="0"/>
        <w:rPr>
          <w:sz w:val="20"/>
          <w:szCs w:val="20"/>
          <w:color w:val="auto"/>
        </w:rPr>
      </w:pPr>
      <w:r>
        <w:rPr>
          <w:rFonts w:ascii="Courier New" w:cs="Courier New" w:eastAsia="Courier New" w:hAnsi="Courier New"/>
          <w:sz w:val="15"/>
          <w:szCs w:val="15"/>
          <w:color w:val="auto"/>
        </w:rPr>
        <w:t>MARCH 31, 1996</w:t>
      </w:r>
    </w:p>
    <w:p>
      <w:pPr>
        <w:spacing w:after="0" w:line="8" w:lineRule="exact"/>
        <w:rPr>
          <w:sz w:val="20"/>
          <w:szCs w:val="20"/>
          <w:color w:val="auto"/>
        </w:rPr>
      </w:pPr>
    </w:p>
    <w:p>
      <w:pPr>
        <w:ind w:left="63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SUPPLEMENTALLY</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PROVIDED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AS OF</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MARCH 31, 1996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2">
            <w:col w:w="8120" w:space="460"/>
            <w:col w:w="1639"/>
          </w:cols>
          <w:pgMar w:left="240" w:top="29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BALANCE SHEET DATA:</w:t>
      </w:r>
    </w:p>
    <w:p>
      <w:pPr>
        <w:sectPr>
          <w:pgSz w:w="11900" w:h="16838" w:orient="portrait"/>
          <w:cols w:equalWidth="0" w:num="1">
            <w:col w:w="10219"/>
          </w:cols>
          <w:pgMar w:left="240" w:top="295"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Working capital (deficit)..........................................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 assets, net.............................................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assets.......................................................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 including current maturities.......................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equity...............................................</w:t>
      </w:r>
    </w:p>
    <w:p>
      <w:pPr>
        <w:spacing w:after="0" w:line="20" w:lineRule="exact"/>
        <w:rPr>
          <w:sz w:val="20"/>
          <w:szCs w:val="20"/>
          <w:color w:val="auto"/>
        </w:rPr>
      </w:pPr>
      <w:r>
        <w:rPr>
          <w:sz w:val="20"/>
          <w:szCs w:val="20"/>
          <w:color w:val="auto"/>
        </w:rPr>
        <w:br w:type="column"/>
      </w:r>
    </w:p>
    <w:p>
      <w:pPr>
        <w:jc w:val="both"/>
        <w:spacing w:after="0"/>
        <w:tabs>
          <w:tab w:leader="none" w:pos="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54,334</w:t>
      </w:r>
    </w:p>
    <w:p>
      <w:pPr>
        <w:spacing w:after="0" w:line="8" w:lineRule="exact"/>
        <w:rPr>
          <w:sz w:val="20"/>
          <w:szCs w:val="20"/>
          <w:color w:val="auto"/>
        </w:rPr>
      </w:pPr>
    </w:p>
    <w:p>
      <w:pPr>
        <w:jc w:val="right"/>
        <w:ind w:right="400"/>
        <w:spacing w:after="0"/>
        <w:rPr>
          <w:sz w:val="20"/>
          <w:szCs w:val="20"/>
          <w:color w:val="auto"/>
        </w:rPr>
      </w:pPr>
      <w:r>
        <w:rPr>
          <w:rFonts w:ascii="Courier New" w:cs="Courier New" w:eastAsia="Courier New" w:hAnsi="Courier New"/>
          <w:sz w:val="15"/>
          <w:szCs w:val="15"/>
          <w:color w:val="auto"/>
        </w:rPr>
        <w:t>284,068</w:t>
      </w:r>
    </w:p>
    <w:p>
      <w:pPr>
        <w:spacing w:after="0" w:line="8" w:lineRule="exact"/>
        <w:rPr>
          <w:sz w:val="20"/>
          <w:szCs w:val="20"/>
          <w:color w:val="auto"/>
        </w:rPr>
      </w:pPr>
    </w:p>
    <w:p>
      <w:pPr>
        <w:jc w:val="right"/>
        <w:ind w:right="400"/>
        <w:spacing w:after="0"/>
        <w:rPr>
          <w:sz w:val="20"/>
          <w:szCs w:val="20"/>
          <w:color w:val="auto"/>
        </w:rPr>
      </w:pPr>
      <w:r>
        <w:rPr>
          <w:rFonts w:ascii="Courier New" w:cs="Courier New" w:eastAsia="Courier New" w:hAnsi="Courier New"/>
          <w:sz w:val="15"/>
          <w:szCs w:val="15"/>
          <w:color w:val="auto"/>
        </w:rPr>
        <w:t>2,157,901</w:t>
      </w:r>
    </w:p>
    <w:p>
      <w:pPr>
        <w:spacing w:after="0" w:line="8" w:lineRule="exact"/>
        <w:rPr>
          <w:sz w:val="20"/>
          <w:szCs w:val="20"/>
          <w:color w:val="auto"/>
        </w:rPr>
      </w:pPr>
    </w:p>
    <w:p>
      <w:pPr>
        <w:jc w:val="right"/>
        <w:ind w:right="400"/>
        <w:spacing w:after="0"/>
        <w:rPr>
          <w:sz w:val="20"/>
          <w:szCs w:val="20"/>
          <w:color w:val="auto"/>
        </w:rPr>
      </w:pPr>
      <w:r>
        <w:rPr>
          <w:rFonts w:ascii="Courier New" w:cs="Courier New" w:eastAsia="Courier New" w:hAnsi="Courier New"/>
          <w:sz w:val="15"/>
          <w:szCs w:val="15"/>
          <w:color w:val="auto"/>
        </w:rPr>
        <w:t>861,291</w:t>
      </w:r>
    </w:p>
    <w:p>
      <w:pPr>
        <w:spacing w:after="0" w:line="8" w:lineRule="exact"/>
        <w:rPr>
          <w:sz w:val="20"/>
          <w:szCs w:val="20"/>
          <w:color w:val="auto"/>
        </w:rPr>
      </w:pPr>
    </w:p>
    <w:p>
      <w:pPr>
        <w:jc w:val="right"/>
        <w:ind w:right="400"/>
        <w:spacing w:after="0"/>
        <w:rPr>
          <w:sz w:val="20"/>
          <w:szCs w:val="20"/>
          <w:color w:val="auto"/>
        </w:rPr>
      </w:pPr>
      <w:r>
        <w:rPr>
          <w:rFonts w:ascii="Courier New" w:cs="Courier New" w:eastAsia="Courier New" w:hAnsi="Courier New"/>
          <w:sz w:val="15"/>
          <w:szCs w:val="15"/>
          <w:color w:val="auto"/>
        </w:rPr>
        <w:t>1,005,759</w:t>
      </w:r>
    </w:p>
    <w:p>
      <w:pPr>
        <w:spacing w:after="0" w:line="20" w:lineRule="exact"/>
        <w:rPr>
          <w:sz w:val="20"/>
          <w:szCs w:val="20"/>
          <w:color w:val="auto"/>
        </w:rPr>
      </w:pPr>
      <w:r>
        <w:rPr>
          <w:sz w:val="20"/>
          <w:szCs w:val="20"/>
          <w:color w:val="auto"/>
        </w:rPr>
        <w:br w:type="column"/>
      </w:r>
    </w:p>
    <w:p>
      <w:pPr>
        <w:jc w:val="both"/>
        <w:spacing w:after="0"/>
        <w:tabs>
          <w:tab w:leader="none" w:pos="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48,298</w:t>
      </w:r>
    </w:p>
    <w:p>
      <w:pPr>
        <w:spacing w:after="0" w:line="8" w:lineRule="exact"/>
        <w:rPr>
          <w:sz w:val="20"/>
          <w:szCs w:val="20"/>
          <w:color w:val="auto"/>
        </w:rPr>
      </w:pPr>
    </w:p>
    <w:p>
      <w:pPr>
        <w:jc w:val="right"/>
        <w:ind w:right="359"/>
        <w:spacing w:after="0"/>
        <w:rPr>
          <w:sz w:val="20"/>
          <w:szCs w:val="20"/>
          <w:color w:val="auto"/>
        </w:rPr>
      </w:pPr>
      <w:r>
        <w:rPr>
          <w:rFonts w:ascii="Courier New" w:cs="Courier New" w:eastAsia="Courier New" w:hAnsi="Courier New"/>
          <w:sz w:val="15"/>
          <w:szCs w:val="15"/>
          <w:color w:val="auto"/>
        </w:rPr>
        <w:t>326,819</w:t>
      </w:r>
    </w:p>
    <w:p>
      <w:pPr>
        <w:spacing w:after="0" w:line="8" w:lineRule="exact"/>
        <w:rPr>
          <w:sz w:val="20"/>
          <w:szCs w:val="20"/>
          <w:color w:val="auto"/>
        </w:rPr>
      </w:pPr>
    </w:p>
    <w:p>
      <w:pPr>
        <w:jc w:val="right"/>
        <w:ind w:right="359"/>
        <w:spacing w:after="0"/>
        <w:rPr>
          <w:sz w:val="20"/>
          <w:szCs w:val="20"/>
          <w:color w:val="auto"/>
        </w:rPr>
      </w:pPr>
      <w:r>
        <w:rPr>
          <w:rFonts w:ascii="Courier New" w:cs="Courier New" w:eastAsia="Courier New" w:hAnsi="Courier New"/>
          <w:sz w:val="15"/>
          <w:szCs w:val="15"/>
          <w:color w:val="auto"/>
        </w:rPr>
        <w:t>2,190,285</w:t>
      </w:r>
    </w:p>
    <w:p>
      <w:pPr>
        <w:spacing w:after="0" w:line="8" w:lineRule="exact"/>
        <w:rPr>
          <w:sz w:val="20"/>
          <w:szCs w:val="20"/>
          <w:color w:val="auto"/>
        </w:rPr>
      </w:pPr>
    </w:p>
    <w:p>
      <w:pPr>
        <w:jc w:val="right"/>
        <w:ind w:right="359"/>
        <w:spacing w:after="0"/>
        <w:rPr>
          <w:sz w:val="20"/>
          <w:szCs w:val="20"/>
          <w:color w:val="auto"/>
        </w:rPr>
      </w:pPr>
      <w:r>
        <w:rPr>
          <w:rFonts w:ascii="Courier New" w:cs="Courier New" w:eastAsia="Courier New" w:hAnsi="Courier New"/>
          <w:sz w:val="15"/>
          <w:szCs w:val="15"/>
          <w:color w:val="auto"/>
        </w:rPr>
        <w:t>929,044</w:t>
      </w:r>
    </w:p>
    <w:p>
      <w:pPr>
        <w:spacing w:after="0" w:line="8" w:lineRule="exact"/>
        <w:rPr>
          <w:sz w:val="20"/>
          <w:szCs w:val="20"/>
          <w:color w:val="auto"/>
        </w:rPr>
      </w:pPr>
    </w:p>
    <w:p>
      <w:pPr>
        <w:jc w:val="right"/>
        <w:ind w:right="359"/>
        <w:spacing w:after="0"/>
        <w:rPr>
          <w:sz w:val="20"/>
          <w:szCs w:val="20"/>
          <w:color w:val="auto"/>
        </w:rPr>
      </w:pPr>
      <w:r>
        <w:rPr>
          <w:rFonts w:ascii="Courier New" w:cs="Courier New" w:eastAsia="Courier New" w:hAnsi="Courier New"/>
          <w:sz w:val="15"/>
          <w:szCs w:val="15"/>
          <w:color w:val="auto"/>
        </w:rPr>
        <w:t>965,294</w:t>
      </w:r>
    </w:p>
    <w:p>
      <w:pPr>
        <w:spacing w:after="0" w:line="200" w:lineRule="exact"/>
        <w:rPr>
          <w:sz w:val="20"/>
          <w:szCs w:val="20"/>
          <w:color w:val="auto"/>
        </w:rPr>
      </w:pPr>
    </w:p>
    <w:p>
      <w:pPr>
        <w:sectPr>
          <w:pgSz w:w="11900" w:h="16838" w:orient="portrait"/>
          <w:cols w:equalWidth="0" w:num="3">
            <w:col w:w="6180" w:space="560"/>
            <w:col w:w="1400" w:space="720"/>
            <w:col w:w="1359"/>
          </w:cols>
          <w:pgMar w:left="240" w:top="295" w:right="1440"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COMPARATIVE UNAUDITED PER SHARE DATA</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following table sets forth (a) the income (loss) from continuing operations available to common stockholders per common share and the book value per share of USA Waste Common Stock, (b) the income from continuing operations per common share and the book value per share of Sanifill Common Stock, (c) the combined unaudited pro forma income from continuing operations available to common stockholders per common share and the unaudited pro forma book value per share data of USA Waste Common Stock after giving effect to the Merger on a pooling of interests basis with Sanifill and (d) the Sanifill equivalent combined unaudited pro forma income from continuing operations per common share and the unaudited pro forma book value per share attributable to 1.70 shares of USA Waste Common Stock that will be received by Sanifill stockholders for each share of Sanifill Common Stock. The information presented in the table should be read in conjunction with the combined unaudited pro forma condensed financial statements and the separate consolidated financial statements of USA Waste and Sanifill and the notes thereto appearing elsewhere herein or incorporated by reference in this Joint Proxy Statement and Prospectus. In addition to the pro forma adjustments in the combined unaudited pro forma condensed financial statements (which in effect are a restatement of the financial statements as if the Merger were consummated), the impact of certain transactions occurring in 1995 and 1996 is presented supplementally. See "USA Waste and Sanifill Combined Unaudited Pro Forma Condensed Financial Statements."</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8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SUPPLEMENTALLY</w:t>
            </w:r>
          </w:p>
        </w:tc>
      </w:tr>
      <w:tr>
        <w:trPr>
          <w:trHeight w:val="177"/>
        </w:trPr>
        <w:tc>
          <w:tcPr>
            <w:tcW w:w="3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20" w:type="dxa"/>
            <w:vAlign w:val="bottom"/>
            <w:gridSpan w:val="2"/>
          </w:tcPr>
          <w:p>
            <w:pPr>
              <w:jc w:val="right"/>
              <w:ind w:right="603"/>
              <w:spacing w:after="0"/>
              <w:rPr>
                <w:sz w:val="20"/>
                <w:szCs w:val="20"/>
                <w:color w:val="auto"/>
              </w:rPr>
            </w:pPr>
            <w:r>
              <w:rPr>
                <w:rFonts w:ascii="Courier New" w:cs="Courier New" w:eastAsia="Courier New" w:hAnsi="Courier New"/>
                <w:sz w:val="15"/>
                <w:szCs w:val="15"/>
                <w:color w:val="auto"/>
              </w:rPr>
              <w:t>PRO FORMA</w:t>
            </w:r>
          </w:p>
        </w:tc>
        <w:tc>
          <w:tcPr>
            <w:tcW w:w="20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PROVIDED INFORMATION</w:t>
            </w:r>
          </w:p>
        </w:tc>
      </w:tr>
      <w:tr>
        <w:trPr>
          <w:trHeight w:val="177"/>
        </w:trPr>
        <w:tc>
          <w:tcPr>
            <w:tcW w:w="3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jc w:val="center"/>
              <w:ind w:right="43"/>
              <w:spacing w:after="0"/>
              <w:rPr>
                <w:sz w:val="20"/>
                <w:szCs w:val="20"/>
                <w:color w:val="auto"/>
              </w:rPr>
            </w:pPr>
            <w:r>
              <w:rPr>
                <w:rFonts w:ascii="Courier New" w:cs="Courier New" w:eastAsia="Courier New" w:hAnsi="Courier New"/>
                <w:sz w:val="15"/>
                <w:szCs w:val="15"/>
                <w:color w:val="auto"/>
              </w:rPr>
              <w:t>SANIFILL</w:t>
            </w:r>
          </w:p>
        </w:tc>
        <w:tc>
          <w:tcPr>
            <w:tcW w:w="1020" w:type="dxa"/>
            <w:vAlign w:val="bottom"/>
          </w:tcPr>
          <w:p>
            <w:pPr>
              <w:spacing w:after="0"/>
              <w:rPr>
                <w:sz w:val="15"/>
                <w:szCs w:val="15"/>
                <w:color w:val="auto"/>
              </w:rPr>
            </w:pP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SANIFILL</w:t>
            </w:r>
          </w:p>
        </w:tc>
      </w:tr>
      <w:tr>
        <w:trPr>
          <w:trHeight w:val="177"/>
        </w:trPr>
        <w:tc>
          <w:tcPr>
            <w:tcW w:w="3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EQUIVALENT</w:t>
            </w:r>
          </w:p>
        </w:tc>
        <w:tc>
          <w:tcPr>
            <w:tcW w:w="10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EQUIVALENT</w:t>
            </w:r>
          </w:p>
        </w:tc>
      </w:tr>
      <w:tr>
        <w:trPr>
          <w:trHeight w:val="177"/>
        </w:trPr>
        <w:tc>
          <w:tcPr>
            <w:tcW w:w="3540" w:type="dxa"/>
            <w:vAlign w:val="bottom"/>
          </w:tcPr>
          <w:p>
            <w:pPr>
              <w:spacing w:after="0"/>
              <w:rPr>
                <w:sz w:val="15"/>
                <w:szCs w:val="15"/>
                <w:color w:val="auto"/>
              </w:rPr>
            </w:pPr>
          </w:p>
        </w:tc>
        <w:tc>
          <w:tcPr>
            <w:tcW w:w="11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USA WASTE</w:t>
            </w:r>
          </w:p>
        </w:tc>
        <w:tc>
          <w:tcPr>
            <w:tcW w:w="1000" w:type="dxa"/>
            <w:vAlign w:val="bottom"/>
            <w:gridSpan w:val="2"/>
          </w:tcPr>
          <w:p>
            <w:pPr>
              <w:jc w:val="right"/>
              <w:ind w:right="43"/>
              <w:spacing w:after="0"/>
              <w:rPr>
                <w:sz w:val="20"/>
                <w:szCs w:val="20"/>
                <w:color w:val="auto"/>
              </w:rPr>
            </w:pPr>
            <w:r>
              <w:rPr>
                <w:rFonts w:ascii="Courier New" w:cs="Courier New" w:eastAsia="Courier New" w:hAnsi="Courier New"/>
                <w:sz w:val="15"/>
                <w:szCs w:val="15"/>
                <w:color w:val="auto"/>
              </w:rPr>
              <w:t>SANIFILL</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COMBINED</w:t>
            </w:r>
          </w:p>
        </w:tc>
        <w:tc>
          <w:tcPr>
            <w:tcW w:w="1060" w:type="dxa"/>
            <w:vAlign w:val="bottom"/>
          </w:tcPr>
          <w:p>
            <w:pPr>
              <w:jc w:val="center"/>
              <w:ind w:right="43"/>
              <w:spacing w:after="0"/>
              <w:rPr>
                <w:sz w:val="20"/>
                <w:szCs w:val="20"/>
                <w:color w:val="auto"/>
              </w:rPr>
            </w:pPr>
            <w:r>
              <w:rPr>
                <w:rFonts w:ascii="Courier New" w:cs="Courier New" w:eastAsia="Courier New" w:hAnsi="Courier New"/>
                <w:sz w:val="15"/>
                <w:szCs w:val="15"/>
                <w:color w:val="auto"/>
              </w:rPr>
              <w:t>COMBINED</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COMBINED</w:t>
            </w: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COMBINED</w:t>
            </w:r>
          </w:p>
        </w:tc>
      </w:tr>
      <w:tr>
        <w:trPr>
          <w:trHeight w:val="177"/>
        </w:trPr>
        <w:tc>
          <w:tcPr>
            <w:tcW w:w="3540" w:type="dxa"/>
            <w:vAlign w:val="bottom"/>
          </w:tcPr>
          <w:p>
            <w:pPr>
              <w:spacing w:after="0"/>
              <w:rPr>
                <w:sz w:val="15"/>
                <w:szCs w:val="15"/>
                <w:color w:val="auto"/>
              </w:rPr>
            </w:pPr>
          </w:p>
        </w:tc>
        <w:tc>
          <w:tcPr>
            <w:tcW w:w="11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54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7"/>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operations available to common</w:t>
            </w: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7"/>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stockholders per common share:</w:t>
            </w: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7"/>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Years ended December 31:</w:t>
            </w: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7"/>
        </w:trPr>
        <w:tc>
          <w:tcPr>
            <w:tcW w:w="3540" w:type="dxa"/>
            <w:vAlign w:val="bottom"/>
          </w:tcPr>
          <w:p>
            <w:pPr>
              <w:ind w:left="460"/>
              <w:spacing w:after="0"/>
              <w:rPr>
                <w:sz w:val="20"/>
                <w:szCs w:val="20"/>
                <w:color w:val="auto"/>
              </w:rPr>
            </w:pPr>
            <w:r>
              <w:rPr>
                <w:rFonts w:ascii="Courier New" w:cs="Courier New" w:eastAsia="Courier New" w:hAnsi="Courier New"/>
                <w:sz w:val="15"/>
                <w:szCs w:val="15"/>
                <w:color w:val="auto"/>
              </w:rPr>
              <w:t>1993.............................</w:t>
            </w:r>
          </w:p>
        </w:tc>
        <w:tc>
          <w:tcPr>
            <w:tcW w:w="4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0.19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3"/>
              <w:spacing w:after="0"/>
              <w:rPr>
                <w:sz w:val="20"/>
                <w:szCs w:val="20"/>
                <w:color w:val="auto"/>
              </w:rPr>
            </w:pPr>
            <w:r>
              <w:rPr>
                <w:rFonts w:ascii="Courier New" w:cs="Courier New" w:eastAsia="Courier New" w:hAnsi="Courier New"/>
                <w:sz w:val="15"/>
                <w:szCs w:val="15"/>
                <w:color w:val="auto"/>
              </w:rPr>
              <w:t>0.80</w:t>
            </w:r>
          </w:p>
        </w:tc>
        <w:tc>
          <w:tcPr>
            <w:tcW w:w="11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$ 0.22</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$ 0.37</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NA</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NA</w:t>
            </w:r>
          </w:p>
        </w:tc>
      </w:tr>
      <w:tr>
        <w:trPr>
          <w:trHeight w:val="177"/>
        </w:trPr>
        <w:tc>
          <w:tcPr>
            <w:tcW w:w="3540" w:type="dxa"/>
            <w:vAlign w:val="bottom"/>
          </w:tcPr>
          <w:p>
            <w:pPr>
              <w:ind w:left="460"/>
              <w:spacing w:after="0"/>
              <w:rPr>
                <w:sz w:val="20"/>
                <w:szCs w:val="20"/>
                <w:color w:val="auto"/>
              </w:rPr>
            </w:pPr>
            <w:r>
              <w:rPr>
                <w:rFonts w:ascii="Courier New" w:cs="Courier New" w:eastAsia="Courier New" w:hAnsi="Courier New"/>
                <w:sz w:val="15"/>
                <w:szCs w:val="15"/>
                <w:color w:val="auto"/>
              </w:rPr>
              <w:t>1994.............................</w:t>
            </w:r>
          </w:p>
        </w:tc>
        <w:tc>
          <w:tcPr>
            <w:tcW w:w="420" w:type="dxa"/>
            <w:vAlign w:val="bottom"/>
          </w:tcPr>
          <w:p>
            <w:pPr>
              <w:spacing w:after="0"/>
              <w:rPr>
                <w:sz w:val="15"/>
                <w:szCs w:val="15"/>
                <w:color w:val="auto"/>
              </w:rPr>
            </w:pP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9"/>
              </w:rPr>
              <w:t>(0.82)</w:t>
            </w:r>
          </w:p>
        </w:tc>
        <w:tc>
          <w:tcPr>
            <w:tcW w:w="360" w:type="dxa"/>
            <w:vAlign w:val="bottom"/>
          </w:tcPr>
          <w:p>
            <w:pPr>
              <w:spacing w:after="0"/>
              <w:rPr>
                <w:sz w:val="15"/>
                <w:szCs w:val="15"/>
                <w:color w:val="auto"/>
              </w:rPr>
            </w:pPr>
          </w:p>
        </w:tc>
        <w:tc>
          <w:tcPr>
            <w:tcW w:w="64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1.07</w:t>
            </w:r>
          </w:p>
        </w:tc>
        <w:tc>
          <w:tcPr>
            <w:tcW w:w="11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0.10</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0.17</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NA</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NA</w:t>
            </w:r>
          </w:p>
        </w:tc>
      </w:tr>
      <w:tr>
        <w:trPr>
          <w:trHeight w:val="177"/>
        </w:trPr>
        <w:tc>
          <w:tcPr>
            <w:tcW w:w="3540" w:type="dxa"/>
            <w:vAlign w:val="bottom"/>
          </w:tcPr>
          <w:p>
            <w:pPr>
              <w:ind w:left="460"/>
              <w:spacing w:after="0"/>
              <w:rPr>
                <w:sz w:val="20"/>
                <w:szCs w:val="20"/>
                <w:color w:val="auto"/>
              </w:rPr>
            </w:pPr>
            <w:r>
              <w:rPr>
                <w:rFonts w:ascii="Courier New" w:cs="Courier New" w:eastAsia="Courier New" w:hAnsi="Courier New"/>
                <w:sz w:val="15"/>
                <w:szCs w:val="15"/>
                <w:color w:val="auto"/>
              </w:rPr>
              <w:t>1995.............................</w:t>
            </w:r>
          </w:p>
        </w:tc>
        <w:tc>
          <w:tcPr>
            <w:tcW w:w="420" w:type="dxa"/>
            <w:vAlign w:val="bottom"/>
          </w:tcPr>
          <w:p>
            <w:pPr>
              <w:spacing w:after="0"/>
              <w:rPr>
                <w:sz w:val="15"/>
                <w:szCs w:val="15"/>
                <w:color w:val="auto"/>
              </w:rPr>
            </w:pP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0.60</w:t>
            </w:r>
          </w:p>
        </w:tc>
        <w:tc>
          <w:tcPr>
            <w:tcW w:w="360" w:type="dxa"/>
            <w:vAlign w:val="bottom"/>
          </w:tcPr>
          <w:p>
            <w:pPr>
              <w:spacing w:after="0"/>
              <w:rPr>
                <w:sz w:val="15"/>
                <w:szCs w:val="15"/>
                <w:color w:val="auto"/>
              </w:rPr>
            </w:pPr>
          </w:p>
        </w:tc>
        <w:tc>
          <w:tcPr>
            <w:tcW w:w="64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1.38</w:t>
            </w:r>
          </w:p>
        </w:tc>
        <w:tc>
          <w:tcPr>
            <w:tcW w:w="11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0.29</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0.49</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0.37</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0.63</w:t>
            </w:r>
          </w:p>
        </w:tc>
      </w:tr>
      <w:tr>
        <w:trPr>
          <w:trHeight w:val="177"/>
        </w:trPr>
        <w:tc>
          <w:tcPr>
            <w:tcW w:w="3540" w:type="dxa"/>
            <w:vAlign w:val="bottom"/>
          </w:tcPr>
          <w:p>
            <w:pPr>
              <w:spacing w:after="0"/>
              <w:rPr>
                <w:sz w:val="20"/>
                <w:szCs w:val="20"/>
                <w:color w:val="auto"/>
              </w:rPr>
            </w:pPr>
            <w:r>
              <w:rPr>
                <w:rFonts w:ascii="Courier New" w:cs="Courier New" w:eastAsia="Courier New" w:hAnsi="Courier New"/>
                <w:sz w:val="15"/>
                <w:szCs w:val="15"/>
                <w:color w:val="auto"/>
              </w:rPr>
              <w:t>Book value per share:</w:t>
            </w: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7"/>
        </w:trPr>
        <w:tc>
          <w:tcPr>
            <w:tcW w:w="3540" w:type="dxa"/>
            <w:vAlign w:val="bottom"/>
          </w:tcPr>
          <w:p>
            <w:pPr>
              <w:ind w:left="460"/>
              <w:spacing w:after="0"/>
              <w:rPr>
                <w:sz w:val="20"/>
                <w:szCs w:val="20"/>
                <w:color w:val="auto"/>
              </w:rPr>
            </w:pPr>
            <w:r>
              <w:rPr>
                <w:rFonts w:ascii="Courier New" w:cs="Courier New" w:eastAsia="Courier New" w:hAnsi="Courier New"/>
                <w:sz w:val="15"/>
                <w:szCs w:val="15"/>
                <w:color w:val="auto"/>
              </w:rPr>
              <w:t>March 31, 1996...................</w:t>
            </w:r>
          </w:p>
        </w:tc>
        <w:tc>
          <w:tcPr>
            <w:tcW w:w="4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6.68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16.19</w:t>
            </w:r>
          </w:p>
        </w:tc>
        <w:tc>
          <w:tcPr>
            <w:tcW w:w="11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$ 7.79</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$13.24</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$ 7.33</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$12.46</w:t>
            </w:r>
          </w:p>
        </w:tc>
      </w:tr>
      <w:tr>
        <w:trPr>
          <w:trHeight w:val="532"/>
        </w:trPr>
        <w:tc>
          <w:tcPr>
            <w:tcW w:w="3540" w:type="dxa"/>
            <w:vAlign w:val="bottom"/>
          </w:tcPr>
          <w:p>
            <w:pPr>
              <w:spacing w:after="0"/>
              <w:rPr>
                <w:sz w:val="24"/>
                <w:szCs w:val="24"/>
                <w:color w:val="auto"/>
              </w:rPr>
            </w:pPr>
          </w:p>
        </w:tc>
        <w:tc>
          <w:tcPr>
            <w:tcW w:w="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19"/>
          </w:cols>
          <w:pgMar w:left="240" w:top="295" w:right="1440" w:bottom="1440" w:gutter="0" w:footer="0" w:header="0"/>
          <w:type w:val="continuous"/>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23</w:t>
      </w:r>
    </w:p>
    <w:p>
      <w:pPr>
        <w:spacing w:after="0" w:line="18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ADDITIONAL PROPOSAL TO BE PRESENTED AT THE USA WASTE SPECIAL MEETING</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At the USA Waste Special Meeting, stockholders of USA Waste will also be asked to consider and act upon a proposal to approve an amendment to the USA Waste Restated Certificate of Incorporation to increase the number of authorized shares of USA Waste Common Stock to 300,000,000 shares. The Board of Directors of USA Waste believes that this amendment to increase the number of authorized shares of USA Waste Common Stock is necessary in order to ensure that (i) there will be sufficient authorized, unissued and unreserved shares of USA Common Stock available to effect the Merger (and reserve shares for issuance pursuant to the Sanifill Options, the Sanifill Warrants and the Sanifill Convertible Debentures) and (ii) after the Merger, USA Waste will have shares available for issuance at the Board of Directors' discretion for future acquisitions, stock splits, stock dividends, equity financings, employee benefit plans and other corporate purposes. The implementation of the Merger is conditioned on, among other things, the adoption of this proposal.</w:t>
      </w:r>
    </w:p>
    <w:p>
      <w:pPr>
        <w:spacing w:after="0" w:line="184"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Proposal No. 2. To approve an amendment to the Restated Certificate of Incorporation of USA Waste to increase the authorized shares of USA Waste Common Stock from 150,000,000 to 300,000,000 shares. THE BOARD OF DIRECTORS OF USA WASTE RECOMMENDS THAT THE STOCKHOLDERS OF USA WASTE VOTE FOR THE AMENDMENT.</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5"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24</w:t>
      </w: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RISK FACTORS</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In addition to the other information set forth in this Joint Proxy Statement and Prospectus, the following factors should be considered by the USA Waste stockholders and the Sanifill stockholders before voting on the proposals herein.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 MAY NOT PROVE ACCURATE</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When used or incorporated by reference in this Joint Proxy Statement and Prospectus, the words "anticipate," "estimate," "expect," "project" and similar expressions are intended to identify forward-looking statements. Such statements are subject to certain risks, uncertainties and assumptions. Should one or more of these risks or uncertainties materialize, or should underlying assumptions prove incorrect, actual results may vary materially from those anticipated, estimated, expected or projected.</w:t>
      </w:r>
    </w:p>
    <w:p>
      <w:pPr>
        <w:spacing w:after="0" w:line="176"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Among the key factors that have a direct bearing on USA Waste's ability to attain its goals are the level and nature of competition from other waste companies, evaluation of the current regulatory environment and the costs associated with such regulations, the availability of attractive acquisition opportunities, successful integration of acquired businesses, improvement of operating efficiencies, availability of working capital, ability to maintain margins and the management of costs in a changing regulatory environment. USA Waste has also made certain assumptions relating to the outcome of various commercial, legal and regulatory proceedings relating to USA Waste's operations and the industry generally. These and other risk factors are discussed below.</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EXPECTED BENEFITS OF COMBINED BUSINESS MAY NOT BE ACHIEVED</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There can be no assurance that the expected benefits of the Merger relative to the combined business as described under "The Merger and Related Transactions -- USA Waste's Reasons for the Merger" and "The Merger and Related Transactions -- Sanifill's Reasons for the Merger" will be achieved. Whether the anticipated benefits of the Merger are ultimately achieved will depend on a number of factors, including the ability of the combined companies to achieve administrative cost savings, rationalization of collection routes, insurance and bonding cost reductions, general economies of scale and, generally, to capitalize on the combined asset base and strategic position of the combined entity.</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PRICES MAY VARY IN RESPONSE TO CHANGES IN BUSINESS AND ECONOMIC CONDITIONS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relative stock prices of USA Waste Common Stock and Sanifill Common Stock at the Effective Time may vary significantly from the prices as of the date of execution of the Merger Agreement or the date hereof or the date on which stockholders vote on the Merger due to, among other factors, changes in the business, operations and prospects of USA Waste or Sanifill, market assessments of the likelihood that the Merger will be consummated and the timing thereof and general market and economic conditions. The Exchange Ratio is fixed and will not be adjusted based on changes in the relative stock prices of USA Waste Common Stock and Sanifill Common Stock.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ASSURANCE OF SUCCESSFUL MANAGEMENT AND MAINTENANCE OF GROWTH</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USA Waste has experienced rapid growth, primarily through acquisitions. USA Waste's financial results and prospects depend in large part on its ability to successfully manage and improve the operating efficiencies and productivity of these acquired operations. In particular, there can be no assurance that USA Waste will be able to successfully integrate the operations of Western Waste Industries, USA Waste's most recent large acquisition (the "Western Merger"), or that USA Waste will be able to successfully integrate the operations of Sanifill if the Merger is consummated. Moreover, the ability of USA Waste to continue to grow will depend on a number of factors, including competition from other waste management companies, availability of attractive acquisition opportunities, availability of working capital, ability to maintain margins and the management of costs in a changing regulatory environment. USA Waste is continually seeking acquisition opportunities and believes that there exist a substantial number of potentially attractive consolidation opportunities in the solid waste management industry. USA Waste may pursue significant acquisitions if they</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5"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25</w:t>
      </w:r>
    </w:p>
    <w:p>
      <w:pPr>
        <w:spacing w:after="0" w:line="185" w:lineRule="exact"/>
        <w:rPr>
          <w:sz w:val="20"/>
          <w:szCs w:val="20"/>
          <w:color w:val="auto"/>
        </w:rPr>
      </w:pPr>
    </w:p>
    <w:p>
      <w:pPr>
        <w:ind w:right="3119"/>
        <w:spacing w:after="0" w:line="253" w:lineRule="auto"/>
        <w:rPr>
          <w:sz w:val="20"/>
          <w:szCs w:val="20"/>
          <w:color w:val="auto"/>
        </w:rPr>
      </w:pPr>
      <w:r>
        <w:rPr>
          <w:rFonts w:ascii="Courier New" w:cs="Courier New" w:eastAsia="Courier New" w:hAnsi="Courier New"/>
          <w:sz w:val="15"/>
          <w:szCs w:val="15"/>
          <w:color w:val="auto"/>
        </w:rPr>
        <w:t>can be achieved on acceptable terms. There can be no assurance that USA Waste will be able to continue to expand and successfully integrate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NEED FOR CAPITAL; DEBT FINANCING</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long-term debt of the combined company, including current maturities, on a pro forma basis as of March 31, 1996 was approximately $861.3 million. See "USA Waste and Sanifill Combined Unaudited Pro Forma Condensed Financial Statements." USA Waste expects to require additional capital from time to time to pursue its acquisition strategy and to fund internal growth. A portion of USA Waste's future capital requirements may be provided through future debt incurrences or issuances of equity securities. There can be no assurance that USA Waste will be successful in obtaining additional capital through such debt incurrences or issuances of additional equity securities.</w:t>
      </w:r>
    </w:p>
    <w:p>
      <w:pPr>
        <w:spacing w:after="0" w:line="352"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In addition, approximately $488 million of USA Waste's existing indebtedness at March 31, 1996 and approximately $52 million of Sanifill's existing indebtedness at March 31, 1996 is priced at variable interest rates that fluctuate as general interest rates change. Approximately $149 million of USA Waste's variable indebtedness is subject to interest rate swap agreements which fix the interest rate on $125 million of such indebtedness through August 1998 and the remainder through October 2000. As a result, an increase in interest rates could adversely affect USA Waste's earnings in the future.</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PROFITABILITY MAY BE AFFECTED BY COMPETITION</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waste management industry is highly competitive and requires substantial capital resources. The industry consists of a few large national waste management companies, as well as numerous local and regional companies of varying sizes and financial resources. The two largest national waste management companies have significantly greater financial resources than would the combined company after the Merger. Competition may also be affected by the increasing national emphasis on recycling, composting, incineration and other waste reduction programs that could reduce the volume of solid waste collected or deposited in landfills.</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ADVERSE EFFECT OF GOVERNMENT REGULATION</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USA Waste's operations are, and the combined company's operations will be, subject to, and substantially affected by, extensive federal, state and local laws, regulations, orders and permits, which govern environmental protection, health and safety, zoning and other matters. These regulations may impose restrictions on operations that could adversely affect the combined company's results, such as limitations on the expansion of disposal facilities, limitations on or the banning of disposal of out-of-state waste or certain categories of waste or mandates regarding the disposal of solid waste. Because of heightened public concern, companies in the waste management business may become subject to judicial and administrative proceedings involving federal, state or local agencies. These governmental agencies may seek to (i) impose fines on the combined company, (ii) revoke or deny renewal of operating permits or licenses for violations of environmental laws or regulations or (iii) require remediation of environmental problems at sites or nearby properties, or resulting from transportation or predecessors' transportation and collection operations, any of which could have a material adverse effect on the combined company. Liability may also arise from actions brought by individuals or community groups in connection with the permitting or licensing of operations, any alleged violations of such permits and licenses or other matters.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ENVIRONMENTAL LIABILITY</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USA Waste is, and the combined company will be, subject to liability for environmental damage that its landfills, transfer stations and collection operations have caused or may cause nearby landowners, particularly as a result of the contamination of drinking water sources or soil, including damage resulting from conditions existing prior to the acquisition of such assets or operations. Liability may also arise from any off-site environmental contamination caused by pollutants or hazardous substances, the transportation, treatment or disposal of which was arranged for by USA Waste, Sanifill or their predecessor owners of operations or assets</w:t>
      </w:r>
    </w:p>
    <w:p>
      <w:pPr>
        <w:sectPr>
          <w:pgSz w:w="11900" w:h="16838" w:orient="portrait"/>
          <w:cols w:equalWidth="0" w:num="1">
            <w:col w:w="10219"/>
          </w:cols>
          <w:pgMar w:left="240" w:top="295" w:right="1440" w:bottom="1440" w:gutter="0" w:footer="0" w:header="0"/>
        </w:sectPr>
      </w:pP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5" w:right="1440" w:bottom="1440" w:gutter="0" w:footer="0" w:header="0"/>
          <w:type w:val="continuous"/>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26</w:t>
      </w:r>
    </w:p>
    <w:p>
      <w:pPr>
        <w:spacing w:after="0" w:line="185"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acquired by such companies. Any substantial liability for environmental damage could materially adversely affect operating results and financial condition.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ELIGIBLE FOR FUTURE SALE MAY ADVERSELY AFFECT MARKET PRICE OF STOCK</w:t>
      </w:r>
    </w:p>
    <w:p>
      <w:pPr>
        <w:spacing w:after="0" w:line="362"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Sales of substantial amounts of USA Waste Common Stock in the public market could adversely affect the market price of such stock. USA Waste currently has a shelf registration statement for the benefit of certain stockholders relating to 4 million shares of USA Waste Common Stock. In connection with the Merger, USA Waste entered into an agreement with these stockholders which provides that if the number of shares of USA Waste Common Stock so registered and unsold falls below 2 million shares, such stockholders shall be entitled at their request to have the Company register additional shares of USA Waste Common Stock; provided that at no time shall more than 4 million shares of USA Waste Common Stock be registered. All of the initial 4 million shares of USA Waste Common Stock remain available to be sold pursuant to such registration statement. Such shares are immediately saleable in the open market. In addition, USA Waste has a shelf registration statement covering approximately 2.5 million shares of USA Waste Common Stock that may be used for acquisitions and anticipates filing a shelf registration statement in the near future covering the sale of approximately 130,000 shares of USA Waste Common Stock by certain stockholders. In the event that the market price of USA Waste Common Stock were adversely affected by such sales, USA Waste's access to equity capital markets could be adversely affected, and issuances of stock by USA Waste in connection with acquisitions, or otherwise, could dilute earnings per share.</w:t>
      </w:r>
    </w:p>
    <w:p>
      <w:pPr>
        <w:spacing w:after="0" w:line="36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5" w:right="1440" w:bottom="1440" w:gutter="0" w:footer="0" w:header="0"/>
        </w:sectPr>
      </w:pPr>
    </w:p>
    <w:bookmarkStart w:id="27" w:name="page28"/>
    <w:bookmarkEnd w:id="27"/>
    <w:p>
      <w:pPr>
        <w:ind w:left="285"/>
        <w:spacing w:after="0"/>
        <w:rPr>
          <w:sz w:val="20"/>
          <w:szCs w:val="20"/>
          <w:color w:val="auto"/>
        </w:rPr>
      </w:pPr>
      <w:r>
        <w:rPr>
          <w:rFonts w:ascii="Courier New" w:cs="Courier New" w:eastAsia="Courier New" w:hAnsi="Courier New"/>
          <w:sz w:val="15"/>
          <w:szCs w:val="15"/>
          <w:color w:val="auto"/>
        </w:rPr>
        <w:t>27</w:t>
      </w:r>
    </w:p>
    <w:p>
      <w:pPr>
        <w:spacing w:after="0" w:line="185" w:lineRule="exact"/>
        <w:rPr>
          <w:sz w:val="20"/>
          <w:szCs w:val="20"/>
          <w:color w:val="auto"/>
        </w:rPr>
      </w:pPr>
    </w:p>
    <w:p>
      <w:pPr>
        <w:ind w:left="3145"/>
        <w:spacing w:after="0"/>
        <w:rPr>
          <w:sz w:val="20"/>
          <w:szCs w:val="20"/>
          <w:color w:val="auto"/>
        </w:rPr>
      </w:pPr>
      <w:r>
        <w:rPr>
          <w:rFonts w:ascii="Courier New" w:cs="Courier New" w:eastAsia="Courier New" w:hAnsi="Courier New"/>
          <w:sz w:val="15"/>
          <w:szCs w:val="15"/>
          <w:color w:val="auto"/>
        </w:rPr>
        <w:t>THE MEETINGS</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DATE, TIME AND PLACE OF THE MEETINGS</w:t>
      </w:r>
    </w:p>
    <w:p>
      <w:pPr>
        <w:spacing w:after="0" w:line="362"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The USA Waste Special Meeting will be held at 2:00 p.m., Central time, on August 27, 1996, at The Four Seasons Hotel, 1300 Lamar Street, Houston, Texas. The Sanifill Special Meeting will be held at 11:00 a.m., Central time, on August 27, 1996, at The Four Seasons Hotel, 1300 Lamar Street, Houston, Texas.</w:t>
      </w:r>
    </w:p>
    <w:p>
      <w:pPr>
        <w:spacing w:after="0" w:line="35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PURPOSE OF THE MEETINGS</w:t>
      </w:r>
    </w:p>
    <w:p>
      <w:pPr>
        <w:spacing w:after="0" w:line="185" w:lineRule="exact"/>
        <w:rPr>
          <w:sz w:val="20"/>
          <w:szCs w:val="20"/>
          <w:color w:val="auto"/>
        </w:rPr>
      </w:pPr>
    </w:p>
    <w:p>
      <w:pPr>
        <w:ind w:left="5" w:right="3019" w:firstLine="461"/>
        <w:spacing w:after="0" w:line="250" w:lineRule="auto"/>
        <w:rPr>
          <w:sz w:val="20"/>
          <w:szCs w:val="20"/>
          <w:color w:val="auto"/>
        </w:rPr>
      </w:pPr>
      <w:r>
        <w:rPr>
          <w:rFonts w:ascii="Courier New" w:cs="Courier New" w:eastAsia="Courier New" w:hAnsi="Courier New"/>
          <w:sz w:val="15"/>
          <w:szCs w:val="15"/>
          <w:color w:val="auto"/>
        </w:rPr>
        <w:t>The purpose of the USA Waste Special Meeting is to consider and act upon proposals to (i) approve and adopt the Merger Agreement ("Proposal No. 1") and</w:t>
      </w:r>
    </w:p>
    <w:p>
      <w:pPr>
        <w:spacing w:after="0" w:line="1" w:lineRule="exact"/>
        <w:rPr>
          <w:sz w:val="20"/>
          <w:szCs w:val="20"/>
          <w:color w:val="auto"/>
        </w:rPr>
      </w:pPr>
    </w:p>
    <w:p>
      <w:pPr>
        <w:ind w:left="5" w:right="2939" w:hanging="5"/>
        <w:spacing w:after="0" w:line="251" w:lineRule="auto"/>
        <w:tabs>
          <w:tab w:leader="none" w:pos="46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the USA Waste Restated Certificate of Incorporation to increase the number of authorized shares of USA Waste Common Stock ("Proposal No. 2"). The implementation of Proposal No. 1 is conditioned on the approval of Proposal No. 2. USA Waste stockholder approval of the Merger is required in accordance with the rules of the NYSE since the USA Waste Common Stock to be issued in connection with the Merger will be in excess of 20% of the number of shares of USA Waste Common Stock outstanding before such issuance.</w:t>
      </w:r>
    </w:p>
    <w:p>
      <w:pPr>
        <w:spacing w:after="0" w:line="176" w:lineRule="exact"/>
        <w:rPr>
          <w:sz w:val="20"/>
          <w:szCs w:val="20"/>
          <w:color w:val="auto"/>
        </w:rPr>
      </w:pPr>
    </w:p>
    <w:p>
      <w:pPr>
        <w:ind w:left="5" w:right="3219" w:firstLine="461"/>
        <w:spacing w:after="0" w:line="253" w:lineRule="auto"/>
        <w:rPr>
          <w:sz w:val="20"/>
          <w:szCs w:val="20"/>
          <w:color w:val="auto"/>
        </w:rPr>
      </w:pPr>
      <w:r>
        <w:rPr>
          <w:rFonts w:ascii="Courier New" w:cs="Courier New" w:eastAsia="Courier New" w:hAnsi="Courier New"/>
          <w:sz w:val="15"/>
          <w:szCs w:val="15"/>
          <w:color w:val="auto"/>
        </w:rPr>
        <w:t>The sole purpose of the Sanifill Special Meeting is to consider and act upon a proposal to approve and adopt the Merger Agreement.</w:t>
      </w:r>
    </w:p>
    <w:p>
      <w:pPr>
        <w:spacing w:after="0" w:line="17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RECORD DATE AND OUTSTANDING SHARES</w:t>
      </w:r>
    </w:p>
    <w:p>
      <w:pPr>
        <w:spacing w:after="0" w:line="185" w:lineRule="exact"/>
        <w:rPr>
          <w:sz w:val="20"/>
          <w:szCs w:val="20"/>
          <w:color w:val="auto"/>
        </w:rPr>
      </w:pPr>
    </w:p>
    <w:p>
      <w:pPr>
        <w:ind w:left="5" w:right="2939" w:firstLine="461"/>
        <w:spacing w:after="0" w:line="251" w:lineRule="auto"/>
        <w:rPr>
          <w:sz w:val="20"/>
          <w:szCs w:val="20"/>
          <w:color w:val="auto"/>
        </w:rPr>
      </w:pPr>
      <w:r>
        <w:rPr>
          <w:rFonts w:ascii="Courier New" w:cs="Courier New" w:eastAsia="Courier New" w:hAnsi="Courier New"/>
          <w:sz w:val="15"/>
          <w:szCs w:val="15"/>
          <w:color w:val="auto"/>
        </w:rPr>
        <w:t>Only holders of record of USA Waste Common Stock and Sanifill Common Stock at the close of business on the Record Date are entitled to notice of, and to vote at, the USA Waste Special Meeting and the Sanifill Special Meeting, respectively.</w:t>
      </w:r>
    </w:p>
    <w:p>
      <w:pPr>
        <w:spacing w:after="0" w:line="354"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On the Record Date, there were 3,846 holders of record of USA Waste Common Stock with 89,176,731 shares of USA Waste Common Stock issued and outstanding. Each share of USA Waste Common Stock entitles the holder thereof to one vote on each matter submitted for stockholder approval. See "Principal Stockholders of USA Waste and Sanifill" for information regarding persons known to management of USA Waste to be the beneficial owners of more than 5% of the outstanding shares of USA Waste Common Stock.</w:t>
      </w:r>
    </w:p>
    <w:p>
      <w:pPr>
        <w:spacing w:after="0" w:line="200" w:lineRule="exact"/>
        <w:rPr>
          <w:sz w:val="20"/>
          <w:szCs w:val="20"/>
          <w:color w:val="auto"/>
        </w:rPr>
      </w:pPr>
    </w:p>
    <w:p>
      <w:pPr>
        <w:spacing w:after="0" w:line="330"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On the Record Date, there were 349 holders of record of Sanifill Common Stock with 25,376,281 shares of Sanifill Common Stock issued and outstanding. Each share of Sanifill Common Stock entitles the holder thereof to one vote on each matter submitted for stockholder approval. See "Principal Stockholders of USA Waste and Sanifill" for information regarding persons known to management of Sanifill to be the beneficial owners of more than 5% of the outstanding shares of Sanifill Common Stock.</w:t>
      </w:r>
    </w:p>
    <w:p>
      <w:pPr>
        <w:spacing w:after="0" w:line="353"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If a share is represented for any purpose at a Meeting, it is deemed to be present for all other matters. Abstentions and shares held of record by a broker or its nominee that are voted on any matter are included in determining the number of votes present. Broker non-votes on any matter will not be included in determining whether a quorum is present. In all cases, shares with respect to which authority to vote is withheld, abstentions and broker non-votes will not be included in determining the number of votes cast.</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VOTING AND REVOCATION OF PROXIES</w:t>
      </w:r>
    </w:p>
    <w:p>
      <w:pPr>
        <w:spacing w:after="0" w:line="185"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All properly executed proxies that are not revoked will be voted at the USA Waste Special Meeting or the Sanifill Special Meeting, as applicable, in accordance with the instructions contained therein. If a holder of USA Waste Common Stock executes and returns a proxy and does not specify otherwise, the shares represented by such proxy will be voted FOR (i) approval and adoption of the Merger Agreement and (ii) approval of the amendment to the USA Waste Restated Certificate of Incorporation to increase the number of authorized shares of USA Waste Common Stock. If a holder of Sanifill Common Stock executes and returns a proxy and does not specify otherwise, the shares represented by such proxy will be voted FOR approval and adoption of the Merger Agreement. A stockholder of USA Waste or Sanifill who has executed and returned a proxy may revoke it at any time before it is voted at the respective meeting by (a) executing and returning a</w:t>
      </w:r>
    </w:p>
    <w:p>
      <w:pPr>
        <w:sectPr>
          <w:pgSz w:w="11900" w:h="16838" w:orient="portrait"/>
          <w:cols w:equalWidth="0" w:num="1">
            <w:col w:w="10225"/>
          </w:cols>
          <w:pgMar w:left="235" w:top="295" w:right="1440" w:bottom="1440" w:gutter="0" w:footer="0" w:header="0"/>
        </w:sectPr>
      </w:pPr>
    </w:p>
    <w:p>
      <w:pPr>
        <w:spacing w:after="0" w:line="360"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5"/>
          </w:cols>
          <w:pgMar w:left="235" w:top="295" w:right="1440" w:bottom="1440" w:gutter="0" w:footer="0" w:header="0"/>
          <w:type w:val="continuous"/>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28</w:t>
      </w:r>
    </w:p>
    <w:p>
      <w:pPr>
        <w:spacing w:after="0" w:line="185"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proxy bearing a later date, (b) filing a written notice of such revocation with the Secretary of USA Waste or Sanifill, as appropriate, stating that the proxy is revoked or (c) attending the meeting and voting in person.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REQUIRED FOR APPROVAL</w:t>
      </w:r>
    </w:p>
    <w:p>
      <w:pPr>
        <w:spacing w:after="0" w:line="362"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USA Waste. Insofar as adoption of the Merger Agreement and the amendment of the USA Waste Restated Certificate of Incorporation are concerned, USA Waste's Bylaws provide that the presence at the USA Waste Special Meeting, in person or by proxy, of holders of a majority of the outstanding shares of USA Waste Common Stock entitled to vote at the meeting will constitute a quorum for the transaction of business. Under the rules of the NYSE, approval of the Merger requires the affirmative vote of the holders of a majority of the shares of USA Waste Common Stock voted, in person or by proxy, at the USA Waste Special Meeting provided that the total vote cast on the proposal represents over 50% in interest of all shares entitled to vote on the proposal. For purposes of the Merger proposal, abstentions and broker non-votes will not count as shares voted. At the close of business on the Record Date, there were approximately</w:t>
      </w:r>
    </w:p>
    <w:p>
      <w:pPr>
        <w:spacing w:after="0" w:line="5"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89.2 million shares of USA Waste Common Stock outstanding and entitled to vote at the USA Waste Special Meeting. On the Record Date, the directors and executive officers of USA Waste and their affiliates held approximately 20 million shares of USA Waste Common Stock, representing approximately 22.5% of the outstanding shares. Such persons have indicated to USA Waste that they intend to vote their shares in favor of approval and adoption of the Merger Agreement. See "Principal Stockholders of USA Waste and Sanifill." For information relating to certain voting agreements entered into in connection with the Merger Agreement, see "The Plan of Merger and Terms of the Merger -- Voting Agreements."</w:t>
      </w:r>
    </w:p>
    <w:p>
      <w:pPr>
        <w:spacing w:after="0" w:line="359"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Approval of the amendment to USA Waste's Restated Certificate of Incorporation requires the affirmative vote of the holders of a majority of the outstanding shares of USA Waste Common Stock entitled to vote on such proposal. Abstentions from the proposal to amend USA Waste's Restated Certificate of Incorporation as well as broker non-votes and the failure of USA Waste stockholders to sign and return their proxy will each have the same effect as voting against such proposal.</w:t>
      </w:r>
    </w:p>
    <w:p>
      <w:pPr>
        <w:spacing w:after="0" w:line="353"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Sanifill. Insofar as adoption of the Merger Agreement is concerned, Sanifill's Bylaws provide that the presence at the Sanifill Special Meeting, in person or by proxy, of holders of a majority of the issued and outstanding shares of Sanifill Common Stock entitled to vote at the meeting will constitute a quorum for the transaction of business. At the close of business on the Record Date, there were approximately 25.4 million shares of Sanifill Common Stock outstanding and entitled to vote at the Sanifill Special Meeting. Pursuant to Delaware law and the provisions of the Certificate of Incorporation of Sanifill, approval and adoption of the Merger Agreement requires the affirmative vote of the holders of a majority of the shares of Sanifill Common Stock outstanding on the Record Date, or approximately 12.7 million shares. On the Record Date, the directors and executive officers of Sanifill and their affiliates held approximately 1.4 million shares of Sanifill Common Stock, representing approximately 5.5% of the outstanding voting power. Such persons have indicated to Sanifill that they intend to vote their shares in favor of approval and adoption of the Merger Agreement. See "Principal Stockholders of USA Waste and Sanifill." For information relating to certain voting agreements entered into in connection with the Merger Agreement, see "The Plan of Merger and Terms of the Merger -- Voting Agreements."</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SOLICITATION OF PROXIES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In addition to solicitation by mail, the directors, officers and employees of each of USA Waste and Sanifill may solicit proxies from their respective stockholders by personal interview, telephone, telegram, facsimile or otherwise. USA Waste and Sanifill will each bear the costs of the solicitation of proxies from their respective stockholders, except that USA Waste and Sanifill will share equally the cost of printing this Joint Proxy Statement and Prospectus. USA Waste has engaged Corporate Investor Communications, Inc., a proxy solicitation firm, to assist in the solicitation of proxies of USA Waste stockholders. USA Waste will pay the fees in connection with the solicitation by such firm which are anticipated to be $5,000 plus such firm's out-of-pocket expenses. Sanifill has engaged Morrow &amp; Co., a proxy solicitation firm, to assist in the solicitation of proxies from Sanifill stockholders. Sanifill will pay the fees in connection with the solicitation by such firm which are anticipated to be $5,000 (plus additional charges if such firm is requested to contact non-objecting</w:t>
      </w:r>
    </w:p>
    <w:p>
      <w:pPr>
        <w:sectPr>
          <w:pgSz w:w="11900" w:h="16838" w:orient="portrait"/>
          <w:cols w:equalWidth="0" w:num="1">
            <w:col w:w="10219"/>
          </w:cols>
          <w:pgMar w:left="240" w:top="295" w:right="1440" w:bottom="1440" w:gutter="0" w:footer="0" w:header="0"/>
        </w:sectPr>
      </w:pPr>
    </w:p>
    <w:p>
      <w:pPr>
        <w:spacing w:after="0" w:line="36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5" w:right="1440" w:bottom="1440" w:gutter="0" w:footer="0" w:header="0"/>
          <w:type w:val="continuous"/>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29</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beneficial owners), plus such firm's out-of-pocket expenses. Arrangements will be made with brokerage firms and other custodians, nominees and fiduciaries who hold the voting securities of record for the forwarding of solicitation materials to the beneficial owners thereof. USA Waste and Sanifill will reimburse brokers, custodians, nominees and fiduciaries for the reasonable out-of-pocket expenses incurred by them in connection therewith.</w:t>
      </w:r>
    </w:p>
    <w:p>
      <w:pPr>
        <w:spacing w:after="0" w:line="176"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THE MERGER AND RELATED TRANSACTIONS</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detailed terms and conditions relating to the consummation of the Merger are contained in the Merger Agreement, which is attached hereto as Annex A and incorporated herein by reference. The following discussion sets forth a description of certain material terms and conditions of the Merger Agreement. The description in this Joint Proxy Statement and Prospectus of the terms and conditions relating to the consummation of the Merger is qualified in its entirety by reference to the Merger Agreement.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DESCRIPTION OF THE MERGER</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Merger Agreement provides that, at the Effective Time, Acquisition will merge with and into Sanifill, whereupon Sanifill will become a wholly owned subsidiary of USA Waste and each outstanding share of Sanifill Common Stock (other than shares of Sanifill Common Stock held by USA Waste) will be converted into 1.70 shares of USA Waste Common Stock.</w:t>
      </w:r>
    </w:p>
    <w:p>
      <w:pPr>
        <w:spacing w:after="0" w:line="354"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Based upon the number of shares of USA Waste Common Stock and Sanifill Common Stock outstanding as of the Record Date, approximately 132.3 million shares of USA Waste Common Stock are expected to be outstanding immediately following the Effective Time, of which approximately 43.1 million shares, representing approximately 33% of the total, will be held by former holders of Sanifill Common Stock.</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OF THE MERGER</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In June 1994, Mr. John E. Drury, USA Waste's Chief Executive Officer, met with Mr. Lorne D. Bain, Chairman of the Board and Chief Executive Officer of Sanifill, in Houston, Texas to discuss the possibility of a strategic alliance between USA Waste and Sanifill as part of USA Waste's strategy of expanding its waste management services through selective acquisitions of waste management operations that complemented existing operations or otherwise contributed to USA Waste's participation in the consolidation trend within the solid waste management industry. No economic terms of any potential combination were discussed at this meeting. In August 1994, Mr. Drury once again met with Mr. Bain to resume a general discussion concerning a possible merger of USA Waste and Sanifill. Shortly after this meeting, discussions between USA Waste and Sanifill were discontinued.</w:t>
      </w:r>
    </w:p>
    <w:p>
      <w:pPr>
        <w:spacing w:after="0" w:line="183"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In January 1996, Mr. Rodney R. Proto, Sanifill's Chief Operating Officer, was Mr. Drury's guest at a social engagement at which Mr. Drury suggested that the parties again discuss the potential for a combination of USA Waste and Sanifill. On April 8, 1996, at Mr. Drury's request, Messrs. Drury and Bain met in Houston, Texas. At this meeting, Mr. Drury expressed USA Waste's continuing interest in the possibility of combining USA Waste and Sanifill. Messrs. Drury and Bain discussed, among other things, recent developments in the waste management industry, including USA Waste's acquisition of Chambers Development Company, Inc. ("Chambers"), completed in June 1995, and USA Waste's then-pending acquisition of Western Waste Industries ("Western"), the management teams of the two companies and possible synergies that might result from a combination of USA Waste and Sanifill. Following this meeting, Mr. Drury sent to Mr. Bain certain information concerning USA Waste's completed acquisition of Chambers and then-pending acquisition of Western.</w:t>
      </w:r>
    </w:p>
    <w:p>
      <w:pPr>
        <w:spacing w:after="0" w:line="184" w:lineRule="exact"/>
        <w:rPr>
          <w:sz w:val="20"/>
          <w:szCs w:val="20"/>
          <w:color w:val="auto"/>
        </w:rPr>
      </w:pPr>
    </w:p>
    <w:p>
      <w:pPr>
        <w:jc w:val="both"/>
        <w:ind w:right="3019" w:firstLine="461"/>
        <w:spacing w:after="0" w:line="252" w:lineRule="auto"/>
        <w:rPr>
          <w:sz w:val="20"/>
          <w:szCs w:val="20"/>
          <w:color w:val="auto"/>
        </w:rPr>
      </w:pPr>
      <w:r>
        <w:rPr>
          <w:rFonts w:ascii="Courier New" w:cs="Courier New" w:eastAsia="Courier New" w:hAnsi="Courier New"/>
          <w:sz w:val="15"/>
          <w:szCs w:val="15"/>
          <w:color w:val="auto"/>
        </w:rPr>
        <w:t>On April 30, 1996, Messrs. Drury, Proto and Bain met in Houston, Texas to discuss the operations of USA Waste and Sanifill and potential synergies which could result from a combination of the companies' operations.</w:t>
      </w:r>
    </w:p>
    <w:p>
      <w:pPr>
        <w:spacing w:after="0" w:line="175" w:lineRule="exact"/>
        <w:rPr>
          <w:sz w:val="20"/>
          <w:szCs w:val="20"/>
          <w:color w:val="auto"/>
        </w:rPr>
      </w:pPr>
    </w:p>
    <w:p>
      <w:pPr>
        <w:ind w:right="2939" w:firstLine="461"/>
        <w:spacing w:after="0" w:line="252" w:lineRule="auto"/>
        <w:rPr>
          <w:sz w:val="20"/>
          <w:szCs w:val="20"/>
          <w:color w:val="auto"/>
        </w:rPr>
      </w:pPr>
      <w:r>
        <w:rPr>
          <w:rFonts w:ascii="Courier New" w:cs="Courier New" w:eastAsia="Courier New" w:hAnsi="Courier New"/>
          <w:sz w:val="15"/>
          <w:szCs w:val="15"/>
          <w:color w:val="auto"/>
        </w:rPr>
        <w:t>On June 3, 1996, Messrs. Drury, Donald F. Moorehead, Vice Chairman and Chief Development Officer of USA Waste, Bain and Proto met in Houston, Texas to continue the discussion of potential synergies that</w:t>
      </w:r>
    </w:p>
    <w:p>
      <w:pPr>
        <w:sectPr>
          <w:pgSz w:w="11900" w:h="16838" w:orient="portrait"/>
          <w:cols w:equalWidth="0" w:num="1">
            <w:col w:w="10219"/>
          </w:cols>
          <w:pgMar w:left="240" w:top="295" w:right="1440" w:bottom="1440" w:gutter="0" w:footer="0" w:header="0"/>
        </w:sectPr>
      </w:pP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5" w:right="1440" w:bottom="1440" w:gutter="0" w:footer="0" w:header="0"/>
          <w:type w:val="continuous"/>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30</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could result from a combination of the two companies' operations and to discuss potential terms for a combination of USA Waste and Sanifill. On June 7, 1996, these same individuals, as well as Mr. Earl E. DeFrates, USA Waste's Executive Vice President and Chief Financial Officer, met in Houston, Texas to continue their discussions and to consider more specifically the synergies of combining the companies' operations. The next morning, the same parties met to discuss potential exchange ratios for a stock-for-stock transaction.</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During a telephone conversation on Monday, June 10, 1996, Messrs. Drury and Bain decided that an exchange ratio of 1.70 shares of USA Waste Common Stock for each share of Sanifill Common Stock would be an appropriate exchange ratio to present to their respective Boards of Directors if an agreement could be reached on other terms of a transaction and if the results of the parties' due diligence investigations were satisfactory.</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Beginning on June 13, 1996, Mr. Bain, Mr. Proto, or both of them conducted a series of individual meetings, conference calls and individual calls with members of the Sanifill Board of Directors and Sanifill senior management. The potential terms of the transaction, the status of negotiations and related matters were discussed in these meetings and calls.</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On June 13, 1996, USA Waste and DLJ executed an engagement letter whereby DLJ agreed to act as USA Waste's financial advisor with respect to the potential merger. On the following day, Sanifill engaged Merrill Lynch to act as its financial advisor in connection with the potential merger. Mr. J. Chris Brewster, Vice President and Chief Financial Officer of Sanifill, and Merrill Lynch then began their review of the financial conditions, results of operations and prospects of USA Waste and the combined companies.</w:t>
      </w:r>
    </w:p>
    <w:p>
      <w:pPr>
        <w:spacing w:after="0" w:line="176"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On June 15, 1996, Messrs. Gregory T. Sangalis and H. Steven Walton, Vice President, General Counsel and Secretary of USA Waste and Sanifill, respectively, together with outside counsel for each company, met to negotiate the terms of the proposed merger agreement and to discuss the timing of due diligence reviews of both companies.</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On June 17, 1996, Sanifill disseminated to each member of its Board of Directors information about USA Waste, the potential transaction and the operations of both companies, and a draft of the proposed merger agreement as it stood on that date.</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Also on June 17, 1996, USA Waste and Sanifill executed confidentiality agreements with respect to the exchange of financial and operational information for purposes of evaluating a potential merger transaction. On that same date, members of the USA Waste Board of Directors participated in a conference call at which time Mr. Drury informed such members of the potential terms of the transaction with Sanifill and the status of the negotiations with Sanifill and discussed with such members informational materials relating to Sanifill which had been previously distributed to them. Throughout the week, Messrs. Drury, Moorehead, DeFrates, or all of them, conducted a series of individual meetings and telephone calls with members of USA Waste's Board of Directors to continue discussions of the potential terms of the transaction and the status of the negotiations.</w:t>
      </w:r>
    </w:p>
    <w:p>
      <w:pPr>
        <w:spacing w:after="0" w:line="183"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During the period from June 17, 1996 to June 22, 1996, the management teams from both companies and their respective financial advisors and outside legal counsel conducted due diligence investigations and further negotiated the terms of the potential merger agreement.</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At an evening meeting on June 20, 1996, the Board of Directors of Sanifill began its consideration of the proposed Merger. At such meeting, members of the senior management of USA Waste made a presentation to the Board of Directors of Sanifill, including such management's view of the benefits of combining the two companies and the business plan and strategy for the combined companies. At this meeting, Sanifill's Board was provided with the Merger Agreement in substantially complete form, the forms of the proposed voting agreements and irrevocable proxies to be executed by certain stockholders of Sanifill and USA Waste (see "The Plan of Merger and Terms of the Merger -- Voting Agreements"), and additional information regarding the proposed transaction.</w:t>
      </w:r>
    </w:p>
    <w:p>
      <w:pPr>
        <w:spacing w:after="0" w:line="18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5"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31</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On June 21, 1996, the respective Boards of Directors of USA Waste and Sanifill met separately to consider the proposed Merger. At the meeting of Sanifill's Board of Directors, Sanifill's management presented a draft form of the Merger Agreement and related documents to the Sanifill Board. The terms of the Merger were reviewed in detail, and management provided the Sanifill Board with its assessment of the transaction from operating, financial and regulatory standpoints, as well as the results of its due diligence investigation of USA Waste. Representatives of Merrill Lynch presented certain financial and operating data relating to USA Waste and other publicly held solid waste management companies and its financial analysis of the proposed Merger. Merrill Lynch then delivered its written opinion dated June 21, 1996 that, as of such date, the Exchange Ratio was fair to the stockholders of Sanifill from a financial point of view. After discussion by the Sanifill Board of Directors, the Board approved the Merger Agreement and related transactions and voted to recommend approval of the Merger Agreement to Sanifill's stockholders subject to satisfactory resolution of certain remaining issues.</w:t>
      </w:r>
    </w:p>
    <w:p>
      <w:pPr>
        <w:spacing w:after="0" w:line="184"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At the June 21, 1996, USA Waste Board of Directors meeting, USA Waste's management presented a draft form of the Merger Agreement and related documents to the USA Waste Board. The Board reviewed the terms of the Merger and the results of the due diligence investigation of Sanifill conducted by USA Waste's management team, counsel and independent auditors. Representatives of DLJ then reviewed with the USA Waste Board of Directors certain financial and operating data relating to Sanifill and other publicly held solid waste companies, as well as certain pro forma financial information reflecting the Merger. After making this presentation and responding to questions, the DLJ representatives delivered a written opinion, as of such date, to the effect that the Exchange Ratio was fair, from a financial point of view, to USA Waste. Following such review and discussion, the USA Waste Board of Directors approved the Merger Agreement and related transactions and voted to recommend approval of the Merger Agreement to USA Waste's stockholders subject to satisfactory resolution of certain remaining issues.</w:t>
      </w:r>
    </w:p>
    <w:p>
      <w:pPr>
        <w:spacing w:after="0" w:line="184"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On June 22, 1996, the parties continued the negotiation of open matters relating to the Merger, and signed the definitive Merger Agreement later that day. On the next business day, June 24, 1996, the parties jointly announced the Merger.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WASTE'S REASONS FOR THE MERGER</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In evaluating the Merger, management and the Board of Directors of USA Waste considered a variety of factors in the context of USA Waste's strategic objectives. A key element of USA Waste's strategy is to expand solid waste management services through the acquisition of additional solid waste collection, transfer and recycling operations and landfills, with the objective of becoming a national integrated solid waste management company with a broad geographic base of operations. USA Waste anticipates that added service requirements, increased regulation and heightened public concern over the environment, all of which have contributed to dramatically higher costs associated with providing waste management services generally, will cause continued industry consolidation as well as increased privatization of municipal services, affording attractive future opportunities for growth. In evaluating the Merger, USA Waste's Board of Directors considered the desirability of potential savings from the synergies between USA Waste and Sanifill and the integration of the companies' operations, including administrative cost savings through elimination of duplicative administrative positions, the rationalization of collection routes and reductions in insurance and bonding costs. USA Waste's Board of Directors also considered the significant permitted landfill airspace of Sanifill, the additional markets served by Sanifill and the management and employee resources of Sanifill. USA Waste's Board concluded that by combining operations of USA Waste and Sanifill, USA Waste would further its strategic objectives and that the combined entity could participate more effectively in the ongoing consolidation of the solid waste services industry. In addition, the USA Waste Board of Directors and management concluded that (i) a larger asset and revenue base resulting from the Merger would provide USA Waste better access to capital to pursue its strategic objectives and achieve economies of scale associated with a larger base of operations, (ii) certain of the members of Sanifill's management would complement USA Waste's existing management team in managing the growth of USA Waste in a consolidating industry and (iii) assuming the achievement of certain operating synergies, the Merger would result in accretion to USA Waste's earnings.</w:t>
      </w:r>
    </w:p>
    <w:p>
      <w:pPr>
        <w:sectPr>
          <w:pgSz w:w="11900" w:h="16838" w:orient="portrait"/>
          <w:cols w:equalWidth="0" w:num="1">
            <w:col w:w="10219"/>
          </w:cols>
          <w:pgMar w:left="240" w:top="295" w:right="1440" w:bottom="1440" w:gutter="0" w:footer="0" w:header="0"/>
        </w:sectPr>
      </w:pPr>
    </w:p>
    <w:p>
      <w:pPr>
        <w:spacing w:after="0" w:line="36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5" w:right="1440" w:bottom="1440" w:gutter="0" w:footer="0" w:header="0"/>
          <w:type w:val="continuous"/>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32</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At the June 21, 1996 meeting, the USA Waste Board of Directors received a written opinion from DLJ that the Exchange Ratio was fair as of such date, from a financial point of view, to USA Waste. See "-- Opinion of Financial Advisor to USA Waste."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THE BOARD OF DIRECTORS OF USA WASTE</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For the reasons set forth under "-- USA Waste's Reasons for the Merger," the Board of Directors of USA Waste believes that the terms of the Merger Agreement and the Merger are fair to, and in the best interests of, USA Waste and the holders of USA Waste Common Stock. The Board of Directors has approved the Merger Agreement and the Merger and recommends that the holders of USA Waste Common Stock vote FOR adoption and approval of the Merger Agreement and the Merger. In considering the recommendation of the USA Waste Board of Directors with respect to the Merger, USA Waste stockholders should be aware that certain members of the Board of Directors and management of USA Waste have direct and indirect interests in the consummation of the Merger apart from their interests as stockholders of USA Waste. See "-- Conflicts of Interest."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SANIFILL'S REASONS FOR THE MERGER</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In evaluating the transaction with USA Waste, the Sanifill Board of Directors determined that the Merger would result in a strong combined company that largely would reflect Sanifill's strategy of being a disposal-based company with activities centered around nonhazardous waste disposal. The Board considered the potential for significant synergies from the combination of the two companies at the operating level and at the management and staff levels. The managements of the two companies identified potential cost savings and increased opportunities and efficiencies that may be made available by the complementary assets and operations of both entities. In particular, the Board considered that the asset placement and areas of operations of the two companies have the potential to enhance regional or large area service capability and allow for significant financial and operating efficiencies.</w:t>
      </w:r>
    </w:p>
    <w:p>
      <w:pPr>
        <w:spacing w:after="0" w:line="183"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Board also considered the Merger's potential for utilizing each company's respective skills to increase efficiency and margins in the combined company and in particular noted that USA Waste has relative strengths in collection and logistics and Sanifill has relative strengths in disposal, engineering and cost containment for regulatory compliance. The Board also placed weight on the favorable personnel mix of the combined company. In particular, the Board considered that the combined company's management would enjoy a combination of skills and capabilities that are needed in a growth company in a consolidating industry and that such combination would increase the breadth and depth of each company's management team.</w:t>
      </w:r>
    </w:p>
    <w:p>
      <w:pPr>
        <w:spacing w:after="0" w:line="182"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Sanifill's long-term objective has been to achieve for its stockholders consistent growth over time through acquisitions and internal development. The waste industry has been consolidating over time as the owners of many privately-held companies have elected to sell their businesses and governmental entities have privatized waste collection and disposal. This consolidation was accelerated by recent environmental regulations that have increased the technical complexity and capital and operating costs associated with disposal activities in the United States. The Board believes that the Merger will provide Sanifill stockholders with an interest in a combined company that will be one of the strongest competitors in this environment.</w:t>
      </w:r>
    </w:p>
    <w:p>
      <w:pPr>
        <w:spacing w:after="0" w:line="182"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In reaching its conclusion to recommend approval of the Merger Agreement and the Merger to Sanifill's stockholders, the Sanifill Board of Directors also considered a number of other factors, including, without limitation, the following:</w:t>
      </w:r>
    </w:p>
    <w:p>
      <w:pPr>
        <w:spacing w:after="0" w:line="176" w:lineRule="exact"/>
        <w:rPr>
          <w:sz w:val="20"/>
          <w:szCs w:val="20"/>
          <w:color w:val="auto"/>
        </w:rPr>
      </w:pPr>
    </w:p>
    <w:p>
      <w:pPr>
        <w:ind w:left="1200" w:hanging="283"/>
        <w:spacing w:after="0"/>
        <w:tabs>
          <w:tab w:leader="none" w:pos="12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consideration to be received by Sanifill's stockholders in the</w:t>
      </w:r>
    </w:p>
    <w:p>
      <w:pPr>
        <w:spacing w:after="0" w:line="7" w:lineRule="exact"/>
        <w:rPr>
          <w:rFonts w:ascii="Courier New" w:cs="Courier New" w:eastAsia="Courier New" w:hAnsi="Courier New"/>
          <w:sz w:val="15"/>
          <w:szCs w:val="15"/>
          <w:color w:val="auto"/>
        </w:rPr>
      </w:pPr>
    </w:p>
    <w:p>
      <w:pPr>
        <w:ind w:left="4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Merger.</w:t>
      </w:r>
    </w:p>
    <w:p>
      <w:pPr>
        <w:spacing w:after="0" w:line="184" w:lineRule="exact"/>
        <w:rPr>
          <w:rFonts w:ascii="Courier New" w:cs="Courier New" w:eastAsia="Courier New" w:hAnsi="Courier New"/>
          <w:sz w:val="15"/>
          <w:szCs w:val="15"/>
          <w:color w:val="auto"/>
        </w:rPr>
      </w:pPr>
    </w:p>
    <w:p>
      <w:pPr>
        <w:ind w:left="460" w:right="3019" w:firstLine="457"/>
        <w:spacing w:after="0" w:line="251" w:lineRule="auto"/>
        <w:tabs>
          <w:tab w:leader="none" w:pos="119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presentation of Merrill Lynch delivered to the Sanifill Board of Directors on June 21, 1996, including Merrill Lynch's written opinion that, as of such date, the Exchange Ratio was fair to Sanifill's stockholders from a financial point of view. See "-- Opinion of Financial Advisor to Sanifill."</w:t>
      </w:r>
    </w:p>
    <w:p>
      <w:pPr>
        <w:spacing w:after="0" w:line="176" w:lineRule="exact"/>
        <w:rPr>
          <w:rFonts w:ascii="Courier New" w:cs="Courier New" w:eastAsia="Courier New" w:hAnsi="Courier New"/>
          <w:sz w:val="15"/>
          <w:szCs w:val="15"/>
          <w:color w:val="auto"/>
        </w:rPr>
      </w:pPr>
    </w:p>
    <w:p>
      <w:pPr>
        <w:jc w:val="both"/>
        <w:ind w:left="460" w:right="3219" w:firstLine="457"/>
        <w:spacing w:after="0" w:line="251" w:lineRule="auto"/>
        <w:tabs>
          <w:tab w:leader="none" w:pos="119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conditions of the Merger Agreement, including the amount and the form of the consideration, the parties' representations, warranties, covenants and agreements, and the conditions to their respective obligations set forth in the Merger Agreement.</w:t>
      </w:r>
    </w:p>
    <w:p>
      <w:pPr>
        <w:sectPr>
          <w:pgSz w:w="11900" w:h="16838" w:orient="portrait"/>
          <w:cols w:equalWidth="0" w:num="1">
            <w:col w:w="10219"/>
          </w:cols>
          <w:pgMar w:left="240" w:top="295" w:right="1440" w:bottom="1440" w:gutter="0" w:footer="0" w:header="0"/>
        </w:sectPr>
      </w:pP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5" w:right="1440" w:bottom="1440" w:gutter="0" w:footer="0" w:header="0"/>
          <w:type w:val="continuous"/>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33</w:t>
      </w:r>
    </w:p>
    <w:p>
      <w:pPr>
        <w:spacing w:after="0" w:line="185" w:lineRule="exact"/>
        <w:rPr>
          <w:sz w:val="20"/>
          <w:szCs w:val="20"/>
          <w:color w:val="auto"/>
        </w:rPr>
      </w:pPr>
    </w:p>
    <w:p>
      <w:pPr>
        <w:ind w:left="460" w:right="2839" w:firstLine="457"/>
        <w:spacing w:after="0" w:line="250" w:lineRule="auto"/>
        <w:tabs>
          <w:tab w:leader="none" w:pos="119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 the Merger Agreement that permit the Sanifill Board of Directors, in the exercise of its fiduciary duties and subject to certain conditions, (i) to respond to written indications of interest and proposals regarding potential alternative business combination transactions, and to provide information to, and negotiate with, third parties making such indications or proposals (although Sanifill is not permitted by the Merger Agreement to actively solicit third-party bids) and (ii) to terminate the Merger Agreement in order to accept or recommend an alternative transaction if the Board determines it to be more favorable to stockholders than the Merger. In this regard, the Sanifill Board of Directors noted that the Merger Agreement provides that if Sanifill terminates the Merger Agreement in favor of an alternative transaction, Sanifill would be obligated to pay USA Waste $39 million. The Sanifill Board of Directors did not view the fee provisions of the Merger Agreement as unreasonably impeding any interested third party from proposing a superior transaction.</w:t>
      </w:r>
    </w:p>
    <w:p>
      <w:pPr>
        <w:spacing w:after="0" w:line="184" w:lineRule="exact"/>
        <w:rPr>
          <w:rFonts w:ascii="Courier New" w:cs="Courier New" w:eastAsia="Courier New" w:hAnsi="Courier New"/>
          <w:sz w:val="15"/>
          <w:szCs w:val="15"/>
          <w:color w:val="auto"/>
        </w:rPr>
      </w:pPr>
    </w:p>
    <w:p>
      <w:pPr>
        <w:jc w:val="both"/>
        <w:ind w:left="460" w:right="3019" w:firstLine="457"/>
        <w:spacing w:after="0" w:line="252" w:lineRule="auto"/>
        <w:tabs>
          <w:tab w:leader="none" w:pos="119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presentation by members of management of USA Waste, including such management's view of the benefits of combining the two companies and its business plans and strategy for the combined company.</w:t>
      </w:r>
    </w:p>
    <w:p>
      <w:pPr>
        <w:spacing w:after="0" w:line="174" w:lineRule="exact"/>
        <w:rPr>
          <w:rFonts w:ascii="Courier New" w:cs="Courier New" w:eastAsia="Courier New" w:hAnsi="Courier New"/>
          <w:sz w:val="15"/>
          <w:szCs w:val="15"/>
          <w:color w:val="auto"/>
        </w:rPr>
      </w:pPr>
    </w:p>
    <w:p>
      <w:pPr>
        <w:ind w:left="460" w:right="3119" w:firstLine="457"/>
        <w:spacing w:after="0" w:line="252" w:lineRule="auto"/>
        <w:tabs>
          <w:tab w:leader="none" w:pos="119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inclusion on the USA Waste Board of Directors after the Merger of representatives familiar with Sanifill's businesses and operations.</w:t>
      </w:r>
    </w:p>
    <w:p>
      <w:pPr>
        <w:spacing w:after="0" w:line="174" w:lineRule="exact"/>
        <w:rPr>
          <w:rFonts w:ascii="Courier New" w:cs="Courier New" w:eastAsia="Courier New" w:hAnsi="Courier New"/>
          <w:sz w:val="15"/>
          <w:szCs w:val="15"/>
          <w:color w:val="auto"/>
        </w:rPr>
      </w:pPr>
    </w:p>
    <w:p>
      <w:pPr>
        <w:ind w:left="460" w:right="2839" w:firstLine="457"/>
        <w:spacing w:after="0" w:line="251" w:lineRule="auto"/>
        <w:tabs>
          <w:tab w:leader="none" w:pos="119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structure of the Merger, which is intended to permit the Sanifill stockholders to exchange their Sanifill Common Stock on a tax-free basis and to permit the Merger to be accounted for as a pooling of interests.</w:t>
      </w:r>
    </w:p>
    <w:p>
      <w:pPr>
        <w:spacing w:after="0" w:line="176" w:lineRule="exact"/>
        <w:rPr>
          <w:rFonts w:ascii="Courier New" w:cs="Courier New" w:eastAsia="Courier New" w:hAnsi="Courier New"/>
          <w:sz w:val="15"/>
          <w:szCs w:val="15"/>
          <w:color w:val="auto"/>
        </w:rPr>
      </w:pPr>
    </w:p>
    <w:p>
      <w:pPr>
        <w:ind w:left="460" w:right="2839" w:firstLine="457"/>
        <w:spacing w:after="0" w:line="253" w:lineRule="auto"/>
        <w:tabs>
          <w:tab w:leader="none" w:pos="119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matters related to officers and directors of Sanifill described under "-- Conflicts of Interest."</w:t>
      </w:r>
    </w:p>
    <w:p>
      <w:pPr>
        <w:spacing w:after="0" w:line="174" w:lineRule="exact"/>
        <w:rPr>
          <w:rFonts w:ascii="Courier New" w:cs="Courier New" w:eastAsia="Courier New" w:hAnsi="Courier New"/>
          <w:sz w:val="15"/>
          <w:szCs w:val="15"/>
          <w:color w:val="auto"/>
        </w:rPr>
      </w:pPr>
    </w:p>
    <w:p>
      <w:pPr>
        <w:ind w:left="460" w:right="2839" w:firstLine="457"/>
        <w:spacing w:after="0" w:line="251" w:lineRule="auto"/>
        <w:tabs>
          <w:tab w:leader="none" w:pos="119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factors relating to the combined company, including the fact that USA Waste is still in the process of integrating Western into its operations; the potential for disruptions from the relocation of USA Waste's headquarters to Houston; the ability of the combined company to maintain the recent growth levels and earnings multiples achieved by each of the two companies; and the effect of potential future revisions of federal and state regulations on the combined company.</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In view of the wide variety of factors considered in connection with their evaluation of the terms of the Merger, the Sanifill Board of Directors did not find it practicable to, and did not, quantify or otherwise attempt to assign relative weights to the specific factors considered in reaching its determination.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THE BOARD OF DIRECTORS OF SANIFILL</w:t>
      </w:r>
    </w:p>
    <w:p>
      <w:pPr>
        <w:spacing w:after="0" w:line="362"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For the reasons set forth under "-- Sanifill's Reasons for the Merger," the Board of Directors of Sanifill believes that the Merger Agreement is fair to, and in the best interests of, Sanifill and the holders of Sanifill Common Stock. The Board of Directors has approved the Merger Agreement and the Merger and unanimously recommends that the holders of Sanifill Common Stock vote FOR adoption and approval of the Merger Agreement and the Merger. In considering the recommendation of the Sanifill Board of Directors with respect to the Merger, Sanifill stockholders should be aware that certain officers and directors of Sanifill have direct and indirect interests in the consummation of the Merger apart from their interests as stockholders of Sanifill. See "-- Conflicts of Interest."</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OF FINANCIAL ADVISOR TO USA WASTE</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definitions of terms provided in this section "-- Opinion of Financial Advisor to USA Waste" shall apply only to this section and shall not apply to the use of such capitalized terms in any other section of this Joint Proxy Statement and Prospectus.</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In its role as financial advisor to USA Waste, DLJ was asked by USA Waste to render an opinion (the "DLJ Opinion") to the Board of Directors of USA Waste (the "USA Waste Board") as to the fairness to USA Waste, from a financial point of view, of the Exchange Ratio. On June 21, 1996, DLJ delivered a written opinion to the USA Waste Board that the Exchange Ratio was fair to USA Waste from a financial point of view.</w:t>
      </w:r>
    </w:p>
    <w:p>
      <w:pPr>
        <w:sectPr>
          <w:pgSz w:w="11900" w:h="16838" w:orient="portrait"/>
          <w:cols w:equalWidth="0" w:num="1">
            <w:col w:w="10219"/>
          </w:cols>
          <w:pgMar w:left="240" w:top="295" w:right="1440" w:bottom="1440" w:gutter="0" w:footer="0" w:header="0"/>
        </w:sectPr>
      </w:pP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95" w:right="1440" w:bottom="1440" w:gutter="0" w:footer="0" w:header="0"/>
          <w:type w:val="continuous"/>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34</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A COPY OF THE DLJ OPINION IS ATTACHED HERETO AS ANNEX B. USA WASTE STOCKHOLDERS ARE URGED TO READ THE DLJ OPINION IN ITS ENTIRETY FOR ASSUMPTIONS MADE, PROCEDURES FOLLOWED, OTHER MATTERS CONSIDERED AND LIMITS OF THE REVIEW BY DLJ.</w:t>
      </w:r>
    </w:p>
    <w:p>
      <w:pPr>
        <w:spacing w:after="0" w:line="176" w:lineRule="exact"/>
        <w:rPr>
          <w:sz w:val="20"/>
          <w:szCs w:val="20"/>
          <w:color w:val="auto"/>
        </w:rPr>
      </w:pPr>
    </w:p>
    <w:p>
      <w:pPr>
        <w:ind w:right="3119" w:firstLine="461"/>
        <w:spacing w:after="0" w:line="251" w:lineRule="auto"/>
        <w:rPr>
          <w:sz w:val="20"/>
          <w:szCs w:val="20"/>
          <w:color w:val="auto"/>
        </w:rPr>
      </w:pPr>
      <w:r>
        <w:rPr>
          <w:rFonts w:ascii="Courier New" w:cs="Courier New" w:eastAsia="Courier New" w:hAnsi="Courier New"/>
          <w:sz w:val="15"/>
          <w:szCs w:val="15"/>
          <w:color w:val="auto"/>
        </w:rPr>
        <w:t>The DLJ Opinion was prepared for the USA Waste Board of Directors and is directed only to the fairness of the Exchange Ratio to USA Waste from a financial point of view and does not constitute a recommendation to any USA Waste stockholder as to how such stockholder should vote at the USA Waste Special Meeting.</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As more fully described under "The Merger and Related</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Transactions -- Background of the Merger," the USA Waste Board of Directors selected DLJ as its financial advisor because it is a nationally recognized investment banking firm that has substantial experience in the solid waste industry and is familiar with USA Waste and its businesses. DLJ was not retained as an advisor or agent to the stockholders of USA Waste or any other person. As part of its investment banking business, DLJ is regularly engaged in the valuation of businesses and securities in connection with mergers, acquisitions, underwritings, sales and distributions of listed and unlisted securities, private placements and valuations for estate, corporate and other purposes.</w:t>
      </w:r>
    </w:p>
    <w:p>
      <w:pPr>
        <w:spacing w:after="0" w:line="17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DLJ Opinion does not constitute an opinion as to the price at which the USA Waste Common Stock will actually trade at any time. DLJ did not, and was not requested by the USA Waste Board to, make any recommendation as to the form or amount of consideration to be paid to holders of Sanifill Common Stock in the Merger, which issues were resolved in arm's-length negotiations between USA Waste and Sanifill, in which negotiations DLJ advised USA Waste. No restrictions or limitations were imposed by USA Waste upon DLJ with respect to the investigations made or the procedures followed by DLJ in rendering its opinion. USA Waste did not authorize DLJ to solicit, and DLJ did not solicit, any third party indications of interest in a purchase of, or business combination with, USA Waste or Sanifill.</w:t>
      </w:r>
    </w:p>
    <w:p>
      <w:pPr>
        <w:spacing w:after="0" w:line="182"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In arriving at its opinion, DLJ reviewed a draft of the Merger Agreement (which did not substantively differ from the executed Merger Agreement). DLJ also reviewed financial and other information that was publicly available or furnished to it by USA Waste and Sanifill including information provided during discussions with their respective managements, which consisted of certain financial projections of USA Waste prepared by the management of USA Waste, certain financial projections of Sanifill prepared by the management of Sanifill and certain financial information of USA Waste and Sanifill on a combined basis prepared by the management of USA Waste. In addition, DLJ compared certain financial and securities data of USA Waste and Sanifill with various other companies whose securities are traded in public markets, reviewed the historical stock prices and trading volumes of USA Waste Common Stock and Sanifill Common Stock, reviewed prices and premiums paid in certain other selected business combinations and conducted such other financial studies, analyses and investigations as DLJ deemed appropriate for purposes of rendering its opinion.</w:t>
      </w:r>
    </w:p>
    <w:p>
      <w:pPr>
        <w:spacing w:after="0" w:line="184"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In rendering its opinion, DLJ relied upon and assumed the accuracy, completeness and fairness of all of the financial and other information that was available to it from public sources, that was provided to it by USA Waste and Sanifill or their respective representatives, or that was otherwise reviewed by it. DLJ relied upon the estimates of the managements of USA Waste and Sanifill of the operating synergies achievable as a result of the Merger and its discussion of such synergies with the respective managements of USA Waste and Sanifill. DLJ did not make any independent evaluation of the assets or liabilities of USA Waste or Sanifill, nor did DLJ independently verify the information reviewed by it. DLJ also assumed that the financial projections supplied to it were reasonably prepared on bases reflecting the best currently available estimates and judgments of the respective managements of USA Waste and Sanifill as to the future operating and financial performance of USA Waste and Sanifill, respectively. DLJ did not perform any procedures or analysis regarding potential environmental liabilities of either USA Waste or Sanifill, nor did it consider the impact of changes in the regulatory environment in which USA Waste and Sanifill operate.</w:t>
      </w:r>
    </w:p>
    <w:p>
      <w:pPr>
        <w:spacing w:after="0" w:line="36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DLJ Opinion was necessarily based on economic, market, financial and other conditions as they existed on, and on the information made available to it as of, the date of its opinion. It should be understood that, although subsequent developments may affect its opinion, DLJ does not have any obligation to update, revise or reaffirm the DLJ Opinion.</w:t>
      </w:r>
    </w:p>
    <w:p>
      <w:pPr>
        <w:sectPr>
          <w:pgSz w:w="11900" w:h="16838" w:orient="portrait"/>
          <w:cols w:equalWidth="0" w:num="1">
            <w:col w:w="10219"/>
          </w:cols>
          <w:pgMar w:left="240" w:top="295" w:right="1440" w:bottom="1440" w:gutter="0" w:footer="0" w:header="0"/>
        </w:sectPr>
      </w:pP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95" w:right="1440" w:bottom="1440" w:gutter="0" w:footer="0" w:header="0"/>
          <w:type w:val="continuous"/>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35</w:t>
      </w:r>
    </w:p>
    <w:p>
      <w:pPr>
        <w:spacing w:after="0" w:line="185" w:lineRule="exact"/>
        <w:rPr>
          <w:sz w:val="20"/>
          <w:szCs w:val="20"/>
          <w:color w:val="auto"/>
        </w:rPr>
      </w:pPr>
    </w:p>
    <w:p>
      <w:pPr>
        <w:ind w:right="2839" w:firstLine="461"/>
        <w:spacing w:after="0" w:line="253" w:lineRule="auto"/>
        <w:rPr>
          <w:sz w:val="20"/>
          <w:szCs w:val="20"/>
          <w:color w:val="auto"/>
        </w:rPr>
      </w:pPr>
      <w:r>
        <w:rPr>
          <w:rFonts w:ascii="Courier New" w:cs="Courier New" w:eastAsia="Courier New" w:hAnsi="Courier New"/>
          <w:sz w:val="15"/>
          <w:szCs w:val="15"/>
          <w:color w:val="auto"/>
        </w:rPr>
        <w:t>The following is a summary of the presentation made by DLJ to the USA Waste Board in connection with the DLJ Opinion.</w:t>
      </w:r>
    </w:p>
    <w:p>
      <w:pPr>
        <w:spacing w:after="0" w:line="174"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Pro Forma Merger Analysis. DLJ analyzed certain pro forma effects resulting from the Merger. DLJ reviewed the operating synergies contemplated to result from the Merger in 1997 by combining the operations of Sanifill and USA Waste as projected by the managements of Sanifill and USA Waste. DLJ analyzed the pro forma effect of such operating synergies on net income and earnings per share (both with a tax rate of 40% and assuming application of USA Waste's net operating loss ("NOL") to the combined companies pretax income) for USA Waste. The analysis indicated that the pro forma earnings per share ("EPS") of USA Waste on a fully taxed basis, assuming the annual operating synergies contemplated to result from the Merger, would be higher in the fiscal year ending 1997 than comparable projections for USA Waste as a stand-alone company during the same period. The analysis also indicated that the pro forma EPS of USA Waste on a reported basis (assuming application of the USA Waste NOL), assuming the annual operating synergies contemplated to result from the Merger, would be higher in the fiscal year ending 1997 than comparable projections for USA Waste as a stand-alone company during the same period.</w:t>
      </w:r>
    </w:p>
    <w:p>
      <w:pPr>
        <w:spacing w:after="0" w:line="184"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Contribution Analysis. DLJ analyzed USA Waste's and Sanifill's relative contribution to the combined companies with respect to total revenues; earnings before interest, taxes, depreciation and amortization ("EBITDA"); earnings before interest and taxes ("EBIT"); and total assets and total debt. Its analysis was made for the year ended December 31, 1996 based on actual results for the first fiscal quarter of 1996 and the projected results (based on USA Waste and Sanifill management projections) for the final three fiscal quarters of 1996. As a result of the Merger, USA Waste stockholders will own approximately 68% of the common stock of the combined companies. This compares with USA Waste's contribution to the combined companies' pro forma results for the period ended December 31, 1996 (prior to taking into account any operating synergies which may result from the Merger) of approximately 69% of revenues, 66% of EBITDA, 68% of EBIT, 56% of total assets, and 57% of total debt.</w:t>
      </w:r>
    </w:p>
    <w:p>
      <w:pPr>
        <w:spacing w:after="0" w:line="183"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Analysis of Certain Other Publicly Traded Companies. To provide contextual data and comparative market information, DLJ compared selected historical share price, earnings and operating and financial ratios for Sanifill to the corresponding data and ratios of USA Waste and certain other companies whose securities are publicly traded (collectively, the "Public Companies"). The Public Companies were chosen because they possess general business, operating and financial characteristics representative of companies in the industry in which USA Waste and Sanifill operate. The Public Companies consisted of: Allied Waste Industries, Inc., Browning-Ferris Industries, Inc., Continental Waste Industries, Inc., Laidlaw, Inc., United Waste Systems, Inc., USA Waste and WMX Technologies, Inc. DLJ determined that United Waste Systems, Inc. and USA Waste (collectively, the "Comparable Companies") were the most representative of the Public Companies because in DLJ's view these companies possessed general business, operating and financial characteristics most similar to Sanifill. Such data and ratios included Enterprise Value ("Enterprise Value" is defined as the product of the stock price and total shares outstanding plus Net Debt ("Net Debt" is defined as total debt plus preferred stock less cash and cash equivalents, which for Sanifill was assumed to be $355.3 million, the amount outstanding at May 31, 1996)) as a multiple of revenues, EBITDA and EBIT for the latest reported twelve months ("LTM"), growth rates of each of such items for the three most recent fiscal years and operating margins for the three most recent fiscal years. The average multiple of Enterprise Value to LTM revenues ("LTM revenue multiple") for the Comparable Companies was 4.9. The average LTM revenue multiple was then multiplied by Sanifill's LTM revenues, for the period ending March 31, 1996, to arrive at an implied total Enterprise Value for Sanifill of $1,389.1 million. The implied Enterprise Value for Sanifill was then adjusted for Net Debt to yield an implied equity value, which was then divided by Sanifill's common shares outstanding on a fully diluted basis of 25.9 million shares as of May 31, 1996 to arrive at an implied price of $39.92 per fully diluted share. The average multiple of Enterprise Value to LTM EBITDA ("LTM EBITDA multiple") for the Comparable Companies was 15.2. The average LTM EBITDA multiple was then multiplied by Sanifill's LTM EBITDA, for the period ending March 31, 1996, to arrive at an implied total Enterprise Value for Sanifill of $1,569.0 million. The implied Enterprise Value for Sanifill was then adjusted for Net Debt to yield an implied equity value, which was then divided by Sanifill's common shares outstanding on a fully diluted basis as of May 31, 1996 to arrive at an implied price of $46.86 per fully diluted share. The</w:t>
      </w:r>
    </w:p>
    <w:p>
      <w:pPr>
        <w:sectPr>
          <w:pgSz w:w="11900" w:h="16838" w:orient="portrait"/>
          <w:cols w:equalWidth="0" w:num="1">
            <w:col w:w="10219"/>
          </w:cols>
          <w:pgMar w:left="240" w:top="295" w:right="1440" w:bottom="1440" w:gutter="0" w:footer="0" w:header="0"/>
        </w:sectPr>
      </w:pPr>
    </w:p>
    <w:p>
      <w:pPr>
        <w:spacing w:after="0" w:line="19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95" w:right="1440" w:bottom="1440" w:gutter="0" w:footer="0" w:header="0"/>
          <w:type w:val="continuous"/>
        </w:sectPr>
      </w:pPr>
    </w:p>
    <w:bookmarkStart w:id="36" w:name="page37"/>
    <w:bookmarkEnd w:id="36"/>
    <w:p>
      <w:pPr>
        <w:ind w:left="285"/>
        <w:spacing w:after="0"/>
        <w:rPr>
          <w:sz w:val="20"/>
          <w:szCs w:val="20"/>
          <w:color w:val="auto"/>
        </w:rPr>
      </w:pPr>
      <w:r>
        <w:rPr>
          <w:rFonts w:ascii="Courier New" w:cs="Courier New" w:eastAsia="Courier New" w:hAnsi="Courier New"/>
          <w:sz w:val="15"/>
          <w:szCs w:val="15"/>
          <w:color w:val="auto"/>
        </w:rPr>
        <w:t>36</w:t>
      </w:r>
    </w:p>
    <w:p>
      <w:pPr>
        <w:spacing w:after="0" w:line="185"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average multiple of Enterprise Value to LTM EBIT ("LTM EBIT multiple") for the Comparable Companies was 23.8. The average LTM EBIT multiple was then multiplied by Sanifill's LTM EBIT, for the period ending March 31, 1996, to arrive at an implied total Enterprise Value for Sanifill of $1,498.9 million. The implied Enterprise Value for Sanifill was then adjusted for Net Debt to yield an implied equity value, which was then divided by Sanifill common shares outstanding on a fully diluted basis as of May 31, 1996 to arrive at an implied price of $44.15 per fully diluted share.</w:t>
      </w:r>
    </w:p>
    <w:p>
      <w:pPr>
        <w:spacing w:after="0" w:line="175"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In addition, DLJ examined the ratios of current stock prices (based on a reported closing price on June 19, 1996 for United Waste Systems, Inc. and a reported closing price on June 14, 1996 for USA Waste) to estimated fiscal year 1996 and 1997 EPS (as estimated by First Call Real Time Earnings Estimates); and current stock prices to book value for the Comparable Companies and compared such ratios with those of Sanifill. The average multiple of current stock price to estimated fiscal year 1996 EPS for the Comparable Companies was 27.2. The average multiple of estimated fiscal year 1996 EPS was then multiplied by Sanifill's estimated fiscal 1996 net income to arrive at an implied total Equity Value, which was then divided by Sanifill's common shares outstanding on a fully diluted basis as of May 31, 1996 to arrive at an implied price of $47.79 per fully diluted share. The average multiple of current stock price to estimated fiscal year 1997 EPS for the Comparable Companies was 21.8. The average multiple of estimated fiscal year 1997 EPS was then multiplied by Sanifill's estimated fiscal 1997 net income to arrive at an implied total Equity Value, which was then divided by Sanifill's common shares outstanding on a fully diluted basis as of May 31, 1996 to arrive at an implied price of $50.56 per fully diluted share. The average multiple of stock price to latest available book value for the Comparable Companies was 4.5. The average multiple of latest available book value was then multiplied by Sanifill's book value as of March 31, 1996, which was adjusted to reflect the impact of the conversion of Sanifill's $60.0 million 7.50% Convertible Subordinated Debentures, to arrive at an implied total Equity Value, which was then divided by Sanifill's common shares outstanding on a fully diluted basis as of May 31, 1996 to arrive at an implied price of $73.37 per fully diluted share.</w:t>
      </w:r>
    </w:p>
    <w:p>
      <w:pPr>
        <w:spacing w:after="0" w:line="188" w:lineRule="exact"/>
        <w:rPr>
          <w:sz w:val="20"/>
          <w:szCs w:val="20"/>
          <w:color w:val="auto"/>
        </w:rPr>
      </w:pPr>
    </w:p>
    <w:p>
      <w:pPr>
        <w:ind w:left="5" w:right="3019" w:firstLine="461"/>
        <w:spacing w:after="0" w:line="250" w:lineRule="auto"/>
        <w:rPr>
          <w:sz w:val="20"/>
          <w:szCs w:val="20"/>
          <w:color w:val="auto"/>
        </w:rPr>
      </w:pPr>
      <w:r>
        <w:rPr>
          <w:rFonts w:ascii="Courier New" w:cs="Courier New" w:eastAsia="Courier New" w:hAnsi="Courier New"/>
          <w:sz w:val="15"/>
          <w:szCs w:val="15"/>
          <w:color w:val="auto"/>
        </w:rPr>
        <w:t>Transaction Analysis. DLJ reviewed publicly available information for six selected transactions involving the combination of selected solid waste management companies. The six transactions reviewed (the "Comparative Transactions") were: (i) Republic Industries, Inc./Addington Resources, Inc.;</w:t>
      </w:r>
    </w:p>
    <w:p>
      <w:pPr>
        <w:spacing w:after="0" w:line="2" w:lineRule="exact"/>
        <w:rPr>
          <w:sz w:val="20"/>
          <w:szCs w:val="20"/>
          <w:color w:val="auto"/>
        </w:rPr>
      </w:pPr>
    </w:p>
    <w:p>
      <w:pPr>
        <w:ind w:left="5" w:right="2839" w:hanging="5"/>
        <w:spacing w:after="0" w:line="250" w:lineRule="auto"/>
        <w:tabs>
          <w:tab w:leader="none" w:pos="46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Republic Industries, Inc./Continental Waste Industries, Inc.; (iii) USA Waste/Western Waste Industries; (iv) USA Waste/Chambers Development Company, Inc.; (v) Browning-Ferris Industries, Inc./Attwoods Group PLC; and (vi) USA Waste/Envirofil Inc. The six transactions selected are not intended to represent the complete list of solid waste management transactions which have occurred during the last three years; rather they include only transactions involving combinations of companies with operating characteristics, size or financial performance characteristics which DLJ believed to be comparable to those of Sanifill and USA Waste. DLJ reviewed the consideration paid in such transactions in terms of the Equity Purchase Price (as hereinafter defined) plus total debt less cash and cash equivalents ("Adjusted Purchase Price") as a multiple of LTM revenues, LTM EBITDA and LTM EBIT. The ratio of Adjusted Purchase Price to revenues, computed for the Comparative Transactions, had an average of 3.1. The ratio of Adjusted Purchase Price to EBITDA, computed for the Comparative Transactions, had an average of 12.6. The ratio of Adjusted Purchase Price to EBIT, computed for the Comparative Transactions, had an average of 20.0. DLJ also reviewed the consideration paid in each of the Comparative Transactions in terms of the offer price per share multiplied by total common shares outstanding (the "Equity Purchase Price") as a multiple of the book value. The ratio of Equity Purchase Price to book value, computed for the Comparative Transactions, had an average of 3.6. DLJ determined that the analysis of the Comparative Transactions purchase price multiples described above was of limited relevance. In its presentation to the USA Waste Board of Directors, DLJ noted that this analysis was of limited relevance in its view because such analysis was based on publicly available historical information, whereas prices paid in transactions in the solid waste industry are generally based on future financial expectations, for which data is unavailable.</w:t>
      </w:r>
    </w:p>
    <w:p>
      <w:pPr>
        <w:spacing w:after="0" w:line="189" w:lineRule="exact"/>
        <w:rPr>
          <w:sz w:val="20"/>
          <w:szCs w:val="20"/>
          <w:color w:val="auto"/>
        </w:rPr>
      </w:pPr>
    </w:p>
    <w:p>
      <w:pPr>
        <w:ind w:left="5" w:right="2939" w:firstLine="461"/>
        <w:spacing w:after="0" w:line="251" w:lineRule="auto"/>
        <w:rPr>
          <w:sz w:val="20"/>
          <w:szCs w:val="20"/>
          <w:color w:val="auto"/>
        </w:rPr>
      </w:pPr>
      <w:r>
        <w:rPr>
          <w:rFonts w:ascii="Courier New" w:cs="Courier New" w:eastAsia="Courier New" w:hAnsi="Courier New"/>
          <w:sz w:val="15"/>
          <w:szCs w:val="15"/>
          <w:color w:val="auto"/>
        </w:rPr>
        <w:t>Stock Trading History. To provide contextual data and comparative market data, DLJ examined the history of the trading prices and their relative relationships for both USA Waste Common Stock and Sanifill Common Stock for the latest 12 month period ended June 19, 1996. DLJ also reviewed the daily closing prices of USA Waste Common Stock and Sanifill Common Stock and compared the Sanifill closing stock prices</w:t>
      </w:r>
    </w:p>
    <w:p>
      <w:pPr>
        <w:sectPr>
          <w:pgSz w:w="11900" w:h="16838" w:orient="portrait"/>
          <w:cols w:equalWidth="0" w:num="1">
            <w:col w:w="10225"/>
          </w:cols>
          <w:pgMar w:left="235" w:top="295" w:right="1440" w:bottom="1440" w:gutter="0" w:footer="0" w:header="0"/>
        </w:sectPr>
      </w:pP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5"/>
          </w:cols>
          <w:pgMar w:left="235" w:top="295" w:right="1440" w:bottom="1440" w:gutter="0" w:footer="0" w:header="0"/>
          <w:type w:val="continuous"/>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37</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with an index of selected waste companies. The index of selected companies included Allied Waste Industries, Inc., Browning-Ferris Industries, Inc., Laidlaw, Inc., Sanifill, United Waste Systems, Inc., USA Waste and WMX Technologies, Inc. This information was presented solely to provide the Board of Directors of USA Waste with background information regarding the stock prices of Sanifill and USA Waste over the period indicated. DLJ noted the high and low prices for USA Waste over the twelve-month period ended June 19, 1996 was $32.63 and $14.63, respectively, and the high and low prices for Sanifill over the twelve-month period ended June 19, 1996 was $46.88 and $29.13, respectively.</w:t>
      </w:r>
    </w:p>
    <w:p>
      <w:pPr>
        <w:spacing w:after="0" w:line="17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Discounted Cash Flow Analysis. DLJ also performed a discounted cash flow analysis to evaluate the Exchange Ratio. In conducting its analysis, DLJ relied on certain assumptions, financial projections and other information provided by Sanifill and USA Waste management. Using the information set forth in the Sanifill and USA Waste projections, DLJ performed stand-alone discounted cash flow analyses for USA Waste and Sanifill. DLJ calculated the estimated "Free Cash Flow" for each company stand-alone based on projected unleveraged operating income adjusted for: (i) taxes; (ii) certain projected non-cash items (i.e., depreciation and amortization); (iii) projected changes in non-cash working capital; and (iv) projected capital expenditures. DLJ analyzed the Sanifill and USA Waste stand-alone projections and discounted the stream of free cash flows from fiscal 1997 to fiscal 2001, provided in such projections, back to June 30, 1996 using discount rates ranging from 11% to 12%. To estimate the residual values of Sanifill and USA Waste stand-alone at the end of the forecast period, DLJ applied terminal multiples of 8.0 to 12.0 to the projected fiscal 2001 EBITDA and discounted such value estimates back to June 30, 1996 using discount rates ranging from 11% to 12%. DLJ then aggregated the present values of the free cash flows and the present values of the residual values to derive a range of implied enterprise values for Sanifill and USA Waste stand-alone. The range of implied enterprise values of Sanifill and USA Waste stand-alone were then adjusted for their respective Net Debt to yield implied equity values of Sanifill and USA Waste stand-alone. The range of equity values were then divided by the respective stand-alone fully diluted shares to determine a range of equity values per share for each company stand-alone. The range of implied equity values per share for Sanifill, based on the range of discount rates of 11.0% to 12.0% and the range of terminal multiples of 8.0 to 12.0, was $45.37 to $85.88 per share. The range of implied equity values per share for USA Waste, based on the range of discount rates of 11.0% to 12.0% and the range of terminal multiples of 8.0 to 12.0, was $28.72 to $48.03 per share.</w:t>
      </w:r>
    </w:p>
    <w:p>
      <w:pPr>
        <w:spacing w:after="0" w:line="190"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DLJ derived ranges of implied exchange ratios by dividing the high and low equity values per share of Sanifill by the high and low equity values per share of USA Waste, respectively. Based on this analysis, using the range of discount rates of 11.0% to 12.0% and the range of terminal multiples of 8.0 to 12.0 and without taking into account the potential impact of any synergies, DLJ calculated a range of implied exchange ratios of 1.58 to 1.79.</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summary set forth above does not purport to be a complete description of the analyses performed by DLJ. The preparation of a fairness opinion involves various determinations as to the most appropriate and relevant methods of financial analysis and the application of these methods to the particular circumstances and, therefore, such an opinion is not readily susceptible to summary description. Accordingly, notwithstanding the separate factors summarized above, DLJ believes that its analyses must be considered as a whole and that selecting portions of its analysis and the factors considered by it, without considering all analyses and factors, could create an incomplete or misleading view of the evaluation process underlying its opinions. In performing its analyses, DLJ made numerous assumptions with respect to industry performance, business and economic conditions and other matters. The analyses performed by DLJ are not necessarily indicative of actual values or future results, which may be significantly more or less favorable than suggested by such analyses.</w:t>
      </w:r>
    </w:p>
    <w:p>
      <w:pPr>
        <w:spacing w:after="0" w:line="361" w:lineRule="exact"/>
        <w:rPr>
          <w:sz w:val="20"/>
          <w:szCs w:val="20"/>
          <w:color w:val="auto"/>
        </w:rPr>
      </w:pPr>
    </w:p>
    <w:p>
      <w:pPr>
        <w:ind w:right="3019" w:firstLine="461"/>
        <w:spacing w:after="0" w:line="250" w:lineRule="auto"/>
        <w:rPr>
          <w:sz w:val="20"/>
          <w:szCs w:val="20"/>
          <w:color w:val="auto"/>
        </w:rPr>
      </w:pPr>
      <w:r>
        <w:rPr>
          <w:rFonts w:ascii="Courier New" w:cs="Courier New" w:eastAsia="Courier New" w:hAnsi="Courier New"/>
          <w:sz w:val="15"/>
          <w:szCs w:val="15"/>
          <w:color w:val="auto"/>
        </w:rPr>
        <w:t>Pursuant to the terms of an engagement letter dated June 13, 1996, USA Waste has agreed to pay DLJ a fee of $600,000 upon delivery of the DLJ Opinion and an additional fee of $900,000 to be paid upon consummation of the Merger. USA Waste has also agreed to reimburse DLJ promptly for all out-of-pocket expenses (including the reasonable fees and out-of-pocket expenses of counsel) incurred by DLJ in connection with its engagement, and to indemnify DLJ and certain related persons against certain liabilities in connection with its engagement, including liabilities under the federal securities laws. The terms of the fee arrangement with DLJ, which DLJ and USA Waste believe are customary in transactions of this nature, were</w:t>
      </w:r>
    </w:p>
    <w:p>
      <w:pPr>
        <w:sectPr>
          <w:pgSz w:w="11900" w:h="16838" w:orient="portrait"/>
          <w:cols w:equalWidth="0" w:num="1">
            <w:col w:w="10219"/>
          </w:cols>
          <w:pgMar w:left="240" w:top="295" w:right="1440" w:bottom="1440" w:gutter="0" w:footer="0" w:header="0"/>
        </w:sectPr>
      </w:pPr>
    </w:p>
    <w:p>
      <w:pPr>
        <w:spacing w:after="0" w:line="18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95" w:right="1440" w:bottom="1440" w:gutter="0" w:footer="0" w:header="0"/>
          <w:type w:val="continuous"/>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38</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negotiated at arm's length between USA Waste and DLJ and the USA Waste Board of Directors was aware of such arrangement, including the fact that a significant portion of the aggregate fee payable to DLJ is contingent upon consummation of the Merger.</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In the ordinary course of business, DLJ may actively trade the securities of both USA Waste and Sanifill for its own account and for the accounts of its customers and, accordingly, may at any time hold a long or short position in such securities. DLJ has provided financial advisory and investment banking services to USA Waste in the past, including (i) acting as USA Waste's financial advisor in connection with USA Waste's merger with Western Waste completed in May 1996, (ii) acting as USA Waste's financial advisor in connection with USA Waste's merger with Chambers completed in June 1995 and (iii) acting as the lead manager in a public offering of USA Waste Common Stock completed in October 1995, and has in each case received usual and customary fees for rendering such services. DLJ has provided financial advisory and investment banking services to Sanifill in the past, including (i) acting as a co-manager in a public offering of Sanifill common stock completed in August 1995 and (ii) acting as the lead manager in a public offering of Sanifill convertible subordinated debentures completed in March 1996, and has in each case received usual and customary fees for rendering such services.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OF FINANCIAL ADVISOR TO SANIFILL</w:t>
      </w:r>
    </w:p>
    <w:p>
      <w:pPr>
        <w:spacing w:after="0" w:line="185" w:lineRule="exact"/>
        <w:rPr>
          <w:sz w:val="20"/>
          <w:szCs w:val="20"/>
          <w:color w:val="auto"/>
        </w:rPr>
      </w:pPr>
    </w:p>
    <w:p>
      <w:pPr>
        <w:jc w:val="both"/>
        <w:ind w:right="2839" w:firstLine="461"/>
        <w:spacing w:after="0" w:line="251" w:lineRule="auto"/>
        <w:rPr>
          <w:sz w:val="20"/>
          <w:szCs w:val="20"/>
          <w:color w:val="auto"/>
        </w:rPr>
      </w:pPr>
      <w:r>
        <w:rPr>
          <w:rFonts w:ascii="Courier New" w:cs="Courier New" w:eastAsia="Courier New" w:hAnsi="Courier New"/>
          <w:sz w:val="15"/>
          <w:szCs w:val="15"/>
          <w:color w:val="auto"/>
        </w:rPr>
        <w:t>The definitions of terms provided in this section "-- Opinion of Financial Advisor to Sanifill" shall apply only to this section and shall not apply to the use of such capitalized terms in any other section of this Joint Proxy Statement and Prospectus.</w:t>
      </w:r>
    </w:p>
    <w:p>
      <w:pPr>
        <w:spacing w:after="0" w:line="176"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Merrill Lynch delivered its written opinion dated June 21, 1996 to the Board of Directors of Sanifill that, as of such date, the Exchange Ratio was fair to the stockholders of Sanifill from a financial point of view. A copy of the opinion of Merrill Lynch, which sets forth the assumptions made, matters considered and limitations on the review undertaken, is attached as Annex C to this Joint Proxy Statement and Prospectus and is incorporated herein by reference.</w:t>
      </w:r>
    </w:p>
    <w:p>
      <w:pPr>
        <w:spacing w:after="0" w:line="176"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THE SUMMARY OF THE OPINION OF MERRILL LYNCH SET FORTH IN THIS JOINT PROXY STATEMENT AND PROSPECTUS IS QUALIFIED IN ITS ENTIRETY BY REFERENCE TO THE FULL TEXT OF THE OPINION ATTACHED AS ANNEX C HERETO. SANIFILL'S STOCKHOLDERS ARE URGED TO READ SUCH OPINION IN ITS ENTIRETY FOR ASSUMPTIONS MADE, MATTERS CONSIDERED, SCOPE AND LIMITS OF THE REVIEW AND PROCEDURES FOLLOWED BY MERRILL LYNCH IN CONNECTION WITH SUCH OPINION.</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Merrill Lynch's opinion is directed only to the fairness from a financial point of view of the Exchange Ratio to the stockholders of Sanifill and does not constitute a recommendation to any stockholder as to how such stockholder should vote at the Sanifill Special Meeting. The Exchange Ratio was determined through negotiations between Sanifill and USA Waste and was approved by the Board of Directors of Sanifill. Merrill Lynch did not make a recommendation with respect to the amount of the Exchange Ratio.</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In arriving at its opinion, Merrill Lynch, among other things, (i) reviewed Sanifill's Annual Reports, Forms 10-K and related financial information for the three fiscal years ended December 31, 1995, and Sanifill's Form 10-Q and the related unaudited financial information for the quarterly period ended March 31, 1996; (ii) reviewed USA Waste's Annual Reports, Forms 10-K and related financial information for the three fiscal years ended December 31, 1995, USA Waste's Form 10-Q and the related unaudited financial information for the quarterly period ended March 31, 1996 and certain other filings, including registration statements, Forms 8-K and proxy statements, with the Commission made by USA Waste during the last three years; (iii) reviewed certain information, including financial forecasts, relating to the business, earnings, cash flow, assets and prospects of Sanifill and USA Waste, furnished to Merrill Lynch by Sanifill and USA Waste; (iv) conducted discussions with members of senior management of Sanifill and USA Waste concerning their respective businesses and prospects; (v) reviewed the historical market prices and trading activity for Sanifill Common Stock and USA Waste Common Stock and compared them with those of certain publicly traded companies which Merrill Lynch deemed to be reasonably similar to Sanifill and USA Waste, respectively; (vi) compared the results of operations of Sanifill and USA Waste with those of certain companies which</w:t>
      </w:r>
    </w:p>
    <w:p>
      <w:pPr>
        <w:sectPr>
          <w:pgSz w:w="11900" w:h="16838" w:orient="portrait"/>
          <w:cols w:equalWidth="0" w:num="1">
            <w:col w:w="10219"/>
          </w:cols>
          <w:pgMar w:left="240" w:top="295" w:right="1440" w:bottom="1440" w:gutter="0" w:footer="0" w:header="0"/>
        </w:sectPr>
      </w:pP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95" w:right="1440" w:bottom="1440" w:gutter="0" w:footer="0" w:header="0"/>
          <w:type w:val="continuous"/>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39</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Merrill Lynch deemed to be reasonably similar to Sanifill and USA Waste, respectively; (vii) compared the proposed financial terms of the transactions contemplated by the Merger Agreement with the financial terms of certain other mergers and acquisitions which Merrill Lynch deemed to be relevant; (viii) reviewed a draft of the Merger Agreement dated June 19, 1996; (ix) reviewed a draft of the form of Voting Agreement dated June 15, 1996; and (x) reviewed such other financial studies and analyses and performed such other investigations and took into account such other matters as Merrill Lynch deemed necessary, including Merrill Lynch's assessment of general economic, market and monetary conditions.</w:t>
      </w:r>
    </w:p>
    <w:p>
      <w:pPr>
        <w:spacing w:after="0" w:line="352"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In preparing its opinion, Merrill Lynch relied on the accuracy and completeness of all information supplied or otherwise made available to it by Sanifill and USA Waste, and Merrill Lynch did not independently verify such information or undertake an independent appraisal of the assets or liabilities of Sanifill or USA Waste nor was Merrill Lynch furnished with any such appraisals. No special instructions were given to Merrill Lynch related to its review, and no limitations were imposed by Sanifill with respect to the investigations made or procedures followed by Merrill Lynch in rendering its opinion. With respect to the financial forecasts furnished by Sanifill and USA Waste, Merrill Lynch assumed that they were reasonably prepared and reflected the best currently available estimates and judgment of Sanifill's or USA Waste's management as to the expected future financial performance of Sanifill or USA Waste, as the case may be.</w:t>
      </w:r>
    </w:p>
    <w:p>
      <w:pPr>
        <w:spacing w:after="0" w:line="183" w:lineRule="exact"/>
        <w:rPr>
          <w:sz w:val="20"/>
          <w:szCs w:val="20"/>
          <w:color w:val="auto"/>
        </w:rPr>
      </w:pPr>
    </w:p>
    <w:p>
      <w:pPr>
        <w:ind w:right="2839" w:firstLine="461"/>
        <w:spacing w:after="0" w:line="252" w:lineRule="auto"/>
        <w:rPr>
          <w:sz w:val="20"/>
          <w:szCs w:val="20"/>
          <w:color w:val="auto"/>
        </w:rPr>
      </w:pPr>
      <w:r>
        <w:rPr>
          <w:rFonts w:ascii="Courier New" w:cs="Courier New" w:eastAsia="Courier New" w:hAnsi="Courier New"/>
          <w:sz w:val="15"/>
          <w:szCs w:val="15"/>
          <w:color w:val="auto"/>
        </w:rPr>
        <w:t>Merrill Lynch's opinion is necessarily based upon general economic, market, monetary and other conditions as they existed and could be evaluated, and the information made available to Merrill Lynch, as of the date of its opinion.</w:t>
      </w:r>
    </w:p>
    <w:p>
      <w:pPr>
        <w:spacing w:after="0" w:line="175"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The following is a summary of certain analyses performed by Merrill Lynch in connection with its opinion dated June 21, 1996, which it presented to the Board of Directors of Sanifill on such date. To the extent the following analyses utilized stock price information of Sanifill or USA Waste, such information consisted of information through the close of trading on June 14, 1996.</w:t>
      </w:r>
    </w:p>
    <w:p>
      <w:pPr>
        <w:spacing w:after="0" w:line="176" w:lineRule="exact"/>
        <w:rPr>
          <w:sz w:val="20"/>
          <w:szCs w:val="20"/>
          <w:color w:val="auto"/>
        </w:rPr>
      </w:pPr>
    </w:p>
    <w:p>
      <w:pPr>
        <w:ind w:right="2839" w:firstLine="456"/>
        <w:spacing w:after="0" w:line="250" w:lineRule="auto"/>
        <w:tabs>
          <w:tab w:leader="none" w:pos="83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Discounted Cash Flow Analysis. Merrill Lynch calculated ranges of equity value for Sanifill based upon the value discounted to the present of its annualized five-year stream of projected unlevered free cash flow and its projected calendar year 2001 terminal values based upon a range of multiples of its projected calendar year 2001 earnings before interest, taxes, depreciation and amortization ("EBITDA") less its debt (including out of the money convertible debentures) and plus option and warrant proceeds and cash. In conducting its analysis, Merrill Lynch relied upon two sets of assumptions and financial projections provided by the management of Sanifill: the "Sanifill Case One" and a second case that provided for the consummation of additional unidentified acquisitions (beyond those contemplated by the Sanifill Case One) by Sanifill (the "Sanifill Case Two"). Merrill Lynch applied discount rates reflecting a weighted average cost of capital ranging from 11.0% to 14.0% and multiples of terminal EBITDA ranging from 7.5x to 9.5x. The range of discount rates was selected based on a theoretical analysis of Sanifill's weighted average cost of capital, and the range of EBITDA multiples was selected based on a review of the EBITDA multiples of (A) Allied Waste Industries, Inc., Browning-Ferris Industries, Inc., Continental Waste Industries, Inc., United Waste Systems, Inc. and WMX Technologies, Inc. (collectively, the "Comparable Companies") and Sanifill and USA Waste and (B) the Acquisition Comparables (as defined below). Based on this analysis, Merrill Lynch calculated per share equity values of Sanifill ranging from $29.88 to $55.35 with a midpoint of $42.61, for the Sanifill Case One, and from $37.04 to $68.61 with a midpoint of $52.83, for the Sanifill Case Two.</w:t>
      </w:r>
    </w:p>
    <w:p>
      <w:pPr>
        <w:spacing w:after="0" w:line="188"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Merrill Lynch calculated ranges of equity value for USA Waste based upon the value discounted to the present of its five year stream of projected unlevered free cash flow and its projected fiscal year 2001 terminal value based upon a range of multiples of its projected fiscal year 2001 EBITDA less its debt and plus option proceeds and cash. In conducting its analysis, Merrill Lynch relied upon two sets of assumptions and financial projections: the "USA Waste Case One" and a second case that provided for the consummation of additional unidentified acquisitions (beyond those contemplated by the USA Case One) by USA Waste (the "USA Waste Case Two"). Merrill Lynch applied discount rates reflecting a weighted average cost of capital ranging from 11.0% to 14.0% and multiples of terminal EBITDA ranging from 7.5x to 9.5x. The range of discount rates was selected based on a theoretical analysis of USA Waste's weighted average cost of capital, and the range of multiples of terminal EBITDA was selected based on a review of the EBITDA multiples of (A) the</w:t>
      </w:r>
    </w:p>
    <w:p>
      <w:pPr>
        <w:sectPr>
          <w:pgSz w:w="11900" w:h="16838" w:orient="portrait"/>
          <w:cols w:equalWidth="0" w:num="1">
            <w:col w:w="10219"/>
          </w:cols>
          <w:pgMar w:left="240" w:top="295" w:right="1440" w:bottom="1440" w:gutter="0" w:footer="0" w:header="0"/>
        </w:sectPr>
      </w:pP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95" w:right="1440" w:bottom="1440" w:gutter="0" w:footer="0" w:header="0"/>
          <w:type w:val="continuous"/>
        </w:sectPr>
      </w:pPr>
    </w:p>
    <w:bookmarkStart w:id="40" w:name="page41"/>
    <w:bookmarkEnd w:id="40"/>
    <w:p>
      <w:pPr>
        <w:ind w:left="285"/>
        <w:spacing w:after="0"/>
        <w:rPr>
          <w:sz w:val="20"/>
          <w:szCs w:val="20"/>
          <w:color w:val="auto"/>
        </w:rPr>
      </w:pPr>
      <w:r>
        <w:rPr>
          <w:rFonts w:ascii="Courier New" w:cs="Courier New" w:eastAsia="Courier New" w:hAnsi="Courier New"/>
          <w:sz w:val="15"/>
          <w:szCs w:val="15"/>
          <w:color w:val="auto"/>
        </w:rPr>
        <w:t>40</w:t>
      </w:r>
    </w:p>
    <w:p>
      <w:pPr>
        <w:spacing w:after="0" w:line="185" w:lineRule="exact"/>
        <w:rPr>
          <w:sz w:val="20"/>
          <w:szCs w:val="20"/>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rPr>
        <w:t>Comparable Companies, Sanifill and USA Waste and (B) the Acquisition Comparables. Based on this analysis, Merrill Lynch calculated per share equity values of USA Waste ranging from $24.37 to $ 37.69 with a midpoint of $31.03, for the USA Waste Case One, and $29.29 to $46.82 with a midpoint of $38.06, for the USA Waste Case Two.</w:t>
      </w:r>
    </w:p>
    <w:p>
      <w:pPr>
        <w:spacing w:after="0" w:line="176"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Merrill Lynch derived implied exchange ratios by dividing the low, midpoint and high per share equity values of Sanifill by the low, midpoint and high per share equity values of USA Waste, respectively. Based on this analysis, Merrill Lynch calculated implied exchange ratios of (i) 1.23, 1.37 and 1.47, respectively, in the case of the Sanifill Case One and the USA Waste Case One,</w:t>
      </w:r>
    </w:p>
    <w:p>
      <w:pPr>
        <w:spacing w:after="0" w:line="2" w:lineRule="exact"/>
        <w:rPr>
          <w:sz w:val="20"/>
          <w:szCs w:val="20"/>
          <w:color w:val="auto"/>
        </w:rPr>
      </w:pPr>
    </w:p>
    <w:p>
      <w:pPr>
        <w:ind w:left="5" w:right="2839" w:hanging="5"/>
        <w:spacing w:after="0" w:line="251" w:lineRule="auto"/>
        <w:tabs>
          <w:tab w:leader="none" w:pos="46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 1.12 and 1.18, respectively, in the case of the Sanifill Case One and the USA Waste Case Two, (iii) 1.52, 1.70 and 1.82, respectively, in the case of the Sanifill Case Two and the USA Waste Case One and (iv) 1.26, 1.39 and 1.47, respectively, in the case of the Sanifill Case Two and the USA Waste Case Two.</w:t>
      </w:r>
    </w:p>
    <w:p>
      <w:pPr>
        <w:spacing w:after="0" w:line="176"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Merrill Lynch also calculated ranges of equivalent equity value for the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combined company by applying the above methodology to the five year stream of</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projected unlevered pro forma free cash flow and projected calendar year 2001</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pro forma terminal value of the combined company with and without $30 million in</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assumed synergies. Based on this analysis and the Exchange Ratio of 1.70,</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Merrill Lynch calculated ranges of implied equivalent equity value for the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combined company per Sanifill share of (i) $37.87 to $61.01 and $39.97 to</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$63.78, in the case of the Sanifill Case One and the USA Waste Case One, without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and with synergies, respectively, and (ii) $45.63 to $75.74 and $47.72 to</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$78.50, in the case of the Sanifill Case Two and the USA Waste Case Two, without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and with synergies, respectively.</w:t>
      </w:r>
    </w:p>
    <w:p>
      <w:pPr>
        <w:spacing w:after="0" w:line="185" w:lineRule="exact"/>
        <w:rPr>
          <w:sz w:val="20"/>
          <w:szCs w:val="20"/>
          <w:color w:val="auto"/>
        </w:rPr>
      </w:pPr>
    </w:p>
    <w:p>
      <w:pPr>
        <w:ind w:left="5" w:right="2839" w:firstLine="456"/>
        <w:spacing w:after="0" w:line="251" w:lineRule="auto"/>
        <w:tabs>
          <w:tab w:leader="none" w:pos="92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Analysis of Selected Comparable Publicly Traded Companies. Merrill Lynch compared certain financial information for each of Sanifill and USA Waste to the corresponding publicly available financial information of the Comparable Companies. Merrill Lynch calculated multiples for such companies of market value to LTM EPS, estimated calendar 1996 EPS and estimated calendar 1997 EPS and of market capitalization to LTM revenue, LTM EBITDA, LTM EBIT, estimated calendar 1996 EBITDA and estimated calendar 1996 EBIT.</w:t>
      </w:r>
    </w:p>
    <w:p>
      <w:pPr>
        <w:spacing w:after="0" w:line="176"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Based on this analysis, Merrill Lynch calculated per share equity values of Sanifill ranging from $35.96 to $48.62 and per share equity values of USA Waste ranging from $24.06 to $32.55. Merrill Lynch derived implied exchange ratios based on this analysis by dividing the low, midpoint and high per share equity values of Sanifill by the low, midpoint and high per share equity values of USA Waste, respectively. Based on this analysis, Merrill Lynch calculated implied exchange ratios of 1.49, 1.49 and 1.49, respectively.</w:t>
      </w:r>
    </w:p>
    <w:p>
      <w:pPr>
        <w:spacing w:after="0" w:line="176" w:lineRule="exact"/>
        <w:rPr>
          <w:sz w:val="20"/>
          <w:szCs w:val="20"/>
          <w:color w:val="auto"/>
        </w:rPr>
      </w:pPr>
    </w:p>
    <w:p>
      <w:pPr>
        <w:ind w:left="5" w:right="2839" w:firstLine="456"/>
        <w:spacing w:after="0" w:line="250" w:lineRule="auto"/>
        <w:tabs>
          <w:tab w:leader="none" w:pos="10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Analysis of Selected Comparable Acquisition Transactions. Merrill Lynch also reviewed the financial terms of nine transactions (the "Acquisition Comparables") in which waste management companies were acquired. The Acquisition Comparables reviewed, in reverse chronological order of announcement date, were the following: (a) the pending acquisition of Continental Waste Industries, Inc. by Republic Waste Industries, Inc., (b) the acquisition of Western Waste Industries, Inc. by USA Waste, (c) the acquisition of Southland Environmental Services Inc. by Republic Waste Industries, Inc., (d) the acquisition of Resource Recycling Technologies Inc. by Waste Management Inc., (e) the acquisition of Chambers Development Company, Inc. by USA Waste, (f) the acquisition of Attwoods Plc by Browning-Ferris Industries, Inc., (g) the acquisition of Envirofil Inc. by USA Waste, (h) the acquisition of Environmental Waste of America by Envirofil Inc. and (i) the acquisition of a controlling interest in Wheelabrator Technologies Inc. by Waste Management Inc.</w:t>
      </w:r>
    </w:p>
    <w:p>
      <w:pPr>
        <w:spacing w:after="0" w:line="184" w:lineRule="exact"/>
        <w:rPr>
          <w:sz w:val="20"/>
          <w:szCs w:val="20"/>
          <w:color w:val="auto"/>
        </w:rPr>
      </w:pPr>
    </w:p>
    <w:p>
      <w:pPr>
        <w:ind w:left="5" w:right="2939" w:firstLine="461"/>
        <w:spacing w:after="0" w:line="250" w:lineRule="auto"/>
        <w:rPr>
          <w:sz w:val="20"/>
          <w:szCs w:val="20"/>
          <w:color w:val="auto"/>
        </w:rPr>
      </w:pPr>
      <w:r>
        <w:rPr>
          <w:rFonts w:ascii="Courier New" w:cs="Courier New" w:eastAsia="Courier New" w:hAnsi="Courier New"/>
          <w:sz w:val="15"/>
          <w:szCs w:val="15"/>
          <w:color w:val="auto"/>
        </w:rPr>
        <w:t>Merrill Lynch analyzed offer value and transaction value multiples. In particular, Merrill Lynch calculated transaction value as a multiple of LTM revenue, EBITDA and EBIT and offer value as a multiple of LTM net income and last fiscal quarter common equity. Based on this analysis, Merrill Lynch calculated per share equity values of Sanifill ranging from $43.21 to $56.97 with a midpoint of $50.09 and per share equity values of USA Waste ranging from $28.31 to $34.67 with a midpoint of $31.49. Merrill Lynch derived implied exchange ratios based on this analysis by dividing the low, midpoint and high per share equity values of Sanifill by the low, midpoint and high per share equity values of USA Waste, respectively. Based on this analysis, Merrill Lynch calculated implied exchange ratios of 1.53, 1.59 and 1.64, respectively.</w:t>
      </w:r>
    </w:p>
    <w:p>
      <w:pPr>
        <w:spacing w:after="0" w:line="18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5"/>
          </w:cols>
          <w:pgMar w:left="235" w:top="295"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41</w:t>
      </w:r>
    </w:p>
    <w:p>
      <w:pPr>
        <w:spacing w:after="0" w:line="185" w:lineRule="exact"/>
        <w:rPr>
          <w:sz w:val="20"/>
          <w:szCs w:val="20"/>
          <w:color w:val="auto"/>
        </w:rPr>
      </w:pPr>
    </w:p>
    <w:p>
      <w:pPr>
        <w:ind w:right="2839" w:firstLine="456"/>
        <w:spacing w:after="0" w:line="250" w:lineRule="auto"/>
        <w:tabs>
          <w:tab w:leader="none" w:pos="923"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Contribution Analysis. Merrill Lynch analyzed and compared the respective contribution of 1996 and 1997 estimated EBITDA, EBIT and net income of Sanifill and USA Waste to the combined company following consummation of the proposed Merger based upon, in the case of estimated 1997 results, the Sanifill Case One and the USA Waste Case One, on the one hand, and on the Sanifill Case Two and the USA Waste Case Two, on the other hand, in each case without taking into account any potential synergies resulting from the Merger. This analysis showed that Sanifill would contribute to the combined company 34.1%, 35.6% and 35.6% of EBITDA and 32.4%, 34.2% and 34.2% of EBIT, in each case for 1996, 1997 Case One and 1997 Case Two, respectively, compared to the Exchange Ratio of 1.70 which would result in Sanifill stockholders contributing 33.2% of the combined company's enterprise value. This analysis also showed that Sanifill would contribute to the combined company 29.6%, 29.8% and 29.8% of net income for 1996, 1997 Case One and 1997 Case Two, respectively, compared to the Exchange Ratio of 1.70 which would result in Sanifill stockholders owning approximately 32.5% of the combined company.</w:t>
      </w:r>
    </w:p>
    <w:p>
      <w:pPr>
        <w:spacing w:after="0" w:line="184" w:lineRule="exact"/>
        <w:rPr>
          <w:rFonts w:ascii="Courier New" w:cs="Courier New" w:eastAsia="Courier New" w:hAnsi="Courier New"/>
          <w:sz w:val="15"/>
          <w:szCs w:val="15"/>
          <w:color w:val="auto"/>
        </w:rPr>
      </w:pPr>
    </w:p>
    <w:p>
      <w:pPr>
        <w:ind w:right="2839" w:firstLine="456"/>
        <w:spacing w:after="0" w:line="250" w:lineRule="auto"/>
        <w:tabs>
          <w:tab w:leader="none" w:pos="83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Analysis. Merrill Lynch analyzed certain pro forma effects resulting from the Merger based on the different combinations of the Sanifill Case One and the Sanifill Case Two with the USA Waste Case One and the USA Waste Case Two, in each case with and without assumed synergies of $30 million, including the effect on 1996, 1997 and 1998 EPS of USA Waste and the pre-tax synergies required for breakeven EPS. The analysis indicated that (a) in the case of the Sanifill Case One and the USA Waste Case One, the Merger would lead to 4.6%, 5.3% and 4.5% dilution and require $12.2 million, $18.7 million and $19.2 million in pre-tax synergies for breakeven EPS, without synergies, and 6.6%, 3.2% and 2.6% accretion, with synergies, in 1996, 1997 and 1998, respectively, (b) in the case of the Sanifill Case Two and the USA Waste Case Two, the Merger would lead to 4.6%, 5.6% and 2.9% dilution and require $12.2 million, $21.3 million and $13.2 million in pre-tax synergies for breakeven EPS, without synergies, and 6.6%, 2.3% and 3.6% accretion, with synergies, in 1996, 1997 and 1998, respectively, (c) in the case of the Sanifill Case One and the USA Waste Case Two, the Merger would lead to 4.6%, 6.6% and 6.5% dilution and require $12.2 million, $24.7 million and $29.6 million in pre-tax synergies for breakeven EPS, without synergies, and 6.6%, 1.4% and 0.1% accretion, with synergies, in 1996, 1997 and 1998, respectively, and (d) in the case of the Sanifill Case Two and the USA Waste Case One, the Merger would lead to 4.6%,</w:t>
      </w:r>
    </w:p>
    <w:p>
      <w:pPr>
        <w:spacing w:after="0" w:line="8" w:lineRule="exact"/>
        <w:rPr>
          <w:rFonts w:ascii="Courier New" w:cs="Courier New" w:eastAsia="Courier New" w:hAnsi="Courier New"/>
          <w:sz w:val="15"/>
          <w:szCs w:val="15"/>
          <w:color w:val="auto"/>
        </w:rPr>
      </w:pPr>
    </w:p>
    <w:p>
      <w:pPr>
        <w:ind w:right="283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4.2% and 0.6% dilution and require $12.3 million, $15.2 million and $2.6 million in pre-tax synergies for breakeven EPS, without synergies, and 6.6%, 4.1% and 6.4% accretion, with synergies, in 1996, 1997 and 1998, respectively.</w:t>
      </w:r>
    </w:p>
    <w:p>
      <w:pPr>
        <w:spacing w:after="0" w:line="174" w:lineRule="exact"/>
        <w:rPr>
          <w:rFonts w:ascii="Courier New" w:cs="Courier New" w:eastAsia="Courier New" w:hAnsi="Courier New"/>
          <w:sz w:val="15"/>
          <w:szCs w:val="15"/>
          <w:color w:val="auto"/>
        </w:rPr>
      </w:pPr>
    </w:p>
    <w:p>
      <w:pPr>
        <w:ind w:right="2839" w:firstLine="456"/>
        <w:spacing w:after="0" w:line="250" w:lineRule="auto"/>
        <w:tabs>
          <w:tab w:leader="none" w:pos="923"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Premium Analysis. Merrill Lynch compared the premium represented by the Exchange Ratio (based on the closing prices of USA Waste Common Stock and Sanifill Common Stock on June 14, 1996) one day, one week and one month prior to such date to the comparable average premiums for greater than $1 billion to $2 billion stock for stock transactions since January 1, 1990. This analysis showed that (a) the Exchange Ratio represented a 20.8% premium over the one day prior closing price compared to first quartile, median and third quartile one day prior premiums of 19.1%, 30.1% and 40.5%, respectively, (b) the Exchange Ratio represented a 25.0% premium over the one week prior closing price compared to first quartile, median and third quartile one week prior premiums of 23.8%,</w:t>
      </w:r>
    </w:p>
    <w:p>
      <w:pPr>
        <w:spacing w:after="0" w:line="4" w:lineRule="exact"/>
        <w:rPr>
          <w:rFonts w:ascii="Courier New" w:cs="Courier New" w:eastAsia="Courier New" w:hAnsi="Courier New"/>
          <w:sz w:val="15"/>
          <w:szCs w:val="15"/>
          <w:color w:val="auto"/>
        </w:rPr>
      </w:pPr>
    </w:p>
    <w:p>
      <w:pPr>
        <w:ind w:right="311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30.6% and 45.8%, respectively, and (c) the Exchange Ratio represented a 20.8% premium over the one month prior closing price compared to first quartile, median and third quartile one month prior premiums of 22.1%, 37.3% and 51.2%, respectively.</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Merrill Lynch also compared such premiums represented by the Exchange Ratio to the analogous premiums in the pending Republic Industries, Inc./Continental Waste Industries, Inc. transaction (the "Republic Transaction") and the USA Waste/Western Waste Industries, Inc. transaction (the "Western Transaction"). This comparison showed that (a) the Exchange Ratio represented a 20.8% one day prior premium compared to 21.5% and 16.2% one day prior premiums for the Republic Transaction and the Western Transaction, respectively, (b) the Exchange Ratio represented a 25.0% one week prior premium compared to 18.2% and 21.8% one week prior premiums for the Republic Transaction and the Western Transaction, respectively, and (c) the Exchange Ratio represented a 20.8% one month prior premium compared to 32.7% and 47.1% one month prior premiums for the Republic Transaction and the Western Transaction, respectively.</w:t>
      </w:r>
    </w:p>
    <w:p>
      <w:pPr>
        <w:spacing w:after="0" w:line="183" w:lineRule="exact"/>
        <w:rPr>
          <w:sz w:val="20"/>
          <w:szCs w:val="20"/>
          <w:color w:val="auto"/>
        </w:rPr>
      </w:pPr>
    </w:p>
    <w:p>
      <w:pPr>
        <w:ind w:right="3219" w:firstLine="456"/>
        <w:spacing w:after="0" w:line="252" w:lineRule="auto"/>
        <w:tabs>
          <w:tab w:leader="none" w:pos="1015"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Trading History. Merrill Lynch reviewed and analyzed the history of the trading prices for Sanifill Common Stock and USA Waste Common Stock and the ratio of the former to the latter during the</w:t>
      </w:r>
    </w:p>
    <w:p>
      <w:pPr>
        <w:sectPr>
          <w:pgSz w:w="11900" w:h="16838" w:orient="portrait"/>
          <w:cols w:equalWidth="0" w:num="1">
            <w:col w:w="10219"/>
          </w:cols>
          <w:pgMar w:left="240" w:top="295" w:right="1440" w:bottom="1440" w:gutter="0" w:footer="0" w:header="0"/>
        </w:sectPr>
      </w:pP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95" w:right="1440" w:bottom="1440" w:gutter="0" w:footer="0" w:header="0"/>
          <w:type w:val="continuous"/>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42</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twelve month period ended June 14, 1996. This information was presented primarily to give the Board of Directors of Sanifill background information regarding the stock prices of Sanifill and USA Waste over the period indicated. In addition, the analysis of the daily closing price ratio indicated that the mean daily closing price ratio over the period indicated equaled 1.69 and that the closing price ratio on June 14, 1996 equaled 1.41, compared to the Exchange Ratio of 1.70.</w:t>
      </w:r>
    </w:p>
    <w:p>
      <w:pPr>
        <w:spacing w:after="0" w:line="176"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While the foregoing summary describes the material analyses and factors presented by Merrill Lynch to the Board of Directors of Sanifill, it does not purport to be a complete description of the analyses conducted by Merrill Lynch or Merrill Lynch's presentation to the Board of Directors of Sanifill. Merrill Lynch believes that its analyses must be considered as a whole and that selecting portions of its analyses and the factors considered by it, without considering all factors and analyses, could create an incomplete view of the process underlying its opinions. Merrill Lynch did not assign relative weights to its analyses in preparing its opinions. None of the Comparable Entities is identical to Sanifill or USA Waste, and none of the Acquisition Comparables is identical to the Merger. Accordingly, an analysis of the results of the comparable companies and comparable transactions analyses is not purely mathematical. Rather, it involves complex considerations and judgments concerning differences in financial and operating characteristics of the comparable companies and other factors that could affect the public trading value of the comparable companies or company to which they are being compared.</w:t>
      </w:r>
    </w:p>
    <w:p>
      <w:pPr>
        <w:spacing w:after="0" w:line="184"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preparation of a fairness opinion is a complex process and is not necessarily susceptible to partial analysis or summary description. In performing its analyses, Merrill Lynch made numerous assumptions with respect to industry performance, general business and economic conditions and other matters, many of which are beyond the control of Sanifill or USA Waste. Any estimates contained in the analyses performed by Merrill Lynch are not necessarily indicative of actual values or actual future results, which may be significantly more or less favorable than suggested by such analyses. In addition, analyses relating to the value of the businesses do not purport to be appraisals or to reflect the prices at which businesses may actually be sold. Because such estimates are inherently subject to uncertainty, neither Sanifill, Merrill Lynch nor any other person assumes responsibility for their accuracy.</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Sanifill has engaged Merrill Lynch as its financial advisor in connection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the Merger because it is an internationally recognized investment banking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firm engaged in the valuation of businesses and their securities in connection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mergers and acquisitions and for other purposes and has substantial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experience in transactions similar to the Merger. For Merrill Lynch's financial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advisory services, Sanifill has agreed to pay Merrill Lynch (i) a fee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 upon signing its engagement letter dated as of June 14, 1996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"Engagement Letter"), (ii) a fee of $650,000 upon the delivery of Merrill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Lynch's fairness opinion and (iii) a fee of $750,000 at the Effective Time.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 the Engagement Letter provides that Sanifill will reimburse Merrill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Lynch for its reasonable out-of-pocket expenses (including reasonable fees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of its legal counsel) and will indemnify Merrill Lynch and certain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persons against certain liabilities, including liabilities under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laws, arising out of its engagement. In the ordinary course of its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business, Merrill Lynch may actively trade debt or equity securities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Sanifill and USA Waste for its own account and the accounts of its customers,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Merrill Lynch therefore may hold a long or short position in such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CONFLICTS OF INTEREST</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In considering the recommendation of the Boards of Directors of USA Waste and Sanifill with respect to the Merger, holders of USA Waste Common Stock and Sanifill Common Stock should be aware that certain members of the Boards of Directors and management of USA Waste and Sanifill have certain interests apart from their interests as stockholders, including those referred to below.</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After the Merger is consummated, Mr. Rodney R. Proto, an officer and director of Sanifill, and two other designees of Sanifill will become directors of the USA Waste Board of Directors, and one of such persons will be elected to the Executive Committee of the USA Waste Board of Directors. In addition, Mr. Proto will serve as President and Chief Operating Officer of USA Waste. It is expected that Mr. Proto will enter into an employment agreement with USA Waste at a salary to be agreed upon and on other terms substantially similar to those contained in employment agreements between USA Waste and its current executive officers.</w:t>
      </w:r>
    </w:p>
    <w:p>
      <w:pPr>
        <w:sectPr>
          <w:pgSz w:w="11900" w:h="16838" w:orient="portrait"/>
          <w:cols w:equalWidth="0" w:num="1">
            <w:col w:w="10219"/>
          </w:cols>
          <w:pgMar w:left="240" w:top="295" w:right="1440" w:bottom="1440" w:gutter="0" w:footer="0" w:header="0"/>
        </w:sectPr>
      </w:pP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95" w:right="1440" w:bottom="1440" w:gutter="0" w:footer="0" w:header="0"/>
          <w:type w:val="continuous"/>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43</w:t>
      </w:r>
    </w:p>
    <w:p>
      <w:pPr>
        <w:spacing w:after="0" w:line="362"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Further, Mr. Lorne D. Bain, Sanifill's Chairman and Chief Executive Officer, has entered into an employment agreement with USA Waste and Sanifill which provides for a renewable term of one year at an annual salary of $500,000. Mr. Bain will also receive certain payments under his prior employment agreement with Sanifill as a result of the Merger. Mr. J. Chris Brewster, Vice President and Chief Financial Officer of Sanifill, has also entered into an employment agreement with USA Waste and Sanifill for a term of one year from the date of consummation of the Merger at an annual salary of $100,000. Mr. Brewster will also receive certain payments under his prior employment agreement with Sanifill as a result of the Merger. For more information about such employment agreements, see "The Plan of Merger and Terms of the Merger -- Other Agreements."</w:t>
      </w:r>
    </w:p>
    <w:p>
      <w:pPr>
        <w:spacing w:after="0" w:line="360"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Any person elected to the USA Waste Board of Directors pursuant to the Merger Agreement who is not an employee of USA Waste will receive an annual grant of options to purchase 10,000 shares of USA Waste Common Stock pursuant to USA Waste's 1996 Stock Option Plan for Non-Employee Directors.</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Kosti Shirvanian and USA Waste have entered into a letter agreement amending in certain respects an earlier letter agreement between Mr. Shirvanian and USA Waste regarding Mr. Shirvanian's right to sit on the Board of Directors of USA Waste and designate other individuals to sit on the Board of Directors of USA Waste. See "The Plan of Merger and Terms of the Merger -- Other Agreements."</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In addition, in connection with the Merger Agreement, USA Waste has entered into an agreement with Donald F. Moorehead, Jr., John E. Drury, John G. Rangos, Sr., John G. Rangos, Jr., Alexander W. Rangos and John Rangos Development Corporation, Inc. with whom USA Waste had previously executed an agreement in connection with its merger with Chambers Development Company, Inc. ("Chambers"), terminating such prior agreement. In consideration for the termination of the prior agreement, USA Waste has agreed, among other things, to issue to John G. Rangos, Sr., John G. Rangos, Jr. and Alexander W. Rangos warrants to purchase in the aggregate 700,000 shares of USA Waste Common Stock at an exercise price of $29 per share. See "The Plan of Merger and Terms of the Merger -- Other Agreements."</w:t>
      </w:r>
    </w:p>
    <w:p>
      <w:pPr>
        <w:spacing w:after="0" w:line="360"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Thirteen individuals, representing all executive officers and directors of Sanifill, hold options and warrants to acquire an aggregate of approximately 1.5 million shares of Sanifill Common Stock pursuant to the terms of certain stock option and warrant agreements, at exercise prices ranging from $10.88 to $44.88 per share. In addition, as of the Record Date, there were outstanding other options and warrants to acquire approximately 1.1 million shares of Sanifill Common Stock, of which approximately 0.4 million were exercisable. At the Effective Time, all of the outstanding Sanifill Options and Sanifill Warrants will be automatically converted into options or warrants, as the case may be, to purchase a number of shares of USA Waste Common Stock equal to the number of shares of Sanifill Common Stock underlying such options or warrants multiplied by the Exchange Ratio, at an exercise price equal to the exercise price of the Sanifill Option or Sanifill Warrant, as the case may be, divided by the Exchange Ratio. All other terms and conditions of the options and warrants will be the same as before the Effective Time. The options and warrants exercisable by the executive officers and directors of Sanifill for approximately 1.5 million shares of Sanifill Common Stock will be converted into options or warrants, as the case may be, to acquire approximately 2.5 million shares of USA Waste Common Stock. The exercise prices will be converted from a range of $10.88 to $44.88 per share of Sanifill Common Stock to a range of $6.40 to $26.40 per share of USA Waste Common Stock. Based upon the closing sale price of $27 1/4 per share of USA Waste Common Stock on July 18, 1996, the total value based upon the excess of the market price of the shares of USA Waste Common Stock over the exercise price of the options and warrants that would become exercisable upon consummation of the Merger by (i) the five most highly paid executive officers of Sanifill (with respect to an aggregate of approximately 1,475,067 shares of USA Waste Common Stock) would be approximately $29.1 million and (ii) all officers and directors of Sanifill (with respect to an aggregate of approximately 1,643,792 shares of USA Waste Common Stock) would be approximately $31.5 million. See "The Plan of Merger and Terms of the Merger -- Assumption of Sanifill Options and Sanifill Warrants."</w:t>
      </w:r>
    </w:p>
    <w:p>
      <w:pPr>
        <w:spacing w:after="0" w:line="369"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Merger Agreement provides for indemnification by USA Waste of the officers and directors of Sanifill against all costs or expenses (including reasonable attorney's fees), judgments, fines, losses, claims, damages, liabilities and amounts paid in settlement in connection with any claim, action, suit, proceeding or</w:t>
      </w:r>
    </w:p>
    <w:p>
      <w:pPr>
        <w:sectPr>
          <w:pgSz w:w="11900" w:h="16838" w:orient="portrait"/>
          <w:cols w:equalWidth="0" w:num="1">
            <w:col w:w="10219"/>
          </w:cols>
          <w:pgMar w:left="240" w:top="295" w:right="1440" w:bottom="1440" w:gutter="0" w:footer="0" w:header="0"/>
        </w:sectPr>
      </w:pP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95" w:right="1440" w:bottom="1440" w:gutter="0" w:footer="0" w:header="0"/>
          <w:type w:val="continuous"/>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44</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investigation, whether civil, criminal, administrative or investigative, arising out of, relating to, or in connection with any action or omission occurring prior to the Effective Time (including acts or omissions in connection with such persons serving as an officer, director, or other fiduciary in any entity if such service was at the request of Sanifill) or arising out of or pertaining to the transactions contemplated by the Merger Agreement. In addition, pursuant to the terms of the Merger Agreement, USA Waste has agreed to maintain in effect, for a period of six years after the Effective Time, the current policies of directors' and officers' liability insurance maintained by Sanifill and its subsidiaries (or substantially equivalent policies) with respect to matters arising prior to the Effective Time; provided, however, that USA Waste is only required to obtain as much coverage as can be obtained by paying an annual premium less than or equal to two times the current annual premiums for such insurance coverage. In connection with the execution of the Merger Agreement, USA Waste and Sanifill entered into the Indemnification Letter Agreement which provides that the Certificate of Incorporation of the Surviving Corporation as of the Effective Time will contain provisions for the indemnification of officers and directors and related matters identical to the provisions governing such matters contained in the USA Waste Restated Certificate of Incorporation on June 22, 1996.</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FEDERAL INCOME TAX CONSEQUENCES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following discussion summarizes certain U.S. Federal income tax consequences of the Merger which are generally applicable to holders of Sanifill Common Stock under the Internal Revenue Code of 1986, as amended (the "Code"). Tax consequences which are different from or in addition to those described herein may apply to Sanifill stockholders who are subject to special treatment under the U.S. Federal income tax laws, such as foreign persons, persons who acquired their shares in compensatory transactions and persons who have a contingent right to receive additional Sanifill stock as a result of contingency or earn-out provisions in prior acquisitions by Sanifill. Furthermore, the discussion does not address foreign, state or local tax considerations.</w:t>
      </w:r>
    </w:p>
    <w:p>
      <w:pPr>
        <w:spacing w:after="0" w:line="182"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THIS SUMMARY IS NOT A SUBSTITUTE FOR AN INDIVIDUAL ANALYSIS OF THE TAX CONSEQUENCES OF THE MERGER TO A SANIFILL STOCKHOLDER. EACH SANIFILL STOCKHOLDER SHOULD CONSULT A TAX ADVISER REGARDING THE PARTICULAR FEDERAL, STATE, LOCAL AND FOREIGN TAX CONSEQUENCES OF THE MERGER IN LIGHT OF SUCH STOCKHOLDER'S OWN SITUATION.</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It is a condition precedent to the closing of the Merger that USA Waste receive from its counsel, Andrews &amp; Kurth L.L.P., an opinion to the effect that USA Waste and Acquisition will not recognize any gain or loss for U.S. Federal income tax purposes as a result of the Merger. It is a condition precedent to the closing of the Merger that Sanifill receive from its counsel, Baker &amp; Botts, L.L.P., an opinion to the effect that Sanifill will not recognize any gain or loss as a result of the merger of Acquisition into it and that holders of Sanifill Common Stock will not recognize any gain or loss upon the receipt of USA Waste Common Stock in exchange for their shares of Sanifill Common Stock. The opinions of Andrews &amp; Kurth L.L.P. and Baker &amp; Botts, L.L.P. are collectively referred to as the "Opinions."</w:t>
      </w:r>
    </w:p>
    <w:p>
      <w:pPr>
        <w:spacing w:after="0" w:line="182"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Opinions will be subject to certain qualifications and assumptions as noted therein and will rely upon certain representations of USA Waste, Acquisition and Sanifill which have been provided to counsel as a basis for the Opinions. The Opinions will be based upon counsel's interpretation of the Code, applicable Treasury regulations, judicial authority and administrative rulings and practice, all as of the date of the Opinions. There can be no assurance that future legislative, judicial or administrative changes or interpretations will not adversely affect the accuracy of the conclusions set forth herein. The Opinions will not be binding upon the Internal Revenue Service (the "Service"), and the Service will not be precluded from adopting a contrary position.</w:t>
      </w:r>
    </w:p>
    <w:p>
      <w:pPr>
        <w:spacing w:after="0" w:line="182" w:lineRule="exact"/>
        <w:rPr>
          <w:sz w:val="20"/>
          <w:szCs w:val="20"/>
          <w:color w:val="auto"/>
        </w:rPr>
      </w:pPr>
    </w:p>
    <w:p>
      <w:pPr>
        <w:ind w:right="3019" w:firstLine="461"/>
        <w:spacing w:after="0" w:line="253" w:lineRule="auto"/>
        <w:rPr>
          <w:sz w:val="20"/>
          <w:szCs w:val="20"/>
          <w:color w:val="auto"/>
        </w:rPr>
      </w:pPr>
      <w:r>
        <w:rPr>
          <w:rFonts w:ascii="Courier New" w:cs="Courier New" w:eastAsia="Courier New" w:hAnsi="Courier New"/>
          <w:sz w:val="15"/>
          <w:szCs w:val="15"/>
          <w:color w:val="auto"/>
        </w:rPr>
        <w:t>Assuming the Merger qualifies as a reorganization under Section 368(a) of the Code, the following U.S. Federal income tax consequences will occur:</w:t>
      </w:r>
    </w:p>
    <w:p>
      <w:pPr>
        <w:spacing w:after="0" w:line="174" w:lineRule="exact"/>
        <w:rPr>
          <w:sz w:val="20"/>
          <w:szCs w:val="20"/>
          <w:color w:val="auto"/>
        </w:rPr>
      </w:pPr>
    </w:p>
    <w:p>
      <w:pPr>
        <w:ind w:left="460" w:right="2939" w:firstLine="457"/>
        <w:spacing w:after="0" w:line="253" w:lineRule="auto"/>
        <w:tabs>
          <w:tab w:leader="none" w:pos="129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USA Waste or Acquisition as a result of the Merger;</w:t>
      </w:r>
    </w:p>
    <w:p>
      <w:pPr>
        <w:spacing w:after="0" w:line="174" w:lineRule="exact"/>
        <w:rPr>
          <w:rFonts w:ascii="Courier New" w:cs="Courier New" w:eastAsia="Courier New" w:hAnsi="Courier New"/>
          <w:sz w:val="15"/>
          <w:szCs w:val="15"/>
          <w:color w:val="auto"/>
        </w:rPr>
      </w:pPr>
    </w:p>
    <w:p>
      <w:pPr>
        <w:ind w:left="460" w:right="2939" w:firstLine="457"/>
        <w:spacing w:after="0" w:line="253" w:lineRule="auto"/>
        <w:tabs>
          <w:tab w:leader="none" w:pos="129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Sanifill as a result of the merger of Acquisition into Sanifill;</w:t>
      </w:r>
    </w:p>
    <w:p>
      <w:pPr>
        <w:sectPr>
          <w:pgSz w:w="11900" w:h="16838" w:orient="portrait"/>
          <w:cols w:equalWidth="0" w:num="1">
            <w:col w:w="10219"/>
          </w:cols>
          <w:pgMar w:left="240" w:top="295" w:right="1440" w:bottom="1440" w:gutter="0" w:footer="0" w:header="0"/>
        </w:sectPr>
      </w:pP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95" w:right="1440" w:bottom="1440" w:gutter="0" w:footer="0" w:header="0"/>
          <w:type w:val="continuous"/>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45</w:t>
      </w:r>
    </w:p>
    <w:p>
      <w:pPr>
        <w:spacing w:after="0" w:line="185" w:lineRule="exact"/>
        <w:rPr>
          <w:sz w:val="20"/>
          <w:szCs w:val="20"/>
          <w:color w:val="auto"/>
        </w:rPr>
      </w:pPr>
    </w:p>
    <w:p>
      <w:pPr>
        <w:ind w:left="460" w:right="2939" w:firstLine="457"/>
        <w:spacing w:after="0" w:line="252" w:lineRule="auto"/>
        <w:tabs>
          <w:tab w:leader="none" w:pos="129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holders of Sanifill Common Stock solely upon their receipt in the Merger of USA Waste Common Stock in exchange therefor;</w:t>
      </w:r>
    </w:p>
    <w:p>
      <w:pPr>
        <w:spacing w:after="0" w:line="174" w:lineRule="exact"/>
        <w:rPr>
          <w:rFonts w:ascii="Courier New" w:cs="Courier New" w:eastAsia="Courier New" w:hAnsi="Courier New"/>
          <w:sz w:val="15"/>
          <w:szCs w:val="15"/>
          <w:color w:val="auto"/>
        </w:rPr>
      </w:pPr>
    </w:p>
    <w:p>
      <w:pPr>
        <w:ind w:left="460" w:right="2839" w:firstLine="457"/>
        <w:spacing w:after="0" w:line="251" w:lineRule="auto"/>
        <w:tabs>
          <w:tab w:leader="none" w:pos="129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tax basis of the shares of USA Waste Common Stock received by a Sanifill stockholder in the Merger (including any fractional share not actually received) will be the same as the tax basis of the Sanifill Common Stock surrendered in exchange therefor;</w:t>
      </w:r>
    </w:p>
    <w:p>
      <w:pPr>
        <w:spacing w:after="0" w:line="176" w:lineRule="exact"/>
        <w:rPr>
          <w:rFonts w:ascii="Courier New" w:cs="Courier New" w:eastAsia="Courier New" w:hAnsi="Courier New"/>
          <w:sz w:val="15"/>
          <w:szCs w:val="15"/>
          <w:color w:val="auto"/>
        </w:rPr>
      </w:pPr>
    </w:p>
    <w:p>
      <w:pPr>
        <w:ind w:left="460" w:right="3019" w:firstLine="457"/>
        <w:spacing w:after="0" w:line="251" w:lineRule="auto"/>
        <w:tabs>
          <w:tab w:leader="none" w:pos="129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holding period of the shares of USA Waste Common Stock received by a Sanifill stockholder in the Merger will include the holding period of the shares of Sanifill Common Stock surrendered in exchange therefor, provided that such shares of Sanifill Common Stock are held as capital assets at the Effective Time; and</w:t>
      </w:r>
    </w:p>
    <w:p>
      <w:pPr>
        <w:spacing w:after="0" w:line="176" w:lineRule="exact"/>
        <w:rPr>
          <w:rFonts w:ascii="Courier New" w:cs="Courier New" w:eastAsia="Courier New" w:hAnsi="Courier New"/>
          <w:sz w:val="15"/>
          <w:szCs w:val="15"/>
          <w:color w:val="auto"/>
        </w:rPr>
      </w:pPr>
    </w:p>
    <w:p>
      <w:pPr>
        <w:ind w:left="460" w:right="2839" w:firstLine="457"/>
        <w:spacing w:after="0" w:line="250" w:lineRule="auto"/>
        <w:tabs>
          <w:tab w:leader="none" w:pos="129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cash payment in lieu of a fractional share will be treated as if a fractional share of USA Waste Common Stock had been received in the Merger and then redeemed by USA Waste. Such redemption should qualify as a distribution in full payment in exchange for the fractional share rather than as a distribution of a dividend. Accordingly, a Sanifill stockholder receiving cash in lieu of a fractional share will recognize gain or loss upon such payment in an amount equal to the difference, if any, between such stockholder's basis in the fractional share (as described in paragraph</w:t>
      </w:r>
    </w:p>
    <w:p>
      <w:pPr>
        <w:spacing w:after="0" w:line="3" w:lineRule="exact"/>
        <w:rPr>
          <w:rFonts w:ascii="Courier New" w:cs="Courier New" w:eastAsia="Courier New" w:hAnsi="Courier New"/>
          <w:sz w:val="15"/>
          <w:szCs w:val="15"/>
          <w:color w:val="auto"/>
        </w:rPr>
      </w:pPr>
    </w:p>
    <w:p>
      <w:pPr>
        <w:ind w:left="460" w:right="3219" w:hanging="4"/>
        <w:spacing w:after="0" w:line="252" w:lineRule="auto"/>
        <w:tabs>
          <w:tab w:leader="none" w:pos="82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and the amount of cash received. Such gain or loss will be a capital gain or loss if the Sanifill Common Stock is held as a capital asset at the Effective Time.</w:t>
      </w:r>
    </w:p>
    <w:p>
      <w:pPr>
        <w:spacing w:after="0" w:line="17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Even if the Merger qualifies as a tax-free reorganization, a recipient of USA Waste Common Stock could recognize gain to the extent that such shares were considered by the Service to be received in exchange for consideration other than Sanifill Common Stock. All or a portion of such gain may be taxable as ordinary income. In addition, gain would be recognized to the extent that a Sanifill stockholder was treated by the Service as receiving (directly or indirectly) consideration other than USA Waste Common Stock in exchange for his or her Sanifill Common Stock.</w:t>
      </w:r>
    </w:p>
    <w:p>
      <w:pPr>
        <w:spacing w:after="0" w:line="17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If the Service successfully challenged the status of the Merger as a tax-free reorganization, a Sanifill stockholder would recognize gain or loss in an amount equal to the difference between the stockholder's basis in his or her shares and the fair market value, as of the Effective Date, of the USA Waste Common Stock received in exchange therefor. In such event, the stockholder's basis in the USA Waste Common Stock so received would be equal to its fair market value as of the Effective Date and the holding period for such stock would begin on the day after the Effective Date.</w:t>
      </w:r>
    </w:p>
    <w:p>
      <w:pPr>
        <w:spacing w:after="0" w:line="175" w:lineRule="exact"/>
        <w:rPr>
          <w:sz w:val="20"/>
          <w:szCs w:val="20"/>
          <w:color w:val="auto"/>
        </w:rPr>
      </w:pPr>
    </w:p>
    <w:p>
      <w:pPr>
        <w:jc w:val="both"/>
        <w:ind w:right="3019" w:firstLine="461"/>
        <w:spacing w:after="0" w:line="251" w:lineRule="auto"/>
        <w:rPr>
          <w:sz w:val="20"/>
          <w:szCs w:val="20"/>
          <w:color w:val="auto"/>
        </w:rPr>
      </w:pPr>
      <w:r>
        <w:rPr>
          <w:rFonts w:ascii="Courier New" w:cs="Courier New" w:eastAsia="Courier New" w:hAnsi="Courier New"/>
          <w:sz w:val="15"/>
          <w:szCs w:val="15"/>
          <w:color w:val="auto"/>
        </w:rPr>
        <w:t>THE U.S. FEDERAL INCOME TAX CONSEQUENCES SUMMARIZED ABOVE ARE FOR GENERAL INFORMATION ONLY. EACH SANIFILL STOCKHOLDER SHOULD CONSULT A TAX ADVISER AS TO THE PARTICULAR CONSEQUENCES OF THE MERGER THAT MAY APPLY TO SUCH STOCKHOLDER, INCLUDING THE APPLICATION OF STATE, LOCAL, FOREIGN AND OTHER FEDERAL TAX LAWS.</w:t>
      </w:r>
    </w:p>
    <w:p>
      <w:pPr>
        <w:spacing w:after="0" w:line="176" w:lineRule="exact"/>
        <w:rPr>
          <w:sz w:val="20"/>
          <w:szCs w:val="20"/>
          <w:color w:val="auto"/>
        </w:rPr>
      </w:pPr>
    </w:p>
    <w:p>
      <w:pPr>
        <w:jc w:val="both"/>
        <w:ind w:right="2839" w:firstLine="461"/>
        <w:spacing w:after="0" w:line="252" w:lineRule="auto"/>
        <w:rPr>
          <w:sz w:val="20"/>
          <w:szCs w:val="20"/>
          <w:color w:val="auto"/>
        </w:rPr>
      </w:pPr>
      <w:r>
        <w:rPr>
          <w:rFonts w:ascii="Courier New" w:cs="Courier New" w:eastAsia="Courier New" w:hAnsi="Courier New"/>
          <w:sz w:val="15"/>
          <w:szCs w:val="15"/>
          <w:color w:val="auto"/>
        </w:rPr>
        <w:t>For more information on the tax opinions to be delivered by counsel to USA Waste and Sanifill as a condition to the closing of the Merger, see "The Plan of Merger and Terms of the Merger -- Conditions to the Merger."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APPRAISAL OR DISSENTERS' RIGHTS</w:t>
      </w:r>
    </w:p>
    <w:p>
      <w:pPr>
        <w:spacing w:after="0" w:line="185"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Delaware law does not require that holders of USA Waste Common Stock or Sanifill Common Stock who object to the Merger and who vote against or abstain from voting in favor of the Merger be afforded any appraisal or dissenters' rights or the right to receive cash for their shares. Neither USA Waste nor Sanifill intends to make available any such rights to its stockholders.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It is anticipated that the Merger will be accounted for using the "pooling of interests" method of accounting pursuant to Opinion No. 16 of the Accounting Principles Board. The "pooling of interests" method of accounting assumes that the combining companies have been merged from inception, and the historical financial statements for periods prior to consummation of the Merger are restated as though the companies had been combined from inception.</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95"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46</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One of the conditions to the Merger is the receipt by USA Waste and Sanifill of a letter and memorandum, dated as of the Effective Time, from their independent auditors, Coopers &amp; Lybrand L.L.P. and Arthur Andersen LLP, respectively, regarding such firms' concurrence with USA Waste management's and Sanifill management's conclusions, respectively, as to the appropriateness of "pooling of interests" accounting for the Merger under Accounting Principles Board Opinion No. 16 if consummated in accordance with the Merger Agreement.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AND REGULATORY APPROVALS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Transactions such as the Merger are reviewed by the Antitrust Division of the Department of Justice (the "Department of Justice") and the Federal Trade Commission (the "FTC") to determine whether they comply with applicable antitrust laws. Under the provisions of the HSR Act, the Merger may not be consummated until such time as the specified waiting period requirements of the HSR Act have been satisfied. USA Waste and Sanifill filed notification reports with the Department of Justice and FTC under the HSR Act on July 1, 1996, and the waiting period will expire at 11:59 p.m. on July 31, 1996 unless extended or earlier terminated.</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At any time before or after the Effective Time, the Department of Justice and FTC or a private person or entity could seek under the antitrust laws, among other things, to enjoin the Merger or to cause USA Waste to divest itself, in whole or in part, of Sanifill or of other businesses conducted by USA Waste. There can be no assurance that a challenge to the Merger will not be made or that, if such a challenge is made, USA Waste and Sanifill will prevail.</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USA Waste and Sanifill are not aware of any other governmental or regulatory approvals required for consummation of the Merger, other than compliance with applicable federal and state securities laws and as may be required with respect to environmental permits held by Sanifill subsidiaries in certain states that would deem the Merger to be a transfer of those permits.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RESTRICTIONS ON RESALES BY AFFILIATES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shares of USA Waste Common Stock received by Sanifill stockholders in connection with the Merger have been registered under the Securities Act and, except as set forth below, may be traded without restriction. The shares of USA Waste Common Stock issued in the Merger and received by persons who are deemed to be "affiliates" (as that term is defined in Rule 144 under the Securities Act) of Sanifill prior to the Merger may be resold by them only in transactions permitted by the resale provisions of Rule 145 under the Securities Act (or, in the case of persons who become affiliates of USA Waste, Rule 144 under the Securities Act) or as otherwise permitted under the Securities Act. The Merger Agreement provides that Sanifill and USA Waste will use their reasonable best efforts to cause each of their principal executive officers, directors and affiliates to deliver to USA Waste and/or Sanifill, on or prior to the Effective Time, a written agreement to the effect that such persons will not offer to sell, sell or otherwise dispose of any shares of USA Waste Common Stock issued in the Merger except, in each case, pursuant to an effective registration statement or in compliance with Rule 145 or in a transaction which, in the opinion of legal counsel satisfactory to USA Waste, is exempt from the registration requirements of the Securities Act and, in any case, until after the results covering 30 days of post-Merger combined operations of USA Waste and Sanifill have been filed with the Commission, sent to stockholders of USA Waste or otherwise publicly issued.</w:t>
      </w:r>
    </w:p>
    <w:p>
      <w:pPr>
        <w:spacing w:after="0" w:line="364"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Under Commission guidelines interpreting generally accepted accounting principles, the sale of USA Waste Common Stock or Sanifill Common Stock by an affiliate of either USA Waste or Sanifill generally within 30 days prior to the Effective Time or thereafter prior to the publication of financial statements that include a minimum of at least 30 days of combined operations of USA Waste and Sanifill after the Effective Time could preclude "pooling of interests" accounting treatment for the Merger.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AFTER THE MERGER</w:t>
      </w:r>
    </w:p>
    <w:p>
      <w:pPr>
        <w:spacing w:after="0" w:line="185" w:lineRule="exact"/>
        <w:rPr>
          <w:sz w:val="20"/>
          <w:szCs w:val="20"/>
          <w:color w:val="auto"/>
        </w:rPr>
      </w:pPr>
    </w:p>
    <w:p>
      <w:pPr>
        <w:ind w:right="2939" w:firstLine="461"/>
        <w:spacing w:after="0" w:line="252" w:lineRule="auto"/>
        <w:rPr>
          <w:sz w:val="20"/>
          <w:szCs w:val="20"/>
          <w:color w:val="auto"/>
        </w:rPr>
      </w:pPr>
      <w:r>
        <w:rPr>
          <w:rFonts w:ascii="Courier New" w:cs="Courier New" w:eastAsia="Courier New" w:hAnsi="Courier New"/>
          <w:sz w:val="15"/>
          <w:szCs w:val="15"/>
          <w:color w:val="auto"/>
        </w:rPr>
        <w:t>The USA Waste Restated Certificate of Incorporation and the USA Waste Bylaws provide that, subject to the rights of holders of any class or series of USA Waste Preferred Stock to elect additional directors under</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95" w:right="1440" w:bottom="1440" w:gutter="0" w:footer="0" w:header="0"/>
        </w:sectPr>
      </w:pPr>
    </w:p>
    <w:bookmarkStart w:id="47" w:name="page48"/>
    <w:bookmarkEnd w:id="47"/>
    <w:p>
      <w:pPr>
        <w:ind w:left="285"/>
        <w:spacing w:after="0"/>
        <w:rPr>
          <w:sz w:val="20"/>
          <w:szCs w:val="20"/>
          <w:color w:val="auto"/>
        </w:rPr>
      </w:pPr>
      <w:r>
        <w:rPr>
          <w:rFonts w:ascii="Courier New" w:cs="Courier New" w:eastAsia="Courier New" w:hAnsi="Courier New"/>
          <w:sz w:val="15"/>
          <w:szCs w:val="15"/>
          <w:color w:val="auto"/>
        </w:rPr>
        <w:t>47</w:t>
      </w:r>
    </w:p>
    <w:p>
      <w:pPr>
        <w:spacing w:after="0" w:line="185"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rPr>
        <w:t>specified circumstances, the number of directors will be fixed from time to time by resolution of the USA Waste Board of Directors; provided, however, that unless approved by at least two-thirds of the incumbent directors, the number of directors which shall constitute the whole USA Waste Board of Directors shall be no fewer than three and no more than nine. The Board of Directors of USA Waste currently consists of 11 members and one vacancy for a total of 12 seats on the Board of Directors. The USA Waste Restated Certificate of Incorporation and the USA Waste Bylaws also provide that the Board of Directors of USA Waste be divided into three classes of directors, as nearly equal in number as possible. At each annual meeting of the stockholders, one class of directors is elected for a three-year term. The terms of the existing Class I directors expire at the annual meeting of the stockholders of USA Waste to be held in 1999, the terms of the existing Class II directors expire at the annual meeting of the stockholders of USA Waste to be held in 1997 and the terms of the existing Class III directors expire at the annual meeting of the stockholders of USA Waste to be held in 1998.</w:t>
      </w:r>
    </w:p>
    <w:p>
      <w:pPr>
        <w:spacing w:after="0" w:line="200" w:lineRule="exact"/>
        <w:rPr>
          <w:sz w:val="20"/>
          <w:szCs w:val="20"/>
          <w:color w:val="auto"/>
        </w:rPr>
      </w:pPr>
    </w:p>
    <w:p>
      <w:pPr>
        <w:spacing w:after="0" w:line="339"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Pursuant to the terms of the Merger Agreement, USA Waste has agreed to take such action as is necessary to cause its Board of Directors to consist of 12 members immediately after the Effective Time, including three members designated by Sanifill prior to the Effective Time. Sanifill has designated Rodney R. Proto, and will designate two non-officers of Sanifill and its subsidiaries reasonably acceptable to USA Waste, as the individuals to serve on the Board of Directors of USA Waste. There is currently one vacancy on the Board of Directors in Class III. In order to provide a sufficient number of vacancies on the Board of Directors of USA Waste, two members of USA Waste's Board of Directors will resign from the Board of Directors prior to or as of the Effective Time. Pursuant to the terms of the Merger Agreement, Sanifill has the right to designate which of its designees shall fill each vacancy on the Board of Directors of USA Waste. In addition, pursuant to the terms of the Merger Agreement, USA Waste has agreed to appoint one of the three designees of Sanifill, to be designated by Sanifill and reasonably acceptable to USA Waste, to the Executive Committee of USA Waste's Board of Directors. In order to provide a vacancy on the Executive Committee, David Sutherland-Yoest will resign from his position as a member of the Executive Committee effective as of the Effective Time.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Set forth below is certain information about each person who is currently a member of the Board of Directors of USA Waste as well as Rodney R. Proto, one of Sanifill's designees who will be appointed to the USA Waste Board of Directors effective as of the Effective Time. Two additional persons will be designated by Sanifill to serve on the USA Waste Board of Directors following consummation of the Merger, to fill the vacancies created by the resignations of the two members of USA Waste's Board of Directors in connection with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2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7"/>
        </w:trPr>
        <w:tc>
          <w:tcPr>
            <w:tcW w:w="3220" w:type="dxa"/>
            <w:vAlign w:val="bottom"/>
          </w:tcPr>
          <w:p>
            <w:pPr>
              <w:ind w:left="1280"/>
              <w:spacing w:after="0"/>
              <w:rPr>
                <w:sz w:val="20"/>
                <w:szCs w:val="20"/>
                <w:color w:val="auto"/>
              </w:rPr>
            </w:pPr>
            <w:r>
              <w:rPr>
                <w:rFonts w:ascii="Courier New" w:cs="Courier New" w:eastAsia="Courier New" w:hAnsi="Courier New"/>
                <w:sz w:val="15"/>
                <w:szCs w:val="15"/>
                <w:color w:val="auto"/>
              </w:rPr>
              <w:t>NAME</w:t>
            </w:r>
          </w:p>
        </w:tc>
        <w:tc>
          <w:tcPr>
            <w:tcW w:w="3240" w:type="dxa"/>
            <w:vAlign w:val="bottom"/>
          </w:tcPr>
          <w:p>
            <w:pPr>
              <w:ind w:left="1020"/>
              <w:spacing w:after="0"/>
              <w:rPr>
                <w:sz w:val="20"/>
                <w:szCs w:val="20"/>
                <w:color w:val="auto"/>
              </w:rPr>
            </w:pPr>
            <w:r>
              <w:rPr>
                <w:rFonts w:ascii="Courier New" w:cs="Courier New" w:eastAsia="Courier New" w:hAnsi="Courier New"/>
                <w:sz w:val="15"/>
                <w:szCs w:val="15"/>
                <w:color w:val="auto"/>
              </w:rPr>
              <w:t>DESCRIPTION</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AGE</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SINCE</w:t>
            </w:r>
          </w:p>
        </w:tc>
        <w:tc>
          <w:tcPr>
            <w:tcW w:w="106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CLASS</w:t>
            </w: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2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w w:val="99"/>
              </w:rPr>
              <w:t>--------</w:t>
            </w:r>
          </w:p>
        </w:tc>
      </w:tr>
      <w:tr>
        <w:trPr>
          <w:trHeight w:val="355"/>
        </w:trPr>
        <w:tc>
          <w:tcPr>
            <w:tcW w:w="3220" w:type="dxa"/>
            <w:vAlign w:val="bottom"/>
          </w:tcPr>
          <w:p>
            <w:pPr>
              <w:spacing w:after="0"/>
              <w:rPr>
                <w:sz w:val="20"/>
                <w:szCs w:val="20"/>
                <w:color w:val="auto"/>
              </w:rPr>
            </w:pPr>
            <w:r>
              <w:rPr>
                <w:rFonts w:ascii="Courier New" w:cs="Courier New" w:eastAsia="Courier New" w:hAnsi="Courier New"/>
                <w:sz w:val="15"/>
                <w:szCs w:val="15"/>
                <w:color w:val="auto"/>
              </w:rPr>
              <w:t>John E. Drury(1).................</w:t>
            </w:r>
          </w:p>
        </w:tc>
        <w:tc>
          <w:tcPr>
            <w:tcW w:w="3240" w:type="dxa"/>
            <w:vAlign w:val="bottom"/>
          </w:tcPr>
          <w:p>
            <w:pPr>
              <w:spacing w:after="0"/>
              <w:rPr>
                <w:sz w:val="20"/>
                <w:szCs w:val="20"/>
                <w:color w:val="auto"/>
              </w:rPr>
            </w:pPr>
            <w:r>
              <w:rPr>
                <w:rFonts w:ascii="Courier New" w:cs="Courier New" w:eastAsia="Courier New" w:hAnsi="Courier New"/>
                <w:sz w:val="15"/>
                <w:szCs w:val="15"/>
                <w:color w:val="auto"/>
              </w:rPr>
              <w:t>Chairman of the Board and Chief</w:t>
            </w: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7"/>
        </w:trPr>
        <w:tc>
          <w:tcPr>
            <w:tcW w:w="3220" w:type="dxa"/>
            <w:vAlign w:val="bottom"/>
          </w:tcPr>
          <w:p>
            <w:pPr>
              <w:spacing w:after="0"/>
              <w:rPr>
                <w:sz w:val="15"/>
                <w:szCs w:val="15"/>
                <w:color w:val="auto"/>
              </w:rPr>
            </w:pPr>
          </w:p>
        </w:tc>
        <w:tc>
          <w:tcPr>
            <w:tcW w:w="3240" w:type="dxa"/>
            <w:vAlign w:val="bottom"/>
          </w:tcPr>
          <w:p>
            <w:pPr>
              <w:ind w:left="180"/>
              <w:spacing w:after="0"/>
              <w:rPr>
                <w:sz w:val="20"/>
                <w:szCs w:val="20"/>
                <w:color w:val="auto"/>
              </w:rPr>
            </w:pPr>
            <w:r>
              <w:rPr>
                <w:rFonts w:ascii="Courier New" w:cs="Courier New" w:eastAsia="Courier New" w:hAnsi="Courier New"/>
                <w:sz w:val="15"/>
                <w:szCs w:val="15"/>
                <w:color w:val="auto"/>
              </w:rPr>
              <w:t>Executive Officer</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52</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III</w:t>
            </w: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Donald F. Moorehead, Jr.(1)......</w:t>
            </w:r>
          </w:p>
        </w:tc>
        <w:tc>
          <w:tcPr>
            <w:tcW w:w="3240" w:type="dxa"/>
            <w:vAlign w:val="bottom"/>
          </w:tcPr>
          <w:p>
            <w:pPr>
              <w:spacing w:after="0"/>
              <w:rPr>
                <w:sz w:val="20"/>
                <w:szCs w:val="20"/>
                <w:color w:val="auto"/>
              </w:rPr>
            </w:pPr>
            <w:r>
              <w:rPr>
                <w:rFonts w:ascii="Courier New" w:cs="Courier New" w:eastAsia="Courier New" w:hAnsi="Courier New"/>
                <w:sz w:val="15"/>
                <w:szCs w:val="15"/>
                <w:color w:val="auto"/>
              </w:rPr>
              <w:t>Vice Chairman of the Board</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46</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1990</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II</w:t>
            </w: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David Sutherland-Yoest(1)(2).....</w:t>
            </w:r>
          </w:p>
        </w:tc>
        <w:tc>
          <w:tcPr>
            <w:tcW w:w="3240" w:type="dxa"/>
            <w:vAlign w:val="bottom"/>
          </w:tcPr>
          <w:p>
            <w:pPr>
              <w:spacing w:after="0"/>
              <w:rPr>
                <w:sz w:val="20"/>
                <w:szCs w:val="20"/>
                <w:color w:val="auto"/>
              </w:rPr>
            </w:pPr>
            <w:r>
              <w:rPr>
                <w:rFonts w:ascii="Courier New" w:cs="Courier New" w:eastAsia="Courier New" w:hAnsi="Courier New"/>
                <w:sz w:val="15"/>
                <w:szCs w:val="15"/>
                <w:color w:val="auto"/>
              </w:rPr>
              <w:t>President and Director</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40</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I</w:t>
            </w: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George L. Ball(3)(4).............</w:t>
            </w:r>
          </w:p>
        </w:tc>
        <w:tc>
          <w:tcPr>
            <w:tcW w:w="324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57</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1991</w:t>
            </w:r>
          </w:p>
        </w:tc>
        <w:tc>
          <w:tcPr>
            <w:tcW w:w="106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III</w:t>
            </w: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Peter J. Gibbons(3)(4)...........</w:t>
            </w:r>
          </w:p>
        </w:tc>
        <w:tc>
          <w:tcPr>
            <w:tcW w:w="324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60</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I</w:t>
            </w: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Richard J. Heckmann(4)...........</w:t>
            </w:r>
          </w:p>
        </w:tc>
        <w:tc>
          <w:tcPr>
            <w:tcW w:w="324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52</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I</w:t>
            </w: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William E. Moffett(3)............</w:t>
            </w:r>
          </w:p>
        </w:tc>
        <w:tc>
          <w:tcPr>
            <w:tcW w:w="324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65</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II</w:t>
            </w: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Alexander W. Rangos(1)...........</w:t>
            </w:r>
          </w:p>
        </w:tc>
        <w:tc>
          <w:tcPr>
            <w:tcW w:w="3240" w:type="dxa"/>
            <w:vAlign w:val="bottom"/>
          </w:tcPr>
          <w:p>
            <w:pPr>
              <w:spacing w:after="0"/>
              <w:rPr>
                <w:sz w:val="20"/>
                <w:szCs w:val="20"/>
                <w:color w:val="auto"/>
              </w:rPr>
            </w:pPr>
            <w:r>
              <w:rPr>
                <w:rFonts w:ascii="Courier New" w:cs="Courier New" w:eastAsia="Courier New" w:hAnsi="Courier New"/>
                <w:sz w:val="15"/>
                <w:szCs w:val="15"/>
                <w:color w:val="auto"/>
              </w:rPr>
              <w:t>Vice Chairman of the Board</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36</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III</w:t>
            </w: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John G. Rangos, Sr.(1)...........</w:t>
            </w:r>
          </w:p>
        </w:tc>
        <w:tc>
          <w:tcPr>
            <w:tcW w:w="324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66</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II</w:t>
            </w: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Kosti Shirvanian(1)..............</w:t>
            </w:r>
          </w:p>
        </w:tc>
        <w:tc>
          <w:tcPr>
            <w:tcW w:w="3240" w:type="dxa"/>
            <w:vAlign w:val="bottom"/>
          </w:tcPr>
          <w:p>
            <w:pPr>
              <w:spacing w:after="0"/>
              <w:rPr>
                <w:sz w:val="20"/>
                <w:szCs w:val="20"/>
                <w:color w:val="auto"/>
              </w:rPr>
            </w:pPr>
            <w:r>
              <w:rPr>
                <w:rFonts w:ascii="Courier New" w:cs="Courier New" w:eastAsia="Courier New" w:hAnsi="Courier New"/>
                <w:sz w:val="15"/>
                <w:szCs w:val="15"/>
                <w:color w:val="auto"/>
              </w:rPr>
              <w:t>Vice Chairman of the Board</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66</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I</w:t>
            </w: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Savey Tufenkian..................</w:t>
            </w:r>
          </w:p>
        </w:tc>
        <w:tc>
          <w:tcPr>
            <w:tcW w:w="324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67</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II</w:t>
            </w: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Rodney R. Proto(5)...............</w:t>
            </w:r>
          </w:p>
        </w:tc>
        <w:tc>
          <w:tcPr>
            <w:tcW w:w="3240" w:type="dxa"/>
            <w:vAlign w:val="bottom"/>
          </w:tcPr>
          <w:p>
            <w:pPr>
              <w:spacing w:after="0"/>
              <w:rPr>
                <w:sz w:val="20"/>
                <w:szCs w:val="20"/>
                <w:color w:val="auto"/>
              </w:rPr>
            </w:pPr>
            <w:r>
              <w:rPr>
                <w:rFonts w:ascii="Courier New" w:cs="Courier New" w:eastAsia="Courier New" w:hAnsi="Courier New"/>
                <w:sz w:val="15"/>
                <w:szCs w:val="15"/>
                <w:color w:val="auto"/>
              </w:rPr>
              <w:t>President, Chief Operating</w:t>
            </w:r>
          </w:p>
        </w:tc>
        <w:tc>
          <w:tcPr>
            <w:tcW w:w="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7"/>
        </w:trPr>
        <w:tc>
          <w:tcPr>
            <w:tcW w:w="3220" w:type="dxa"/>
            <w:vAlign w:val="bottom"/>
          </w:tcPr>
          <w:p>
            <w:pPr>
              <w:spacing w:after="0"/>
              <w:rPr>
                <w:sz w:val="15"/>
                <w:szCs w:val="15"/>
                <w:color w:val="auto"/>
              </w:rPr>
            </w:pPr>
          </w:p>
        </w:tc>
        <w:tc>
          <w:tcPr>
            <w:tcW w:w="3240" w:type="dxa"/>
            <w:vAlign w:val="bottom"/>
          </w:tcPr>
          <w:p>
            <w:pPr>
              <w:spacing w:after="0"/>
              <w:rPr>
                <w:sz w:val="20"/>
                <w:szCs w:val="20"/>
                <w:color w:val="auto"/>
              </w:rPr>
            </w:pPr>
            <w:r>
              <w:rPr>
                <w:rFonts w:ascii="Courier New" w:cs="Courier New" w:eastAsia="Courier New" w:hAnsi="Courier New"/>
                <w:sz w:val="15"/>
                <w:szCs w:val="15"/>
                <w:color w:val="auto"/>
              </w:rPr>
              <w:t>Officer and Director</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47</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(6)</w:t>
            </w:r>
          </w:p>
        </w:tc>
      </w:tr>
    </w:tbl>
    <w:p>
      <w:pPr>
        <w:spacing w:after="0" w:line="200" w:lineRule="exact"/>
        <w:rPr>
          <w:sz w:val="20"/>
          <w:szCs w:val="20"/>
          <w:color w:val="auto"/>
        </w:rPr>
      </w:pPr>
    </w:p>
    <w:p>
      <w:pPr>
        <w:spacing w:after="0" w:line="33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365" w:hanging="365"/>
        <w:spacing w:after="0"/>
        <w:tabs>
          <w:tab w:leader="none" w:pos="36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Executive Committee</w:t>
      </w:r>
    </w:p>
    <w:p>
      <w:pPr>
        <w:spacing w:after="0" w:line="362" w:lineRule="exact"/>
        <w:rPr>
          <w:rFonts w:ascii="Courier New" w:cs="Courier New" w:eastAsia="Courier New" w:hAnsi="Courier New"/>
          <w:sz w:val="15"/>
          <w:szCs w:val="15"/>
          <w:color w:val="auto"/>
        </w:rPr>
      </w:pPr>
    </w:p>
    <w:p>
      <w:pPr>
        <w:ind w:left="365" w:right="3299" w:hanging="365"/>
        <w:spacing w:after="0" w:line="250" w:lineRule="auto"/>
        <w:tabs>
          <w:tab w:leader="none" w:pos="36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resign from his positions as President and a member of the Executive Committee as of the Effective Time and to become Regional Vice</w:t>
      </w:r>
    </w:p>
    <w:p>
      <w:pPr>
        <w:spacing w:after="0" w:line="1" w:lineRule="exact"/>
        <w:rPr>
          <w:sz w:val="20"/>
          <w:szCs w:val="20"/>
          <w:color w:val="auto"/>
        </w:rPr>
      </w:pPr>
    </w:p>
    <w:p>
      <w:pPr>
        <w:ind w:left="365"/>
        <w:spacing w:after="0"/>
        <w:rPr>
          <w:sz w:val="20"/>
          <w:szCs w:val="20"/>
          <w:color w:val="auto"/>
        </w:rPr>
      </w:pPr>
      <w:r>
        <w:rPr>
          <w:rFonts w:ascii="Courier New" w:cs="Courier New" w:eastAsia="Courier New" w:hAnsi="Courier New"/>
          <w:sz w:val="15"/>
          <w:szCs w:val="15"/>
          <w:color w:val="auto"/>
        </w:rPr>
        <w:t>President -- Atlantic Region and Vice Chairman of the Board</w:t>
      </w:r>
    </w:p>
    <w:p>
      <w:pPr>
        <w:sectPr>
          <w:pgSz w:w="11900" w:h="16838" w:orient="portrait"/>
          <w:cols w:equalWidth="0" w:num="1">
            <w:col w:w="10225"/>
          </w:cols>
          <w:pgMar w:left="235" w:top="295" w:right="1440" w:bottom="726" w:gutter="0" w:footer="0" w:header="0"/>
        </w:sectPr>
      </w:pPr>
    </w:p>
    <w:p>
      <w:pPr>
        <w:spacing w:after="0" w:line="36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5"/>
          </w:cols>
          <w:pgMar w:left="235" w:top="295" w:right="1440" w:bottom="726" w:gutter="0" w:footer="0" w:header="0"/>
          <w:type w:val="continuous"/>
        </w:sectPr>
      </w:pPr>
    </w:p>
    <w:bookmarkStart w:id="48" w:name="page49"/>
    <w:bookmarkEnd w:id="48"/>
    <w:p>
      <w:pPr>
        <w:ind w:left="285"/>
        <w:spacing w:after="0"/>
        <w:rPr>
          <w:sz w:val="20"/>
          <w:szCs w:val="20"/>
          <w:color w:val="auto"/>
        </w:rPr>
      </w:pPr>
      <w:r>
        <w:rPr>
          <w:rFonts w:ascii="Courier New" w:cs="Courier New" w:eastAsia="Courier New" w:hAnsi="Courier New"/>
          <w:sz w:val="15"/>
          <w:szCs w:val="15"/>
          <w:color w:val="auto"/>
        </w:rPr>
        <w:t>48</w:t>
      </w:r>
    </w:p>
    <w:p>
      <w:pPr>
        <w:spacing w:after="0" w:line="185" w:lineRule="exact"/>
        <w:rPr>
          <w:sz w:val="20"/>
          <w:szCs w:val="20"/>
          <w:color w:val="auto"/>
        </w:rPr>
      </w:pPr>
    </w:p>
    <w:p>
      <w:pPr>
        <w:ind w:left="365" w:hanging="365"/>
        <w:spacing w:after="0"/>
        <w:tabs>
          <w:tab w:leader="none" w:pos="36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Compensation and Stock Incentive Plan Committee</w:t>
      </w:r>
    </w:p>
    <w:p>
      <w:pPr>
        <w:spacing w:after="0" w:line="184" w:lineRule="exact"/>
        <w:rPr>
          <w:rFonts w:ascii="Courier New" w:cs="Courier New" w:eastAsia="Courier New" w:hAnsi="Courier New"/>
          <w:sz w:val="15"/>
          <w:szCs w:val="15"/>
          <w:color w:val="auto"/>
        </w:rPr>
      </w:pPr>
    </w:p>
    <w:p>
      <w:pPr>
        <w:ind w:left="365" w:hanging="365"/>
        <w:spacing w:after="0"/>
        <w:tabs>
          <w:tab w:leader="none" w:pos="36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Audit Committee</w:t>
      </w:r>
    </w:p>
    <w:p>
      <w:pPr>
        <w:spacing w:after="0" w:line="362" w:lineRule="exact"/>
        <w:rPr>
          <w:rFonts w:ascii="Courier New" w:cs="Courier New" w:eastAsia="Courier New" w:hAnsi="Courier New"/>
          <w:sz w:val="15"/>
          <w:szCs w:val="15"/>
          <w:color w:val="auto"/>
        </w:rPr>
      </w:pPr>
    </w:p>
    <w:p>
      <w:pPr>
        <w:ind w:left="365" w:right="3119" w:hanging="365"/>
        <w:spacing w:after="0" w:line="253" w:lineRule="auto"/>
        <w:tabs>
          <w:tab w:leader="none" w:pos="36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appointed to the Board of Directors and elected President and Chief Operating Officer as of the Effective Time</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365" w:right="2839" w:hanging="365"/>
        <w:spacing w:after="0" w:line="252" w:lineRule="auto"/>
        <w:tabs>
          <w:tab w:leader="none" w:pos="36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appointed to Class II, USA Waste has agreed to take such action as may be necessary to renominate Mr. Proto to the Board of Directors with a term expiring in the year 2000 or thereafter</w:t>
      </w:r>
    </w:p>
    <w:p>
      <w:pPr>
        <w:spacing w:after="0" w:line="352" w:lineRule="exact"/>
        <w:rPr>
          <w:sz w:val="20"/>
          <w:szCs w:val="20"/>
          <w:color w:val="auto"/>
        </w:rPr>
      </w:pPr>
    </w:p>
    <w:p>
      <w:pPr>
        <w:ind w:left="5" w:right="3019" w:firstLine="461"/>
        <w:spacing w:after="0" w:line="251" w:lineRule="auto"/>
        <w:rPr>
          <w:sz w:val="20"/>
          <w:szCs w:val="20"/>
          <w:color w:val="auto"/>
        </w:rPr>
      </w:pPr>
      <w:r>
        <w:rPr>
          <w:rFonts w:ascii="Courier New" w:cs="Courier New" w:eastAsia="Courier New" w:hAnsi="Courier New"/>
          <w:sz w:val="15"/>
          <w:szCs w:val="15"/>
          <w:color w:val="auto"/>
        </w:rPr>
        <w:t>John E. Drury (Class III) has been Chief Executive Officer since 1994 and Chairman of the Board since 1995. From 1992 to May 1994, Mr. Drury served as a Managing Director of Sanders Morris Mundy Inc. ("SMMI"), a Houston based investment banking firm. Mr. Drury served as President and Chief Operating Officer of Browning-Ferris Industries, Inc. ("BFI") from 1982 to 1991, during which time he had chief responsibility for worldwide operations.</w:t>
      </w:r>
    </w:p>
    <w:p>
      <w:pPr>
        <w:spacing w:after="0" w:line="176" w:lineRule="exact"/>
        <w:rPr>
          <w:sz w:val="20"/>
          <w:szCs w:val="20"/>
          <w:color w:val="auto"/>
        </w:rPr>
      </w:pPr>
    </w:p>
    <w:p>
      <w:pPr>
        <w:ind w:left="5" w:right="2939" w:firstLine="461"/>
        <w:spacing w:after="0" w:line="251" w:lineRule="auto"/>
        <w:rPr>
          <w:sz w:val="20"/>
          <w:szCs w:val="20"/>
          <w:color w:val="auto"/>
        </w:rPr>
      </w:pPr>
      <w:r>
        <w:rPr>
          <w:rFonts w:ascii="Courier New" w:cs="Courier New" w:eastAsia="Courier New" w:hAnsi="Courier New"/>
          <w:sz w:val="15"/>
          <w:szCs w:val="15"/>
          <w:color w:val="auto"/>
        </w:rPr>
        <w:t>Donald F. Moorehead, Jr. (Class II) has been Vice Chairman since 1995. Prior to such time, Mr. Moorehead served as Chairman of the Board and Chief Development Officer since 1994. From October 1, 1990 to May 27, 1994, he was also Chief Executive Officer. Mr. Moorehead was Chairman of the Board and Chief Executive Officer of Mid-American Waste Systems Inc. ("Mid-American") from the inception of Mid-American in December 1985 until August 1990 and continued as a director until February 1991. From 1977 until 1984, Mr. Moorehead served in various management positions with Waste Management Inc.</w:t>
      </w:r>
    </w:p>
    <w:p>
      <w:pPr>
        <w:spacing w:after="0" w:line="175"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David Sutherland-Yoest (Class I) has been President since May 27, 1994. Prior to joining USA Waste, he was President, Chief Executive Officer and a director of Envirofil. He joined Envirofil in January 1993 and was elected a director in March 1993. From September 1989 to June 1992, Mr. Sutherland-Yoest served as President of Browning-Ferris Industries, Ltd. ("BFI Ltd."), the Canadian subsidiary of BFI. From January through September 1989, Mr. Sutherland-Yoest served as Vice-President, Corporate Development, for Laidlaw Waste Systems, Inc. From 1987 to September 1989, Mr. Sutherland-Yoest was Laidlaw's Regional Vice-President -- Atlantic Region, located in Columbus, Ohio. From 1981 to 1987, Mr. Sutherland-Yoest served as District Manager -- Vancouver and District Manager -- Calgary for BFI Ltd.</w:t>
      </w:r>
    </w:p>
    <w:p>
      <w:pPr>
        <w:spacing w:after="0" w:line="182"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George L. Ball (Class III) has been non-executive Chairman of the Board and a director of SMMI since May 1992. From September 1992 to January 1994, Mr. Ball was a Senior Executive Vice President of Smith Barney Shearson Inc. From September 1991 to September 1992, Mr. Ball was a consultant to J. &amp; W. Seligman</w:t>
      </w:r>
    </w:p>
    <w:p>
      <w:pPr>
        <w:spacing w:after="0" w:line="2" w:lineRule="exact"/>
        <w:rPr>
          <w:sz w:val="20"/>
          <w:szCs w:val="20"/>
          <w:color w:val="auto"/>
        </w:rPr>
      </w:pPr>
    </w:p>
    <w:p>
      <w:pPr>
        <w:ind w:left="5" w:right="2839" w:hanging="5"/>
        <w:spacing w:after="0" w:line="250" w:lineRule="auto"/>
        <w:tabs>
          <w:tab w:leader="none" w:pos="19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 Incorporated. In 1982, Mr. Ball was elected President and Chief Executive Officer of Prudential-Bache Securities, Inc. and in 1986 was elected Chairman of the Board, serving in such position until his resignation in 1991. He also served as a member of the Executive Office of Prudential Insurance Company of America. Prior to joining Prudential, Mr. Ball served as President of E.F. Hutton Group, Inc. Mr. Ball is also a director of American Ecology Corporation, Leviathan Gas Pipeline Company, L.P., and BioMedical Waste Systems, Inc. Mr. Ball is a trustee emeritus of Brown University, a director of the National Symphony Orchestra, a trustee of the Joint Council on Economic Education, and a director of the Jefferson Awards.</w:t>
      </w:r>
    </w:p>
    <w:p>
      <w:pPr>
        <w:spacing w:after="0" w:line="182" w:lineRule="exact"/>
        <w:rPr>
          <w:sz w:val="20"/>
          <w:szCs w:val="20"/>
          <w:color w:val="auto"/>
        </w:rPr>
      </w:pPr>
    </w:p>
    <w:p>
      <w:pPr>
        <w:jc w:val="both"/>
        <w:ind w:left="5" w:right="2839" w:firstLine="461"/>
        <w:spacing w:after="0" w:line="252" w:lineRule="auto"/>
        <w:rPr>
          <w:sz w:val="20"/>
          <w:szCs w:val="20"/>
          <w:color w:val="auto"/>
        </w:rPr>
      </w:pPr>
      <w:r>
        <w:rPr>
          <w:rFonts w:ascii="Courier New" w:cs="Courier New" w:eastAsia="Courier New" w:hAnsi="Courier New"/>
          <w:sz w:val="15"/>
          <w:szCs w:val="15"/>
          <w:color w:val="auto"/>
        </w:rPr>
        <w:t>Peter J. Gibbons (Class I) has served as a director of USA Waste since June 1995. He was affiliated in various capacities with the accounting firm of Price Waterhouse from 1961 until his retirement therefrom as a partner in July 1993.</w:t>
      </w:r>
    </w:p>
    <w:p>
      <w:pPr>
        <w:spacing w:after="0" w:line="175" w:lineRule="exact"/>
        <w:rPr>
          <w:sz w:val="20"/>
          <w:szCs w:val="20"/>
          <w:color w:val="auto"/>
        </w:rPr>
      </w:pPr>
    </w:p>
    <w:p>
      <w:pPr>
        <w:ind w:left="5" w:right="2939" w:firstLine="461"/>
        <w:spacing w:after="0" w:line="251" w:lineRule="auto"/>
        <w:rPr>
          <w:sz w:val="20"/>
          <w:szCs w:val="20"/>
          <w:color w:val="auto"/>
        </w:rPr>
      </w:pPr>
      <w:r>
        <w:rPr>
          <w:rFonts w:ascii="Courier New" w:cs="Courier New" w:eastAsia="Courier New" w:hAnsi="Courier New"/>
          <w:sz w:val="15"/>
          <w:szCs w:val="15"/>
          <w:color w:val="auto"/>
        </w:rPr>
        <w:t>Richard J. Heckmann (Class I) is Chairman, President, and Chief Executive Officer of United States Filter Corporation ("U.S. Filter"), a position he assumed in July 1990. Prior to joining U.S. Filter, Mr. Heckmann was a Senior Vice President -- Investments and Branch Manager of Prudential-Bache Securities in Rancho Mirage, California. Mr. Heckmann is also a director of Air Cure, Inc.</w:t>
      </w:r>
    </w:p>
    <w:p>
      <w:pPr>
        <w:spacing w:after="0" w:line="176" w:lineRule="exact"/>
        <w:rPr>
          <w:sz w:val="20"/>
          <w:szCs w:val="20"/>
          <w:color w:val="auto"/>
        </w:rPr>
      </w:pPr>
    </w:p>
    <w:p>
      <w:pPr>
        <w:ind w:left="5" w:right="3019" w:firstLine="461"/>
        <w:spacing w:after="0" w:line="251" w:lineRule="auto"/>
        <w:rPr>
          <w:sz w:val="20"/>
          <w:szCs w:val="20"/>
          <w:color w:val="auto"/>
        </w:rPr>
      </w:pPr>
      <w:r>
        <w:rPr>
          <w:rFonts w:ascii="Courier New" w:cs="Courier New" w:eastAsia="Courier New" w:hAnsi="Courier New"/>
          <w:sz w:val="15"/>
          <w:szCs w:val="15"/>
          <w:color w:val="auto"/>
        </w:rPr>
        <w:t>William E. Moffett (Class II) has served as a director of USA Waste since June 1995. In 1992, Mr. Moffett retired as Chairman of the Board and Chief Executive Officer of Chatham Enterprises, Inc. (real estate development) and Hazmed, Inc. (environmental services). In May 1985, he retired as President of Gulf Oil Foundation and as Vice President -- Public Affairs of Gulf Oil Corporation, having joined Gulf Oil</w:t>
      </w:r>
    </w:p>
    <w:p>
      <w:pPr>
        <w:sectPr>
          <w:pgSz w:w="11900" w:h="16838" w:orient="portrait"/>
          <w:cols w:equalWidth="0" w:num="1">
            <w:col w:w="10225"/>
          </w:cols>
          <w:pgMar w:left="235" w:top="295" w:right="1440" w:bottom="1440" w:gutter="0" w:footer="0" w:header="0"/>
        </w:sectPr>
      </w:pP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5"/>
          </w:cols>
          <w:pgMar w:left="235" w:top="295" w:right="1440" w:bottom="1440" w:gutter="0" w:footer="0" w:header="0"/>
          <w:type w:val="continuous"/>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49</w:t>
      </w:r>
    </w:p>
    <w:p>
      <w:pPr>
        <w:spacing w:after="0" w:line="185" w:lineRule="exact"/>
        <w:rPr>
          <w:sz w:val="20"/>
          <w:szCs w:val="20"/>
          <w:color w:val="auto"/>
        </w:rPr>
      </w:pPr>
    </w:p>
    <w:p>
      <w:pPr>
        <w:jc w:val="both"/>
        <w:ind w:right="3119"/>
        <w:spacing w:after="0" w:line="252" w:lineRule="auto"/>
        <w:rPr>
          <w:sz w:val="20"/>
          <w:szCs w:val="20"/>
          <w:color w:val="auto"/>
        </w:rPr>
      </w:pPr>
      <w:r>
        <w:rPr>
          <w:rFonts w:ascii="Courier New" w:cs="Courier New" w:eastAsia="Courier New" w:hAnsi="Courier New"/>
          <w:sz w:val="15"/>
          <w:szCs w:val="15"/>
          <w:color w:val="auto"/>
        </w:rPr>
        <w:t>Corporation in 1969 and served in a number of managerial assignments for that company and its subsidiaries. Mr. Moffett also serves as a director of Calvin Exploration Company, Inc.</w:t>
      </w:r>
    </w:p>
    <w:p>
      <w:pPr>
        <w:spacing w:after="0" w:line="17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Alexander W. Rangos (Class III) has been a director of USA Waste since June 1995. From June 1995 to December 1995, he was Executive Vice</w:t>
      </w:r>
    </w:p>
    <w:p>
      <w:pPr>
        <w:spacing w:after="0" w:line="1" w:lineRule="exact"/>
        <w:rPr>
          <w:sz w:val="20"/>
          <w:szCs w:val="20"/>
          <w:color w:val="auto"/>
        </w:rPr>
      </w:pPr>
    </w:p>
    <w:p>
      <w:pPr>
        <w:jc w:val="both"/>
        <w:ind w:right="3019"/>
        <w:spacing w:after="0" w:line="250" w:lineRule="auto"/>
        <w:rPr>
          <w:sz w:val="20"/>
          <w:szCs w:val="20"/>
          <w:color w:val="auto"/>
        </w:rPr>
      </w:pPr>
      <w:r>
        <w:rPr>
          <w:rFonts w:ascii="Courier New" w:cs="Courier New" w:eastAsia="Courier New" w:hAnsi="Courier New"/>
          <w:sz w:val="15"/>
          <w:szCs w:val="15"/>
          <w:color w:val="auto"/>
        </w:rPr>
        <w:t>President -- Corporate Development of USA Waste. Prior to such time, he served as President and Chief Operating Officer of Chambers since January 1994. Prior thereto, he served with Chambers as Executive Vice President -- Operations and Corporate Development from 1990 to 1994, as Executive Vice</w:t>
      </w:r>
    </w:p>
    <w:p>
      <w:pPr>
        <w:spacing w:after="0" w:line="2" w:lineRule="exact"/>
        <w:rPr>
          <w:sz w:val="20"/>
          <w:szCs w:val="20"/>
          <w:color w:val="auto"/>
        </w:rPr>
      </w:pPr>
    </w:p>
    <w:p>
      <w:pPr>
        <w:ind w:right="3119"/>
        <w:spacing w:after="0" w:line="253" w:lineRule="auto"/>
        <w:rPr>
          <w:sz w:val="20"/>
          <w:szCs w:val="20"/>
          <w:color w:val="auto"/>
        </w:rPr>
      </w:pPr>
      <w:r>
        <w:rPr>
          <w:rFonts w:ascii="Courier New" w:cs="Courier New" w:eastAsia="Courier New" w:hAnsi="Courier New"/>
          <w:sz w:val="15"/>
          <w:szCs w:val="15"/>
          <w:color w:val="auto"/>
        </w:rPr>
        <w:t>President -- Corporate Development from 1985 to 1990, and as Manager of the Southern Region from 1984 to 1985. Mr. Rangos is a son of John G. Rangos, Sr.</w:t>
      </w:r>
    </w:p>
    <w:p>
      <w:pPr>
        <w:spacing w:after="0" w:line="174"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John G. Rangos, Sr. (Class III) served as Vice Chairman of the Board of Directors of USA Waste from June 1995 until December 1995. Prior to such time, Mr. Rangos served as Chief Executive Officer of Chambers from 1973 to June 1995. Mr. Rangos is the father of Alexander W. Rangos, a Vice Chairman of USA Waste. In connection with the settlement of the Commission's investigation with respect to Chambers' accounting method and the accuracy of its financial statements, the Commission, in May 1995, instituted administrative proceedings against Chambers and certain of its employees and outside auditors whose conduct the Commission found has caused Chambers' violations of the reporting, internal controls and recordkeeping provisions of the Exchange Act. The Commission, while not finding that Mr. Rangos knew of those violations, found that he had not exercised sufficient oversight over the company's recordkeeping, internal accounting controls, and financial reporting functions to assure that Chambers complied with the applicable provisions of the Exchange Act. Mr. Rangos consented to the issuance of a cease and desist order without admitting or denying the Commission's findings.</w:t>
      </w:r>
    </w:p>
    <w:p>
      <w:pPr>
        <w:spacing w:after="0" w:line="184"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Kosti Shirvanian (Class I) founded Western in 1955 as a sole proprietorship. He has served as Western's Chairman of the Board of Directors, President and Chief Executive Officer since Western's incorporation in 1964 and has been a director of USA Waste since May 1996.</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Savey Tufenkian (Class II) helped to establish Western in 1955 and has served as the Secretary and Treasurer of Western since its incorporation in 1964. In 1988, she was elected as Executive Vice President, Secretary and Treasurer of Western and served in those positions until May 1996, at which time she became a director of USA Waste.</w:t>
      </w:r>
    </w:p>
    <w:p>
      <w:pPr>
        <w:spacing w:after="0" w:line="354"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Rodney R. Proto is President, Chief Operating Officer and a Director of Sanifill. Mr. Proto joined Sanifill in February 1992. Prior to such time, he was employed by Browning-Ferris Industries, Inc. for 12 years where he served, among other positions, as Chairman of BFI Overseas from 1985 to 1987 and President of Browning-Ferris Industries Europe, Inc. from 1987 through 1991. Mr. Proto is one of the three Sanifill designees to be appointed to the Board of Directors of USA Waste as of the Effective Time. Mr. Proto will also be elected President and Chief Operating Officer of USA Waste as of the Effective Time.</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 COMMITTEES AND COMPENSATION</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USA Waste Board of Directors held seven meetings in 1995. Each director attended all of the Board of Directors' meetings in 1995 held during the period in which he served. For 1995, directors who are not employed by USA Waste received (i) an annual fee of $18,000 and (ii) a bonus of USA Waste Common Stock valued at $5,000. At the 1996 annual meeting of the stockholders of USA Waste, the stockholders approved a proposal designated "Director Plan" which provides that non-employee directors will receive an annual grant of options to purchase 10,000 shares of USA Waste Common Stock. Such directors will not receive any cash compensation or stock bonus as in prior years. In addition, USA Waste reimburses directors for their travel and out-of-pocket expenses incurred in attending Board or committee meetings.</w:t>
      </w:r>
    </w:p>
    <w:p>
      <w:pPr>
        <w:spacing w:after="0" w:line="18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USA Waste Board of Directors has an Audit Committee, a Compensation and Stock Incentive Plan Committee (the "Compensation Committee") and an Executive Committee. The Audit Committee reviews external and internal audit plans and activities, annual financial statements, and the system of internal financial controls, and approves all significant fees for audit, audit-related and non-audit services provided by independent auditors. The Audit Committee met once in 1995. The Compensation Committee reviews and recommends compensation for USA Waste officers and employees and recommends to the Board of Directors</w:t>
      </w:r>
    </w:p>
    <w:p>
      <w:pPr>
        <w:sectPr>
          <w:pgSz w:w="11900" w:h="16838" w:orient="portrait"/>
          <w:cols w:equalWidth="0" w:num="1">
            <w:col w:w="10219"/>
          </w:cols>
          <w:pgMar w:left="240" w:top="295" w:right="1440" w:bottom="1440" w:gutter="0" w:footer="0" w:header="0"/>
        </w:sectPr>
      </w:pP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95" w:right="1440" w:bottom="1440" w:gutter="0" w:footer="0" w:header="0"/>
          <w:type w:val="continuous"/>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50</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changes in USA Waste's incentive compensation plans. The Compensation Committee met twice in 1995. The Executive Committee may act for the Board of Directors when action is required between Board meetings and may act on behalf of the Board on all but major corporate matters. All actions taken by the Executive Committee must be reported at the Board's next meeting. The Executive Committee met three times in 1995. All of the directors attended all committee meetings during 1995 of the committees of which they were members.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OFFICERS</w:t>
      </w:r>
    </w:p>
    <w:p>
      <w:pPr>
        <w:spacing w:after="0" w:line="36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Each of the nine executive officers (including the chief executive officer and the other four most highly compensated executive officers of USA Waste) will continue as an executive officer of USA Waste after the Merger. David Sutherland-Yoest will resign as President of USA Waste effective as of the Effective Time and will become Regional Vice President -- Atlantic Region. Rodney R. Proto, Sanifill's President and Chief Operating Officer, will serve as USA Waste's President and Chief Operating Officer after the Merger. Each of the executive officers serves at the discretion of the Board of Directors.</w:t>
      </w:r>
    </w:p>
    <w:p>
      <w:pPr>
        <w:spacing w:after="0" w:line="353"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AMENDMENT TO USA WASTE RESTATED CERTIFICATE OF INCORPORATION</w:t>
      </w:r>
    </w:p>
    <w:p>
      <w:pPr>
        <w:spacing w:after="0" w:line="36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authorized capital stock of USA Waste currently consists of 150,000,000 shares of Common Stock, par value $.01 per share, and 10,000,000 shares of Preferred Stock, par value $.01 per share. On the Record Date, approximately 89.2 million shares of USA Waste Common Stock were issued and outstanding, approximately 4.4 million shares were reserved for issuance pending conversion of shares of acquired companies and approximately 13.1 million shares were reserved for issuance upon exercise of outstanding options and warrants.</w:t>
      </w:r>
    </w:p>
    <w:p>
      <w:pPr>
        <w:spacing w:after="0" w:line="200" w:lineRule="exact"/>
        <w:rPr>
          <w:sz w:val="20"/>
          <w:szCs w:val="20"/>
          <w:color w:val="auto"/>
        </w:rPr>
      </w:pPr>
    </w:p>
    <w:p>
      <w:pPr>
        <w:spacing w:after="0" w:line="330"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Based upon the number of shares of Sanifill Common Stock outstanding as of the Record Date, the Merger will require the issuance of approximately 43.1 million shares of USA Waste Common Stock and the reservation for issuance of up to approximately 5.1 million additional shares pursuant to outstanding options, warrants and convertible securities of Sanifill, the sum of which exceeds the number of shares of USA Waste Common Stock currently authorized, unissued and not reserved for other purposes. In addition to the shares to be issued in connection with the Merger, the USA Waste Board of Directors believes that it is in the best interests of USA Waste to have additional shares of USA Waste Common Stock available for issuance at its discretion for future acquisitions, stock splits, stock dividends, equity financings, employee benefit plans and other corporate purposes. Accordingly, the USA Waste Board of Directors has proposed an amendment to the Restated Certificate of Incorporation of USA Waste to increase the number of shares of USA Waste Common Stock available for issuance from 150,000,000 to 300,000,000. The implementation of the Merger is conditioned on the approval of this proposal; however, this proposal is not conditioned on the consummation of the Merger, and, if approved by the stockholders of USA Waste, it is the present intent of the USA Waste Board of Directors to implement this proposal even if the Merger is not consummated.</w:t>
      </w:r>
    </w:p>
    <w:p>
      <w:pPr>
        <w:spacing w:after="0" w:line="363"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If the proposal is approved by the stockholders of USA Waste as described below, the additional shares of USA Waste Common Stock may be issued from time to time upon authorization of the Board of Directors, without further approval by the stockholders unless required by applicable law or NYSE rules, which generally require the approval of a majority of USA Waste's stockholders when USA Waste Common Stock is to be issued if such USA Waste Common Stock has voting power equal to or in excess of 20% of the voting power outstanding, and for such consideration as the USA Waste Board of Directors may determine and as may be permitted by applicable law. The availability of additional shares of USA Waste Common Stock for issuance will afford USA Waste greater flexibility in acting upon proposed transactions.</w:t>
      </w:r>
    </w:p>
    <w:p>
      <w:pPr>
        <w:spacing w:after="0" w:line="182"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increase in authorized shares is not being proposed as a means of preventing or dissuading a change in control or takeover of USA Waste. However, use of these shares for such a purpose is possible. Shares of authorized but unissued or unreserved USA Waste Common Stock and Preferred Stock, for example, could be issued in an effort to dilute the stock ownership and voting power of persons seeking to obtain control of USA Waste or could be issued to purchasers who would support the Board of Directors in opposing a takeover</w:t>
      </w:r>
    </w:p>
    <w:p>
      <w:pPr>
        <w:sectPr>
          <w:pgSz w:w="11900" w:h="16838" w:orient="portrait"/>
          <w:cols w:equalWidth="0" w:num="1">
            <w:col w:w="10219"/>
          </w:cols>
          <w:pgMar w:left="240" w:top="295" w:right="1440" w:bottom="1440" w:gutter="0" w:footer="0" w:header="0"/>
        </w:sectPr>
      </w:pP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95" w:right="1440" w:bottom="1440" w:gutter="0" w:footer="0" w:header="0"/>
          <w:type w:val="continuous"/>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51</w:t>
      </w:r>
    </w:p>
    <w:p>
      <w:pPr>
        <w:spacing w:after="0" w:line="185" w:lineRule="exact"/>
        <w:rPr>
          <w:sz w:val="20"/>
          <w:szCs w:val="20"/>
          <w:color w:val="auto"/>
        </w:rPr>
      </w:pPr>
    </w:p>
    <w:p>
      <w:pPr>
        <w:jc w:val="both"/>
        <w:ind w:right="2839"/>
        <w:spacing w:after="0" w:line="252" w:lineRule="auto"/>
        <w:rPr>
          <w:sz w:val="20"/>
          <w:szCs w:val="20"/>
          <w:color w:val="auto"/>
        </w:rPr>
      </w:pPr>
      <w:r>
        <w:rPr>
          <w:rFonts w:ascii="Courier New" w:cs="Courier New" w:eastAsia="Courier New" w:hAnsi="Courier New"/>
          <w:sz w:val="15"/>
          <w:szCs w:val="15"/>
          <w:color w:val="auto"/>
        </w:rPr>
        <w:t>proposal. In addition, the increase in authorized shares, if approved, may have the effect of discouraging a challenge for control or making it less likely that such a challenge, if attempted, would be successful.</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proposed amendment does not change the terms of the USA Waste Common Stock, which does not have preemptive rights. The additional shares of USA Waste Common Stock for which authorization is sought will have the same voting rights, the same rights to dividends and distribution and will be identical in all other respects to the shares of USA Waste Common Stock now authorized.</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Recommendation of the Board of Directors. The Board of Directors of USA Waste recommends that the stockholders of USA Waste vote FOR the amendment, which is being proposed by the Board of Directors in order to ensure that (i) there will be sufficient authorized, unissued and unreserved shares of USA Waste Common Stock available to effect the Merger (and reserve shares for issuance pursuant to the Sanifill Options, the Sanifill Warrants and the Sanifill Convertible Debentures) and (ii) after the Merger, USA Waste will have shares available for issuance at the Board of Directors' discretion for future acquisitions, stock splits, stock dividends, equity financings, employee benefit plans and other corporate purposes.</w:t>
      </w:r>
    </w:p>
    <w:p>
      <w:pPr>
        <w:spacing w:after="0" w:line="18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Vote Required for Approval. Approval of the amendment to the USA Waste Restated Certificate of Incorporation requires the affirmative vote of a majority of the outstanding shares of USA Waste Common Stock. If approved by the stockholders of USA Waste, it is anticipated that this amendment to the Restated Certificate of Incorporation will become effective as soon as practicable after the USA Waste Special Meeting. See "The Meetings -- Vote Required for Approval."</w:t>
      </w:r>
    </w:p>
    <w:p>
      <w:pPr>
        <w:spacing w:after="0" w:line="17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THE PLAN OF MERGER AND TERMS OF THE MERGER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TIME OF THE MERGER</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Merger will become effective at such time as shall be stated in a certificate of merger to be filed with the Secretary of State of the State of Delaware. It is anticipated that if the Merger Agreement is approved at the USA Waste Special Meeting and the Sanifill Special Meeting and all other conditions to the Merger have been satisfied or waived, the Effective Time will occur as soon as possible after the Meetings. If all other conditions to the Merger have not been satisfied prior to the Meetings, however, it is anticipated that the Effective Time will occur as soon as practicable after the date on which the last of the conditions to closing contained in the Merger Agreement is fulfilled or waived. See "-- Conditions to the Merger."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MANNER AND BASIS FOR CONVERTING SHARES</w:t>
      </w:r>
    </w:p>
    <w:p>
      <w:pPr>
        <w:spacing w:after="0" w:line="185" w:lineRule="exact"/>
        <w:rPr>
          <w:sz w:val="20"/>
          <w:szCs w:val="20"/>
          <w:color w:val="auto"/>
        </w:rPr>
      </w:pPr>
    </w:p>
    <w:p>
      <w:pPr>
        <w:ind w:right="2839" w:firstLine="461"/>
        <w:spacing w:after="0" w:line="253" w:lineRule="auto"/>
        <w:rPr>
          <w:sz w:val="20"/>
          <w:szCs w:val="20"/>
          <w:color w:val="auto"/>
        </w:rPr>
      </w:pPr>
      <w:r>
        <w:rPr>
          <w:rFonts w:ascii="Courier New" w:cs="Courier New" w:eastAsia="Courier New" w:hAnsi="Courier New"/>
          <w:sz w:val="15"/>
          <w:szCs w:val="15"/>
          <w:color w:val="auto"/>
        </w:rPr>
        <w:t>At the Effective Time, each outstanding share of Sanifill Common Stock will be converted into 1.70 shares of USA Waste Common Stock.</w:t>
      </w:r>
    </w:p>
    <w:p>
      <w:pPr>
        <w:spacing w:after="0" w:line="174"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Promptly after the Effective Time, USA Waste will cause the Exchange Agent to mail to each record holder of Sanifill Common Stock immediately prior to the Effective Time, a letter of transmittal and other information advising such holder of the consummation of the Merger and instructions for use in effecting the surrender of Sanifill Common Stock certificates in exchange for USA Waste Common Stock certificates and cash in lieu of fractional shares. Letters of transmittal will also be available following the Effective Time at the offices of the Exchange Agent. After the Effective Time, there will be no further registration of transfers on the stock transfer books of Sanifill of shares of Sanifill Common Stock that were outstanding immediately prior to the Effective Time. SHARE CERTIFICATES SHOULD NOT BE SURRENDERED FOR EXCHANGE BY STOCKHOLDERS OF SANIFILL PRIOR TO APPROVAL OF THE MERGER AND THE RECEIPT OF A LETTER OF TRANSMITTAL.</w:t>
      </w:r>
    </w:p>
    <w:p>
      <w:pPr>
        <w:spacing w:after="0" w:line="183"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No fractional shares of USA Waste Common Stock will be issued in the Merger. Each stockholder of Sanifill otherwise entitled to a fractional share will receive an amount in cash equal to the value of such fractional share based upon the average closing sale price of USA Waste Common Stock on the NYSE during the 10 trading days preceding the Effective Time. No interest will be paid on such amount, and all shares of Sanifill Common Stock held by a record holder will be aggregated for purposes of computing the number of shares of USA Waste Common Stock to be issued in the Merger.</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95"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52</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Until such time as a holder of Sanifill Common Stock surrenders his outstanding stock certificates to the Exchange Agent, together with the letter of transmittal, the shares of Sanifill Common Stock represented thereby will be deemed from and after the Effective Time, for all corporate purposes, to evidence the ownership of the number of full shares of USA Waste Common Stock into which such shares shall have been converted. Unless and until such outstanding certificates are surrendered, no dividends payable to the holders of USA Waste Common Stock, as of any time on or after the Effective Time, will be paid to the holders of such outstanding certificates. Upon surrender of the certificates previously representing shares of Sanifill Common Stock, the holder thereof will receive certificates representing the whole number of shares of USA Waste Common Stock to which he or she is entitled, cash in lieu of fractional shares and the amount of any dividends payable which theretofore became payable to holders of USA Waste Common Stock on or after the Effective Time with respect to such shares, without interest thereon.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ASSUMPTION OF SANIFILL OPTIONS AND SANIFILL WARRANTS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Merger Agreement provides that USA Waste and Sanifill will take such actions as may be necessary to cause each unexpired and unexercised Sanifill Option and Sanifill Warrant to be automatically converted at the Effective Time into an option or warrant, as the case may be, to purchase a number of shares of USA Waste Common Stock equal to the number of shares of Sanifill Common Stock that could have been purchased under the Sanifill Option or Sanifill Warrant multiplied by the Exchange Ratio, at a price per share of USA Waste Common Stock equal to the exercise price determined pursuant to the Sanifill Option or Sanifill Warrant divided by the Exchange Ratio, and subject to the same terms and conditions as the Sanifill Option or Sanifill Warrant (including anti-dilution provisions). USA Waste will assume all of Sanifill's obligations with respect to the Sanifill Options and Sanifill Warrants as so amended and shall, from and after the Effective Time, make available for issuance upon exercise of any such Sanifill Options and Sanifill Warrants all shares of USA Waste Common Stock covered thereby.</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TREATMENT OF SANIFILL CONVERTIBLE DEBENTURES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Sanifill Convertible Debentures that are outstanding immediately prior to the Effective Time will remain outstanding subsequent to the Effective Time as debt instruments of the Surviving Corporation, subject to their respective terms and conditions and the execution and delivery of a supplemental indenture in the form required thereby. After the Effective Time, each outstanding Sanifill Convertible Debenture will be convertible into the amount of shares of USA Waste Common Stock (and cash in lieu of fractional shares) that the holder thereof would have had the right to receive if such Sanifill Convertible Debenture had been converted immediately prior to the Effective Time, subject to subsequent anti-dilution adjustments as provided in the terms of the Sanifill Convertible Debentures. After the Merger, Sanifill must enter into a supplemental indenture with the Trustee providing for such conversion right into shares of USA Waste Common Stock. As of March 31, 1996, $115 million in aggregate principal amount of Sanifill Convertible Debentures were outstanding (which are convertible into 2,389,610 shares of Sanifill Common Stock). In connection with or after the Merger, USA Waste may become a co-obligor under or a guarantor of the Sanifill Convertible Debentures but no definitive decision in this regard has been made by USA Waste.</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Indenture governing the Sanifill Convertible Debentures and the resolutions of the Board of Directors of Sanifill creating such series (collectively, the "Indenture") provide that the holders of Sanifill Convertible Debentures have the right to convert the Sanifill Convertible Debentures into Sanifill Common Stock at any time at a conversion price of $48 1/8 per share. The Indenture also provides that Sanifill may redeem the Sanifill Convertible Debentures at any time after March 15, 1999 at 102.5% of the principal amount thereof (declining annually to par on March 1, 2002). Finally, the Indenture provides that Sanifill must offer to purchase all of the outstanding Sanifill Convertible Debentures upon a Change in Control (as hereinafter defined) at 100% of the principal amount thereof plus accrued interest. Under the Indenture a "Change in Control" means (i) the acquisition by any person of 50% of the voting power of the capital stock of Sanifill or (ii) any merger involving Sanifill; provided, however, that a Change in Control shall not be deemed to have occurred if either (a) all the consideration paid for Sanifill Common Stock (excluding cash for fractional shares) in the transaction consists of shares of common stock listed on the NYSE or other</w:t>
      </w:r>
    </w:p>
    <w:p>
      <w:pPr>
        <w:sectPr>
          <w:pgSz w:w="11900" w:h="16838" w:orient="portrait"/>
          <w:cols w:equalWidth="0" w:num="1">
            <w:col w:w="10219"/>
          </w:cols>
          <w:pgMar w:left="240" w:top="295" w:right="1440" w:bottom="1440" w:gutter="0" w:footer="0" w:header="0"/>
        </w:sectPr>
      </w:pP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95" w:right="1440" w:bottom="1440" w:gutter="0" w:footer="0" w:header="0"/>
          <w:type w:val="continuous"/>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53</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national securities exchange or quoted on The Nasdaq Stock Market, Inc. and as a result of the transactions the Sanifill Convertible Debentures become convertible solely into such common stock or (b) the closing price per share for specified periods equals or exceeds 105% of the conversion price then in effect. The Merger will not constitute a "Change in Control" because it will meet the conditions in clause (a) of the proviso.</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MERGER</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respective obligations of USA Waste and Sanifill to consummate the Merger are subject to the satisfaction of the following conditions: (a) the Merger Agreement and the transactions contemplated thereby shall have been approved and adopted by the requisite vote of the stockholders of USA Waste and the stockholders of Sanifill under applicable law and applicable listing requirements; (b) the USA Waste Common Stock issuable in the Merger and to be reserved for issuance upon exercise of stock options or warrants or the conversion of convertible securities shall have been authorized for listing on the NYSE upon official notice of issuance; (c) the waiting period applicable to consummation of the Merger under the HSR Act shall have expired or been terminated; (d) the Registration Statement shall have become effective in accordance with the provisions of the Securities Act, and no stop order suspending such effectiveness shall have been issued and remain in effect and no proceeding for that purpose shall have been instituted by the Commission or any state regulatory authorities; (e) no preliminary or permanent injunction or other order or decree by any federal or state court which prevents the consummation of the Merger shall have been issued and remain in effect (each party agreeing to use its reasonable efforts to have any such injunction, order or decree lifted); (f) no action shall have been taken, and no statute, rule or regulation shall have been enacted, by any state or federal government or governmental agency in the United States which would prevent the consummation of the Merger or make the consummation of the Merger illegal; (g) all governmental waivers, consents, orders and approvals legally required for the consummation of the Merger and the transactions contemplated hereby, and all consents from lenders required to consummate the Merger, shall have been obtained and be in effect at the Effective Time, except where failure to obtain the same would not be reasonably likely to have a material adverse effect on the business, operations, properties, assets, liabilities, condition (financial or other) or results of operations of Sanifill and its subsidiaries, taken as a whole, following the Effective Time; (h) Coopers &amp; Lybrand L.L.P., certified public accountants for USA Waste, shall have delivered a letter, dated the Closing Date (as hereinafter defined), addressed to USA Waste, in form and substance satisfactory to USA Waste, to the effect that the Merger will qualify for a "pooling of interests" accounting treatment if consummated in accordance with the Merger Agreement; and (i) Arthur Andersen LLP, certified public accountants for Sanifill, shall have delivered a memorandum, dated the Closing Date, addressed to Sanifill, in form and substance reasonably satisfactory to Sanifill, stating that the Merger will qualify for a "pooling of interests" accounting treatment if consummated in accordance with the Merger Agreement.</w:t>
      </w:r>
    </w:p>
    <w:p>
      <w:pPr>
        <w:spacing w:after="0" w:line="19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obligation of Sanifill to effect the Merger is further subject to the fulfillment of the following additional conditions: (a) USA Waste and Acquisition shall have performed in all material respects their agreements contained in the Merger Agreement required to be performed on or prior to the date on which the transactions contemplated by the Merger Agreement are consummated (the "Closing Date"), and the representations and warranties of USA Waste and Acquisition contained in the Merger Agreement shall be true and correct in all material respects on and as of the date made and (except to the extent that such representations and warranties speak as of an earlier date) on and as of the Closing Date as if made at and as of such date, and Sanifill shall have received a certificate of the Chairman of the Board and Chief Executive Officer, the President or a Vice President of USA Waste and of the President and Chief Executive Officer or a Vice President of Acquisition to that effect; (b) Sanifill shall have received an opinion of its legal counsel, Baker &amp; Botts, L.L.P., in form and substance reasonably satisfactory to Sanifill, dated the Closing Date, to the effect that Sanifill and the holders of Sanifill Common Stock (except to the extent any stockholders receive cash in lieu of fractional shares) will recognize no gain or loss for federal income tax purposes as a result of consummation of the Merger; (c) since June 22, 1996, there shall have been no changes that constitute, and no event or events (including, without limitation, litigation developments) shall have occurred which have resulted in or constitute, a material adverse change in the business, operations, properties, assets, condition (financial or other) or results of operations of USA Waste and its subsidiaries, taken as a whole, except for</w:t>
      </w:r>
    </w:p>
    <w:p>
      <w:pPr>
        <w:sectPr>
          <w:pgSz w:w="11900" w:h="16838" w:orient="portrait"/>
          <w:cols w:equalWidth="0" w:num="1">
            <w:col w:w="10219"/>
          </w:cols>
          <w:pgMar w:left="240" w:top="295" w:right="1440" w:bottom="1440" w:gutter="0" w:footer="0" w:header="0"/>
        </w:sectPr>
      </w:pPr>
    </w:p>
    <w:p>
      <w:pPr>
        <w:spacing w:after="0" w:line="18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95" w:right="1440" w:bottom="1440" w:gutter="0" w:footer="0" w:header="0"/>
          <w:type w:val="continuous"/>
        </w:sectPr>
      </w:pPr>
    </w:p>
    <w:bookmarkStart w:id="54" w:name="page55"/>
    <w:bookmarkEnd w:id="54"/>
    <w:p>
      <w:pPr>
        <w:ind w:left="285"/>
        <w:spacing w:after="0"/>
        <w:rPr>
          <w:sz w:val="20"/>
          <w:szCs w:val="20"/>
          <w:color w:val="auto"/>
        </w:rPr>
      </w:pPr>
      <w:r>
        <w:rPr>
          <w:rFonts w:ascii="Courier New" w:cs="Courier New" w:eastAsia="Courier New" w:hAnsi="Courier New"/>
          <w:sz w:val="15"/>
          <w:szCs w:val="15"/>
          <w:color w:val="auto"/>
        </w:rPr>
        <w:t>54</w:t>
      </w:r>
    </w:p>
    <w:p>
      <w:pPr>
        <w:spacing w:after="0" w:line="185"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rPr>
        <w:t>changes that affect the industries in which USA Waste and its subsidiaries operate generally; and (d) all governmental waivers, consents, orders and approvals legally required for the consummation of the Merger and the transactions contemplated by the Merger Agreement shall have been obtained and be in effect at the Closing Date, except for such waivers, consents, orders and approvals the failure of which to have been obtained would not have a material adverse effect on the business, operations, properties, assets, condition (financial or other) or results of operations of USA Waste and its subsidiaries, taken as a whole, following the Effective Time and no governmental authority shall have promulgated after June 22, 1996 any statute, rule or regulation which, when taken together with all other such promulgations, would materially impair the value to Sanifill of the Merger.</w:t>
      </w:r>
    </w:p>
    <w:p>
      <w:pPr>
        <w:spacing w:after="0" w:line="183"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The obligation of USA Waste and Acquisition to effect the Merger is further subject to the fulfillment of the following additional conditions: (a) Sanifill shall have performed in all material respects its agreements in the Merger Agreement required to be performed on or prior to the Closing Date, and the representations and warranties of Sanifill contained in the Merger Agreement shall be true and correct in all material respects on and as of the date made and on and as of the Closing Date as if made at and as of such date, and USA Waste shall have received a certificate of the President and Chief Executive Officer or of a Vice President of Sanifill to that effect; (b) USA Waste shall have received an opinion of its counsel, Andrews &amp; Kurth L.L.P., in form and substance reasonably satisfactory to USA Waste, dated the Closing Date, to the effect that USA Waste and Acquisition will recognize no gain or loss for federal income tax purposes as a result of consummation of the Merger; (c) USA Waste shall have received from each principal executive officer, each director, and each other person who is an "affiliate," as that term is defined in paragraphs</w:t>
      </w:r>
    </w:p>
    <w:p>
      <w:pPr>
        <w:spacing w:after="0" w:line="7" w:lineRule="exact"/>
        <w:rPr>
          <w:sz w:val="20"/>
          <w:szCs w:val="20"/>
          <w:color w:val="auto"/>
        </w:rPr>
      </w:pPr>
    </w:p>
    <w:p>
      <w:pPr>
        <w:ind w:left="5" w:right="2839" w:hanging="5"/>
        <w:spacing w:after="0" w:line="250" w:lineRule="auto"/>
        <w:tabs>
          <w:tab w:leader="none" w:pos="375"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(d) of Rule 145 under the Securities Act, of USA Waste or Sanifill, as the case may be, written agreements to the effect that such person will not offer to sell, sell or otherwise dispose of any shares of USA Waste Common Stock issued in the Merger, except, in each case, pursuant to an effective registration statement or in compliance with Rule 145, as amended from time to time, or in a transaction which, in the opinion of legal counsel satisfactory to USA Waste, is exempt from the registration requirements of the Securities Act and, in any case, until after the results covering 30 days of post-Merger combined operations of USA Waste and Sanifill have been filed with the Commission, sent to stockholders of USA Waste or otherwise publicly issued; (d) since June 22, 1996, there shall have been no changes that constitute, and no event or events (including, without limitation, litigation developments) shall have occurred which have resulted in or constitute, a material adverse change in the business, operations, properties, assets, condition (financial or other) or results of operations of Sanifill and its subsidiaries, taken as a whole, except for changes that affect the industries in which Sanifill and its subsidiaries operate generally; and (e) all governmental waivers, consents, orders and approvals legally required for the consummation of the Merger and the transactions contemplated by the Merger Agreement shall have been obtained and be in effect at the Closing Date, except for such waivers, consents, orders and approvals the failure of which to have been obtained would not have a material adverse effect on the business, operations, properties, assets, condition (financial or other) or results of operations of Sanifill and its subsidiaries, taken as a whole, following the Effective Time, and no governmental authority shall have promulgated after June 22, 1996 any statute, rule or regulation which, when taken together with all other such promulgations, would materially impair the value to USA Waste of the Merger.</w:t>
      </w:r>
    </w:p>
    <w:p>
      <w:pPr>
        <w:spacing w:after="0" w:line="189" w:lineRule="exact"/>
        <w:rPr>
          <w:sz w:val="20"/>
          <w:szCs w:val="20"/>
          <w:color w:val="auto"/>
        </w:rPr>
      </w:pPr>
    </w:p>
    <w:p>
      <w:pPr>
        <w:ind w:left="5" w:right="3019" w:firstLine="461"/>
        <w:spacing w:after="0" w:line="250" w:lineRule="auto"/>
        <w:rPr>
          <w:sz w:val="20"/>
          <w:szCs w:val="20"/>
          <w:color w:val="auto"/>
        </w:rPr>
      </w:pPr>
      <w:r>
        <w:rPr>
          <w:rFonts w:ascii="Courier New" w:cs="Courier New" w:eastAsia="Courier New" w:hAnsi="Courier New"/>
          <w:sz w:val="15"/>
          <w:szCs w:val="15"/>
          <w:color w:val="auto"/>
        </w:rPr>
        <w:t>Neither USA Waste nor Acquisition has any obligation to consummate the Merger if any condition to its obligation to consummate the Merger is not satisfied on or prior to the Closing Date of the Merger, and Sanifill has no obligation to consummate the Merger if any condition to its obligation to consummate the Merger is not satisfied on or prior to the Closing Date of the Merger. However, termination of the Merger Agreement will not relieve either party from liability for any willful or intentional breach of the Merger Agreement. At any time prior to the Effective Time, USA Waste, Acquisition or Sanifill may (a) extend the time for the performance of any of the obligations or other acts of the other party or parties, (b) waive any inaccuracies in the representations and warranties contained in the Merger Agreement or in any document delivered pursuant thereto and (c) waive compliance with any of the agreements or conditions contained in the Merger Agreement.</w:t>
      </w:r>
    </w:p>
    <w:p>
      <w:pPr>
        <w:spacing w:after="0" w:line="183" w:lineRule="exact"/>
        <w:rPr>
          <w:sz w:val="20"/>
          <w:szCs w:val="20"/>
          <w:color w:val="auto"/>
        </w:rPr>
      </w:pPr>
    </w:p>
    <w:p>
      <w:pPr>
        <w:ind w:left="5" w:right="3019" w:firstLine="461"/>
        <w:spacing w:after="0" w:line="252" w:lineRule="auto"/>
        <w:rPr>
          <w:sz w:val="20"/>
          <w:szCs w:val="20"/>
          <w:color w:val="auto"/>
        </w:rPr>
      </w:pPr>
      <w:r>
        <w:rPr>
          <w:rFonts w:ascii="Courier New" w:cs="Courier New" w:eastAsia="Courier New" w:hAnsi="Courier New"/>
          <w:sz w:val="15"/>
          <w:szCs w:val="15"/>
          <w:color w:val="auto"/>
        </w:rPr>
        <w:t>In connection with the consummation of the Merger, USA Waste will seek to obtain any consent or amendment as may be necessary pursuant to USA Waste's Revolving Credit Agreement, dated as of May 7,</w:t>
      </w:r>
    </w:p>
    <w:p>
      <w:pPr>
        <w:sectPr>
          <w:pgSz w:w="11900" w:h="16838" w:orient="portrait"/>
          <w:cols w:equalWidth="0" w:num="1">
            <w:col w:w="10225"/>
          </w:cols>
          <w:pgMar w:left="235" w:top="295" w:right="1440" w:bottom="1440" w:gutter="0" w:footer="0" w:header="0"/>
        </w:sectPr>
      </w:pP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25"/>
          </w:cols>
          <w:pgMar w:left="235" w:top="295" w:right="1440" w:bottom="1440" w:gutter="0" w:footer="0" w:header="0"/>
          <w:type w:val="continuous"/>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55</w:t>
      </w:r>
    </w:p>
    <w:p>
      <w:pPr>
        <w:spacing w:after="0" w:line="185"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1996, by and among USA Waste and The First National Bank of Boston, Bank of America Illinois, Morgan Guaranty Trust Company of New York and other financial institutions.</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Under the terms of an Indenture (the "Indenture"), dated as of March 1, 1996, between Sanifill and Texas Commerce Bank National Association, as trustee, relating to the Sanifill Convertible Debentures, Sanifill is required to deliver to the trustee an officers' certificate and an opinion of counsel, each stating that the Merger complies with the terms of the Indenture and that all conditions precedent provided for in the Indenture relating thereto have been complied with. The Indenture also requires Sanifill to give written notice to all holders of convertible debt issued under the Indenture at least 20 days before the Effective Time of the Merger.</w:t>
      </w:r>
    </w:p>
    <w:p>
      <w:pPr>
        <w:spacing w:after="0" w:line="35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Implementation of the Merger is also conditioned on approval by the stockholders of USA Waste of Proposal No. 2 to amend the Restated Certificate of Incorporation of USA Waste to increase the number of authorized shares of USA Waste Common Stock to 300,000,000 shares and the filing and effectiveness of the Certificate of Amendment with respect thereto. See "Amendment to USA Waste Restated Certificate of Incorporation."</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REPRESENTATIONS AND WARRANTIES OF USA WASTE AND SANIFILL</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In the Merger Agreement, USA Waste and Sanifill have made various representations and warranties relating to, among other things, their respective businesses and financial condition, the accuracy of their various filings with the Commission, the satisfaction of certain legal requirements for the Merger and the absence of undisclosed liabilities or material litigation matters. In addition, Sanifill has represented that the Sanifill Board of Directors has taken all necessary action to amend the Sanifill Preferred Stock Rights Agreement so that none of the triggering events under such agreement will occur or cause such rights to become exercisable.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SURVIVAL OF REPRESENTATIONS, WARRANTIES AND AGREEMENTS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None of the representations, warranties and agreements contained in the Merger Agreement will survive the consummation of the Merger with the exception of the obligations of USA Waste to (i) take such action as is necessary to cause its Board of Directors immediately following the Effective Time to be composed of 12 members, three of which are to be designated by Sanifill prior to the Effective Time, and one of which is to be appointed to the Executive Committee of the Board of Directors of USA Waste (see "The Merger and Related Transactions -- Board of Directors After the Merger"), (ii) appoint Rodney R. Proto as President and Chief Operating Officer of USA Waste effective as of the Effective Time (see "The Merger and Related Transactions -- Board of Directors After the Merger"), (iii) transfer its principal executive office to Houston, Texas as soon as practicable after the Effective Time (see "-- Office Relocation"), (iv) appoint an Exchange Agent and provide the Exchange Agent with a sufficient number of shares of USA Waste Common Stock and cash in lieu of fractional shares for delivery upon surrender of the certificates representing shares of Sanifill Common Stock (see "-- Manner and Basis for Converting Shares"), (v) assume the obligations of Sanifill in connection with its outstanding options and warrants (as amended to provide for the issuance of USA Waste Common Stock upon the exercise thereof), make available for issuance upon exercise of the same all shares of USA Waste Common Stock to be covered thereby and amend its registration statement on Form S-8 or file a new registration statement to cover the additional shares of USA Waste Common Stock to be issued upon the exercise thereof (see "-- Assumption of Sanifill Options and Sanifill Warrants"), and (vi) provide indemnification and directors' and officers' liability insurance to certain directors and officers of Sanifill (see "-- Indemnification and Insurance").</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CONDUCT OF THE BUSINESS OF USA WASTE AND SANIFILL PRIOR TO THE MERGER</w:t>
      </w:r>
    </w:p>
    <w:p>
      <w:pPr>
        <w:spacing w:after="0" w:line="185" w:lineRule="exact"/>
        <w:rPr>
          <w:sz w:val="20"/>
          <w:szCs w:val="20"/>
          <w:color w:val="auto"/>
        </w:rPr>
      </w:pPr>
    </w:p>
    <w:p>
      <w:pPr>
        <w:ind w:right="3119" w:firstLine="461"/>
        <w:spacing w:after="0" w:line="251" w:lineRule="auto"/>
        <w:rPr>
          <w:sz w:val="20"/>
          <w:szCs w:val="20"/>
          <w:color w:val="auto"/>
        </w:rPr>
      </w:pPr>
      <w:r>
        <w:rPr>
          <w:rFonts w:ascii="Courier New" w:cs="Courier New" w:eastAsia="Courier New" w:hAnsi="Courier New"/>
          <w:sz w:val="15"/>
          <w:szCs w:val="15"/>
          <w:color w:val="auto"/>
        </w:rPr>
        <w:t>Pursuant to the Merger Agreement, Sanifill has agreed that, prior to the Effective Time, and except as otherwise agreed to in writing by USA Waste and except as set forth in the Merger Agreement or disclosed to USA Waste before execution of the Merger Agreement, it shall, and shall cause each of its subsidiaries to: (a) conduct their respective businesses in the ordinary and usual course of business and consistent with past</w:t>
      </w:r>
    </w:p>
    <w:p>
      <w:pPr>
        <w:sectPr>
          <w:pgSz w:w="11900" w:h="16838" w:orient="portrait"/>
          <w:cols w:equalWidth="0" w:num="1">
            <w:col w:w="10219"/>
          </w:cols>
          <w:pgMar w:left="240" w:top="295" w:right="1440" w:bottom="1440" w:gutter="0" w:footer="0" w:header="0"/>
        </w:sectPr>
      </w:pP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95" w:right="1440" w:bottom="1440" w:gutter="0" w:footer="0" w:header="0"/>
          <w:type w:val="continuous"/>
        </w:sectPr>
      </w:pPr>
    </w:p>
    <w:bookmarkStart w:id="56" w:name="page57"/>
    <w:bookmarkEnd w:id="56"/>
    <w:p>
      <w:pPr>
        <w:ind w:left="285"/>
        <w:spacing w:after="0"/>
        <w:rPr>
          <w:sz w:val="20"/>
          <w:szCs w:val="20"/>
          <w:color w:val="auto"/>
        </w:rPr>
      </w:pPr>
      <w:r>
        <w:rPr>
          <w:rFonts w:ascii="Courier New" w:cs="Courier New" w:eastAsia="Courier New" w:hAnsi="Courier New"/>
          <w:sz w:val="15"/>
          <w:szCs w:val="15"/>
          <w:color w:val="auto"/>
        </w:rPr>
        <w:t>56</w:t>
      </w:r>
    </w:p>
    <w:p>
      <w:pPr>
        <w:spacing w:after="0" w:line="185" w:lineRule="exact"/>
        <w:rPr>
          <w:sz w:val="20"/>
          <w:szCs w:val="20"/>
          <w:color w:val="auto"/>
        </w:rPr>
      </w:pPr>
    </w:p>
    <w:p>
      <w:pPr>
        <w:ind w:left="5" w:right="3219"/>
        <w:spacing w:after="0" w:line="250" w:lineRule="auto"/>
        <w:rPr>
          <w:sz w:val="20"/>
          <w:szCs w:val="20"/>
          <w:color w:val="auto"/>
        </w:rPr>
      </w:pPr>
      <w:r>
        <w:rPr>
          <w:rFonts w:ascii="Courier New" w:cs="Courier New" w:eastAsia="Courier New" w:hAnsi="Courier New"/>
          <w:sz w:val="15"/>
          <w:szCs w:val="15"/>
          <w:color w:val="auto"/>
        </w:rPr>
        <w:t>practice; (b) not (i) amend or propose to amend their respective charter or bylaws, (ii) split, combine or reclassify their outstanding capital stock or</w:t>
      </w:r>
    </w:p>
    <w:p>
      <w:pPr>
        <w:spacing w:after="0" w:line="1" w:lineRule="exact"/>
        <w:rPr>
          <w:sz w:val="20"/>
          <w:szCs w:val="20"/>
          <w:color w:val="auto"/>
        </w:rPr>
      </w:pPr>
    </w:p>
    <w:p>
      <w:pPr>
        <w:ind w:left="5" w:right="2839" w:hanging="5"/>
        <w:spacing w:after="0" w:line="250" w:lineRule="auto"/>
        <w:tabs>
          <w:tab w:leader="none" w:pos="55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set aside or pay any dividend or distribution payable in cash, stock, property or otherwise, except for the payment of dividends or distributions by a wholly owned subsidiary of Sanifill; (c) 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(i) Sanifill may issue shares upon conversion of convertible securities and exercise of options and warrants outstanding on the date of the Merger Agreement and (ii) Sanifill may issue shares of Sanifill Common Stock in connection with acquisitions of assets or businesses pursuant to the proviso contained in clause</w:t>
      </w:r>
    </w:p>
    <w:p>
      <w:pPr>
        <w:spacing w:after="0" w:line="4" w:lineRule="exact"/>
        <w:rPr>
          <w:rFonts w:ascii="Courier New" w:cs="Courier New" w:eastAsia="Courier New" w:hAnsi="Courier New"/>
          <w:sz w:val="15"/>
          <w:szCs w:val="15"/>
          <w:color w:val="auto"/>
        </w:rPr>
      </w:pPr>
    </w:p>
    <w:p>
      <w:pPr>
        <w:ind w:left="5" w:right="2839" w:hanging="5"/>
        <w:spacing w:after="0" w:line="250" w:lineRule="auto"/>
        <w:tabs>
          <w:tab w:leader="none" w:pos="37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below; (d) not (i) incur or become contingently liable with respect to any indebtedness for borrowed money other than (A) borrowings in the ordinary course of business, (B) borrowings to refinance existing indebtedness on terms which are reasonably acceptable to USA Waste or (C) as set forth in the proviso contained in this clause (d), (ii) redeem, purchase, acquire or offer to purchase or acquire any shares of their capital stock, or any options, warrants or rights to acquire any of their capital stock, or any security convertible into or exchangeable for their capital stock, (iii) take any action that would jeopardize the treatment of the Merger as a "pooling of interests" under Accounting Principles Board Opinion No. 16, (iv) take or fail to take any action which action or failure to take action would cause Sanifill or its stockholders (except to the extent that any stockholders receive cash in lieu of fractional shares and except to the extent of stockholders in special circumstances) to recognize any gain or loss for federal income tax purposes as a result of the consummation of the Merger or would otherwise cause the Merger not to qualify as a reorganization under Section 368 of the Code, (v) make any acquisition of any assets or businesses other than expenditures for current assets in the ordinary course of business and expenditures for fixed or capital assets in the ordinary course of business and consistent with Sanifill's capital budget disclosed in its disclosure schedule and other than as set forth in the proviso of this clause (d), (vi) sell, pledge, dispose of or encumber any material assets or businesses other than sales in the ordinary course of business or (vii) enter into any binding contract, agreement, commitment or arrangement with respect to any of the foregoing; provided, however, that notwithstanding the foregoing, (other than subsections (iii) and (iv) of this clause (d)) Sanifill shall not be prohibited from acquiring any assets or businesses or issuing Sanifill Common Stock or incurring or assuming indebtedness in connection with such acquisitions so long as (x) the aggregate value of consideration paid or payable in connection with all such acquisitions, including any funded indebtedness assumed and any Sanifill Common Stock (valued for purposes of this limitation at a price per share equal to the price of Sanifill Common Stock on the date an agreement in respect of an acquisition is entered into) issued or issuable in connection with such acquisitions, does not exceed $80 million (excluding any acquisitions for which a letter of intent has been executed and which were disclosed to USA Waste before the execution of the Merger Agreement), (y) the aggregate value of consideration paid or payable for any one such acquisition, including any funded indebtedness assumed and any Sanifill Common Stock (valued for purposes of this limitation at a price per share equal to the price of Sanifill Common Stock on the date an agreement in respect of an acquisition is entered into) issued or issuable in connection with such acquisition, does not exceed $20 million (excluding any acquisitions for which a letter of intent has been executed and which are identified on Sanifill's disclosure schedule) and (z) Sanifill will not acquire or agree to acquire any assets or business if such acquisition or agreement may reasonably be expected to delay the consummation of the Merger;</w:t>
      </w:r>
    </w:p>
    <w:p>
      <w:pPr>
        <w:spacing w:after="0" w:line="19" w:lineRule="exact"/>
        <w:rPr>
          <w:rFonts w:ascii="Courier New" w:cs="Courier New" w:eastAsia="Courier New" w:hAnsi="Courier New"/>
          <w:sz w:val="15"/>
          <w:szCs w:val="15"/>
          <w:color w:val="auto"/>
        </w:rPr>
      </w:pPr>
    </w:p>
    <w:p>
      <w:pPr>
        <w:ind w:left="5" w:right="2839" w:hanging="5"/>
        <w:spacing w:after="0" w:line="250" w:lineRule="auto"/>
        <w:tabs>
          <w:tab w:leader="none" w:pos="37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all reasonable efforts to preserve intact their respective business organizations and goodwill, keep available the services of their respective present officers and key employees, preserve the goodwill and business relationships with customers and others having business relationships with them and not engage in any action, directly or indirectly, with the intent to adversely impact the transactions contemplated by the Merger Agreement; (f) subject to restrictions imposed by applicable law, confer on a regular and frequent basis with one or more representatives of USA Waste to report operational matters of materiality and the general status of ongoing operations;</w:t>
      </w:r>
    </w:p>
    <w:p>
      <w:pPr>
        <w:spacing w:after="0" w:line="3" w:lineRule="exact"/>
        <w:rPr>
          <w:rFonts w:ascii="Courier New" w:cs="Courier New" w:eastAsia="Courier New" w:hAnsi="Courier New"/>
          <w:sz w:val="15"/>
          <w:szCs w:val="15"/>
          <w:color w:val="auto"/>
        </w:rPr>
      </w:pPr>
    </w:p>
    <w:p>
      <w:pPr>
        <w:ind w:left="5" w:right="2839" w:hanging="5"/>
        <w:spacing w:after="0" w:line="250" w:lineRule="auto"/>
        <w:tabs>
          <w:tab w:leader="none" w:pos="375"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Sanifill and its subsidiaries shall in no event enter into any written employment agreement;</w:t>
      </w:r>
    </w:p>
    <w:p>
      <w:pPr>
        <w:spacing w:after="0" w:line="2" w:lineRule="exact"/>
        <w:rPr>
          <w:rFonts w:ascii="Courier New" w:cs="Courier New" w:eastAsia="Courier New" w:hAnsi="Courier New"/>
          <w:sz w:val="15"/>
          <w:szCs w:val="15"/>
          <w:color w:val="auto"/>
        </w:rPr>
      </w:pPr>
    </w:p>
    <w:p>
      <w:pPr>
        <w:ind w:left="5" w:right="2839" w:hanging="5"/>
        <w:spacing w:after="0" w:line="251" w:lineRule="auto"/>
        <w:tabs>
          <w:tab w:leader="none" w:pos="375"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adopt, enter into or amend any bonus, profit sharing, compensation, stock option, pension, retirement, deferred compensation, health care, employment or other employee benefit plan, agreement, trust, fund or arrangement for the benefit or welfare of any employee or</w:t>
      </w:r>
    </w:p>
    <w:p>
      <w:pPr>
        <w:sectPr>
          <w:pgSz w:w="11900" w:h="16838" w:orient="portrait"/>
          <w:cols w:equalWidth="0" w:num="1">
            <w:col w:w="10225"/>
          </w:cols>
          <w:pgMar w:left="235" w:top="295" w:right="1440" w:bottom="1440" w:gutter="0" w:footer="0" w:header="0"/>
        </w:sectPr>
      </w:pP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25"/>
          </w:cols>
          <w:pgMar w:left="235" w:top="295" w:right="1440" w:bottom="1440" w:gutter="0" w:footer="0" w:header="0"/>
          <w:type w:val="continuous"/>
        </w:sectPr>
      </w:pPr>
    </w:p>
    <w:bookmarkStart w:id="57" w:name="page58"/>
    <w:bookmarkEnd w:id="57"/>
    <w:p>
      <w:pPr>
        <w:ind w:left="285"/>
        <w:spacing w:after="0"/>
        <w:rPr>
          <w:sz w:val="20"/>
          <w:szCs w:val="20"/>
          <w:color w:val="auto"/>
        </w:rPr>
      </w:pPr>
      <w:r>
        <w:rPr>
          <w:rFonts w:ascii="Courier New" w:cs="Courier New" w:eastAsia="Courier New" w:hAnsi="Courier New"/>
          <w:sz w:val="15"/>
          <w:szCs w:val="15"/>
          <w:color w:val="auto"/>
        </w:rPr>
        <w:t>57</w:t>
      </w:r>
    </w:p>
    <w:p>
      <w:pPr>
        <w:spacing w:after="0" w:line="185" w:lineRule="exact"/>
        <w:rPr>
          <w:sz w:val="20"/>
          <w:szCs w:val="20"/>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rPr>
        <w:t>retiree, except as required to comply with changes in applicable law; (i) use commercially reasonable efforts to maintain with financially responsible insurance companies insurance on their tangible assets and their businesses in such amounts and against such risks and losses as are consistent with past practice; and (j) not make, change or revoke any material tax election or make any material agreement or settlement regarding taxes with any taxing authority.</w:t>
      </w:r>
    </w:p>
    <w:p>
      <w:pPr>
        <w:spacing w:after="0" w:line="176"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Pursuant to the Merger Agreement, USA Waste has agreed that, prior to the Effective Time, and except as otherwise agreed to in writing by Sanifill, it shall, and shall cause each of its subsidiaries to: (a) conduct their respective businesses in the ordinary and usual course of business and consistent with past practice; (b) not (i) amend or propose to amend their respective charter (except for the amendment to USA Waste's Restated Certificate of Incorporation to increase the number of authorized shares of USA Waste Common Stock) or bylaws,</w:t>
      </w:r>
    </w:p>
    <w:p>
      <w:pPr>
        <w:spacing w:after="0" w:line="3" w:lineRule="exact"/>
        <w:rPr>
          <w:sz w:val="20"/>
          <w:szCs w:val="20"/>
          <w:color w:val="auto"/>
        </w:rPr>
      </w:pPr>
    </w:p>
    <w:p>
      <w:pPr>
        <w:ind w:left="5" w:right="2839" w:hanging="5"/>
        <w:spacing w:after="0" w:line="250" w:lineRule="auto"/>
        <w:tabs>
          <w:tab w:leader="none" w:pos="467"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split, combine or reclassify (whether by stock dividend or otherwise) their outstanding capital stock or (iii) declare, set aside or pay any dividend or distribution payable in cash, stock, property or otherwise, except for the payment of dividends or distributions by a wholly owned subsidiary of USA Waste;</w:t>
      </w:r>
    </w:p>
    <w:p>
      <w:pPr>
        <w:spacing w:after="0" w:line="1" w:lineRule="exact"/>
        <w:rPr>
          <w:rFonts w:ascii="Courier New" w:cs="Courier New" w:eastAsia="Courier New" w:hAnsi="Courier New"/>
          <w:sz w:val="15"/>
          <w:szCs w:val="15"/>
          <w:color w:val="auto"/>
        </w:rPr>
      </w:pPr>
    </w:p>
    <w:p>
      <w:pPr>
        <w:ind w:left="5" w:right="2839" w:hanging="5"/>
        <w:spacing w:after="0" w:line="250" w:lineRule="auto"/>
        <w:tabs>
          <w:tab w:leader="none" w:pos="37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(i) USA Waste may issue shares upon conversion of convertible securities and exercise of options outstanding on the date hereof, (ii) USA Waste may issue options (and shares upon exercise of such options) pursuant to its employee stock option plans in effect on the date hereof in the ordinary course of business and consistent with past practices and (iii) USA Waste may issue shares of capital stock (or warrants or options to acquire capital stock) in connection with acquisitions of assets or businesses pursuant to the proviso contained in clause (d) below; (d) not (i) incur or become contingently liable with respect to any indebtedness for borrowed money other than (A) borrowings in the ordinary course of business, (B) borrowings to refinance existing indebtedness on terms which are reasonably acceptable to Sanifill or (C) as set forth in the proviso in this clause (d), (ii) redeem, purchase, acquire or offer to purchase or acquire any shares of their capital stock, or any options, warrants or rights to acquire any of their capital stock, or any security convertible into or exchangeable for their capital stock, (iii) take any action which would jeopardize the treatment of the Merger as a "pooling of interests" under Accounting Principles Board Opinion No. 16, or (iv) take or fail to take any action which action or failure to take action would cause USA Waste or its stockholders to recognize gain or loss for federal income tax purposes as a result of the consummation of the Merger or would otherwise cause the Merger not to qualify as a reorganization under Section 368 of the Code, (v) sell, pledge, dispose of or encumber any material assets or businesses other than sales in the ordinary course of business, (vi) make any acquisition of any assets or businesses other than expenditures for current assets in the ordinary course of business and expenditures for fixed or capital assets in the ordinary course of business and other than as set forth in the proviso of this clause (d), or (vii) enter into any binding contract, agreement, commitment or arrangement with respect to any of the foregoing; provided, however, that notwithstanding the foregoing (other than subsections (iii) and (iv) of this clause (d)), USA Waste shall not be prohibited from acquiring any assets or businesses or issuing capital stock (or warrants or options to acquire capital stock) or incurring or assuming indebtedness in connection with such acquisitions so long as (x) the aggregate value of consideration paid or payable in connection with all such acquisitions, including any funded indebtedness assumed and any USA Waste Common Stock (valued for purposes of this limitation at a price per share equal to the price of USA Waste Common Stock on the date an agreement in respect of an acquisition is entered into) issued or issuable in connection with such acquisitions, does not exceed $160 million (excluding any acquisitions for which a letter of intent has been executed and which were disclosed to Sanifill before the execution of the Merger Agreement), (y) the aggregate value of consideration paid or payable for any one such acquisition, including any funded indebtedness assumed and any USA Waste Common Stock (valued for purposes of this limitation at a price per share equal to the price of USA Waste Common Stock on the date an agreement in respect of an acquisition is entered into) issued or issuable in connection with such acquisition, does not exceed $40 million (excluding any acquisitions for which a letter of intent has been executed and which were disclosed to Sanifill before the execution of the Merger Agreement) and (z) USA Waste will not acquire or agree to acquire any assets or business if such acquisition or agreement may reasonably be expected to delay the consummation of the Merger; (e) use all reasonable efforts to preserve intact their respective business organizations and</w:t>
      </w:r>
    </w:p>
    <w:p>
      <w:pPr>
        <w:sectPr>
          <w:pgSz w:w="11900" w:h="16838" w:orient="portrait"/>
          <w:cols w:equalWidth="0" w:num="1">
            <w:col w:w="10225"/>
          </w:cols>
          <w:pgMar w:left="235" w:top="295" w:right="1440" w:bottom="1440" w:gutter="0" w:footer="0" w:header="0"/>
        </w:sectPr>
      </w:pPr>
    </w:p>
    <w:p>
      <w:pPr>
        <w:spacing w:after="0" w:line="379"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25"/>
          </w:cols>
          <w:pgMar w:left="235" w:top="295" w:right="1440" w:bottom="1440" w:gutter="0" w:footer="0" w:header="0"/>
          <w:type w:val="continuous"/>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58</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goodwill, keep available the services of their respective present officers and key employees, preserve the goodwill and business relationships with customers and others having business relationships with them and not engage in any action, directly or indirectly, with the intent to adversely impact the transactions contemplated by the Merger Agreement; (f) subject to restrictions imposed by applicable law, confer on a regular and frequent basis with one or more representatives of Sanifill to report operational matters of materiality and the general status of ongoing operations; and (g) use commercially reasonable efforts to maintain with financially responsible insurance companies insurance on their tangible assets and their businesses in such amounts and against such risks and losses as are consistent with past practice.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SOLICITATION OF ACQUISITION TRANSACTIONS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Merger Agreement further provides that prior to the Effective Date or earlier termination of the Merger Agreement, Sanifill shall not, and shall not permit any of its subsidiaries to, initiate, solicit, negotiate, encourage or provide non-public confidential information to facilitate, and Sanifill shall, and shall cause each of its subsidiaries to, cause any officer, director or employee of, or any attorney, accountant, investment banker, financial advisor or other agent retained by it, not to initiate, solicit, negotiate, encourage or provide non-public or confidential information to facilitate, any proposal or offer to acquire all or any substantial part of the business and properties of Sanifill or any capital stock of Sanifill, whether by merger, purchase of assets, tender offer or otherwise, whether for cash, securities or any other consideration or combination thereof (any such transactions being referred to herein as an "Acquisition Transaction"); provided, however, that (i) Sanifill may, in response to an unsolicited written proposal or indication of interest with respect to a potential or proposed Acquisition Transaction ("Acquisition Proposal"), furnish (subject to the execution of a confidentiality agreement and standstill agreement containing provisions substantially similar to the confidentiality and standstill provisions of the confidentiality agreements executed by USA Waste and Sanifill) confidential or non-public information to a financially capable corporation, partnership, person or other entity or group (a "Potential Acquirer") and negotiate with such Potential Acquirer if Sanifill's board of directors, after consulting with its outside legal counsel, determines in good faith that the failure to provide such confidential or non-public information to or negotiate with such Potential Acquirer would constitute a breach of its fiduciary duty to its stockholders and (ii) Sanifill's Board of Directors may take and disclose to Sanifill's stockholders a position contemplated by Rule 14e-2 under the Exchange Act. Sanifill shall immediately notify USA Waste after receipt of any Acquisition Proposal or any request for non-public information relating to Sanifill or its subsidiaries in connection with an Acquisition Proposal or for access to the properties, books or records of Sanifill or any subsidiary by any person or entity that informs the Board of Directors of Sanifill or such subsidiary that it is considering making, or has made, an Acquisition Proposal. Such notice to USA Waste shall be made orally and in writing and shall indicate in reasonable detail the identity of the Potential Acquirer and the terms and conditions of such proposal, inquiry or contact.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CONDUCT OF THE BUSINESS OF THE COMBINED COMPANIES FOLLOWING THE MERGER</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Following the Merger, Sanifill will be a wholly owned subsidiary of USA Waste. Pursuant to the Merger Agreement, the Certificate of Incorporation and the Bylaws of Acquisition, as in effect immediately prior to the Effective Time, will be the Certificate of Incorporation and Bylaws of the surviving corporation and thereafter may be amended in accordance with their terms and as provided in the DGCL. In connection with the execution of the Merger Agreement, USA Waste and Sanifill entered into the Indemnification Letter Agreement which provides that the Certificate of Incorporation of the Surviving Corporation as of the Effective Time will contain provisions for the indemnification of officers and directors and related matters identical to the provisions governing such matters contained in the USA Waste Restated Certificate of Incorporation as of June 22, 1996.</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OR AMENDMENT</w:t>
      </w:r>
    </w:p>
    <w:p>
      <w:pPr>
        <w:spacing w:after="0" w:line="185" w:lineRule="exact"/>
        <w:rPr>
          <w:sz w:val="20"/>
          <w:szCs w:val="20"/>
          <w:color w:val="auto"/>
        </w:rPr>
      </w:pPr>
    </w:p>
    <w:p>
      <w:pPr>
        <w:ind w:right="3119" w:firstLine="461"/>
        <w:spacing w:after="0" w:line="251" w:lineRule="auto"/>
        <w:rPr>
          <w:sz w:val="20"/>
          <w:szCs w:val="20"/>
          <w:color w:val="auto"/>
        </w:rPr>
      </w:pPr>
      <w:r>
        <w:rPr>
          <w:rFonts w:ascii="Courier New" w:cs="Courier New" w:eastAsia="Courier New" w:hAnsi="Courier New"/>
          <w:sz w:val="15"/>
          <w:szCs w:val="15"/>
          <w:color w:val="auto"/>
        </w:rPr>
        <w:t>Termination. The Merger Agreement may be terminated under certain circumstances, including (a) with the mutual written consent of USA Waste and Sanifill or (b) either by USA Waste or Sanifill at any time prior to the consummation of the Merger (i) if the Merger is not completed by December 31, 1996, for</w:t>
      </w:r>
    </w:p>
    <w:p>
      <w:pPr>
        <w:sectPr>
          <w:pgSz w:w="11900" w:h="16838" w:orient="portrait"/>
          <w:cols w:equalWidth="0" w:num="1">
            <w:col w:w="10219"/>
          </w:cols>
          <w:pgMar w:left="240" w:top="295" w:right="1440" w:bottom="1440" w:gutter="0" w:footer="0" w:header="0"/>
        </w:sectPr>
      </w:pP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95" w:right="1440" w:bottom="1440" w:gutter="0" w:footer="0" w:header="0"/>
          <w:type w:val="continuous"/>
        </w:sectPr>
      </w:pPr>
    </w:p>
    <w:bookmarkStart w:id="59" w:name="page60"/>
    <w:bookmarkEnd w:id="59"/>
    <w:p>
      <w:pPr>
        <w:ind w:left="285"/>
        <w:spacing w:after="0"/>
        <w:rPr>
          <w:sz w:val="20"/>
          <w:szCs w:val="20"/>
          <w:color w:val="auto"/>
        </w:rPr>
      </w:pPr>
      <w:r>
        <w:rPr>
          <w:rFonts w:ascii="Courier New" w:cs="Courier New" w:eastAsia="Courier New" w:hAnsi="Courier New"/>
          <w:sz w:val="15"/>
          <w:szCs w:val="15"/>
          <w:color w:val="auto"/>
        </w:rPr>
        <w:t>59</w:t>
      </w:r>
    </w:p>
    <w:p>
      <w:pPr>
        <w:spacing w:after="0" w:line="185"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rPr>
        <w:t>reasons other than delay on the part of the party requesting termination (the "Terminating Party"); (ii) if the representations and warranties of the non-Terminating Party shall fail to be true and correct in all material respects on and as of the date made or, except in the case of any such representations and warranties made as of a specified date, on and as of any subsequent date as if made at and as of such subsequent date and such failure shall not have been cured within 30 days after written notice of such failure is given to the non-Terminating Party by the Terminating Party; (iii) if the Merger is enjoined by a final, unappealable court order not entered at the request or with the support of the party requesting termination; (iv) if the non-Terminating Party (x) fails to perform in any material respect any of its material covenants in the Merger Agreement and (y) does not cure such default in all material respects within 30 days after notice of such default is given to the non-Terminating Party by the Terminating Party; and (v) if the stockholders of the non-Terminating Party fail to approve the Merger at a duly held meeting of the stockholders called for such purpose or any adjournment thereof. Additionally, Sanifill may terminate the Merger Agreement (i) if (x) Sanifill receives an offer or proposal from any Potential Acquirer (excluding any affiliate of Sanifill or any group of which any affiliate of Sanifill is a member) with respect to a merger, sale of substantial assets or other business combination involving Sanifill, (y) Sanifill's Board of Directors determines, in good faith and after consultation with an independent financial advisor, that such offer or proposal (if consummated pursuant to its terms) would result in an Acquisition Transaction more favorable to Sanifill's stockholders than the Merger (any such offer or proposal being referred to as a "Superior Proposal") and resolves to accept such Superior Proposal and (z) Sanifill shall have given USA Waste two days' prior written notice of its intention to terminate; (ii) if (x) a tender or exchange offer is commenced by a Potential Acquirer (excluding any affiliate of Sanifill or any group of which any affiliate of Sanifill is a member) for all outstanding shares of Sanifill Common Stock; (y) Sanifill's Board of Directors determines, in good faith and after consultation with an independent financial advisor, that such offer constitutes a Superior Proposal and resolves to accept such Superior Proposal or recommend to the stockholders that they tender their shares in such tender or exchange offer and (z) Sanifill shall have given USA Waste two days' prior written notice of its intention to terminate. Similarly, USA Waste may terminate the Merger Agreement if the Board of Directors of Sanifill shall have resolved to accept a Superior Proposal or shall have recommended to Sanifill's stockholders that they tender their shares in a tender or an exchange offer commenced by a third party (excluding any affiliate of USA Waste or any group of which any affiliate of USA Waste is a member). However, termination of the Merger Agreement will not relieve either party from liability for any breach of the Merger Agreement.</w:t>
      </w:r>
    </w:p>
    <w:p>
      <w:pPr>
        <w:spacing w:after="0" w:line="373"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The Merger Agreement may not be amended except by action taken by the respective Boards of Directors of the parties or duly authorized committees thereof and then only by an instrument in writing signed on behalf of each party and in compliance with applicable law. Such amendment may take place at any time prior to the Closing Date, whether before or after approval by the stockholders of USA Waste, Sanifill or Acquisition.</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TERMINATION FEES</w:t>
      </w:r>
    </w:p>
    <w:p>
      <w:pPr>
        <w:spacing w:after="0" w:line="185" w:lineRule="exact"/>
        <w:rPr>
          <w:sz w:val="20"/>
          <w:szCs w:val="20"/>
          <w:color w:val="auto"/>
        </w:rPr>
      </w:pPr>
    </w:p>
    <w:p>
      <w:pPr>
        <w:ind w:left="5" w:right="3219" w:firstLine="461"/>
        <w:spacing w:after="0" w:line="250" w:lineRule="auto"/>
        <w:rPr>
          <w:sz w:val="20"/>
          <w:szCs w:val="20"/>
          <w:color w:val="auto"/>
        </w:rPr>
      </w:pPr>
      <w:r>
        <w:rPr>
          <w:rFonts w:ascii="Courier New" w:cs="Courier New" w:eastAsia="Courier New" w:hAnsi="Courier New"/>
          <w:sz w:val="15"/>
          <w:szCs w:val="15"/>
          <w:color w:val="auto"/>
        </w:rPr>
        <w:t>Sanifill and USA Waste have each agreed to pay a termination fee to the other party should certain of the termination rights described in</w:t>
      </w:r>
    </w:p>
    <w:p>
      <w:pPr>
        <w:spacing w:after="0" w:line="1"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rPr>
        <w:t>"-- Termination or Amendment" above be exercised under certain circumstances. Sanifill has agreed to pay USA Waste a fee of $39 million if (a) Sanifill terminates the Merger Agreement in connection with a Superior Proposal as described in "-- Termination or Amendment" above or (b) USA Waste terminates the Merger Agreement as described in clause (b)(iv) of "-- Termination or Amendment" above; provided, however, that USA Waste shall not be entitled to receive such termination fee if the standstill provisions contained in the Confidentiality Agreement between USA Waste and Sanifill have lapsed and are no longer in force and effect because (a) (i) a third party, other than a third party who is an affiliate or is acting in concert with USA Waste, commences a tender or exchange offer for 20% or more of the Sanifill Common Stock, (ii) a third party, other than a third party who is an affiliate or is acting in concert with USA Waste, acquires beneficial ownership of 20% or more of the Sanifill Common Stock or</w:t>
      </w:r>
    </w:p>
    <w:p>
      <w:pPr>
        <w:spacing w:after="0" w:line="6" w:lineRule="exact"/>
        <w:rPr>
          <w:sz w:val="20"/>
          <w:szCs w:val="20"/>
          <w:color w:val="auto"/>
        </w:rPr>
      </w:pPr>
    </w:p>
    <w:p>
      <w:pPr>
        <w:ind w:left="5" w:right="2839" w:hanging="5"/>
        <w:spacing w:after="0" w:line="250" w:lineRule="auto"/>
        <w:tabs>
          <w:tab w:leader="none" w:pos="55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Sanifill has agreed to a merger, consolidation or other acquisition of Sanifill or an acquisition of all or substantially all of the assets of Sanifill and (b) USA Waste has, following the occurrence of an event described in (a)(i),</w:t>
      </w:r>
    </w:p>
    <w:p>
      <w:pPr>
        <w:spacing w:after="0" w:line="1" w:lineRule="exact"/>
        <w:rPr>
          <w:rFonts w:ascii="Courier New" w:cs="Courier New" w:eastAsia="Courier New" w:hAnsi="Courier New"/>
          <w:sz w:val="15"/>
          <w:szCs w:val="15"/>
          <w:color w:val="auto"/>
        </w:rPr>
      </w:pPr>
    </w:p>
    <w:p>
      <w:pPr>
        <w:ind w:left="5" w:right="3219" w:hanging="5"/>
        <w:spacing w:after="0" w:line="252" w:lineRule="auto"/>
        <w:tabs>
          <w:tab w:leader="none" w:pos="46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(iii) above, taken actions that would otherwise be prohibited by the standstill provisions of the Confidentiality Agreement. See "-- Other Agreements." USA Waste has agreed to pay a fee of $39 million if</w:t>
      </w:r>
    </w:p>
    <w:p>
      <w:pPr>
        <w:sectPr>
          <w:pgSz w:w="11900" w:h="16838" w:orient="portrait"/>
          <w:cols w:equalWidth="0" w:num="1">
            <w:col w:w="10225"/>
          </w:cols>
          <w:pgMar w:left="235" w:top="295" w:right="1440" w:bottom="1440" w:gutter="0" w:footer="0" w:header="0"/>
        </w:sectPr>
      </w:pP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25"/>
          </w:cols>
          <w:pgMar w:left="235" w:top="295" w:right="1440" w:bottom="1440" w:gutter="0" w:footer="0" w:header="0"/>
          <w:type w:val="continuous"/>
        </w:sectPr>
      </w:pPr>
    </w:p>
    <w:bookmarkStart w:id="60" w:name="page61"/>
    <w:bookmarkEnd w:id="60"/>
    <w:p>
      <w:pPr>
        <w:ind w:left="285"/>
        <w:spacing w:after="0"/>
        <w:rPr>
          <w:sz w:val="20"/>
          <w:szCs w:val="20"/>
          <w:color w:val="auto"/>
        </w:rPr>
      </w:pPr>
      <w:r>
        <w:rPr>
          <w:rFonts w:ascii="Courier New" w:cs="Courier New" w:eastAsia="Courier New" w:hAnsi="Courier New"/>
          <w:sz w:val="15"/>
          <w:szCs w:val="15"/>
          <w:color w:val="auto"/>
        </w:rPr>
        <w:t>60</w:t>
      </w:r>
    </w:p>
    <w:p>
      <w:pPr>
        <w:spacing w:after="0" w:line="185" w:lineRule="exact"/>
        <w:rPr>
          <w:sz w:val="20"/>
          <w:szCs w:val="20"/>
          <w:color w:val="auto"/>
        </w:rPr>
      </w:pPr>
    </w:p>
    <w:p>
      <w:pPr>
        <w:ind w:left="5" w:right="3399"/>
        <w:spacing w:after="0" w:line="253" w:lineRule="auto"/>
        <w:rPr>
          <w:sz w:val="20"/>
          <w:szCs w:val="20"/>
          <w:color w:val="auto"/>
        </w:rPr>
      </w:pPr>
      <w:r>
        <w:rPr>
          <w:rFonts w:ascii="Courier New" w:cs="Courier New" w:eastAsia="Courier New" w:hAnsi="Courier New"/>
          <w:sz w:val="15"/>
          <w:szCs w:val="15"/>
          <w:color w:val="auto"/>
        </w:rPr>
        <w:t>Sanifill terminates the Merger Agreement as described in clause (b)(iv) of "-- Termination or Amendment" above.</w:t>
      </w:r>
    </w:p>
    <w:p>
      <w:pPr>
        <w:spacing w:after="0" w:line="17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EXPENSES</w:t>
      </w:r>
    </w:p>
    <w:p>
      <w:pPr>
        <w:spacing w:after="0" w:line="185" w:lineRule="exact"/>
        <w:rPr>
          <w:sz w:val="20"/>
          <w:szCs w:val="20"/>
          <w:color w:val="auto"/>
        </w:rPr>
      </w:pPr>
    </w:p>
    <w:p>
      <w:pPr>
        <w:ind w:left="5" w:right="3019" w:firstLine="461"/>
        <w:spacing w:after="0" w:line="251" w:lineRule="auto"/>
        <w:rPr>
          <w:sz w:val="20"/>
          <w:szCs w:val="20"/>
          <w:color w:val="auto"/>
        </w:rPr>
      </w:pPr>
      <w:r>
        <w:rPr>
          <w:rFonts w:ascii="Courier New" w:cs="Courier New" w:eastAsia="Courier New" w:hAnsi="Courier New"/>
          <w:sz w:val="15"/>
          <w:szCs w:val="15"/>
          <w:color w:val="auto"/>
        </w:rPr>
        <w:t>The Merger Agreement provides that all costs and expenses incurred in connection with the Merger Agreement and the transactions contemplated thereby shall be paid by the party incurring such expenses, except that those expenses incurred in connection with the printing and filing of this Joint Proxy Statement and Prospectus shall be shared equally by USA Waste and Sanifill and except as provided in "-- Termination Fees."</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OFFICE RELOCATION</w:t>
      </w:r>
    </w:p>
    <w:p>
      <w:pPr>
        <w:spacing w:after="0" w:line="185" w:lineRule="exact"/>
        <w:rPr>
          <w:sz w:val="20"/>
          <w:szCs w:val="20"/>
          <w:color w:val="auto"/>
        </w:rPr>
      </w:pPr>
    </w:p>
    <w:p>
      <w:pPr>
        <w:ind w:left="5" w:right="3299" w:firstLine="461"/>
        <w:spacing w:after="0" w:line="252" w:lineRule="auto"/>
        <w:rPr>
          <w:sz w:val="20"/>
          <w:szCs w:val="20"/>
          <w:color w:val="auto"/>
        </w:rPr>
      </w:pPr>
      <w:r>
        <w:rPr>
          <w:rFonts w:ascii="Courier New" w:cs="Courier New" w:eastAsia="Courier New" w:hAnsi="Courier New"/>
          <w:sz w:val="15"/>
          <w:szCs w:val="15"/>
          <w:color w:val="auto"/>
        </w:rPr>
        <w:t>Pursuant to the terms of the Merger Agreement, USA Waste has agreed to transfer its principal executive offices to Houston, Texas, as soon as practicable after the Effective Time.</w:t>
      </w:r>
    </w:p>
    <w:p>
      <w:pPr>
        <w:spacing w:after="0" w:line="17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INDEMNIFICATION AND INSURANCE</w:t>
      </w:r>
    </w:p>
    <w:p>
      <w:pPr>
        <w:spacing w:after="0" w:line="185"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The Merger Agreement provides for the indemnification by USA Waste, to the fullest extent permitted under applicable law, of the present and former directors, officers, employees and agents of Sanifill or any of its subsidiaries against any costs or expenses (including attorneys fees), judgments, fines, losses, claims, damages, liabilities and amounts paid in settlement in connection with any actual or threatened claim, action, suit, proceeding or investigation, whether civil or criminal, administrative or investigative, arising out of, relating to, or in connection with any action or omission occurring prior to the Effective Time (including, without limitation, acts or omissions in connection with such persons serving as an officer, director or other fiduciary in any entity if such service was at the request or for the benefit of Sanifill) or arising out of or pertaining to the transactions contemplated by the Merger Agreement. In connection with the execution of the Merger Agreement, USA Waste and Sanifill entered into the Indemnification Letter Agreement which provides that the Certificate of Incorporation of the Surviving Corporation as of the Effective Time will contain provisions for the indemnification of officers and directors and related matters identical to the provisions governing such matters contained in the USA Waste Restated Certificate of Incorporation as of June 22, 1996. In addition, the Merger Agreement provides that the indemnification provisions of the Certificate of Incorporation of the Surviving Corporation as in effect at the Effective Time, shall not be amended, repealed or otherwise modified for a period of six years from the Effective Time in any manner that would adversely affect the rights thereunder of individuals who at the Effective Time were directors, officers, employees or agents of Sanifill, unless such modification is required by law. Finally, pursuant to the terms of the Merger Agreement, USA Waste has agreed to maintain in effect, for a period of six years after the Effective Time, the current policies of directors' and officers' liability insurance maintained by Sanifill and its subsidiaries (or substantially equivalent policies) with respect to matters arising prior to the Effective Time; provided, however, that USA Waste is only required to obtain as much coverage as can be obtained by paying an annual premium less than or equal to two times the current annual premiums for such insurance coverage.</w:t>
      </w:r>
    </w:p>
    <w:p>
      <w:pPr>
        <w:spacing w:after="0" w:line="369"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OTHER AGREEMENTS</w:t>
      </w:r>
    </w:p>
    <w:p>
      <w:pPr>
        <w:spacing w:after="0" w:line="185"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In connection with the Merger, USA Waste and Sanifill have entered into confidentiality agreements (the "Confidentiality Agreements") whereby each of USA Waste and Sanifill have agreed to keep all confidential information with respect to each other confidential and not to disclose or reveal any such information to any third parties, subject to certain exceptions. In addition, the Confidentiality Agreements prohibit each party and its affiliates, for a period of two years, from (i) acquiring or offering to acquire beneficial ownership of more than 1% of the voting securities of the other party, (ii) soliciting or encouraging others to solicit proxies with respect to the election of directors of the other party or otherwise for the purpose of acquiring control of the other party, or communicate with or seek to advise or influence any entity or person with respect to the other party's voting securities or</w:t>
      </w:r>
    </w:p>
    <w:p>
      <w:pPr>
        <w:spacing w:after="0" w:line="5" w:lineRule="exact"/>
        <w:rPr>
          <w:sz w:val="20"/>
          <w:szCs w:val="20"/>
          <w:color w:val="auto"/>
        </w:rPr>
      </w:pPr>
    </w:p>
    <w:p>
      <w:pPr>
        <w:ind w:left="5" w:right="2939" w:hanging="5"/>
        <w:spacing w:after="0" w:line="251" w:lineRule="auto"/>
        <w:tabs>
          <w:tab w:leader="none" w:pos="55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making a public proposal to the other party concerning a merger or consolidation with, or acquisition of, the other party or take any action which would require the other party to make certain public announcements; (iv) otherwise join or form a group for the</w:t>
      </w:r>
    </w:p>
    <w:p>
      <w:pPr>
        <w:sectPr>
          <w:pgSz w:w="11900" w:h="16838" w:orient="portrait"/>
          <w:cols w:equalWidth="0" w:num="1">
            <w:col w:w="10225"/>
          </w:cols>
          <w:pgMar w:left="235" w:top="295" w:right="1440" w:bottom="1440" w:gutter="0" w:footer="0" w:header="0"/>
        </w:sectPr>
      </w:pP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25"/>
          </w:cols>
          <w:pgMar w:left="235" w:top="295" w:right="1440" w:bottom="1440" w:gutter="0" w:footer="0" w:header="0"/>
          <w:type w:val="continuous"/>
        </w:sectPr>
      </w:pPr>
    </w:p>
    <w:bookmarkStart w:id="61" w:name="page62"/>
    <w:bookmarkEnd w:id="61"/>
    <w:p>
      <w:pPr>
        <w:ind w:left="285"/>
        <w:spacing w:after="0"/>
        <w:rPr>
          <w:sz w:val="20"/>
          <w:szCs w:val="20"/>
          <w:color w:val="auto"/>
        </w:rPr>
      </w:pPr>
      <w:r>
        <w:rPr>
          <w:rFonts w:ascii="Courier New" w:cs="Courier New" w:eastAsia="Courier New" w:hAnsi="Courier New"/>
          <w:sz w:val="15"/>
          <w:szCs w:val="15"/>
          <w:color w:val="auto"/>
        </w:rPr>
        <w:t>61</w:t>
      </w:r>
    </w:p>
    <w:p>
      <w:pPr>
        <w:spacing w:after="0" w:line="185"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rPr>
        <w:t>purpose of acquiring, holding, voting or disposing of any voting securities of the other party or encourage, advise or provide certain assistance to others to do any of the foregoing; or (v) request that the board of directors of the other party waive any of the foregoing provisions. The Confidentiality Agreements include provisions stating that if (x) a third party, other than a third party who is an affiliate or is acting in concert with a party subject to the Confidentiality Agreement, (1) commences a tender offer for 20% or more of the outstanding shares of the other party's common stock or (2) acquires beneficial ownership of more than 20% of the outstanding shares of the other party's common stock or (y) the other party agrees to a merger, consolidation or other acquisition of such party or an acquisition of all or substantially all of the assets of such party, then provisions (i) through (v) above shall lapse and be of no effect.</w:t>
      </w:r>
    </w:p>
    <w:p>
      <w:pPr>
        <w:spacing w:after="0" w:line="183"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After the consummation of the Merger, Rodney R. Proto, the President and Chief Operating Officer of Sanifill, will become the President and Chief Operating Officer and a director of USA Waste. In addition, Mr. Proto and USA Waste expect to enter into an employment agreement at a salary to be agreed upon and on other terms substantially similar to those contained in employment agreements between USA Waste and its current executive officers.</w:t>
      </w:r>
    </w:p>
    <w:p>
      <w:pPr>
        <w:spacing w:after="0" w:line="353"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Lorne D. Bain, the Chairman and Chief Executive Officer of Sanifill, has entered into an employment and non-competition agreement with USA Waste and Sanifill pursuant to which Mr. Bain will continue as an employee of USA Waste and Sanifill after the Effective Time, providing advice and services to assist with the integration of the companies and other services as reasonably requested by the chief executive officer of USA Waste. For these services, Mr. Bain will be paid a salary of $500,000 per annum and will continue to participate in insurance plans. His employment will continue for at least one year following the Effective Time, unless terminated earlier by Mr. Bain. In addition, Mr. Bain has agreed, for a period of 10 years following the Effective Time, (a) not to be affiliated with any business engaged in substantial competition with USA Waste or any of its affiliates within a 75-mile radius of the home offices of USA Waste or any of its affiliates or any location where they do business or which acquires or attempts to acquire a business considered for acquisition by USA Waste during such 10-year period which USA Waste is continuing to pursue, and</w:t>
      </w:r>
    </w:p>
    <w:p>
      <w:pPr>
        <w:spacing w:after="0" w:line="7" w:lineRule="exact"/>
        <w:rPr>
          <w:sz w:val="20"/>
          <w:szCs w:val="20"/>
          <w:color w:val="auto"/>
        </w:rPr>
      </w:pPr>
    </w:p>
    <w:p>
      <w:pPr>
        <w:ind w:left="5" w:right="2839" w:hanging="5"/>
        <w:spacing w:after="0" w:line="250" w:lineRule="auto"/>
        <w:tabs>
          <w:tab w:leader="none" w:pos="375"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to solicit any customers or employees of USA Waste. In consideration of such non-competition agreements of Mr. Bain, USA Waste has agreed (a) to pay Mr. Bain $25,000 per month from August 2001 (when Mr. Bain becomes 60 years old) until he dies and (b) to pay Mr. Bain's spouse $12,500 per month from the later of his death or the date on which he would have turned 60, until his spouse dies. USA Waste has also agreed to pay Mr. Bain an additional amount necessary to eliminate the effects of any disparate tax treatment under Section 4999 of the Code. In addition, USA Waste, Sanifill and Mr. Bain have agreed that, pursuant to his prior employment agreement with Sanifill, Sanifill shall, for a period of three years after the Effective Time, pay or provide to Mr. Bain his current base salary, participation in insurance plans and an annual bonus payment equal to the average of the bonus payments made to Mr. Bain in respect of 1993, 1994 and 1995. The parties also agreed that Mr. Bain's unvested options for Sanifill Common Stock will vest and become exercisable, as contemplated by his prior employment agreement, when his employment under his new employment agreement terminates.</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 w:right="2839" w:firstLine="456"/>
        <w:spacing w:after="0" w:line="250" w:lineRule="auto"/>
        <w:tabs>
          <w:tab w:leader="none" w:pos="744"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Chris Brewster, Vice President and Chief Financial Officer of Sanifill, has entered into an employment agreement with USA Waste and Sanifill pursuant to which Mr. Brewster will continue as an employee of USA Waste and Sanifill after the Effective Time, providing advice and services to assist with the integration of the companies, as well as such other services as reasonably requested from time to time by the chief financial officer of USA Waste. For these services, Mr. Brewster will receive a salary of $100,000 per annum and will continue to be provided with insurance coverage. His employment will continue for at least one year following the Effective Time, unless earlier terminated by Mr. Brewster. USA Waste has also agreed to pay Mr. Brewster an additional amount necessary to eliminate the effects of any disparate tax treatment under Section 4999 of the Code. In addition, USA Waste, Sanifill and Mr. Brewster have agreed that, pursuant to his prior employment agreement with Sanifill, Sanifill shall continue to pay Mr. Brewster his current base salary for a period of one year after the Effective Time and shall allow Mr. Brewster and/or his surviving spouse to continue to participate in Sanifill's health insurance plan for a period of 18 months after the Effective Time. The parties also agreed that Mr. Brewster's unvested options for Sanifill Common Stock shall vest and become exercisable at the Effective Time and shall remain exercisable until three months after his employment under his new employment agreement terminates.</w:t>
      </w:r>
    </w:p>
    <w:p>
      <w:pPr>
        <w:sectPr>
          <w:pgSz w:w="11900" w:h="16838" w:orient="portrait"/>
          <w:cols w:equalWidth="0" w:num="1">
            <w:col w:w="10225"/>
          </w:cols>
          <w:pgMar w:left="235" w:top="295" w:right="1440" w:bottom="1440" w:gutter="0" w:footer="0" w:header="0"/>
        </w:sectPr>
      </w:pPr>
    </w:p>
    <w:p>
      <w:pPr>
        <w:spacing w:after="0" w:line="364"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25"/>
          </w:cols>
          <w:pgMar w:left="235" w:top="295" w:right="1440" w:bottom="1440" w:gutter="0" w:footer="0" w:header="0"/>
          <w:type w:val="continuous"/>
        </w:sectPr>
      </w:pPr>
    </w:p>
    <w:bookmarkStart w:id="62" w:name="page63"/>
    <w:bookmarkEnd w:id="62"/>
    <w:p>
      <w:pPr>
        <w:ind w:left="280"/>
        <w:spacing w:after="0"/>
        <w:rPr>
          <w:sz w:val="20"/>
          <w:szCs w:val="20"/>
          <w:color w:val="auto"/>
        </w:rPr>
      </w:pPr>
      <w:r>
        <w:rPr>
          <w:rFonts w:ascii="Courier New" w:cs="Courier New" w:eastAsia="Courier New" w:hAnsi="Courier New"/>
          <w:sz w:val="15"/>
          <w:szCs w:val="15"/>
          <w:color w:val="auto"/>
        </w:rPr>
        <w:t>62</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Kosti Shirvanian and USA Waste have entered into a letter agreement (the "Amendment Letter") amending in certain respects that certain letter agreement dated December 18, 1995 between Mr. Shirvanian and USA Waste (the "Prior Letter"). Under the Prior Letter, Mr. Shirvanian was entitled to sit on the Board of Directors of USA Waste and designate two other individuals to sit on the Board of Directors of USA Waste for a five-year period. The Amendment Letter amends the Prior Letter to provide that Mr. Shirvanian will be entitled to sit on the Board of Directors of USA Waste and designate one other individual to sit on the Board of Directors of USA Waste for the remainder of such five-year period.</w:t>
      </w:r>
    </w:p>
    <w:p>
      <w:pPr>
        <w:spacing w:after="0" w:line="352"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In connection with USA Waste's merger agreement with Chambers Development Company, Inc. in November 1994, a shareholders agreement (the "Shareholders Agreement") was executed among USA Waste and Donald F. Moorehead, Jr., John E. Drury, John G. Rangos, Sr., John G. Rangos, Jr., Alexander W. Rangos and John Rangos Development Corporation, Inc. (John G. Rangos, Sr., John G. Rangos, Jr., Alexander W. Rangos and John Rangos Development Corporation, Inc. are collectively referred to as the "Rangos Stockholders"), pursuant to which, among other things, the Rangos Stockholders had the right to designate three members of the USA Waste Board of Directors. In connection with the Merger Agreement, USA Waste and the Rangos Stockholders agreed to terminate the Shareholders Agreement as of the date of the Merger Agreement. In consideration for such termination, (i) John G. Rangos, Sr., John G. Rangos, Jr. and Alexander W. Rangos received warrants to purchase an aggregate of 700,000 shares of USA Waste Common Stock at an exercise price of $29 per share, (ii) USA Waste agreed to use its best efforts to cause the nomination of John G. Rangos, Sr. to another term as a director of USA Waste expiring in the year 2000 provided that John G. Rangos, Sr. agreed to not seek re-election thereafter, (iii) USA Waste agreed that if Alexander W. Rangos ceases to be a director, USA Waste will release him from the provisions of his non-competition agreement and (iv) USA Waste agreed to provide the Rangos Stockholders with certain registration rights that provide for a shelf registration statement covering up to 4 million shares of USA Waste Common Stock owned by the Rangos Stockholders, which shelf registration statement shall be supplemented by additional shelf registration statements to the extent that the then effective shelf registration statements cover less than 2 million shares; provided that at no time shall more than 4 million shares of USA Waste Common Stock be registered. In addition, USA Waste and the Rangos Stockholders agreed to use their best efforts to cause a merger of John Rangos Development Corporation, Inc. with and into USA Waste at any time after which such merger will qualify as a tax free reorganization (subject to certain exceptions) (collectively, the "New Rangos Agreement").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AGREEMENTS</w:t>
      </w:r>
    </w:p>
    <w:p>
      <w:pPr>
        <w:spacing w:after="0" w:line="362"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In connection with the execution of the Merger Agreement, John E. Drury, Donald F. Moorehead, Jr., Alexander W. Rangos, John G. Rangos, Sr., Kosti Shirvanian, David Sutherland-Yoest and John Rangos Development Corporation, Inc. each executed a voting agreement and irrevocable proxy, dated June 22, 1996, pursuant to which they (i) agreed to vote an aggregate of 18,700,112 shares of USA Waste Common Stock (or approximately 21% of the shares of USA Waste Common Stock outstanding on the Record Date) held by them for approval of the Merger and (ii) granted irrevocable proxies with respect to such shares, which proxies permit Sanifill to vote such shares in favor of the Merger (the "USA Waste Voting Agreements"). The USA Waste Voting Agreements terminate on the earliest of (i) the Effective Time, (ii) the date of termination of the Merger Agreement in accordance with its terms or (iii) the giving of written termination notice by Sanifill.</w:t>
      </w:r>
    </w:p>
    <w:p>
      <w:pPr>
        <w:spacing w:after="0" w:line="200" w:lineRule="exact"/>
        <w:rPr>
          <w:sz w:val="20"/>
          <w:szCs w:val="20"/>
          <w:color w:val="auto"/>
        </w:rPr>
      </w:pPr>
    </w:p>
    <w:p>
      <w:pPr>
        <w:spacing w:after="0" w:line="338"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In connection with the execution of the Merger Agreement, Lorne D. Bain, Larry J. Martin, Rodney R. Proto and Alfred C. Warrington, IV each executed a voting agreement and irrevocable proxy, dated June 22, 1996, pursuant to which they (i) agreed to vote an aggregate of 1,292,717 shares of Sanifill Common Stock (or approximately 5.1% of the shares of Sanifill Common Stock outstanding on the Record Date) held by them for approval of the Merger and (ii) granted irrevocable proxies with respect to such shares, which proxies permit certain officers of USA Waste to vote such shares in favor of the Merger (the "Sanifill Voting Agreements" and together with the USA Waste Voting Agreements, the "Voting Agreements"). The Sanifill Voting Agreements terminate on the earliest of (i) the Effective Time, (ii) the date of termination of the Merger Agreement in accordance with its terms or (iii) the giving of written termination notice by USA Waste.</w:t>
      </w:r>
    </w:p>
    <w:p>
      <w:pPr>
        <w:sectPr>
          <w:pgSz w:w="11900" w:h="16838" w:orient="portrait"/>
          <w:cols w:equalWidth="0" w:num="1">
            <w:col w:w="10219"/>
          </w:cols>
          <w:pgMar w:left="240" w:top="295" w:right="1440" w:bottom="1440" w:gutter="0" w:footer="0" w:header="0"/>
        </w:sectPr>
      </w:pPr>
    </w:p>
    <w:p>
      <w:pPr>
        <w:spacing w:after="0" w:line="36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95" w:right="1440" w:bottom="1440" w:gutter="0" w:footer="0" w:header="0"/>
          <w:type w:val="continuous"/>
        </w:sectPr>
      </w:pPr>
    </w:p>
    <w:bookmarkStart w:id="63" w:name="page64"/>
    <w:bookmarkEnd w:id="63"/>
    <w:p>
      <w:pPr>
        <w:ind w:left="280"/>
        <w:spacing w:after="0"/>
        <w:rPr>
          <w:sz w:val="20"/>
          <w:szCs w:val="20"/>
          <w:color w:val="auto"/>
        </w:rPr>
      </w:pPr>
      <w:r>
        <w:rPr>
          <w:rFonts w:ascii="Courier New" w:cs="Courier New" w:eastAsia="Courier New" w:hAnsi="Courier New"/>
          <w:sz w:val="15"/>
          <w:szCs w:val="15"/>
          <w:color w:val="auto"/>
        </w:rPr>
        <w:t>63</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COMPARISON OF RIGHTS OF STOCKHOLDERS OF USA WASTE AND SANIFILL</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As a result of the Merger, holders of Sanifill Common Stock will become stockholders of USA Waste, and the rights of such former Sanifill stockholders will thereafter be governed by the USA Waste Restated Certificate of Incorporation, the USA Waste Bylaws and the General Corporation Law of the State of Delaware (the "DGCL"). The rights of holders of Sanifill Common Stock are currently governed by the Sanifill Certificate of Incorporation, the Sanifill Bylaws and the DGCL. The following summary, which does not purport to be a complete description of the differences between the rights of the stockholders of USA Waste and the rights of the stockholders of Sanifill, sets forth certain differences between the USA Waste Restated Certificate of Incorporation and the Sanifill Certificate of Incorporation and the USA Waste Bylaws and the Sanifill Bylaws. This summary is qualified in its entirety by reference to the full text of each of such documents and the DGCL. For more information on how such documents may be obtained, see "Available Information."</w:t>
      </w:r>
    </w:p>
    <w:p>
      <w:pPr>
        <w:spacing w:after="0" w:line="184"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NUMBER OF DIRECTORS; REMOVAL OF DIRECTORS; FILLING OF VACANCIES ON THE BOARD OF DIRECTORS</w:t>
      </w:r>
    </w:p>
    <w:p>
      <w:pPr>
        <w:spacing w:after="0" w:line="174"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USA Waste Restated Certificate of Incorporation and the USA Waste Bylaws provide that, subject to the rights of holders of any class or series of USA Waste Preferred Stock to elect additional directors under specified circumstances, the number of directors will be fixed from time to time by resolution of the USA Waste Board of Directors; provided, however, that unless approved by at least two-thirds of the incumbent directors, the number of directors which shall constitute the whole USA Waste Board of Directors shall be no fewer than three and no more than nine. The Sanifill Certificate of Incorporation and the Sanifill Bylaws provide that the number of directors will be fixed by resolution passed by a majority of the Sanifill Board of Directors. The Board of Directors of USA Waste currently consists of 12 members (with one vacancy), and the Board of Directors of Sanifill currently consists of nine members.</w:t>
      </w:r>
    </w:p>
    <w:p>
      <w:pPr>
        <w:spacing w:after="0" w:line="183"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USA Waste Restated Certificate of Incorporation and the USA Waste Bylaws provide that, subject to the rights of holders of any class or series of USA Waste Preferred Stock to elect additional directors under specified circumstances, any director may be removed at any time, with cause, by its stockholders, but only upon the affirmative vote of two-thirds of the total number of votes of the then outstanding shares of capital stock of USA Waste; provided, that the notice of the meeting at which such action is taken contained notice of such proposal to remove a director. The Sanifill Bylaws provide that the stockholders may, at any special meeting called for that purpose, remove with cause any director and fill the vacancy; provided that when any director has been elected by the holders of any class of stock of Sanifill voting separately as a class under the provisions of the Sanifill Certificate of Incorporation, such director may be removed, and the vacancy filled, only by the holders of that class of stock.</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USA Waste Bylaws provide that all voting by stockholders must be taken by written ballot. The Sanifill Bylaws provide that, when directed by the presiding officer of the meeting or upon the demand of any stockholder, the vote upon any matter before a meeting of stockholders shall be by written ballot.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NOMINATIONS AND PROPOSALS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USA Waste Bylaws establish advance notice procedures with regard to the nomination (other than by or at the direction of the Board of Directors of USA Waste or a committee thereof) of candidates for election as directors and with regard to certain matters to be brought before an annual or special meeting of the stockholders of USA Waste. These procedures provide that the notice of proposed stockholder nominations for the election of directors must be timely given in writing to the Secretary or the Board of Directors of USA Waste prior to the meeting at which directors are to be elected. The procedures also provide that at any meeting of the stockholders, and subject to any other applicable requirements, only such business may be conducted as has been brought before the meeting by, or at the direction of the Board of Directors or</w:t>
      </w:r>
    </w:p>
    <w:p>
      <w:pPr>
        <w:sectPr>
          <w:pgSz w:w="11900" w:h="16838" w:orient="portrait"/>
          <w:cols w:equalWidth="0" w:num="1">
            <w:col w:w="10219"/>
          </w:cols>
          <w:pgMar w:left="240" w:top="295" w:right="1440" w:bottom="1440" w:gutter="0" w:footer="0" w:header="0"/>
        </w:sectPr>
      </w:pPr>
    </w:p>
    <w:p>
      <w:pPr>
        <w:spacing w:after="0" w:line="18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95" w:right="1440" w:bottom="1440" w:gutter="0" w:footer="0" w:header="0"/>
          <w:type w:val="continuous"/>
        </w:sectPr>
      </w:pPr>
    </w:p>
    <w:bookmarkStart w:id="64" w:name="page65"/>
    <w:bookmarkEnd w:id="64"/>
    <w:p>
      <w:pPr>
        <w:ind w:left="280"/>
        <w:spacing w:after="0"/>
        <w:rPr>
          <w:sz w:val="20"/>
          <w:szCs w:val="20"/>
          <w:color w:val="auto"/>
        </w:rPr>
      </w:pPr>
      <w:r>
        <w:rPr>
          <w:rFonts w:ascii="Courier New" w:cs="Courier New" w:eastAsia="Courier New" w:hAnsi="Courier New"/>
          <w:sz w:val="15"/>
          <w:szCs w:val="15"/>
          <w:color w:val="auto"/>
        </w:rPr>
        <w:t>64</w:t>
      </w:r>
    </w:p>
    <w:p>
      <w:pPr>
        <w:spacing w:after="0" w:line="185"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by a stockholder who has timely given prior written notice to the Secretary or the Board of Directors of USA Waste of such stockholder's intention to bring such business before the meeting. To be timely, a notice given with respect to the nomination of directors or any other matter to be considered at an annual meeting of the stockholders must be received at the principal executive offices of USA Waste not less than 120 days nor more than 150 days in advance of the date on which USA Waste's proxy statement was released to its stockholders in connection with the previous year's annual meeting of the stockholders; provided, however, that if no annual meeting was held the previous year or the date of the annual meeting has been changed by more than 30 days from the date contemplated at the time of the previous year's proxy statement, such notice must be received by USA Waste at least 80 days prior to the date that USA Waste intends to distribute its proxy statement with respect to such annual meeting. To be timely, a notice given with respect to a special meeting of the stockholders must be received at the principal executive offices of USA Waste not less than 60 days nor more than 90 days prior to the meeting; provided, however, that if less than 70 days' notice or prior public disclosure of the meeting date is given or made by USA Waste, such notice must be received by USA Waste not later than the fifth day following the day on which the notice was mailed or such public disclosure was made. The notice must contain certain specified information specified in the USA Waste Bylaws. The USA Waste Bylaws further provide that USA Waste is not obligated to include any stockholder proposal in its proxy materials if the Board of Directors of USA Waste believes the proponent thereof has not complied with Sections 13 and 14 of the Exchange Act and the rules and regulations thereunder and that USA Waste is not required to include in its proxy materials any stockholder proposal not required to be included therein under the Exchange Act and the rules and regulations thereunder.</w:t>
      </w:r>
    </w:p>
    <w:p>
      <w:pPr>
        <w:spacing w:after="0" w:line="190"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Sanifill Bylaws establish advance notice procedures with regard to the nomination (other than by or at the direction of the Board of Directors of Sanifill or a committee thereof) of candidates for election as directors and with regard to certain matters to be brought before an annual or special meeting of the stockholders of Sanifill. These procedures provide that the notice of proposed stockholder nominations for the election of directors must be timely given in writing to the Board of Directors of Sanifill prior to the meeting at which directors are to be elected. The procedures also provide that at an annual meeting, and subject to any other applicable requirements, only such business may be conducted as has been brought before the meeting by, or at the direction of the Board of Directors or by a stockholder who has timely given prior written notice to the Board of Directors of Sanifill of such stockholder's intention to bring such business before the meeting. In all cases, to be timely given, notice must be received at the principal executive offices of Sanifill not less than 80 days prior to the meeting; provided, however, that if less than 90 days' notice or prior public disclosure of the meeting date is given or made by Sanifill, such notice must be received by Sanifill not later than the 10th day following the day on which the notice was mailed or such public disclosure was made. The notice must contain certain specified information specified in the Sanifill Bylaws.</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PRICE PROVISION</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Sanifill Certificate of Incorporation contains a "fair price" provision that requires the approval of holders of not less than 66 2/3% of the outstanding shares of voting stock of Sanifill, excluding shares owned, directly or indirectly, by persons who are Control Persons (as hereinafter defined), as a condition for mergers, consolidations and certain other business combinations involving Sanifill and any Control Person; provided that the 66 2/3% voting requirement is not applicable if the business combination is approved by the affirmative vote of 80% of the directors then in office. "Control Persons" include the holder of 5% or more of Sanifill's Common Stock (including shares held by such holder's affiliates and associates) and any affiliates or associates of such holder. The 66 2/3% voting requirement is also not applicable to a business combination if all of the following are satisfied: (i) the cash or fair market value of the property, securities or other consideration to be received per share by holders of Sanifill Common Stock is not less than the higher of (a) the highest price per share paid by such Control Person in acquiring any of its holdings of Sanifill Common Stock and (b) the highest per share market price of Sanifill Common Stock during the three-month period immediately preceding the date of the proxy statement described below; (ii) after becoming a Control Person and prior to the consummation of such business transaction, such Control Person has not acquired any newly issued shares of Sanifill Common Stock from Sanifill and such person has not received the benefit of any loan, advance, guaranty, pledge or other financial assistance or tax credit from Sanifill or made any major changes in Sanifill's</w:t>
      </w:r>
    </w:p>
    <w:p>
      <w:pPr>
        <w:sectPr>
          <w:pgSz w:w="11900" w:h="16838" w:orient="portrait"/>
          <w:cols w:equalWidth="0" w:num="1">
            <w:col w:w="10219"/>
          </w:cols>
          <w:pgMar w:left="240" w:top="295" w:right="1440" w:bottom="1440" w:gutter="0" w:footer="0" w:header="0"/>
        </w:sectPr>
      </w:pPr>
    </w:p>
    <w:p>
      <w:pPr>
        <w:spacing w:after="0" w:line="18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295" w:right="1440" w:bottom="1440" w:gutter="0" w:footer="0" w:header="0"/>
          <w:type w:val="continuous"/>
        </w:sectPr>
      </w:pPr>
    </w:p>
    <w:bookmarkStart w:id="65" w:name="page66"/>
    <w:bookmarkEnd w:id="65"/>
    <w:p>
      <w:pPr>
        <w:ind w:left="280"/>
        <w:spacing w:after="0"/>
        <w:rPr>
          <w:sz w:val="20"/>
          <w:szCs w:val="20"/>
          <w:color w:val="auto"/>
        </w:rPr>
      </w:pPr>
      <w:r>
        <w:rPr>
          <w:rFonts w:ascii="Courier New" w:cs="Courier New" w:eastAsia="Courier New" w:hAnsi="Courier New"/>
          <w:sz w:val="15"/>
          <w:szCs w:val="15"/>
          <w:color w:val="auto"/>
        </w:rPr>
        <w:t>65</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business or equity capital structure; and (iii) a proxy statement satisfying the requirements of the Exchange Act is mailed to the stockholders for the purpose of soliciting the approval of such stockholders for such business combination. The USA Waste Restated Certificate of Incorporation does not contain any similar provision.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OF CERTAIN CHARTER PROVISIONS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USA Waste Certificate of Incorporation requires the affirmative vote of the holders of at least 66 2/3% of the outstanding shares of capital stock entitled to vote for the approval of any amendment of the article of the USA Waste Certificate of Incorporation providing for the staggered Board of Directors, and then only if the notice of the meeting at which such proposal is acted upon provides notice of such proposed amendment. In addition, the USA Waste Restated Certificate of Incorporation prohibits the Board of Directors of USA Waste from amending or repealing any provision of the Bylaws which was adopted, amended or repealed by the stockholders.</w:t>
      </w:r>
    </w:p>
    <w:p>
      <w:pPr>
        <w:spacing w:after="0" w:line="17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Sanifill Certificate of Incorporation provides that the article of the Sanifill Certificate of Incorporation pertaining to the 66 2/3% vote of stockholders in connection with the approval of business combinations with Control Persons may only be amended or repealed upon the affirmative vote of at least 66 2/3% of the issued and outstanding shares of Sanifill Common Stock; provided, however, that if there is a Control Person at the time in question, such amendment must be approved by at least 66 2/3% of the issued and outstanding shares of Sanifill Common Stock, excluding shares owned by such Control Person.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SANIFILL RIGHTS PLAN</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Sanifill has in place a Stockholder Rights Plan (the "Plan") pursuant to which one Preferred Share Purchase Right (a "Right") was distributed with respect to each outstanding share of Sanifill Common Stock. The Plan provides that, unless the Rights have been redeemed, one Right is granted for each additional share of Sanifill Common Stock issued by Sanifill after the date that the Plan was adopted and prior to the earlier of the time that the Rights become exercisable or December 31, 2001 (the termination date of the Plan). The Rights are not currently exercisable and trade in tandem with the shares of Sanifill Common Stock. The Rights will become exercisable and trade separately from the shares of Sanifill Common Stock ten days after a person or group acquires 15% or more of the outstanding shares of Sanifill Common Stock. Upon their becoming exercisable, each Right will entitle the holder thereof to purchase one three-hundredth of a share of a series of Preferred Stock of Sanifill at a price of $100. If a 15% stockholder (determined as provided in the Rights documents) either acquires Sanifill by means of a merger in which Sanifill survives or engages in certain other transactions with Sanifill, each Right (other than Rights held by the 15% stockholder) may be exercised to purchase shares of Sanifill Common Stock at a price equal to 50% of the market value of such shares. In addition, if Sanifill were to be acquired in a merger or business combination after the Rights became exercisable, each Right could be exercised to purchase common stock of the acquiring company at a 50% discount. The Rights are redeemable by Sanifill for $.01 per Right at any time prior to their becoming exercisable. In connection with the Merger, Sanifill has amended the Plan in such a manner that the Rights will expire at the Effective Time and the execution of the Merger Agreement and the Voting Agreements and the consummation of the Merger did not, and will not, trigger a distribution of Rights under the Plan. USA Waste does not have a rights plan.</w:t>
      </w:r>
    </w:p>
    <w:p>
      <w:pPr>
        <w:spacing w:after="0" w:line="18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95"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5"/>
          <w:szCs w:val="15"/>
          <w:color w:val="auto"/>
        </w:rPr>
        <w:t>66</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USA WASTE AND SANIFILL</w:t>
      </w:r>
    </w:p>
    <w:p>
      <w:pPr>
        <w:spacing w:after="0" w:line="185"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COMBINED UNAUDITED PRO FORMA CONDENSED FINANCIAL STATEMENTS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following combined unaudited pro forma condensed financial statements are based upon the supplemental and historical consolidated financial statements of USA Waste and of Sanifill, respectively, each as previously filed with the Commission under the Exchange Act, are incorporated by reference in this Joint Proxy Statement and Prospectus, and should be read in conjunction with those consolidated financial statements and related notes. These combined unaudited pro forma condensed financial statements are not necessarily indicative of the operating results that would have been achieved had the Merger been consummated as of the beginning of the periods presented and should not be construed as representative of future operating results. These combined unaudited pro forma condensed financial statements give effect to the Merger by combining the results of operations of USA Waste and Sanifill using the "pooling of interests" method of accounting as if the companies had been combined since their inception.</w:t>
      </w:r>
    </w:p>
    <w:p>
      <w:pPr>
        <w:spacing w:after="0" w:line="361"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The supplemental consolidated financial statements of USA Waste have been prepared to give retroactive effect to the merger of USA Waste with Western Waste Industries on May 7, 1996 using the "pooling of interests" method of accounting.</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295"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5"/>
          <w:szCs w:val="15"/>
          <w:color w:val="auto"/>
        </w:rPr>
        <w:t>67</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USA WASTE AND SANIFILL</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COMBINED UNAUDITED PRO FORMA CONDENSED BALANCE SHEET</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MARCH 31, 1996</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following combined unaudited pro forma condensed balance sheet presents the combined financial position of USA Waste and Sanifill as of March 31, 1996. Such unaudited pro forma combined information is based on the unaudited supplemental and unaudited historical consolidated balance sheets of USA Waste and Sanifill, respectively, as of March 31, 1996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PRO FORMA</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COMBINED</w:t>
            </w:r>
          </w:p>
        </w:tc>
      </w:tr>
      <w:tr>
        <w:trPr>
          <w:trHeight w:val="177"/>
        </w:trPr>
        <w:tc>
          <w:tcPr>
            <w:tcW w:w="5160" w:type="dxa"/>
            <w:vAlign w:val="bottom"/>
          </w:tcPr>
          <w:p>
            <w:pPr>
              <w:spacing w:after="0"/>
              <w:rPr>
                <w:sz w:val="15"/>
                <w:szCs w:val="15"/>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USA WASTE</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SANIFILL</w:t>
            </w:r>
          </w:p>
        </w:tc>
        <w:tc>
          <w:tcPr>
            <w:tcW w:w="14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ADJUSTMENTS</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PRO FORMA</w:t>
            </w:r>
          </w:p>
        </w:tc>
      </w:tr>
      <w:tr>
        <w:trPr>
          <w:trHeight w:val="177"/>
        </w:trPr>
        <w:tc>
          <w:tcPr>
            <w:tcW w:w="5160" w:type="dxa"/>
            <w:vAlign w:val="bottom"/>
          </w:tcPr>
          <w:p>
            <w:pPr>
              <w:spacing w:after="0"/>
              <w:rPr>
                <w:sz w:val="15"/>
                <w:szCs w:val="15"/>
                <w:color w:val="auto"/>
              </w:rPr>
            </w:pPr>
          </w:p>
        </w:tc>
        <w:tc>
          <w:tcPr>
            <w:tcW w:w="12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700" w:type="dxa"/>
            <w:vAlign w:val="bottom"/>
            <w:gridSpan w:val="5"/>
          </w:tcPr>
          <w:p>
            <w:pPr>
              <w:jc w:val="right"/>
              <w:ind w:right="283"/>
              <w:spacing w:after="0"/>
              <w:rPr>
                <w:sz w:val="20"/>
                <w:szCs w:val="20"/>
                <w:color w:val="auto"/>
              </w:rPr>
            </w:pPr>
            <w:r>
              <w:rPr>
                <w:rFonts w:ascii="Courier New" w:cs="Courier New" w:eastAsia="Courier New" w:hAnsi="Courier New"/>
                <w:sz w:val="15"/>
                <w:szCs w:val="15"/>
                <w:color w:val="auto"/>
              </w:rPr>
              <w:t>(IN THOUSANDS, EXCEPT SHARE AND PER SHARE DATA)</w:t>
            </w:r>
          </w:p>
        </w:tc>
      </w:tr>
      <w:tr>
        <w:trPr>
          <w:trHeight w:val="355"/>
        </w:trPr>
        <w:tc>
          <w:tcPr>
            <w:tcW w:w="51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7"/>
        </w:trPr>
        <w:tc>
          <w:tcPr>
            <w:tcW w:w="51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5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Cash and cash equivalents............................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29,919</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2,620</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   32,539</w:t>
            </w:r>
          </w:p>
        </w:tc>
      </w:tr>
      <w:tr>
        <w:trPr>
          <w:trHeight w:val="177"/>
        </w:trPr>
        <w:tc>
          <w:tcPr>
            <w:tcW w:w="5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Accounts receivable, net.............................</w:t>
            </w:r>
          </w:p>
        </w:tc>
        <w:tc>
          <w:tcPr>
            <w:tcW w:w="28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92,142</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52,945</w:t>
            </w:r>
          </w:p>
        </w:tc>
        <w:tc>
          <w:tcPr>
            <w:tcW w:w="32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145,087</w:t>
            </w:r>
          </w:p>
        </w:tc>
      </w:tr>
      <w:tr>
        <w:trPr>
          <w:trHeight w:val="177"/>
        </w:trPr>
        <w:tc>
          <w:tcPr>
            <w:tcW w:w="5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Notes and other receivables..........................</w:t>
            </w:r>
          </w:p>
        </w:tc>
        <w:tc>
          <w:tcPr>
            <w:tcW w:w="28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13,133</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13,133</w:t>
            </w:r>
          </w:p>
        </w:tc>
      </w:tr>
      <w:tr>
        <w:trPr>
          <w:trHeight w:val="177"/>
        </w:trPr>
        <w:tc>
          <w:tcPr>
            <w:tcW w:w="5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Deferred income taxes................................</w:t>
            </w:r>
          </w:p>
        </w:tc>
        <w:tc>
          <w:tcPr>
            <w:tcW w:w="28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20,101</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20,101</w:t>
            </w:r>
          </w:p>
        </w:tc>
      </w:tr>
      <w:tr>
        <w:trPr>
          <w:trHeight w:val="177"/>
        </w:trPr>
        <w:tc>
          <w:tcPr>
            <w:tcW w:w="5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Prepaid expenses and other...........................</w:t>
            </w:r>
          </w:p>
        </w:tc>
        <w:tc>
          <w:tcPr>
            <w:tcW w:w="28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34,626</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8,173</w:t>
            </w:r>
          </w:p>
        </w:tc>
        <w:tc>
          <w:tcPr>
            <w:tcW w:w="32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42,799</w:t>
            </w:r>
          </w:p>
        </w:tc>
      </w:tr>
      <w:tr>
        <w:trPr>
          <w:trHeight w:val="177"/>
        </w:trPr>
        <w:tc>
          <w:tcPr>
            <w:tcW w:w="5160" w:type="dxa"/>
            <w:vAlign w:val="bottom"/>
          </w:tcPr>
          <w:p>
            <w:pPr>
              <w:spacing w:after="0"/>
              <w:rPr>
                <w:sz w:val="15"/>
                <w:szCs w:val="15"/>
                <w:color w:val="auto"/>
              </w:rPr>
            </w:pPr>
          </w:p>
        </w:tc>
        <w:tc>
          <w:tcPr>
            <w:tcW w:w="12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Total current assets..........................</w:t>
            </w:r>
          </w:p>
        </w:tc>
        <w:tc>
          <w:tcPr>
            <w:tcW w:w="28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w w:val="98"/>
              </w:rPr>
              <w:t>189,921</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63,738</w:t>
            </w:r>
          </w:p>
        </w:tc>
        <w:tc>
          <w:tcPr>
            <w:tcW w:w="32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253,659</w:t>
            </w:r>
          </w:p>
        </w:tc>
      </w:tr>
      <w:tr>
        <w:trPr>
          <w:trHeight w:val="177"/>
        </w:trPr>
        <w:tc>
          <w:tcPr>
            <w:tcW w:w="5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Notes and other receivables............................</w:t>
            </w:r>
          </w:p>
        </w:tc>
        <w:tc>
          <w:tcPr>
            <w:tcW w:w="28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17,208</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2,287</w:t>
            </w:r>
          </w:p>
        </w:tc>
        <w:tc>
          <w:tcPr>
            <w:tcW w:w="32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19,495</w:t>
            </w:r>
          </w:p>
        </w:tc>
      </w:tr>
      <w:tr>
        <w:trPr>
          <w:trHeight w:val="177"/>
        </w:trPr>
        <w:tc>
          <w:tcPr>
            <w:tcW w:w="5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Property and equipment, net............................</w:t>
            </w:r>
          </w:p>
        </w:tc>
        <w:tc>
          <w:tcPr>
            <w:tcW w:w="28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w w:val="98"/>
              </w:rPr>
              <w:t>830,115</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702,629</w:t>
            </w:r>
          </w:p>
        </w:tc>
        <w:tc>
          <w:tcPr>
            <w:tcW w:w="32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(52,688)d</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1,480,056</w:t>
            </w:r>
          </w:p>
        </w:tc>
      </w:tr>
      <w:tr>
        <w:trPr>
          <w:trHeight w:val="177"/>
        </w:trPr>
        <w:tc>
          <w:tcPr>
            <w:tcW w:w="5160" w:type="dxa"/>
            <w:vAlign w:val="bottom"/>
          </w:tcPr>
          <w:p>
            <w:pPr>
              <w:spacing w:after="0"/>
              <w:rPr>
                <w:sz w:val="20"/>
                <w:szCs w:val="20"/>
                <w:color w:val="auto"/>
              </w:rPr>
            </w:pPr>
            <w:r>
              <w:rPr>
                <w:rFonts w:ascii="Courier New" w:cs="Courier New" w:eastAsia="Courier New" w:hAnsi="Courier New"/>
                <w:sz w:val="15"/>
                <w:szCs w:val="15"/>
                <w:color w:val="auto"/>
              </w:rPr>
              <w:t>Excess of cost over net assets of acquired businesses,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5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net..................................................</w:t>
            </w:r>
          </w:p>
        </w:tc>
        <w:tc>
          <w:tcPr>
            <w:tcW w:w="28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w w:val="98"/>
              </w:rPr>
              <w:t>112,908</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115,786</w:t>
            </w:r>
          </w:p>
        </w:tc>
        <w:tc>
          <w:tcPr>
            <w:tcW w:w="32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228,694</w:t>
            </w:r>
          </w:p>
        </w:tc>
      </w:tr>
      <w:tr>
        <w:trPr>
          <w:trHeight w:val="177"/>
        </w:trPr>
        <w:tc>
          <w:tcPr>
            <w:tcW w:w="5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Other intangible assets, net...........................</w:t>
            </w:r>
          </w:p>
        </w:tc>
        <w:tc>
          <w:tcPr>
            <w:tcW w:w="28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34,295</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21,079</w:t>
            </w:r>
          </w:p>
        </w:tc>
        <w:tc>
          <w:tcPr>
            <w:tcW w:w="32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55,374</w:t>
            </w:r>
          </w:p>
        </w:tc>
      </w:tr>
      <w:tr>
        <w:trPr>
          <w:trHeight w:val="177"/>
        </w:trPr>
        <w:tc>
          <w:tcPr>
            <w:tcW w:w="5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Other assets...........................................</w:t>
            </w:r>
          </w:p>
        </w:tc>
        <w:tc>
          <w:tcPr>
            <w:tcW w:w="28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78,543</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28,860</w:t>
            </w:r>
          </w:p>
        </w:tc>
        <w:tc>
          <w:tcPr>
            <w:tcW w:w="32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107,403</w:t>
            </w:r>
          </w:p>
        </w:tc>
      </w:tr>
      <w:tr>
        <w:trPr>
          <w:trHeight w:val="177"/>
        </w:trPr>
        <w:tc>
          <w:tcPr>
            <w:tcW w:w="5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Deferred income taxes..................................</w:t>
            </w:r>
          </w:p>
        </w:tc>
        <w:tc>
          <w:tcPr>
            <w:tcW w:w="28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13,220d</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13,220</w:t>
            </w:r>
          </w:p>
        </w:tc>
      </w:tr>
      <w:tr>
        <w:trPr>
          <w:trHeight w:val="177"/>
        </w:trPr>
        <w:tc>
          <w:tcPr>
            <w:tcW w:w="5160" w:type="dxa"/>
            <w:vAlign w:val="bottom"/>
          </w:tcPr>
          <w:p>
            <w:pPr>
              <w:spacing w:after="0"/>
              <w:rPr>
                <w:sz w:val="15"/>
                <w:szCs w:val="15"/>
                <w:color w:val="auto"/>
              </w:rPr>
            </w:pPr>
          </w:p>
        </w:tc>
        <w:tc>
          <w:tcPr>
            <w:tcW w:w="12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Total assets..................................</w:t>
            </w:r>
          </w:p>
        </w:tc>
        <w:tc>
          <w:tcPr>
            <w:tcW w:w="12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$1,262,990</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$934,379</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(39,468)</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$2,157,901</w:t>
            </w:r>
          </w:p>
        </w:tc>
      </w:tr>
      <w:tr>
        <w:trPr>
          <w:trHeight w:val="177"/>
        </w:trPr>
        <w:tc>
          <w:tcPr>
            <w:tcW w:w="5160" w:type="dxa"/>
            <w:vAlign w:val="bottom"/>
          </w:tcPr>
          <w:p>
            <w:pPr>
              <w:spacing w:after="0"/>
              <w:rPr>
                <w:sz w:val="15"/>
                <w:szCs w:val="15"/>
                <w:color w:val="auto"/>
              </w:rPr>
            </w:pPr>
          </w:p>
        </w:tc>
        <w:tc>
          <w:tcPr>
            <w:tcW w:w="12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1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51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5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Accounts payable.....................................</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42,136</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$ 20,115</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62,251</w:t>
            </w:r>
          </w:p>
        </w:tc>
      </w:tr>
      <w:tr>
        <w:trPr>
          <w:trHeight w:val="177"/>
        </w:trPr>
        <w:tc>
          <w:tcPr>
            <w:tcW w:w="5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Accrued liabilities..................................</w:t>
            </w:r>
          </w:p>
        </w:tc>
        <w:tc>
          <w:tcPr>
            <w:tcW w:w="280" w:type="dxa"/>
            <w:vAlign w:val="bottom"/>
          </w:tcPr>
          <w:p>
            <w:pPr>
              <w:spacing w:after="0"/>
              <w:rPr>
                <w:sz w:val="15"/>
                <w:szCs w:val="15"/>
                <w:color w:val="auto"/>
              </w:rPr>
            </w:pP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40,258</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24,393</w:t>
            </w:r>
          </w:p>
        </w:tc>
        <w:tc>
          <w:tcPr>
            <w:tcW w:w="32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64,651</w:t>
            </w:r>
          </w:p>
        </w:tc>
      </w:tr>
      <w:tr>
        <w:trPr>
          <w:trHeight w:val="177"/>
        </w:trPr>
        <w:tc>
          <w:tcPr>
            <w:tcW w:w="5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Deferred revenues....................................</w:t>
            </w:r>
          </w:p>
        </w:tc>
        <w:tc>
          <w:tcPr>
            <w:tcW w:w="280" w:type="dxa"/>
            <w:vAlign w:val="bottom"/>
          </w:tcPr>
          <w:p>
            <w:pPr>
              <w:spacing w:after="0"/>
              <w:rPr>
                <w:sz w:val="15"/>
                <w:szCs w:val="15"/>
                <w:color w:val="auto"/>
              </w:rPr>
            </w:pP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6,508</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6,162</w:t>
            </w:r>
          </w:p>
        </w:tc>
        <w:tc>
          <w:tcPr>
            <w:tcW w:w="32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12,670</w:t>
            </w:r>
          </w:p>
        </w:tc>
      </w:tr>
      <w:tr>
        <w:trPr>
          <w:trHeight w:val="177"/>
        </w:trPr>
        <w:tc>
          <w:tcPr>
            <w:tcW w:w="5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Current maturities of long-term debt.................</w:t>
            </w:r>
          </w:p>
        </w:tc>
        <w:tc>
          <w:tcPr>
            <w:tcW w:w="280" w:type="dxa"/>
            <w:vAlign w:val="bottom"/>
          </w:tcPr>
          <w:p>
            <w:pPr>
              <w:spacing w:after="0"/>
              <w:rPr>
                <w:sz w:val="15"/>
                <w:szCs w:val="15"/>
                <w:color w:val="auto"/>
              </w:rPr>
            </w:pP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46,269</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13,484</w:t>
            </w:r>
          </w:p>
        </w:tc>
        <w:tc>
          <w:tcPr>
            <w:tcW w:w="32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59,753</w:t>
            </w:r>
          </w:p>
        </w:tc>
      </w:tr>
      <w:tr>
        <w:trPr>
          <w:trHeight w:val="177"/>
        </w:trPr>
        <w:tc>
          <w:tcPr>
            <w:tcW w:w="5160" w:type="dxa"/>
            <w:vAlign w:val="bottom"/>
          </w:tcPr>
          <w:p>
            <w:pPr>
              <w:spacing w:after="0"/>
              <w:rPr>
                <w:sz w:val="15"/>
                <w:szCs w:val="15"/>
                <w:color w:val="auto"/>
              </w:rPr>
            </w:pPr>
          </w:p>
        </w:tc>
        <w:tc>
          <w:tcPr>
            <w:tcW w:w="12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Total current liabilities.....................</w:t>
            </w:r>
          </w:p>
        </w:tc>
        <w:tc>
          <w:tcPr>
            <w:tcW w:w="280" w:type="dxa"/>
            <w:vAlign w:val="bottom"/>
          </w:tcPr>
          <w:p>
            <w:pPr>
              <w:spacing w:after="0"/>
              <w:rPr>
                <w:sz w:val="15"/>
                <w:szCs w:val="15"/>
                <w:color w:val="auto"/>
              </w:rPr>
            </w:pP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135,171</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64,154</w:t>
            </w:r>
          </w:p>
        </w:tc>
        <w:tc>
          <w:tcPr>
            <w:tcW w:w="32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199,325</w:t>
            </w:r>
          </w:p>
        </w:tc>
      </w:tr>
      <w:tr>
        <w:trPr>
          <w:trHeight w:val="177"/>
        </w:trPr>
        <w:tc>
          <w:tcPr>
            <w:tcW w:w="5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Long-term debt.........................................</w:t>
            </w:r>
          </w:p>
        </w:tc>
        <w:tc>
          <w:tcPr>
            <w:tcW w:w="280" w:type="dxa"/>
            <w:vAlign w:val="bottom"/>
          </w:tcPr>
          <w:p>
            <w:pPr>
              <w:spacing w:after="0"/>
              <w:rPr>
                <w:sz w:val="15"/>
                <w:szCs w:val="15"/>
                <w:color w:val="auto"/>
              </w:rPr>
            </w:pP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441,544</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359,994</w:t>
            </w:r>
          </w:p>
        </w:tc>
        <w:tc>
          <w:tcPr>
            <w:tcW w:w="32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801,538</w:t>
            </w:r>
          </w:p>
        </w:tc>
      </w:tr>
      <w:tr>
        <w:trPr>
          <w:trHeight w:val="177"/>
        </w:trPr>
        <w:tc>
          <w:tcPr>
            <w:tcW w:w="5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Closure, post-closure and other liabilities............</w:t>
            </w:r>
          </w:p>
        </w:tc>
        <w:tc>
          <w:tcPr>
            <w:tcW w:w="280" w:type="dxa"/>
            <w:vAlign w:val="bottom"/>
          </w:tcPr>
          <w:p>
            <w:pPr>
              <w:spacing w:after="0"/>
              <w:rPr>
                <w:sz w:val="15"/>
                <w:szCs w:val="15"/>
                <w:color w:val="auto"/>
              </w:rPr>
            </w:pP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85,213</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66,066</w:t>
            </w:r>
          </w:p>
        </w:tc>
        <w:tc>
          <w:tcPr>
            <w:tcW w:w="32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151,279</w:t>
            </w:r>
          </w:p>
        </w:tc>
      </w:tr>
      <w:tr>
        <w:trPr>
          <w:trHeight w:val="177"/>
        </w:trPr>
        <w:tc>
          <w:tcPr>
            <w:tcW w:w="5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Deferred income taxes..................................</w:t>
            </w:r>
          </w:p>
        </w:tc>
        <w:tc>
          <w:tcPr>
            <w:tcW w:w="280" w:type="dxa"/>
            <w:vAlign w:val="bottom"/>
          </w:tcPr>
          <w:p>
            <w:pPr>
              <w:spacing w:after="0"/>
              <w:rPr>
                <w:sz w:val="15"/>
                <w:szCs w:val="15"/>
                <w:color w:val="auto"/>
              </w:rPr>
            </w:pP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3,270</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66,988</w:t>
            </w:r>
          </w:p>
        </w:tc>
        <w:tc>
          <w:tcPr>
            <w:tcW w:w="32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(70,258)d</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160" w:type="dxa"/>
            <w:vAlign w:val="bottom"/>
          </w:tcPr>
          <w:p>
            <w:pPr>
              <w:spacing w:after="0"/>
              <w:rPr>
                <w:sz w:val="15"/>
                <w:szCs w:val="15"/>
                <w:color w:val="auto"/>
              </w:rPr>
            </w:pPr>
          </w:p>
        </w:tc>
        <w:tc>
          <w:tcPr>
            <w:tcW w:w="12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Total liabilities.............................</w:t>
            </w:r>
          </w:p>
        </w:tc>
        <w:tc>
          <w:tcPr>
            <w:tcW w:w="280" w:type="dxa"/>
            <w:vAlign w:val="bottom"/>
          </w:tcPr>
          <w:p>
            <w:pPr>
              <w:spacing w:after="0"/>
              <w:rPr>
                <w:sz w:val="15"/>
                <w:szCs w:val="15"/>
                <w:color w:val="auto"/>
              </w:rPr>
            </w:pP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665,198</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557,202</w:t>
            </w:r>
          </w:p>
        </w:tc>
        <w:tc>
          <w:tcPr>
            <w:tcW w:w="320" w:type="dxa"/>
            <w:vAlign w:val="bottom"/>
          </w:tcPr>
          <w:p>
            <w:pPr>
              <w:spacing w:after="0"/>
              <w:rPr>
                <w:sz w:val="15"/>
                <w:szCs w:val="15"/>
                <w:color w:val="auto"/>
              </w:rPr>
            </w:pP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(70,258)</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1,152,142</w:t>
            </w:r>
          </w:p>
        </w:tc>
      </w:tr>
      <w:tr>
        <w:trPr>
          <w:trHeight w:val="177"/>
        </w:trPr>
        <w:tc>
          <w:tcPr>
            <w:tcW w:w="5160" w:type="dxa"/>
            <w:vAlign w:val="bottom"/>
          </w:tcPr>
          <w:p>
            <w:pPr>
              <w:spacing w:after="0"/>
              <w:rPr>
                <w:sz w:val="15"/>
                <w:szCs w:val="15"/>
                <w:color w:val="auto"/>
              </w:rPr>
            </w:pPr>
          </w:p>
        </w:tc>
        <w:tc>
          <w:tcPr>
            <w:tcW w:w="12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Commitments and contingencies..........................</w:t>
            </w:r>
          </w:p>
        </w:tc>
        <w:tc>
          <w:tcPr>
            <w:tcW w:w="28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1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516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5160" w:type="dxa"/>
            <w:vAlign w:val="bottom"/>
          </w:tcPr>
          <w:p>
            <w:pPr>
              <w:ind w:left="360"/>
              <w:spacing w:after="0"/>
              <w:rPr>
                <w:sz w:val="20"/>
                <w:szCs w:val="20"/>
                <w:color w:val="auto"/>
              </w:rPr>
            </w:pPr>
            <w:r>
              <w:rPr>
                <w:rFonts w:ascii="Courier New" w:cs="Courier New" w:eastAsia="Courier New" w:hAnsi="Courier New"/>
                <w:sz w:val="15"/>
                <w:szCs w:val="15"/>
                <w:color w:val="auto"/>
              </w:rPr>
              <w:t>USA Waste: $1.00 par value; 10,000,000 shares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5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authorized; none issued..........................</w:t>
            </w:r>
          </w:p>
        </w:tc>
        <w:tc>
          <w:tcPr>
            <w:tcW w:w="28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160" w:type="dxa"/>
            <w:vAlign w:val="bottom"/>
          </w:tcPr>
          <w:p>
            <w:pPr>
              <w:ind w:left="360"/>
              <w:spacing w:after="0"/>
              <w:rPr>
                <w:sz w:val="20"/>
                <w:szCs w:val="20"/>
                <w:color w:val="auto"/>
              </w:rPr>
            </w:pPr>
            <w:r>
              <w:rPr>
                <w:rFonts w:ascii="Courier New" w:cs="Courier New" w:eastAsia="Courier New" w:hAnsi="Courier New"/>
                <w:sz w:val="15"/>
                <w:szCs w:val="15"/>
                <w:color w:val="auto"/>
              </w:rPr>
              <w:t>Sanifill: $10.00 par value; 500,000 shares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5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authorized; none issued..........................</w:t>
            </w:r>
          </w:p>
        </w:tc>
        <w:tc>
          <w:tcPr>
            <w:tcW w:w="28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160" w:type="dxa"/>
            <w:vAlign w:val="bottom"/>
          </w:tcPr>
          <w:p>
            <w:pPr>
              <w:ind w:left="180"/>
              <w:spacing w:after="0"/>
              <w:rPr>
                <w:sz w:val="20"/>
                <w:szCs w:val="20"/>
                <w:color w:val="auto"/>
              </w:rPr>
            </w:pPr>
            <w:r>
              <w:rPr>
                <w:rFonts w:ascii="Courier New" w:cs="Courier New" w:eastAsia="Courier New" w:hAnsi="Courier New"/>
                <w:sz w:val="15"/>
                <w:szCs w:val="15"/>
                <w:color w:val="auto"/>
              </w:rPr>
              <w:t>Common stock:</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5160" w:type="dxa"/>
            <w:vAlign w:val="bottom"/>
          </w:tcPr>
          <w:p>
            <w:pPr>
              <w:ind w:left="360"/>
              <w:spacing w:after="0"/>
              <w:rPr>
                <w:sz w:val="20"/>
                <w:szCs w:val="20"/>
                <w:color w:val="auto"/>
              </w:rPr>
            </w:pPr>
            <w:r>
              <w:rPr>
                <w:rFonts w:ascii="Courier New" w:cs="Courier New" w:eastAsia="Courier New" w:hAnsi="Courier New"/>
                <w:sz w:val="15"/>
                <w:szCs w:val="15"/>
                <w:color w:val="auto"/>
              </w:rPr>
              <w:t>USA Waste: $.01 par value; 150,000,000 shares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5160" w:type="dxa"/>
            <w:vAlign w:val="bottom"/>
          </w:tcPr>
          <w:p>
            <w:pPr>
              <w:ind w:left="540"/>
              <w:spacing w:after="0"/>
              <w:rPr>
                <w:sz w:val="20"/>
                <w:szCs w:val="20"/>
                <w:color w:val="auto"/>
              </w:rPr>
            </w:pPr>
            <w:r>
              <w:rPr>
                <w:rFonts w:ascii="Courier New" w:cs="Courier New" w:eastAsia="Courier New" w:hAnsi="Courier New"/>
                <w:sz w:val="15"/>
                <w:szCs w:val="15"/>
                <w:color w:val="auto"/>
              </w:rPr>
              <w:t>authorized; 89,596,573 historical shares issued</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5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(129,204,873 combined pro forma shares issued)...</w:t>
            </w:r>
          </w:p>
        </w:tc>
        <w:tc>
          <w:tcPr>
            <w:tcW w:w="280" w:type="dxa"/>
            <w:vAlign w:val="bottom"/>
          </w:tcPr>
          <w:p>
            <w:pPr>
              <w:spacing w:after="0"/>
              <w:rPr>
                <w:sz w:val="15"/>
                <w:szCs w:val="15"/>
                <w:color w:val="auto"/>
              </w:rPr>
            </w:pP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896</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396b</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1,292</w:t>
            </w:r>
          </w:p>
        </w:tc>
      </w:tr>
      <w:tr>
        <w:trPr>
          <w:trHeight w:val="177"/>
        </w:trPr>
        <w:tc>
          <w:tcPr>
            <w:tcW w:w="5160" w:type="dxa"/>
            <w:vAlign w:val="bottom"/>
          </w:tcPr>
          <w:p>
            <w:pPr>
              <w:ind w:left="360"/>
              <w:spacing w:after="0"/>
              <w:rPr>
                <w:sz w:val="20"/>
                <w:szCs w:val="20"/>
                <w:color w:val="auto"/>
              </w:rPr>
            </w:pPr>
            <w:r>
              <w:rPr>
                <w:rFonts w:ascii="Courier New" w:cs="Courier New" w:eastAsia="Courier New" w:hAnsi="Courier New"/>
                <w:sz w:val="15"/>
                <w:szCs w:val="15"/>
                <w:color w:val="auto"/>
              </w:rPr>
              <w:t>Sanifill: $.01 par value; 100,000,000 shares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5160" w:type="dxa"/>
            <w:vAlign w:val="bottom"/>
          </w:tcPr>
          <w:p>
            <w:pPr>
              <w:ind w:left="540"/>
              <w:spacing w:after="0"/>
              <w:rPr>
                <w:sz w:val="20"/>
                <w:szCs w:val="20"/>
                <w:color w:val="auto"/>
              </w:rPr>
            </w:pPr>
            <w:r>
              <w:rPr>
                <w:rFonts w:ascii="Courier New" w:cs="Courier New" w:eastAsia="Courier New" w:hAnsi="Courier New"/>
                <w:sz w:val="15"/>
                <w:szCs w:val="15"/>
                <w:color w:val="auto"/>
              </w:rPr>
              <w:t>authorized; 23,299,000 shares issued and</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5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outstanding......................................</w:t>
            </w:r>
          </w:p>
        </w:tc>
        <w:tc>
          <w:tcPr>
            <w:tcW w:w="28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233</w:t>
            </w:r>
          </w:p>
        </w:tc>
        <w:tc>
          <w:tcPr>
            <w:tcW w:w="32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(233)b</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Additional paid-in capital...........................</w:t>
            </w:r>
          </w:p>
        </w:tc>
        <w:tc>
          <w:tcPr>
            <w:tcW w:w="280" w:type="dxa"/>
            <w:vAlign w:val="bottom"/>
          </w:tcPr>
          <w:p>
            <w:pPr>
              <w:spacing w:after="0"/>
              <w:rPr>
                <w:sz w:val="15"/>
                <w:szCs w:val="15"/>
                <w:color w:val="auto"/>
              </w:rPr>
            </w:pP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807,049</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298,879</w:t>
            </w:r>
          </w:p>
        </w:tc>
        <w:tc>
          <w:tcPr>
            <w:tcW w:w="32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(163)b</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1,105,765</w:t>
            </w:r>
          </w:p>
        </w:tc>
      </w:tr>
      <w:tr>
        <w:trPr>
          <w:trHeight w:val="177"/>
        </w:trPr>
        <w:tc>
          <w:tcPr>
            <w:tcW w:w="5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Retained earnings (accumulated deficit)..............</w:t>
            </w:r>
          </w:p>
        </w:tc>
        <w:tc>
          <w:tcPr>
            <w:tcW w:w="28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(207,999)</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92,613</w:t>
            </w:r>
          </w:p>
        </w:tc>
        <w:tc>
          <w:tcPr>
            <w:tcW w:w="320" w:type="dxa"/>
            <w:vAlign w:val="bottom"/>
          </w:tcPr>
          <w:p>
            <w:pPr>
              <w:spacing w:after="0"/>
              <w:rPr>
                <w:sz w:val="15"/>
                <w:szCs w:val="15"/>
                <w:color w:val="auto"/>
              </w:rPr>
            </w:pP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30,790d</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(84,596)</w:t>
            </w:r>
          </w:p>
        </w:tc>
      </w:tr>
      <w:tr>
        <w:trPr>
          <w:trHeight w:val="177"/>
        </w:trPr>
        <w:tc>
          <w:tcPr>
            <w:tcW w:w="5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Foreign currency adjustment..........................</w:t>
            </w:r>
          </w:p>
        </w:tc>
        <w:tc>
          <w:tcPr>
            <w:tcW w:w="280" w:type="dxa"/>
            <w:vAlign w:val="bottom"/>
          </w:tcPr>
          <w:p>
            <w:pPr>
              <w:spacing w:after="0"/>
              <w:rPr>
                <w:sz w:val="15"/>
                <w:szCs w:val="15"/>
                <w:color w:val="auto"/>
              </w:rPr>
            </w:pP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(14,548)</w:t>
            </w:r>
          </w:p>
        </w:tc>
        <w:tc>
          <w:tcPr>
            <w:tcW w:w="32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(14,548)</w:t>
            </w:r>
          </w:p>
        </w:tc>
      </w:tr>
      <w:tr>
        <w:trPr>
          <w:trHeight w:val="177"/>
        </w:trPr>
        <w:tc>
          <w:tcPr>
            <w:tcW w:w="5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Less treasury stock, at cost, 144,975 shares.........</w:t>
            </w:r>
          </w:p>
        </w:tc>
        <w:tc>
          <w:tcPr>
            <w:tcW w:w="28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(2,154)</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(2,154)</w:t>
            </w:r>
          </w:p>
        </w:tc>
      </w:tr>
      <w:tr>
        <w:trPr>
          <w:trHeight w:val="177"/>
        </w:trPr>
        <w:tc>
          <w:tcPr>
            <w:tcW w:w="5160" w:type="dxa"/>
            <w:vAlign w:val="bottom"/>
          </w:tcPr>
          <w:p>
            <w:pPr>
              <w:spacing w:after="0"/>
              <w:rPr>
                <w:sz w:val="15"/>
                <w:szCs w:val="15"/>
                <w:color w:val="auto"/>
              </w:rPr>
            </w:pPr>
          </w:p>
        </w:tc>
        <w:tc>
          <w:tcPr>
            <w:tcW w:w="12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Total stockholders' equity....................</w:t>
            </w:r>
          </w:p>
        </w:tc>
        <w:tc>
          <w:tcPr>
            <w:tcW w:w="280" w:type="dxa"/>
            <w:vAlign w:val="bottom"/>
          </w:tcPr>
          <w:p>
            <w:pPr>
              <w:spacing w:after="0"/>
              <w:rPr>
                <w:sz w:val="15"/>
                <w:szCs w:val="15"/>
                <w:color w:val="auto"/>
              </w:rPr>
            </w:pP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597,792</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377,177</w:t>
            </w:r>
          </w:p>
        </w:tc>
        <w:tc>
          <w:tcPr>
            <w:tcW w:w="32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30,790</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1,005,759</w:t>
            </w:r>
          </w:p>
        </w:tc>
      </w:tr>
      <w:tr>
        <w:trPr>
          <w:trHeight w:val="177"/>
        </w:trPr>
        <w:tc>
          <w:tcPr>
            <w:tcW w:w="5160" w:type="dxa"/>
            <w:vAlign w:val="bottom"/>
          </w:tcPr>
          <w:p>
            <w:pPr>
              <w:spacing w:after="0"/>
              <w:rPr>
                <w:sz w:val="15"/>
                <w:szCs w:val="15"/>
                <w:color w:val="auto"/>
              </w:rPr>
            </w:pPr>
          </w:p>
        </w:tc>
        <w:tc>
          <w:tcPr>
            <w:tcW w:w="12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2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$1,262,990</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$934,379</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(39,468)</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$2,157,901</w:t>
            </w:r>
          </w:p>
        </w:tc>
      </w:tr>
      <w:tr>
        <w:trPr>
          <w:trHeight w:val="177"/>
        </w:trPr>
        <w:tc>
          <w:tcPr>
            <w:tcW w:w="5160" w:type="dxa"/>
            <w:vAlign w:val="bottom"/>
          </w:tcPr>
          <w:p>
            <w:pPr>
              <w:spacing w:after="0"/>
              <w:rPr>
                <w:sz w:val="15"/>
                <w:szCs w:val="15"/>
                <w:color w:val="auto"/>
              </w:rPr>
            </w:pPr>
          </w:p>
        </w:tc>
        <w:tc>
          <w:tcPr>
            <w:tcW w:w="12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ectPr>
          <w:pgSz w:w="11900" w:h="16838" w:orient="portrait"/>
          <w:cols w:equalWidth="0" w:num="1">
            <w:col w:w="10219"/>
          </w:cols>
          <w:pgMar w:left="240" w:top="295" w:right="1440" w:bottom="1081" w:gutter="0" w:footer="0" w:header="0"/>
        </w:sectPr>
      </w:pP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295" w:right="1440" w:bottom="1081" w:gutter="0" w:footer="0" w:header="0"/>
          <w:type w:val="continuous"/>
        </w:sectPr>
      </w:pPr>
    </w:p>
    <w:bookmarkStart w:id="68" w:name="page69"/>
    <w:bookmarkEnd w:id="68"/>
    <w:p>
      <w:pPr>
        <w:ind w:left="280"/>
        <w:spacing w:after="0"/>
        <w:rPr>
          <w:sz w:val="20"/>
          <w:szCs w:val="20"/>
          <w:color w:val="auto"/>
        </w:rPr>
      </w:pPr>
      <w:r>
        <w:rPr>
          <w:rFonts w:ascii="Courier New" w:cs="Courier New" w:eastAsia="Courier New" w:hAnsi="Courier New"/>
          <w:sz w:val="15"/>
          <w:szCs w:val="15"/>
          <w:color w:val="auto"/>
        </w:rPr>
        <w:t>68</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USA WASTE AND SANIFILL</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COMBINED UNAUDITED PRO FORMA CONDENSED</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STATEMENT OF OPERATIONS</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THREE MONTHS ENDED MARCH 31, 1996</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following combined unaudited pro forma condensed statement of operations for the three months ended March 31, 1996 was prepared based upon the unaudited supplemental and unaudited historical statements of operations for USA Waste and Sanifill, respectively, for such period and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PRO FORMA</w:t>
            </w:r>
          </w:p>
        </w:tc>
        <w:tc>
          <w:tcPr>
            <w:tcW w:w="1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COMBINED</w:t>
            </w:r>
          </w:p>
        </w:tc>
      </w:tr>
      <w:tr>
        <w:trPr>
          <w:trHeight w:val="177"/>
        </w:trPr>
        <w:tc>
          <w:tcPr>
            <w:tcW w:w="4600" w:type="dxa"/>
            <w:vAlign w:val="bottom"/>
          </w:tcPr>
          <w:p>
            <w:pPr>
              <w:spacing w:after="0"/>
              <w:rPr>
                <w:sz w:val="15"/>
                <w:szCs w:val="15"/>
                <w:color w:val="auto"/>
              </w:rPr>
            </w:pPr>
          </w:p>
        </w:tc>
        <w:tc>
          <w:tcPr>
            <w:tcW w:w="1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USA WASTE</w:t>
            </w: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SANIFILL</w:t>
            </w:r>
          </w:p>
        </w:tc>
        <w:tc>
          <w:tcPr>
            <w:tcW w:w="14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ADJUSTMENTS</w:t>
            </w:r>
          </w:p>
        </w:tc>
        <w:tc>
          <w:tcPr>
            <w:tcW w:w="1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PRO FORMA</w:t>
            </w:r>
          </w:p>
        </w:tc>
      </w:tr>
      <w:tr>
        <w:trPr>
          <w:trHeight w:val="177"/>
        </w:trPr>
        <w:tc>
          <w:tcPr>
            <w:tcW w:w="4600" w:type="dxa"/>
            <w:vAlign w:val="bottom"/>
          </w:tcPr>
          <w:p>
            <w:pPr>
              <w:spacing w:after="0"/>
              <w:rPr>
                <w:sz w:val="15"/>
                <w:szCs w:val="15"/>
                <w:color w:val="auto"/>
              </w:rPr>
            </w:pPr>
          </w:p>
        </w:tc>
        <w:tc>
          <w:tcPr>
            <w:tcW w:w="1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4600" w:type="dxa"/>
            <w:vAlign w:val="bottom"/>
          </w:tcPr>
          <w:p>
            <w:pPr>
              <w:spacing w:after="0"/>
              <w:rPr>
                <w:sz w:val="15"/>
                <w:szCs w:val="15"/>
                <w:color w:val="auto"/>
              </w:rPr>
            </w:pPr>
          </w:p>
        </w:tc>
        <w:tc>
          <w:tcPr>
            <w:tcW w:w="4800" w:type="dxa"/>
            <w:vAlign w:val="bottom"/>
            <w:gridSpan w:val="7"/>
          </w:tcPr>
          <w:p>
            <w:pPr>
              <w:jc w:val="right"/>
              <w:ind w:right="463"/>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55"/>
        </w:trPr>
        <w:tc>
          <w:tcPr>
            <w:tcW w:w="46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$201,525</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81,000</w:t>
            </w:r>
          </w:p>
        </w:tc>
        <w:tc>
          <w:tcPr>
            <w:tcW w:w="340" w:type="dxa"/>
            <w:vAlign w:val="bottom"/>
          </w:tcPr>
          <w:p>
            <w:pPr>
              <w:ind w:left="24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282,525</w:t>
            </w:r>
          </w:p>
        </w:tc>
      </w:tr>
      <w:tr>
        <w:trPr>
          <w:trHeight w:val="177"/>
        </w:trPr>
        <w:tc>
          <w:tcPr>
            <w:tcW w:w="4600" w:type="dxa"/>
            <w:vAlign w:val="bottom"/>
          </w:tcPr>
          <w:p>
            <w:pPr>
              <w:spacing w:after="0"/>
              <w:rPr>
                <w:sz w:val="15"/>
                <w:szCs w:val="15"/>
                <w:color w:val="auto"/>
              </w:rPr>
            </w:pP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8"/>
              </w:rPr>
              <w:t>-------</w:t>
            </w:r>
          </w:p>
        </w:tc>
        <w:tc>
          <w:tcPr>
            <w:tcW w:w="340" w:type="dxa"/>
            <w:vAlign w:val="bottom"/>
          </w:tcPr>
          <w:p>
            <w:pPr>
              <w:spacing w:after="0"/>
              <w:rPr>
                <w:sz w:val="15"/>
                <w:szCs w:val="15"/>
                <w:color w:val="auto"/>
              </w:rPr>
            </w:pPr>
          </w:p>
        </w:tc>
        <w:tc>
          <w:tcPr>
            <w:tcW w:w="1140" w:type="dxa"/>
            <w:vAlign w:val="bottom"/>
          </w:tcPr>
          <w:p>
            <w:pPr>
              <w:jc w:val="right"/>
              <w:ind w:right="343"/>
              <w:spacing w:after="0"/>
              <w:rPr>
                <w:sz w:val="20"/>
                <w:szCs w:val="20"/>
                <w:color w:val="auto"/>
              </w:rPr>
            </w:pPr>
            <w:r>
              <w:rPr>
                <w:rFonts w:ascii="Courier New" w:cs="Courier New" w:eastAsia="Courier New" w:hAnsi="Courier New"/>
                <w:sz w:val="15"/>
                <w:szCs w:val="15"/>
                <w:color w:val="auto"/>
                <w:w w:val="97"/>
              </w:rPr>
              <w:t>--------</w:t>
            </w:r>
          </w:p>
        </w:tc>
        <w:tc>
          <w:tcPr>
            <w:tcW w:w="2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46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4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Operating......................................</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118,101</w:t>
            </w:r>
          </w:p>
        </w:tc>
        <w:tc>
          <w:tcPr>
            <w:tcW w:w="280" w:type="dxa"/>
            <w:vAlign w:val="bottom"/>
          </w:tcPr>
          <w:p>
            <w:pPr>
              <w:spacing w:after="0"/>
              <w:rPr>
                <w:sz w:val="15"/>
                <w:szCs w:val="15"/>
                <w:color w:val="auto"/>
              </w:rPr>
            </w:pPr>
          </w:p>
        </w:tc>
        <w:tc>
          <w:tcPr>
            <w:tcW w:w="8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51,895</w:t>
            </w:r>
          </w:p>
        </w:tc>
        <w:tc>
          <w:tcPr>
            <w:tcW w:w="340" w:type="dxa"/>
            <w:vAlign w:val="bottom"/>
          </w:tcPr>
          <w:p>
            <w:pPr>
              <w:spacing w:after="0"/>
              <w:rPr>
                <w:sz w:val="15"/>
                <w:szCs w:val="15"/>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(11,040)a</w:t>
            </w:r>
          </w:p>
        </w:tc>
        <w:tc>
          <w:tcPr>
            <w:tcW w:w="2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158,956</w:t>
            </w:r>
          </w:p>
        </w:tc>
      </w:tr>
      <w:tr>
        <w:trPr>
          <w:trHeight w:val="177"/>
        </w:trPr>
        <w:tc>
          <w:tcPr>
            <w:tcW w:w="4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General and administrative.....................</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24,743</w:t>
            </w:r>
          </w:p>
        </w:tc>
        <w:tc>
          <w:tcPr>
            <w:tcW w:w="280" w:type="dxa"/>
            <w:vAlign w:val="bottom"/>
          </w:tcPr>
          <w:p>
            <w:pPr>
              <w:spacing w:after="0"/>
              <w:rPr>
                <w:sz w:val="15"/>
                <w:szCs w:val="15"/>
                <w:color w:val="auto"/>
              </w:rPr>
            </w:pPr>
          </w:p>
        </w:tc>
        <w:tc>
          <w:tcPr>
            <w:tcW w:w="8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12,247</w:t>
            </w:r>
          </w:p>
        </w:tc>
        <w:tc>
          <w:tcPr>
            <w:tcW w:w="340" w:type="dxa"/>
            <w:vAlign w:val="bottom"/>
          </w:tcPr>
          <w:p>
            <w:pPr>
              <w:spacing w:after="0"/>
              <w:rPr>
                <w:sz w:val="15"/>
                <w:szCs w:val="15"/>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(286)a</w:t>
            </w:r>
          </w:p>
        </w:tc>
        <w:tc>
          <w:tcPr>
            <w:tcW w:w="2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36,704</w:t>
            </w:r>
          </w:p>
        </w:tc>
      </w:tr>
      <w:tr>
        <w:trPr>
          <w:trHeight w:val="177"/>
        </w:trPr>
        <w:tc>
          <w:tcPr>
            <w:tcW w:w="4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Depreciation and amortization..................</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21,874</w:t>
            </w:r>
          </w:p>
        </w:tc>
        <w:tc>
          <w:tcPr>
            <w:tcW w:w="280" w:type="dxa"/>
            <w:vAlign w:val="bottom"/>
          </w:tcPr>
          <w:p>
            <w:pPr>
              <w:spacing w:after="0"/>
              <w:rPr>
                <w:sz w:val="15"/>
                <w:szCs w:val="15"/>
                <w:color w:val="auto"/>
              </w:rPr>
            </w:pPr>
          </w:p>
        </w:tc>
        <w:tc>
          <w:tcPr>
            <w:tcW w:w="8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5"/>
                <w:szCs w:val="15"/>
                <w:color w:val="auto"/>
              </w:rPr>
            </w:pPr>
          </w:p>
        </w:tc>
        <w:tc>
          <w:tcPr>
            <w:tcW w:w="11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10,827a,d</w:t>
            </w:r>
          </w:p>
        </w:tc>
        <w:tc>
          <w:tcPr>
            <w:tcW w:w="2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32,701</w:t>
            </w:r>
          </w:p>
        </w:tc>
      </w:tr>
      <w:tr>
        <w:trPr>
          <w:trHeight w:val="177"/>
        </w:trPr>
        <w:tc>
          <w:tcPr>
            <w:tcW w:w="4600" w:type="dxa"/>
            <w:vAlign w:val="bottom"/>
          </w:tcPr>
          <w:p>
            <w:pPr>
              <w:spacing w:after="0"/>
              <w:rPr>
                <w:sz w:val="15"/>
                <w:szCs w:val="15"/>
                <w:color w:val="auto"/>
              </w:rPr>
            </w:pP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8"/>
              </w:rPr>
              <w:t>-------</w:t>
            </w:r>
          </w:p>
        </w:tc>
        <w:tc>
          <w:tcPr>
            <w:tcW w:w="340" w:type="dxa"/>
            <w:vAlign w:val="bottom"/>
          </w:tcPr>
          <w:p>
            <w:pPr>
              <w:spacing w:after="0"/>
              <w:rPr>
                <w:sz w:val="15"/>
                <w:szCs w:val="15"/>
                <w:color w:val="auto"/>
              </w:rPr>
            </w:pPr>
          </w:p>
        </w:tc>
        <w:tc>
          <w:tcPr>
            <w:tcW w:w="1140" w:type="dxa"/>
            <w:vAlign w:val="bottom"/>
          </w:tcPr>
          <w:p>
            <w:pPr>
              <w:jc w:val="right"/>
              <w:ind w:right="343"/>
              <w:spacing w:after="0"/>
              <w:rPr>
                <w:sz w:val="20"/>
                <w:szCs w:val="20"/>
                <w:color w:val="auto"/>
              </w:rPr>
            </w:pPr>
            <w:r>
              <w:rPr>
                <w:rFonts w:ascii="Courier New" w:cs="Courier New" w:eastAsia="Courier New" w:hAnsi="Courier New"/>
                <w:sz w:val="15"/>
                <w:szCs w:val="15"/>
                <w:color w:val="auto"/>
                <w:w w:val="97"/>
              </w:rPr>
              <w:t>--------</w:t>
            </w:r>
          </w:p>
        </w:tc>
        <w:tc>
          <w:tcPr>
            <w:tcW w:w="2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4600" w:type="dxa"/>
            <w:vAlign w:val="bottom"/>
          </w:tcPr>
          <w:p>
            <w:pPr>
              <w:spacing w:after="0"/>
              <w:rPr>
                <w:sz w:val="15"/>
                <w:szCs w:val="15"/>
                <w:color w:val="auto"/>
              </w:rPr>
            </w:pP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164,718</w:t>
            </w:r>
          </w:p>
        </w:tc>
        <w:tc>
          <w:tcPr>
            <w:tcW w:w="280" w:type="dxa"/>
            <w:vAlign w:val="bottom"/>
          </w:tcPr>
          <w:p>
            <w:pPr>
              <w:spacing w:after="0"/>
              <w:rPr>
                <w:sz w:val="15"/>
                <w:szCs w:val="15"/>
                <w:color w:val="auto"/>
              </w:rPr>
            </w:pPr>
          </w:p>
        </w:tc>
        <w:tc>
          <w:tcPr>
            <w:tcW w:w="8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64,142</w:t>
            </w:r>
          </w:p>
        </w:tc>
        <w:tc>
          <w:tcPr>
            <w:tcW w:w="340" w:type="dxa"/>
            <w:vAlign w:val="bottom"/>
          </w:tcPr>
          <w:p>
            <w:pPr>
              <w:spacing w:after="0"/>
              <w:rPr>
                <w:sz w:val="15"/>
                <w:szCs w:val="15"/>
                <w:color w:val="auto"/>
              </w:rPr>
            </w:pP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(499)</w:t>
            </w:r>
          </w:p>
        </w:tc>
        <w:tc>
          <w:tcPr>
            <w:tcW w:w="2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228,361</w:t>
            </w:r>
          </w:p>
        </w:tc>
      </w:tr>
      <w:tr>
        <w:trPr>
          <w:trHeight w:val="177"/>
        </w:trPr>
        <w:tc>
          <w:tcPr>
            <w:tcW w:w="4600" w:type="dxa"/>
            <w:vAlign w:val="bottom"/>
          </w:tcPr>
          <w:p>
            <w:pPr>
              <w:spacing w:after="0"/>
              <w:rPr>
                <w:sz w:val="15"/>
                <w:szCs w:val="15"/>
                <w:color w:val="auto"/>
              </w:rPr>
            </w:pP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8"/>
              </w:rPr>
              <w:t>-------</w:t>
            </w:r>
          </w:p>
        </w:tc>
        <w:tc>
          <w:tcPr>
            <w:tcW w:w="340" w:type="dxa"/>
            <w:vAlign w:val="bottom"/>
          </w:tcPr>
          <w:p>
            <w:pPr>
              <w:spacing w:after="0"/>
              <w:rPr>
                <w:sz w:val="15"/>
                <w:szCs w:val="15"/>
                <w:color w:val="auto"/>
              </w:rPr>
            </w:pPr>
          </w:p>
        </w:tc>
        <w:tc>
          <w:tcPr>
            <w:tcW w:w="1140" w:type="dxa"/>
            <w:vAlign w:val="bottom"/>
          </w:tcPr>
          <w:p>
            <w:pPr>
              <w:jc w:val="right"/>
              <w:ind w:right="343"/>
              <w:spacing w:after="0"/>
              <w:rPr>
                <w:sz w:val="20"/>
                <w:szCs w:val="20"/>
                <w:color w:val="auto"/>
              </w:rPr>
            </w:pPr>
            <w:r>
              <w:rPr>
                <w:rFonts w:ascii="Courier New" w:cs="Courier New" w:eastAsia="Courier New" w:hAnsi="Courier New"/>
                <w:sz w:val="15"/>
                <w:szCs w:val="15"/>
                <w:color w:val="auto"/>
                <w:w w:val="97"/>
              </w:rPr>
              <w:t>--------</w:t>
            </w:r>
          </w:p>
        </w:tc>
        <w:tc>
          <w:tcPr>
            <w:tcW w:w="2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4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Income from operations...........................</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36,807</w:t>
            </w:r>
          </w:p>
        </w:tc>
        <w:tc>
          <w:tcPr>
            <w:tcW w:w="280" w:type="dxa"/>
            <w:vAlign w:val="bottom"/>
          </w:tcPr>
          <w:p>
            <w:pPr>
              <w:spacing w:after="0"/>
              <w:rPr>
                <w:sz w:val="15"/>
                <w:szCs w:val="15"/>
                <w:color w:val="auto"/>
              </w:rPr>
            </w:pPr>
          </w:p>
        </w:tc>
        <w:tc>
          <w:tcPr>
            <w:tcW w:w="8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16,858</w:t>
            </w:r>
          </w:p>
        </w:tc>
        <w:tc>
          <w:tcPr>
            <w:tcW w:w="340" w:type="dxa"/>
            <w:vAlign w:val="bottom"/>
          </w:tcPr>
          <w:p>
            <w:pPr>
              <w:spacing w:after="0"/>
              <w:rPr>
                <w:sz w:val="15"/>
                <w:szCs w:val="15"/>
                <w:color w:val="auto"/>
              </w:rPr>
            </w:pPr>
          </w:p>
        </w:tc>
        <w:tc>
          <w:tcPr>
            <w:tcW w:w="11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499</w:t>
            </w:r>
          </w:p>
        </w:tc>
        <w:tc>
          <w:tcPr>
            <w:tcW w:w="2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54,164</w:t>
            </w:r>
          </w:p>
        </w:tc>
      </w:tr>
      <w:tr>
        <w:trPr>
          <w:trHeight w:val="177"/>
        </w:trPr>
        <w:tc>
          <w:tcPr>
            <w:tcW w:w="4600" w:type="dxa"/>
            <w:vAlign w:val="bottom"/>
          </w:tcPr>
          <w:p>
            <w:pPr>
              <w:spacing w:after="0"/>
              <w:rPr>
                <w:sz w:val="15"/>
                <w:szCs w:val="15"/>
                <w:color w:val="auto"/>
              </w:rPr>
            </w:pP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8"/>
              </w:rPr>
              <w:t>-------</w:t>
            </w:r>
          </w:p>
        </w:tc>
        <w:tc>
          <w:tcPr>
            <w:tcW w:w="340" w:type="dxa"/>
            <w:vAlign w:val="bottom"/>
          </w:tcPr>
          <w:p>
            <w:pPr>
              <w:spacing w:after="0"/>
              <w:rPr>
                <w:sz w:val="15"/>
                <w:szCs w:val="15"/>
                <w:color w:val="auto"/>
              </w:rPr>
            </w:pPr>
          </w:p>
        </w:tc>
        <w:tc>
          <w:tcPr>
            <w:tcW w:w="1140" w:type="dxa"/>
            <w:vAlign w:val="bottom"/>
          </w:tcPr>
          <w:p>
            <w:pPr>
              <w:jc w:val="right"/>
              <w:ind w:right="343"/>
              <w:spacing w:after="0"/>
              <w:rPr>
                <w:sz w:val="20"/>
                <w:szCs w:val="20"/>
                <w:color w:val="auto"/>
              </w:rPr>
            </w:pPr>
            <w:r>
              <w:rPr>
                <w:rFonts w:ascii="Courier New" w:cs="Courier New" w:eastAsia="Courier New" w:hAnsi="Courier New"/>
                <w:sz w:val="15"/>
                <w:szCs w:val="15"/>
                <w:color w:val="auto"/>
                <w:w w:val="97"/>
              </w:rPr>
              <w:t>--------</w:t>
            </w:r>
          </w:p>
        </w:tc>
        <w:tc>
          <w:tcPr>
            <w:tcW w:w="2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46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4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Interest expense...............................</w:t>
            </w:r>
          </w:p>
        </w:tc>
        <w:tc>
          <w:tcPr>
            <w:tcW w:w="1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(6,765)</w:t>
            </w:r>
          </w:p>
        </w:tc>
        <w:tc>
          <w:tcPr>
            <w:tcW w:w="280" w:type="dxa"/>
            <w:vAlign w:val="bottom"/>
          </w:tcPr>
          <w:p>
            <w:pPr>
              <w:spacing w:after="0"/>
              <w:rPr>
                <w:sz w:val="15"/>
                <w:szCs w:val="15"/>
                <w:color w:val="auto"/>
              </w:rPr>
            </w:pPr>
          </w:p>
        </w:tc>
        <w:tc>
          <w:tcPr>
            <w:tcW w:w="8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(4,462)</w:t>
            </w:r>
          </w:p>
        </w:tc>
        <w:tc>
          <w:tcPr>
            <w:tcW w:w="340" w:type="dxa"/>
            <w:vAlign w:val="bottom"/>
          </w:tcPr>
          <w:p>
            <w:pPr>
              <w:spacing w:after="0"/>
              <w:rPr>
                <w:sz w:val="15"/>
                <w:szCs w:val="15"/>
                <w:color w:val="auto"/>
              </w:rPr>
            </w:pPr>
          </w:p>
        </w:tc>
        <w:tc>
          <w:tcPr>
            <w:tcW w:w="11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(11,227)</w:t>
            </w:r>
          </w:p>
        </w:tc>
      </w:tr>
      <w:tr>
        <w:trPr>
          <w:trHeight w:val="177"/>
        </w:trPr>
        <w:tc>
          <w:tcPr>
            <w:tcW w:w="4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Interest income................................</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1,721</w:t>
            </w:r>
          </w:p>
        </w:tc>
        <w:tc>
          <w:tcPr>
            <w:tcW w:w="280" w:type="dxa"/>
            <w:vAlign w:val="bottom"/>
          </w:tcPr>
          <w:p>
            <w:pPr>
              <w:spacing w:after="0"/>
              <w:rPr>
                <w:sz w:val="15"/>
                <w:szCs w:val="15"/>
                <w:color w:val="auto"/>
              </w:rPr>
            </w:pPr>
          </w:p>
        </w:tc>
        <w:tc>
          <w:tcPr>
            <w:tcW w:w="8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209</w:t>
            </w:r>
          </w:p>
        </w:tc>
        <w:tc>
          <w:tcPr>
            <w:tcW w:w="340" w:type="dxa"/>
            <w:vAlign w:val="bottom"/>
          </w:tcPr>
          <w:p>
            <w:pPr>
              <w:spacing w:after="0"/>
              <w:rPr>
                <w:sz w:val="15"/>
                <w:szCs w:val="15"/>
                <w:color w:val="auto"/>
              </w:rPr>
            </w:pPr>
          </w:p>
        </w:tc>
        <w:tc>
          <w:tcPr>
            <w:tcW w:w="11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1,930</w:t>
            </w:r>
          </w:p>
        </w:tc>
      </w:tr>
      <w:tr>
        <w:trPr>
          <w:trHeight w:val="177"/>
        </w:trPr>
        <w:tc>
          <w:tcPr>
            <w:tcW w:w="4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Other income, net..............................</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567</w:t>
            </w:r>
          </w:p>
        </w:tc>
        <w:tc>
          <w:tcPr>
            <w:tcW w:w="280" w:type="dxa"/>
            <w:vAlign w:val="bottom"/>
          </w:tcPr>
          <w:p>
            <w:pPr>
              <w:spacing w:after="0"/>
              <w:rPr>
                <w:sz w:val="15"/>
                <w:szCs w:val="15"/>
                <w:color w:val="auto"/>
              </w:rPr>
            </w:pPr>
          </w:p>
        </w:tc>
        <w:tc>
          <w:tcPr>
            <w:tcW w:w="8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648</w:t>
            </w:r>
          </w:p>
        </w:tc>
        <w:tc>
          <w:tcPr>
            <w:tcW w:w="340" w:type="dxa"/>
            <w:vAlign w:val="bottom"/>
          </w:tcPr>
          <w:p>
            <w:pPr>
              <w:spacing w:after="0"/>
              <w:rPr>
                <w:sz w:val="15"/>
                <w:szCs w:val="15"/>
                <w:color w:val="auto"/>
              </w:rPr>
            </w:pPr>
          </w:p>
        </w:tc>
        <w:tc>
          <w:tcPr>
            <w:tcW w:w="11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1,215</w:t>
            </w:r>
          </w:p>
        </w:tc>
      </w:tr>
      <w:tr>
        <w:trPr>
          <w:trHeight w:val="177"/>
        </w:trPr>
        <w:tc>
          <w:tcPr>
            <w:tcW w:w="4600" w:type="dxa"/>
            <w:vAlign w:val="bottom"/>
          </w:tcPr>
          <w:p>
            <w:pPr>
              <w:spacing w:after="0"/>
              <w:rPr>
                <w:sz w:val="15"/>
                <w:szCs w:val="15"/>
                <w:color w:val="auto"/>
              </w:rPr>
            </w:pP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8"/>
              </w:rPr>
              <w:t>-------</w:t>
            </w:r>
          </w:p>
        </w:tc>
        <w:tc>
          <w:tcPr>
            <w:tcW w:w="340" w:type="dxa"/>
            <w:vAlign w:val="bottom"/>
          </w:tcPr>
          <w:p>
            <w:pPr>
              <w:spacing w:after="0"/>
              <w:rPr>
                <w:sz w:val="15"/>
                <w:szCs w:val="15"/>
                <w:color w:val="auto"/>
              </w:rPr>
            </w:pPr>
          </w:p>
        </w:tc>
        <w:tc>
          <w:tcPr>
            <w:tcW w:w="1140" w:type="dxa"/>
            <w:vAlign w:val="bottom"/>
          </w:tcPr>
          <w:p>
            <w:pPr>
              <w:jc w:val="right"/>
              <w:ind w:right="343"/>
              <w:spacing w:after="0"/>
              <w:rPr>
                <w:sz w:val="20"/>
                <w:szCs w:val="20"/>
                <w:color w:val="auto"/>
              </w:rPr>
            </w:pPr>
            <w:r>
              <w:rPr>
                <w:rFonts w:ascii="Courier New" w:cs="Courier New" w:eastAsia="Courier New" w:hAnsi="Courier New"/>
                <w:sz w:val="15"/>
                <w:szCs w:val="15"/>
                <w:color w:val="auto"/>
                <w:w w:val="97"/>
              </w:rPr>
              <w:t>--------</w:t>
            </w:r>
          </w:p>
        </w:tc>
        <w:tc>
          <w:tcPr>
            <w:tcW w:w="2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4600" w:type="dxa"/>
            <w:vAlign w:val="bottom"/>
          </w:tcPr>
          <w:p>
            <w:pPr>
              <w:spacing w:after="0"/>
              <w:rPr>
                <w:sz w:val="15"/>
                <w:szCs w:val="15"/>
                <w:color w:val="auto"/>
              </w:rPr>
            </w:pPr>
          </w:p>
        </w:tc>
        <w:tc>
          <w:tcPr>
            <w:tcW w:w="1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(4,477)</w:t>
            </w:r>
          </w:p>
        </w:tc>
        <w:tc>
          <w:tcPr>
            <w:tcW w:w="280" w:type="dxa"/>
            <w:vAlign w:val="bottom"/>
          </w:tcPr>
          <w:p>
            <w:pPr>
              <w:spacing w:after="0"/>
              <w:rPr>
                <w:sz w:val="15"/>
                <w:szCs w:val="15"/>
                <w:color w:val="auto"/>
              </w:rPr>
            </w:pPr>
          </w:p>
        </w:tc>
        <w:tc>
          <w:tcPr>
            <w:tcW w:w="8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(3,605)</w:t>
            </w:r>
          </w:p>
        </w:tc>
        <w:tc>
          <w:tcPr>
            <w:tcW w:w="340" w:type="dxa"/>
            <w:vAlign w:val="bottom"/>
          </w:tcPr>
          <w:p>
            <w:pPr>
              <w:spacing w:after="0"/>
              <w:rPr>
                <w:sz w:val="15"/>
                <w:szCs w:val="15"/>
                <w:color w:val="auto"/>
              </w:rPr>
            </w:pPr>
          </w:p>
        </w:tc>
        <w:tc>
          <w:tcPr>
            <w:tcW w:w="11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(8,082)</w:t>
            </w:r>
          </w:p>
        </w:tc>
      </w:tr>
      <w:tr>
        <w:trPr>
          <w:trHeight w:val="177"/>
        </w:trPr>
        <w:tc>
          <w:tcPr>
            <w:tcW w:w="4600" w:type="dxa"/>
            <w:vAlign w:val="bottom"/>
          </w:tcPr>
          <w:p>
            <w:pPr>
              <w:spacing w:after="0"/>
              <w:rPr>
                <w:sz w:val="15"/>
                <w:szCs w:val="15"/>
                <w:color w:val="auto"/>
              </w:rPr>
            </w:pP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8"/>
              </w:rPr>
              <w:t>-------</w:t>
            </w:r>
          </w:p>
        </w:tc>
        <w:tc>
          <w:tcPr>
            <w:tcW w:w="340" w:type="dxa"/>
            <w:vAlign w:val="bottom"/>
          </w:tcPr>
          <w:p>
            <w:pPr>
              <w:spacing w:after="0"/>
              <w:rPr>
                <w:sz w:val="15"/>
                <w:szCs w:val="15"/>
                <w:color w:val="auto"/>
              </w:rPr>
            </w:pPr>
          </w:p>
        </w:tc>
        <w:tc>
          <w:tcPr>
            <w:tcW w:w="1140" w:type="dxa"/>
            <w:vAlign w:val="bottom"/>
          </w:tcPr>
          <w:p>
            <w:pPr>
              <w:jc w:val="right"/>
              <w:ind w:right="343"/>
              <w:spacing w:after="0"/>
              <w:rPr>
                <w:sz w:val="20"/>
                <w:szCs w:val="20"/>
                <w:color w:val="auto"/>
              </w:rPr>
            </w:pPr>
            <w:r>
              <w:rPr>
                <w:rFonts w:ascii="Courier New" w:cs="Courier New" w:eastAsia="Courier New" w:hAnsi="Courier New"/>
                <w:sz w:val="15"/>
                <w:szCs w:val="15"/>
                <w:color w:val="auto"/>
                <w:w w:val="97"/>
              </w:rPr>
              <w:t>--------</w:t>
            </w:r>
          </w:p>
        </w:tc>
        <w:tc>
          <w:tcPr>
            <w:tcW w:w="2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4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Income before income taxes.......................</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32,330</w:t>
            </w:r>
          </w:p>
        </w:tc>
        <w:tc>
          <w:tcPr>
            <w:tcW w:w="280" w:type="dxa"/>
            <w:vAlign w:val="bottom"/>
          </w:tcPr>
          <w:p>
            <w:pPr>
              <w:spacing w:after="0"/>
              <w:rPr>
                <w:sz w:val="15"/>
                <w:szCs w:val="15"/>
                <w:color w:val="auto"/>
              </w:rPr>
            </w:pPr>
          </w:p>
        </w:tc>
        <w:tc>
          <w:tcPr>
            <w:tcW w:w="8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13,253</w:t>
            </w:r>
          </w:p>
        </w:tc>
        <w:tc>
          <w:tcPr>
            <w:tcW w:w="340" w:type="dxa"/>
            <w:vAlign w:val="bottom"/>
          </w:tcPr>
          <w:p>
            <w:pPr>
              <w:spacing w:after="0"/>
              <w:rPr>
                <w:sz w:val="15"/>
                <w:szCs w:val="15"/>
                <w:color w:val="auto"/>
              </w:rPr>
            </w:pPr>
          </w:p>
        </w:tc>
        <w:tc>
          <w:tcPr>
            <w:tcW w:w="11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499</w:t>
            </w:r>
          </w:p>
        </w:tc>
        <w:tc>
          <w:tcPr>
            <w:tcW w:w="2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46,082</w:t>
            </w:r>
          </w:p>
        </w:tc>
      </w:tr>
      <w:tr>
        <w:trPr>
          <w:trHeight w:val="177"/>
        </w:trPr>
        <w:tc>
          <w:tcPr>
            <w:tcW w:w="4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Provision for income taxes.......................</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5,558</w:t>
            </w:r>
          </w:p>
        </w:tc>
        <w:tc>
          <w:tcPr>
            <w:tcW w:w="280" w:type="dxa"/>
            <w:vAlign w:val="bottom"/>
          </w:tcPr>
          <w:p>
            <w:pPr>
              <w:spacing w:after="0"/>
              <w:rPr>
                <w:sz w:val="15"/>
                <w:szCs w:val="15"/>
                <w:color w:val="auto"/>
              </w:rPr>
            </w:pPr>
          </w:p>
        </w:tc>
        <w:tc>
          <w:tcPr>
            <w:tcW w:w="8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5,301</w:t>
            </w:r>
          </w:p>
        </w:tc>
        <w:tc>
          <w:tcPr>
            <w:tcW w:w="340" w:type="dxa"/>
            <w:vAlign w:val="bottom"/>
          </w:tcPr>
          <w:p>
            <w:pPr>
              <w:spacing w:after="0"/>
              <w:rPr>
                <w:sz w:val="15"/>
                <w:szCs w:val="15"/>
                <w:color w:val="auto"/>
              </w:rPr>
            </w:pP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7,574d</w:t>
            </w:r>
          </w:p>
        </w:tc>
        <w:tc>
          <w:tcPr>
            <w:tcW w:w="2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18,433</w:t>
            </w:r>
          </w:p>
        </w:tc>
      </w:tr>
      <w:tr>
        <w:trPr>
          <w:trHeight w:val="177"/>
        </w:trPr>
        <w:tc>
          <w:tcPr>
            <w:tcW w:w="4600" w:type="dxa"/>
            <w:vAlign w:val="bottom"/>
          </w:tcPr>
          <w:p>
            <w:pPr>
              <w:spacing w:after="0"/>
              <w:rPr>
                <w:sz w:val="15"/>
                <w:szCs w:val="15"/>
                <w:color w:val="auto"/>
              </w:rPr>
            </w:pP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8"/>
              </w:rPr>
              <w:t>-------</w:t>
            </w:r>
          </w:p>
        </w:tc>
        <w:tc>
          <w:tcPr>
            <w:tcW w:w="340" w:type="dxa"/>
            <w:vAlign w:val="bottom"/>
          </w:tcPr>
          <w:p>
            <w:pPr>
              <w:spacing w:after="0"/>
              <w:rPr>
                <w:sz w:val="15"/>
                <w:szCs w:val="15"/>
                <w:color w:val="auto"/>
              </w:rPr>
            </w:pPr>
          </w:p>
        </w:tc>
        <w:tc>
          <w:tcPr>
            <w:tcW w:w="1140" w:type="dxa"/>
            <w:vAlign w:val="bottom"/>
          </w:tcPr>
          <w:p>
            <w:pPr>
              <w:jc w:val="right"/>
              <w:ind w:right="343"/>
              <w:spacing w:after="0"/>
              <w:rPr>
                <w:sz w:val="20"/>
                <w:szCs w:val="20"/>
                <w:color w:val="auto"/>
              </w:rPr>
            </w:pPr>
            <w:r>
              <w:rPr>
                <w:rFonts w:ascii="Courier New" w:cs="Courier New" w:eastAsia="Courier New" w:hAnsi="Courier New"/>
                <w:sz w:val="15"/>
                <w:szCs w:val="15"/>
                <w:color w:val="auto"/>
                <w:w w:val="97"/>
              </w:rPr>
              <w:t>--------</w:t>
            </w:r>
          </w:p>
        </w:tc>
        <w:tc>
          <w:tcPr>
            <w:tcW w:w="2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4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Income from continuing operations................</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$ 26,772</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7,952</w:t>
            </w:r>
          </w:p>
        </w:tc>
        <w:tc>
          <w:tcPr>
            <w:tcW w:w="340" w:type="dxa"/>
            <w:vAlign w:val="bottom"/>
          </w:tcPr>
          <w:p>
            <w:pPr>
              <w:ind w:left="24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(7,075)</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27,649</w:t>
            </w:r>
          </w:p>
        </w:tc>
      </w:tr>
      <w:tr>
        <w:trPr>
          <w:trHeight w:val="177"/>
        </w:trPr>
        <w:tc>
          <w:tcPr>
            <w:tcW w:w="4600" w:type="dxa"/>
            <w:vAlign w:val="bottom"/>
          </w:tcPr>
          <w:p>
            <w:pPr>
              <w:spacing w:after="0"/>
              <w:rPr>
                <w:sz w:val="15"/>
                <w:szCs w:val="15"/>
                <w:color w:val="auto"/>
              </w:rPr>
            </w:pP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8"/>
              </w:rPr>
              <w:t>=======</w:t>
            </w:r>
          </w:p>
        </w:tc>
        <w:tc>
          <w:tcPr>
            <w:tcW w:w="340" w:type="dxa"/>
            <w:vAlign w:val="bottom"/>
          </w:tcPr>
          <w:p>
            <w:pPr>
              <w:spacing w:after="0"/>
              <w:rPr>
                <w:sz w:val="15"/>
                <w:szCs w:val="15"/>
                <w:color w:val="auto"/>
              </w:rPr>
            </w:pPr>
          </w:p>
        </w:tc>
        <w:tc>
          <w:tcPr>
            <w:tcW w:w="1140" w:type="dxa"/>
            <w:vAlign w:val="bottom"/>
          </w:tcPr>
          <w:p>
            <w:pPr>
              <w:jc w:val="right"/>
              <w:ind w:right="343"/>
              <w:spacing w:after="0"/>
              <w:rPr>
                <w:sz w:val="20"/>
                <w:szCs w:val="20"/>
                <w:color w:val="auto"/>
              </w:rPr>
            </w:pPr>
            <w:r>
              <w:rPr>
                <w:rFonts w:ascii="Courier New" w:cs="Courier New" w:eastAsia="Courier New" w:hAnsi="Courier New"/>
                <w:sz w:val="15"/>
                <w:szCs w:val="15"/>
                <w:color w:val="auto"/>
                <w:w w:val="97"/>
              </w:rPr>
              <w:t>========</w:t>
            </w:r>
          </w:p>
        </w:tc>
        <w:tc>
          <w:tcPr>
            <w:tcW w:w="2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460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per common</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4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share..........................................</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0.29</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0.35</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0.21c</w:t>
            </w:r>
          </w:p>
        </w:tc>
      </w:tr>
      <w:tr>
        <w:trPr>
          <w:trHeight w:val="177"/>
        </w:trPr>
        <w:tc>
          <w:tcPr>
            <w:tcW w:w="4600" w:type="dxa"/>
            <w:vAlign w:val="bottom"/>
          </w:tcPr>
          <w:p>
            <w:pPr>
              <w:spacing w:after="0"/>
              <w:rPr>
                <w:sz w:val="15"/>
                <w:szCs w:val="15"/>
                <w:color w:val="auto"/>
              </w:rPr>
            </w:pP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8"/>
              </w:rPr>
              <w:t>=======</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46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common</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4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equivalent shares outstanding..................</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93,281</w:t>
            </w:r>
          </w:p>
        </w:tc>
        <w:tc>
          <w:tcPr>
            <w:tcW w:w="280" w:type="dxa"/>
            <w:vAlign w:val="bottom"/>
          </w:tcPr>
          <w:p>
            <w:pPr>
              <w:spacing w:after="0"/>
              <w:rPr>
                <w:sz w:val="15"/>
                <w:szCs w:val="15"/>
                <w:color w:val="auto"/>
              </w:rPr>
            </w:pPr>
          </w:p>
        </w:tc>
        <w:tc>
          <w:tcPr>
            <w:tcW w:w="8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22,989</w:t>
            </w:r>
          </w:p>
        </w:tc>
        <w:tc>
          <w:tcPr>
            <w:tcW w:w="340" w:type="dxa"/>
            <w:vAlign w:val="bottom"/>
          </w:tcPr>
          <w:p>
            <w:pPr>
              <w:spacing w:after="0"/>
              <w:rPr>
                <w:sz w:val="15"/>
                <w:szCs w:val="15"/>
                <w:color w:val="auto"/>
              </w:rPr>
            </w:pP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16,092b</w:t>
            </w:r>
          </w:p>
        </w:tc>
        <w:tc>
          <w:tcPr>
            <w:tcW w:w="2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132,362</w:t>
            </w:r>
          </w:p>
        </w:tc>
      </w:tr>
      <w:tr>
        <w:trPr>
          <w:trHeight w:val="177"/>
        </w:trPr>
        <w:tc>
          <w:tcPr>
            <w:tcW w:w="4600" w:type="dxa"/>
            <w:vAlign w:val="bottom"/>
          </w:tcPr>
          <w:p>
            <w:pPr>
              <w:spacing w:after="0"/>
              <w:rPr>
                <w:sz w:val="15"/>
                <w:szCs w:val="15"/>
                <w:color w:val="auto"/>
              </w:rPr>
            </w:pP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8"/>
              </w:rPr>
              <w:t>=======</w:t>
            </w:r>
          </w:p>
        </w:tc>
        <w:tc>
          <w:tcPr>
            <w:tcW w:w="340" w:type="dxa"/>
            <w:vAlign w:val="bottom"/>
          </w:tcPr>
          <w:p>
            <w:pPr>
              <w:spacing w:after="0"/>
              <w:rPr>
                <w:sz w:val="15"/>
                <w:szCs w:val="15"/>
                <w:color w:val="auto"/>
              </w:rPr>
            </w:pPr>
          </w:p>
        </w:tc>
        <w:tc>
          <w:tcPr>
            <w:tcW w:w="1140" w:type="dxa"/>
            <w:vAlign w:val="bottom"/>
          </w:tcPr>
          <w:p>
            <w:pPr>
              <w:jc w:val="right"/>
              <w:ind w:right="343"/>
              <w:spacing w:after="0"/>
              <w:rPr>
                <w:sz w:val="20"/>
                <w:szCs w:val="20"/>
                <w:color w:val="auto"/>
              </w:rPr>
            </w:pPr>
            <w:r>
              <w:rPr>
                <w:rFonts w:ascii="Courier New" w:cs="Courier New" w:eastAsia="Courier New" w:hAnsi="Courier New"/>
                <w:sz w:val="15"/>
                <w:szCs w:val="15"/>
                <w:color w:val="auto"/>
                <w:w w:val="97"/>
              </w:rPr>
              <w:t>========</w:t>
            </w:r>
          </w:p>
        </w:tc>
        <w:tc>
          <w:tcPr>
            <w:tcW w:w="2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w w:val="99"/>
              </w:rPr>
              <w:t>========</w:t>
            </w:r>
          </w:p>
        </w:tc>
      </w:tr>
    </w:tbl>
    <w:p>
      <w:pPr>
        <w:spacing w:after="0" w:line="360"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295"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5"/>
          <w:szCs w:val="15"/>
          <w:color w:val="auto"/>
        </w:rPr>
        <w:t>69</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USA WASTE AND SANIFILL</w:t>
      </w:r>
    </w:p>
    <w:p>
      <w:pPr>
        <w:spacing w:after="0" w:line="18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COMBINED UNAUDITED PRO FORMA CONDENSED</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STATEMENT OF OPERATIONS</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YEAR ENDED DECEMBER 31, 1995</w:t>
      </w:r>
    </w:p>
    <w:p>
      <w:pPr>
        <w:spacing w:after="0" w:line="185" w:lineRule="exact"/>
        <w:rPr>
          <w:sz w:val="20"/>
          <w:szCs w:val="20"/>
          <w:color w:val="auto"/>
        </w:rPr>
      </w:pPr>
    </w:p>
    <w:p>
      <w:pPr>
        <w:ind w:right="3219" w:firstLine="461"/>
        <w:spacing w:after="0" w:line="251" w:lineRule="auto"/>
        <w:rPr>
          <w:sz w:val="20"/>
          <w:szCs w:val="20"/>
          <w:color w:val="auto"/>
        </w:rPr>
      </w:pPr>
      <w:r>
        <w:rPr>
          <w:rFonts w:ascii="Courier New" w:cs="Courier New" w:eastAsia="Courier New" w:hAnsi="Courier New"/>
          <w:sz w:val="15"/>
          <w:szCs w:val="15"/>
          <w:color w:val="auto"/>
        </w:rPr>
        <w:t>The following combined unaudited pro forma condensed statement of operations for the year ended December 31, 1995 was prepared based upon the audited supplemental and audited historical statements of operations for USA Waste and Sanifill, respectively, for such year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PRO FORMA</w:t>
            </w:r>
          </w:p>
        </w:tc>
        <w:tc>
          <w:tcPr>
            <w:tcW w:w="11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PRO FORMA</w:t>
            </w:r>
          </w:p>
        </w:tc>
      </w:tr>
      <w:tr>
        <w:trPr>
          <w:trHeight w:val="177"/>
        </w:trPr>
        <w:tc>
          <w:tcPr>
            <w:tcW w:w="4140" w:type="dxa"/>
            <w:vAlign w:val="bottom"/>
          </w:tcPr>
          <w:p>
            <w:pPr>
              <w:spacing w:after="0"/>
              <w:rPr>
                <w:sz w:val="15"/>
                <w:szCs w:val="15"/>
                <w:color w:val="auto"/>
              </w:rPr>
            </w:pP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USA WASTE</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SANIFILL</w:t>
            </w:r>
          </w:p>
        </w:tc>
        <w:tc>
          <w:tcPr>
            <w:tcW w:w="162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ADJUSTMENTS</w:t>
            </w:r>
          </w:p>
        </w:tc>
        <w:tc>
          <w:tcPr>
            <w:tcW w:w="11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COMBINED</w:t>
            </w:r>
          </w:p>
        </w:tc>
      </w:tr>
      <w:tr>
        <w:trPr>
          <w:trHeight w:val="177"/>
        </w:trPr>
        <w:tc>
          <w:tcPr>
            <w:tcW w:w="4140" w:type="dxa"/>
            <w:vAlign w:val="bottom"/>
          </w:tcPr>
          <w:p>
            <w:pPr>
              <w:spacing w:after="0"/>
              <w:rPr>
                <w:sz w:val="15"/>
                <w:szCs w:val="15"/>
                <w:color w:val="auto"/>
              </w:rPr>
            </w:pP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140" w:type="dxa"/>
            <w:vAlign w:val="bottom"/>
          </w:tcPr>
          <w:p>
            <w:pPr>
              <w:spacing w:after="0"/>
              <w:rPr>
                <w:sz w:val="15"/>
                <w:szCs w:val="15"/>
                <w:color w:val="auto"/>
              </w:rPr>
            </w:pPr>
          </w:p>
        </w:tc>
        <w:tc>
          <w:tcPr>
            <w:tcW w:w="5180" w:type="dxa"/>
            <w:vAlign w:val="bottom"/>
            <w:gridSpan w:val="6"/>
          </w:tcPr>
          <w:p>
            <w:pPr>
              <w:jc w:val="right"/>
              <w:ind w:right="663"/>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55"/>
        </w:trPr>
        <w:tc>
          <w:tcPr>
            <w:tcW w:w="41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$731,000</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$256,705</w:t>
            </w:r>
          </w:p>
        </w:tc>
        <w:tc>
          <w:tcPr>
            <w:tcW w:w="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$ 987,705</w:t>
            </w:r>
          </w:p>
        </w:tc>
      </w:tr>
      <w:tr>
        <w:trPr>
          <w:trHeight w:val="177"/>
        </w:trPr>
        <w:tc>
          <w:tcPr>
            <w:tcW w:w="4140" w:type="dxa"/>
            <w:vAlign w:val="bottom"/>
          </w:tcPr>
          <w:p>
            <w:pPr>
              <w:spacing w:after="0"/>
              <w:rPr>
                <w:sz w:val="15"/>
                <w:szCs w:val="15"/>
                <w:color w:val="auto"/>
              </w:rPr>
            </w:pP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1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Operating.................................</w:t>
            </w:r>
          </w:p>
        </w:tc>
        <w:tc>
          <w:tcPr>
            <w:tcW w:w="1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428,331</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160,088</w:t>
            </w:r>
          </w:p>
        </w:tc>
        <w:tc>
          <w:tcPr>
            <w:tcW w:w="420" w:type="dxa"/>
            <w:vAlign w:val="bottom"/>
          </w:tcPr>
          <w:p>
            <w:pPr>
              <w:spacing w:after="0"/>
              <w:rPr>
                <w:sz w:val="15"/>
                <w:szCs w:val="15"/>
                <w:color w:val="auto"/>
              </w:rPr>
            </w:pP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(37,114)a</w:t>
            </w:r>
          </w:p>
        </w:tc>
        <w:tc>
          <w:tcPr>
            <w:tcW w:w="3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551,305</w:t>
            </w: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General and administrative................</w:t>
            </w:r>
          </w:p>
        </w:tc>
        <w:tc>
          <w:tcPr>
            <w:tcW w:w="1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101,268</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39,669</w:t>
            </w:r>
          </w:p>
        </w:tc>
        <w:tc>
          <w:tcPr>
            <w:tcW w:w="420" w:type="dxa"/>
            <w:vAlign w:val="bottom"/>
          </w:tcPr>
          <w:p>
            <w:pPr>
              <w:spacing w:after="0"/>
              <w:rPr>
                <w:sz w:val="15"/>
                <w:szCs w:val="15"/>
                <w:color w:val="auto"/>
              </w:rPr>
            </w:pP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(886)a</w:t>
            </w:r>
          </w:p>
        </w:tc>
        <w:tc>
          <w:tcPr>
            <w:tcW w:w="3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140,051</w:t>
            </w: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Depreciation and amortization.............</w:t>
            </w:r>
          </w:p>
        </w:tc>
        <w:tc>
          <w:tcPr>
            <w:tcW w:w="1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83,519</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36,051a,d</w:t>
            </w:r>
          </w:p>
        </w:tc>
        <w:tc>
          <w:tcPr>
            <w:tcW w:w="3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119,570</w:t>
            </w: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Merger costs..............................</w:t>
            </w:r>
          </w:p>
        </w:tc>
        <w:tc>
          <w:tcPr>
            <w:tcW w:w="1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25,073</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566</w:t>
            </w:r>
          </w:p>
        </w:tc>
        <w:tc>
          <w:tcPr>
            <w:tcW w:w="420" w:type="dxa"/>
            <w:vAlign w:val="bottom"/>
          </w:tcPr>
          <w:p>
            <w:pPr>
              <w:spacing w:after="0"/>
              <w:rPr>
                <w:sz w:val="15"/>
                <w:szCs w:val="15"/>
                <w:color w:val="auto"/>
              </w:rPr>
            </w:pPr>
          </w:p>
        </w:tc>
        <w:tc>
          <w:tcPr>
            <w:tcW w:w="120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25,639</w:t>
            </w: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Unusual items.............................</w:t>
            </w:r>
          </w:p>
        </w:tc>
        <w:tc>
          <w:tcPr>
            <w:tcW w:w="1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4,733</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20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4,733</w:t>
            </w:r>
          </w:p>
        </w:tc>
      </w:tr>
      <w:tr>
        <w:trPr>
          <w:trHeight w:val="177"/>
        </w:trPr>
        <w:tc>
          <w:tcPr>
            <w:tcW w:w="4140" w:type="dxa"/>
            <w:vAlign w:val="bottom"/>
          </w:tcPr>
          <w:p>
            <w:pPr>
              <w:spacing w:after="0"/>
              <w:rPr>
                <w:sz w:val="15"/>
                <w:szCs w:val="15"/>
                <w:color w:val="auto"/>
              </w:rPr>
            </w:pP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140" w:type="dxa"/>
            <w:vAlign w:val="bottom"/>
          </w:tcPr>
          <w:p>
            <w:pPr>
              <w:spacing w:after="0"/>
              <w:rPr>
                <w:sz w:val="15"/>
                <w:szCs w:val="15"/>
                <w:color w:val="auto"/>
              </w:rPr>
            </w:pPr>
          </w:p>
        </w:tc>
        <w:tc>
          <w:tcPr>
            <w:tcW w:w="1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642,924</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200,323</w:t>
            </w:r>
          </w:p>
        </w:tc>
        <w:tc>
          <w:tcPr>
            <w:tcW w:w="420" w:type="dxa"/>
            <w:vAlign w:val="bottom"/>
          </w:tcPr>
          <w:p>
            <w:pPr>
              <w:spacing w:after="0"/>
              <w:rPr>
                <w:sz w:val="15"/>
                <w:szCs w:val="15"/>
                <w:color w:val="auto"/>
              </w:rPr>
            </w:pP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(1,949)</w:t>
            </w:r>
          </w:p>
        </w:tc>
        <w:tc>
          <w:tcPr>
            <w:tcW w:w="3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841,298</w:t>
            </w:r>
          </w:p>
        </w:tc>
      </w:tr>
      <w:tr>
        <w:trPr>
          <w:trHeight w:val="177"/>
        </w:trPr>
        <w:tc>
          <w:tcPr>
            <w:tcW w:w="4140" w:type="dxa"/>
            <w:vAlign w:val="bottom"/>
          </w:tcPr>
          <w:p>
            <w:pPr>
              <w:spacing w:after="0"/>
              <w:rPr>
                <w:sz w:val="15"/>
                <w:szCs w:val="15"/>
                <w:color w:val="auto"/>
              </w:rPr>
            </w:pP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Income from operations......................</w:t>
            </w:r>
          </w:p>
        </w:tc>
        <w:tc>
          <w:tcPr>
            <w:tcW w:w="1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88,076</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56,382</w:t>
            </w:r>
          </w:p>
        </w:tc>
        <w:tc>
          <w:tcPr>
            <w:tcW w:w="420" w:type="dxa"/>
            <w:vAlign w:val="bottom"/>
          </w:tcPr>
          <w:p>
            <w:pPr>
              <w:spacing w:after="0"/>
              <w:rPr>
                <w:sz w:val="15"/>
                <w:szCs w:val="15"/>
                <w:color w:val="auto"/>
              </w:rPr>
            </w:pPr>
          </w:p>
        </w:tc>
        <w:tc>
          <w:tcPr>
            <w:tcW w:w="120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1,949</w:t>
            </w:r>
          </w:p>
        </w:tc>
        <w:tc>
          <w:tcPr>
            <w:tcW w:w="3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146,407</w:t>
            </w:r>
          </w:p>
        </w:tc>
      </w:tr>
      <w:tr>
        <w:trPr>
          <w:trHeight w:val="177"/>
        </w:trPr>
        <w:tc>
          <w:tcPr>
            <w:tcW w:w="4140" w:type="dxa"/>
            <w:vAlign w:val="bottom"/>
          </w:tcPr>
          <w:p>
            <w:pPr>
              <w:spacing w:after="0"/>
              <w:rPr>
                <w:sz w:val="15"/>
                <w:szCs w:val="15"/>
                <w:color w:val="auto"/>
              </w:rPr>
            </w:pP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1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4140" w:type="dxa"/>
            <w:vAlign w:val="bottom"/>
          </w:tcPr>
          <w:p>
            <w:pPr>
              <w:jc w:val="right"/>
              <w:ind w:right="2323"/>
              <w:spacing w:after="0"/>
              <w:rPr>
                <w:sz w:val="20"/>
                <w:szCs w:val="20"/>
                <w:color w:val="auto"/>
              </w:rPr>
            </w:pPr>
            <w:r>
              <w:rPr>
                <w:rFonts w:ascii="Courier New" w:cs="Courier New" w:eastAsia="Courier New" w:hAnsi="Courier New"/>
                <w:sz w:val="15"/>
                <w:szCs w:val="15"/>
                <w:color w:val="auto"/>
              </w:rPr>
              <w:t>Interest expense:</w:t>
            </w:r>
          </w:p>
        </w:tc>
        <w:tc>
          <w:tcPr>
            <w:tcW w:w="1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Nonrecurring interest..................</w:t>
            </w: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(10,994)</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20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(10,994)</w:t>
            </w: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Other..................................</w:t>
            </w: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(35,437)</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(13,121)</w:t>
            </w:r>
          </w:p>
        </w:tc>
        <w:tc>
          <w:tcPr>
            <w:tcW w:w="420" w:type="dxa"/>
            <w:vAlign w:val="bottom"/>
          </w:tcPr>
          <w:p>
            <w:pPr>
              <w:spacing w:after="0"/>
              <w:rPr>
                <w:sz w:val="15"/>
                <w:szCs w:val="15"/>
                <w:color w:val="auto"/>
              </w:rPr>
            </w:pPr>
          </w:p>
        </w:tc>
        <w:tc>
          <w:tcPr>
            <w:tcW w:w="120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(48,558)</w:t>
            </w: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Interest income...........................</w:t>
            </w:r>
          </w:p>
        </w:tc>
        <w:tc>
          <w:tcPr>
            <w:tcW w:w="1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4,222</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1,260</w:t>
            </w:r>
          </w:p>
        </w:tc>
        <w:tc>
          <w:tcPr>
            <w:tcW w:w="420" w:type="dxa"/>
            <w:vAlign w:val="bottom"/>
          </w:tcPr>
          <w:p>
            <w:pPr>
              <w:spacing w:after="0"/>
              <w:rPr>
                <w:sz w:val="15"/>
                <w:szCs w:val="15"/>
                <w:color w:val="auto"/>
              </w:rPr>
            </w:pPr>
          </w:p>
        </w:tc>
        <w:tc>
          <w:tcPr>
            <w:tcW w:w="120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5,482</w:t>
            </w: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Other income, net.........................</w:t>
            </w:r>
          </w:p>
        </w:tc>
        <w:tc>
          <w:tcPr>
            <w:tcW w:w="1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3,220</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1,923</w:t>
            </w:r>
          </w:p>
        </w:tc>
        <w:tc>
          <w:tcPr>
            <w:tcW w:w="420" w:type="dxa"/>
            <w:vAlign w:val="bottom"/>
          </w:tcPr>
          <w:p>
            <w:pPr>
              <w:spacing w:after="0"/>
              <w:rPr>
                <w:sz w:val="15"/>
                <w:szCs w:val="15"/>
                <w:color w:val="auto"/>
              </w:rPr>
            </w:pPr>
          </w:p>
        </w:tc>
        <w:tc>
          <w:tcPr>
            <w:tcW w:w="120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5,143</w:t>
            </w:r>
          </w:p>
        </w:tc>
      </w:tr>
      <w:tr>
        <w:trPr>
          <w:trHeight w:val="177"/>
        </w:trPr>
        <w:tc>
          <w:tcPr>
            <w:tcW w:w="4140" w:type="dxa"/>
            <w:vAlign w:val="bottom"/>
          </w:tcPr>
          <w:p>
            <w:pPr>
              <w:spacing w:after="0"/>
              <w:rPr>
                <w:sz w:val="15"/>
                <w:szCs w:val="15"/>
                <w:color w:val="auto"/>
              </w:rPr>
            </w:pP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140" w:type="dxa"/>
            <w:vAlign w:val="bottom"/>
          </w:tcPr>
          <w:p>
            <w:pPr>
              <w:spacing w:after="0"/>
              <w:rPr>
                <w:sz w:val="15"/>
                <w:szCs w:val="15"/>
                <w:color w:val="auto"/>
              </w:rPr>
            </w:pP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(38,989)</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(9,938)</w:t>
            </w: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(48,927)</w:t>
            </w:r>
          </w:p>
        </w:tc>
      </w:tr>
      <w:tr>
        <w:trPr>
          <w:trHeight w:val="177"/>
        </w:trPr>
        <w:tc>
          <w:tcPr>
            <w:tcW w:w="4140" w:type="dxa"/>
            <w:vAlign w:val="bottom"/>
          </w:tcPr>
          <w:p>
            <w:pPr>
              <w:spacing w:after="0"/>
              <w:rPr>
                <w:sz w:val="15"/>
                <w:szCs w:val="15"/>
                <w:color w:val="auto"/>
              </w:rPr>
            </w:pP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Income before income taxes..................</w:t>
            </w:r>
          </w:p>
        </w:tc>
        <w:tc>
          <w:tcPr>
            <w:tcW w:w="1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49,087</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46,444</w:t>
            </w:r>
          </w:p>
        </w:tc>
        <w:tc>
          <w:tcPr>
            <w:tcW w:w="420" w:type="dxa"/>
            <w:vAlign w:val="bottom"/>
          </w:tcPr>
          <w:p>
            <w:pPr>
              <w:spacing w:after="0"/>
              <w:rPr>
                <w:sz w:val="15"/>
                <w:szCs w:val="15"/>
                <w:color w:val="auto"/>
              </w:rPr>
            </w:pPr>
          </w:p>
        </w:tc>
        <w:tc>
          <w:tcPr>
            <w:tcW w:w="120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1,949</w:t>
            </w:r>
          </w:p>
        </w:tc>
        <w:tc>
          <w:tcPr>
            <w:tcW w:w="3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97,480</w:t>
            </w: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Provision for income taxes..................</w:t>
            </w:r>
          </w:p>
        </w:tc>
        <w:tc>
          <w:tcPr>
            <w:tcW w:w="1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1,744</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18,531</w:t>
            </w:r>
          </w:p>
        </w:tc>
        <w:tc>
          <w:tcPr>
            <w:tcW w:w="420" w:type="dxa"/>
            <w:vAlign w:val="bottom"/>
          </w:tcPr>
          <w:p>
            <w:pPr>
              <w:spacing w:after="0"/>
              <w:rPr>
                <w:sz w:val="15"/>
                <w:szCs w:val="15"/>
                <w:color w:val="auto"/>
              </w:rPr>
            </w:pP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44,162d</w:t>
            </w:r>
          </w:p>
        </w:tc>
        <w:tc>
          <w:tcPr>
            <w:tcW w:w="3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64,437</w:t>
            </w:r>
          </w:p>
        </w:tc>
      </w:tr>
      <w:tr>
        <w:trPr>
          <w:trHeight w:val="177"/>
        </w:trPr>
        <w:tc>
          <w:tcPr>
            <w:tcW w:w="4140" w:type="dxa"/>
            <w:vAlign w:val="bottom"/>
          </w:tcPr>
          <w:p>
            <w:pPr>
              <w:spacing w:after="0"/>
              <w:rPr>
                <w:sz w:val="15"/>
                <w:szCs w:val="15"/>
                <w:color w:val="auto"/>
              </w:rPr>
            </w:pP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Income from continuing operations...........</w:t>
            </w:r>
          </w:p>
        </w:tc>
        <w:tc>
          <w:tcPr>
            <w:tcW w:w="1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$ 47,343</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$ 27,913</w:t>
            </w:r>
          </w:p>
        </w:tc>
        <w:tc>
          <w:tcPr>
            <w:tcW w:w="162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 (42,213)</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33,043</w:t>
            </w:r>
          </w:p>
        </w:tc>
      </w:tr>
      <w:tr>
        <w:trPr>
          <w:trHeight w:val="177"/>
        </w:trPr>
        <w:tc>
          <w:tcPr>
            <w:tcW w:w="4140" w:type="dxa"/>
            <w:vAlign w:val="bottom"/>
          </w:tcPr>
          <w:p>
            <w:pPr>
              <w:spacing w:after="0"/>
              <w:rPr>
                <w:sz w:val="15"/>
                <w:szCs w:val="15"/>
                <w:color w:val="auto"/>
              </w:rPr>
            </w:pP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per</w:t>
            </w:r>
          </w:p>
        </w:tc>
        <w:tc>
          <w:tcPr>
            <w:tcW w:w="1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common share..............................</w:t>
            </w:r>
          </w:p>
        </w:tc>
        <w:tc>
          <w:tcPr>
            <w:tcW w:w="1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0.60</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1.38</w:t>
            </w: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0.29c</w:t>
            </w:r>
          </w:p>
        </w:tc>
      </w:tr>
      <w:tr>
        <w:trPr>
          <w:trHeight w:val="177"/>
        </w:trPr>
        <w:tc>
          <w:tcPr>
            <w:tcW w:w="4140" w:type="dxa"/>
            <w:vAlign w:val="bottom"/>
          </w:tcPr>
          <w:p>
            <w:pPr>
              <w:spacing w:after="0"/>
              <w:rPr>
                <w:sz w:val="15"/>
                <w:szCs w:val="15"/>
                <w:color w:val="auto"/>
              </w:rPr>
            </w:pP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Weighted average number of common and common</w:t>
            </w:r>
          </w:p>
        </w:tc>
        <w:tc>
          <w:tcPr>
            <w:tcW w:w="1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equivalent shares outstanding.............</w:t>
            </w:r>
          </w:p>
        </w:tc>
        <w:tc>
          <w:tcPr>
            <w:tcW w:w="1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78,912</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20,216</w:t>
            </w:r>
          </w:p>
        </w:tc>
        <w:tc>
          <w:tcPr>
            <w:tcW w:w="420" w:type="dxa"/>
            <w:vAlign w:val="bottom"/>
          </w:tcPr>
          <w:p>
            <w:pPr>
              <w:spacing w:after="0"/>
              <w:rPr>
                <w:sz w:val="15"/>
                <w:szCs w:val="15"/>
                <w:color w:val="auto"/>
              </w:rPr>
            </w:pP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14,151b</w:t>
            </w:r>
          </w:p>
        </w:tc>
        <w:tc>
          <w:tcPr>
            <w:tcW w:w="3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113,279</w:t>
            </w:r>
          </w:p>
        </w:tc>
      </w:tr>
      <w:tr>
        <w:trPr>
          <w:trHeight w:val="177"/>
        </w:trPr>
        <w:tc>
          <w:tcPr>
            <w:tcW w:w="4140" w:type="dxa"/>
            <w:vAlign w:val="bottom"/>
          </w:tcPr>
          <w:p>
            <w:pPr>
              <w:spacing w:after="0"/>
              <w:rPr>
                <w:sz w:val="15"/>
                <w:szCs w:val="15"/>
                <w:color w:val="auto"/>
              </w:rPr>
            </w:pP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w:t>
            </w:r>
          </w:p>
        </w:tc>
      </w:tr>
    </w:tbl>
    <w:p>
      <w:pPr>
        <w:spacing w:after="0" w:line="360"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295"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5"/>
          <w:szCs w:val="15"/>
          <w:color w:val="auto"/>
        </w:rPr>
        <w:t>70</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USA WASTE AND SANIFILL</w:t>
      </w:r>
    </w:p>
    <w:p>
      <w:pPr>
        <w:spacing w:after="0" w:line="18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COMBINED UNAUDITED PRO FORMA CONDENSED</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STATEMENT OF OPERATIONS</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YEAR ENDED DECEMBER 31, 1994</w:t>
      </w:r>
    </w:p>
    <w:p>
      <w:pPr>
        <w:spacing w:after="0" w:line="185" w:lineRule="exact"/>
        <w:rPr>
          <w:sz w:val="20"/>
          <w:szCs w:val="20"/>
          <w:color w:val="auto"/>
        </w:rPr>
      </w:pPr>
    </w:p>
    <w:p>
      <w:pPr>
        <w:ind w:right="3299" w:firstLine="461"/>
        <w:spacing w:after="0" w:line="251" w:lineRule="auto"/>
        <w:rPr>
          <w:sz w:val="20"/>
          <w:szCs w:val="20"/>
          <w:color w:val="auto"/>
        </w:rPr>
      </w:pPr>
      <w:r>
        <w:rPr>
          <w:rFonts w:ascii="Courier New" w:cs="Courier New" w:eastAsia="Courier New" w:hAnsi="Courier New"/>
          <w:sz w:val="15"/>
          <w:szCs w:val="15"/>
          <w:color w:val="auto"/>
        </w:rPr>
        <w:t>The following combined unaudited pro forma condensed statement of operations for the year ended December 31, 1994 was prepared based upon the audited supplemental and audited historical statements of operations of USA Waste and Sanifill, respectively, for such year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PRO FORMA</w:t>
            </w:r>
          </w:p>
        </w:tc>
        <w:tc>
          <w:tcPr>
            <w:tcW w:w="1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COMBINED</w:t>
            </w:r>
          </w:p>
        </w:tc>
      </w:tr>
      <w:tr>
        <w:trPr>
          <w:trHeight w:val="177"/>
        </w:trPr>
        <w:tc>
          <w:tcPr>
            <w:tcW w:w="4140" w:type="dxa"/>
            <w:vAlign w:val="bottom"/>
          </w:tcPr>
          <w:p>
            <w:pPr>
              <w:spacing w:after="0"/>
              <w:rPr>
                <w:sz w:val="15"/>
                <w:szCs w:val="15"/>
                <w:color w:val="auto"/>
              </w:rPr>
            </w:pP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USA WASTE</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SANIFILL</w:t>
            </w:r>
          </w:p>
        </w:tc>
        <w:tc>
          <w:tcPr>
            <w:tcW w:w="15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ADJUSTMENTS</w:t>
            </w:r>
          </w:p>
        </w:tc>
        <w:tc>
          <w:tcPr>
            <w:tcW w:w="1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 FORMA</w:t>
            </w:r>
          </w:p>
        </w:tc>
      </w:tr>
      <w:tr>
        <w:trPr>
          <w:trHeight w:val="177"/>
        </w:trPr>
        <w:tc>
          <w:tcPr>
            <w:tcW w:w="4140" w:type="dxa"/>
            <w:vAlign w:val="bottom"/>
          </w:tcPr>
          <w:p>
            <w:pPr>
              <w:spacing w:after="0"/>
              <w:rPr>
                <w:sz w:val="15"/>
                <w:szCs w:val="15"/>
                <w:color w:val="auto"/>
              </w:rPr>
            </w:pP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140" w:type="dxa"/>
            <w:vAlign w:val="bottom"/>
          </w:tcPr>
          <w:p>
            <w:pPr>
              <w:spacing w:after="0"/>
              <w:rPr>
                <w:sz w:val="15"/>
                <w:szCs w:val="15"/>
                <w:color w:val="auto"/>
              </w:rPr>
            </w:pPr>
          </w:p>
        </w:tc>
        <w:tc>
          <w:tcPr>
            <w:tcW w:w="5080" w:type="dxa"/>
            <w:vAlign w:val="bottom"/>
            <w:gridSpan w:val="6"/>
          </w:tcPr>
          <w:p>
            <w:pPr>
              <w:jc w:val="right"/>
              <w:ind w:right="663"/>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55"/>
        </w:trPr>
        <w:tc>
          <w:tcPr>
            <w:tcW w:w="41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$ 705,165</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$192,479</w:t>
            </w:r>
          </w:p>
        </w:tc>
        <w:tc>
          <w:tcPr>
            <w:tcW w:w="380" w:type="dxa"/>
            <w:vAlign w:val="bottom"/>
          </w:tcPr>
          <w:p>
            <w:pPr>
              <w:ind w:left="280"/>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$ 897,644</w:t>
            </w:r>
          </w:p>
        </w:tc>
      </w:tr>
      <w:tr>
        <w:trPr>
          <w:trHeight w:val="177"/>
        </w:trPr>
        <w:tc>
          <w:tcPr>
            <w:tcW w:w="4140" w:type="dxa"/>
            <w:vAlign w:val="bottom"/>
          </w:tcPr>
          <w:p>
            <w:pPr>
              <w:spacing w:after="0"/>
              <w:rPr>
                <w:sz w:val="15"/>
                <w:szCs w:val="15"/>
                <w:color w:val="auto"/>
              </w:rPr>
            </w:pP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1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Operating.................................</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428,701</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122,274</w:t>
            </w:r>
          </w:p>
        </w:tc>
        <w:tc>
          <w:tcPr>
            <w:tcW w:w="380" w:type="dxa"/>
            <w:vAlign w:val="bottom"/>
          </w:tcPr>
          <w:p>
            <w:pPr>
              <w:spacing w:after="0"/>
              <w:rPr>
                <w:sz w:val="15"/>
                <w:szCs w:val="15"/>
                <w:color w:val="auto"/>
              </w:rPr>
            </w:pP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(30,720)a</w:t>
            </w:r>
          </w:p>
        </w:tc>
        <w:tc>
          <w:tcPr>
            <w:tcW w:w="280" w:type="dxa"/>
            <w:vAlign w:val="bottom"/>
          </w:tcPr>
          <w:p>
            <w:pPr>
              <w:spacing w:after="0"/>
              <w:rPr>
                <w:sz w:val="15"/>
                <w:szCs w:val="15"/>
                <w:color w:val="auto"/>
              </w:rPr>
            </w:pPr>
          </w:p>
        </w:tc>
        <w:tc>
          <w:tcPr>
            <w:tcW w:w="8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520,255</w:t>
            </w: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General and administrative................</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108,885</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30,633</w:t>
            </w:r>
          </w:p>
        </w:tc>
        <w:tc>
          <w:tcPr>
            <w:tcW w:w="380" w:type="dxa"/>
            <w:vAlign w:val="bottom"/>
          </w:tcPr>
          <w:p>
            <w:pPr>
              <w:spacing w:after="0"/>
              <w:rPr>
                <w:sz w:val="15"/>
                <w:szCs w:val="15"/>
                <w:color w:val="auto"/>
              </w:rPr>
            </w:pP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(699)a</w:t>
            </w:r>
          </w:p>
        </w:tc>
        <w:tc>
          <w:tcPr>
            <w:tcW w:w="280" w:type="dxa"/>
            <w:vAlign w:val="bottom"/>
          </w:tcPr>
          <w:p>
            <w:pPr>
              <w:spacing w:after="0"/>
              <w:rPr>
                <w:sz w:val="15"/>
                <w:szCs w:val="15"/>
                <w:color w:val="auto"/>
              </w:rPr>
            </w:pPr>
          </w:p>
        </w:tc>
        <w:tc>
          <w:tcPr>
            <w:tcW w:w="8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138,819</w:t>
            </w: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Depreciation and amortization.............</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83,044</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29,816a,d</w:t>
            </w:r>
          </w:p>
        </w:tc>
        <w:tc>
          <w:tcPr>
            <w:tcW w:w="280" w:type="dxa"/>
            <w:vAlign w:val="bottom"/>
          </w:tcPr>
          <w:p>
            <w:pPr>
              <w:spacing w:after="0"/>
              <w:rPr>
                <w:sz w:val="15"/>
                <w:szCs w:val="15"/>
                <w:color w:val="auto"/>
              </w:rPr>
            </w:pPr>
          </w:p>
        </w:tc>
        <w:tc>
          <w:tcPr>
            <w:tcW w:w="8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112,860</w:t>
            </w: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Merger costs..............................</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3,782</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3,782</w:t>
            </w: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Unusual items.............................</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8,863</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8,863</w:t>
            </w:r>
          </w:p>
        </w:tc>
      </w:tr>
      <w:tr>
        <w:trPr>
          <w:trHeight w:val="177"/>
        </w:trPr>
        <w:tc>
          <w:tcPr>
            <w:tcW w:w="4140" w:type="dxa"/>
            <w:vAlign w:val="bottom"/>
          </w:tcPr>
          <w:p>
            <w:pPr>
              <w:spacing w:after="0"/>
              <w:rPr>
                <w:sz w:val="15"/>
                <w:szCs w:val="15"/>
                <w:color w:val="auto"/>
              </w:rPr>
            </w:pP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140" w:type="dxa"/>
            <w:vAlign w:val="bottom"/>
          </w:tcPr>
          <w:p>
            <w:pPr>
              <w:spacing w:after="0"/>
              <w:rPr>
                <w:sz w:val="15"/>
                <w:szCs w:val="15"/>
                <w:color w:val="auto"/>
              </w:rPr>
            </w:pP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633,275</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152,907</w:t>
            </w:r>
          </w:p>
        </w:tc>
        <w:tc>
          <w:tcPr>
            <w:tcW w:w="380" w:type="dxa"/>
            <w:vAlign w:val="bottom"/>
          </w:tcPr>
          <w:p>
            <w:pPr>
              <w:spacing w:after="0"/>
              <w:rPr>
                <w:sz w:val="15"/>
                <w:szCs w:val="15"/>
                <w:color w:val="auto"/>
              </w:rPr>
            </w:pP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(1,603)</w:t>
            </w:r>
          </w:p>
        </w:tc>
        <w:tc>
          <w:tcPr>
            <w:tcW w:w="280" w:type="dxa"/>
            <w:vAlign w:val="bottom"/>
          </w:tcPr>
          <w:p>
            <w:pPr>
              <w:spacing w:after="0"/>
              <w:rPr>
                <w:sz w:val="15"/>
                <w:szCs w:val="15"/>
                <w:color w:val="auto"/>
              </w:rPr>
            </w:pPr>
          </w:p>
        </w:tc>
        <w:tc>
          <w:tcPr>
            <w:tcW w:w="8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784,579</w:t>
            </w:r>
          </w:p>
        </w:tc>
      </w:tr>
      <w:tr>
        <w:trPr>
          <w:trHeight w:val="177"/>
        </w:trPr>
        <w:tc>
          <w:tcPr>
            <w:tcW w:w="4140" w:type="dxa"/>
            <w:vAlign w:val="bottom"/>
          </w:tcPr>
          <w:p>
            <w:pPr>
              <w:spacing w:after="0"/>
              <w:rPr>
                <w:sz w:val="15"/>
                <w:szCs w:val="15"/>
                <w:color w:val="auto"/>
              </w:rPr>
            </w:pP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Income from operations......................</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71,890</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39,572</w:t>
            </w:r>
          </w:p>
        </w:tc>
        <w:tc>
          <w:tcPr>
            <w:tcW w:w="380" w:type="dxa"/>
            <w:vAlign w:val="bottom"/>
          </w:tcPr>
          <w:p>
            <w:pPr>
              <w:spacing w:after="0"/>
              <w:rPr>
                <w:sz w:val="15"/>
                <w:szCs w:val="15"/>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1,603</w:t>
            </w:r>
          </w:p>
        </w:tc>
        <w:tc>
          <w:tcPr>
            <w:tcW w:w="280" w:type="dxa"/>
            <w:vAlign w:val="bottom"/>
          </w:tcPr>
          <w:p>
            <w:pPr>
              <w:spacing w:after="0"/>
              <w:rPr>
                <w:sz w:val="15"/>
                <w:szCs w:val="15"/>
                <w:color w:val="auto"/>
              </w:rPr>
            </w:pPr>
          </w:p>
        </w:tc>
        <w:tc>
          <w:tcPr>
            <w:tcW w:w="8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113,065</w:t>
            </w:r>
          </w:p>
        </w:tc>
      </w:tr>
      <w:tr>
        <w:trPr>
          <w:trHeight w:val="177"/>
        </w:trPr>
        <w:tc>
          <w:tcPr>
            <w:tcW w:w="4140" w:type="dxa"/>
            <w:vAlign w:val="bottom"/>
          </w:tcPr>
          <w:p>
            <w:pPr>
              <w:spacing w:after="0"/>
              <w:rPr>
                <w:sz w:val="15"/>
                <w:szCs w:val="15"/>
                <w:color w:val="auto"/>
              </w:rPr>
            </w:pP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1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4140" w:type="dxa"/>
            <w:vAlign w:val="bottom"/>
          </w:tcPr>
          <w:p>
            <w:pPr>
              <w:ind w:left="180"/>
              <w:spacing w:after="0"/>
              <w:rPr>
                <w:sz w:val="20"/>
                <w:szCs w:val="20"/>
                <w:color w:val="auto"/>
              </w:rPr>
            </w:pPr>
            <w:r>
              <w:rPr>
                <w:rFonts w:ascii="Courier New" w:cs="Courier New" w:eastAsia="Courier New" w:hAnsi="Courier New"/>
                <w:sz w:val="15"/>
                <w:szCs w:val="15"/>
                <w:color w:val="auto"/>
              </w:rPr>
              <w:t>Stockholder litigation settlement and</w:t>
            </w: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other litigation related costs.........</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(79,400)</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(79,400)</w:t>
            </w:r>
          </w:p>
        </w:tc>
      </w:tr>
      <w:tr>
        <w:trPr>
          <w:trHeight w:val="177"/>
        </w:trPr>
        <w:tc>
          <w:tcPr>
            <w:tcW w:w="414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Nonrecurring interest..................</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(1,254)</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(1,254)</w:t>
            </w: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Other..................................</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(38,153)</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(9,525)</w:t>
            </w:r>
          </w:p>
        </w:tc>
        <w:tc>
          <w:tcPr>
            <w:tcW w:w="380" w:type="dxa"/>
            <w:vAlign w:val="bottom"/>
          </w:tcPr>
          <w:p>
            <w:pPr>
              <w:spacing w:after="0"/>
              <w:rPr>
                <w:sz w:val="15"/>
                <w:szCs w:val="15"/>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(47,678)</w:t>
            </w: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Interest income...........................</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4,183</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487</w:t>
            </w:r>
          </w:p>
        </w:tc>
        <w:tc>
          <w:tcPr>
            <w:tcW w:w="380" w:type="dxa"/>
            <w:vAlign w:val="bottom"/>
          </w:tcPr>
          <w:p>
            <w:pPr>
              <w:spacing w:after="0"/>
              <w:rPr>
                <w:sz w:val="15"/>
                <w:szCs w:val="15"/>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4,670</w:t>
            </w: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Other income, net.........................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1,249</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1,321</w:t>
            </w:r>
          </w:p>
        </w:tc>
        <w:tc>
          <w:tcPr>
            <w:tcW w:w="380" w:type="dxa"/>
            <w:vAlign w:val="bottom"/>
          </w:tcPr>
          <w:p>
            <w:pPr>
              <w:spacing w:after="0"/>
              <w:rPr>
                <w:sz w:val="15"/>
                <w:szCs w:val="15"/>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2,570</w:t>
            </w:r>
          </w:p>
        </w:tc>
      </w:tr>
      <w:tr>
        <w:trPr>
          <w:trHeight w:val="177"/>
        </w:trPr>
        <w:tc>
          <w:tcPr>
            <w:tcW w:w="4140" w:type="dxa"/>
            <w:vAlign w:val="bottom"/>
          </w:tcPr>
          <w:p>
            <w:pPr>
              <w:spacing w:after="0"/>
              <w:rPr>
                <w:sz w:val="15"/>
                <w:szCs w:val="15"/>
                <w:color w:val="auto"/>
              </w:rPr>
            </w:pP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140" w:type="dxa"/>
            <w:vAlign w:val="bottom"/>
          </w:tcPr>
          <w:p>
            <w:pPr>
              <w:spacing w:after="0"/>
              <w:rPr>
                <w:sz w:val="15"/>
                <w:szCs w:val="15"/>
                <w:color w:val="auto"/>
              </w:rPr>
            </w:pP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(113,375)</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(7,717)</w:t>
            </w:r>
          </w:p>
        </w:tc>
        <w:tc>
          <w:tcPr>
            <w:tcW w:w="380" w:type="dxa"/>
            <w:vAlign w:val="bottom"/>
          </w:tcPr>
          <w:p>
            <w:pPr>
              <w:spacing w:after="0"/>
              <w:rPr>
                <w:sz w:val="15"/>
                <w:szCs w:val="15"/>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(121,092)</w:t>
            </w:r>
          </w:p>
        </w:tc>
      </w:tr>
      <w:tr>
        <w:trPr>
          <w:trHeight w:val="177"/>
        </w:trPr>
        <w:tc>
          <w:tcPr>
            <w:tcW w:w="4140" w:type="dxa"/>
            <w:vAlign w:val="bottom"/>
          </w:tcPr>
          <w:p>
            <w:pPr>
              <w:spacing w:after="0"/>
              <w:rPr>
                <w:sz w:val="15"/>
                <w:szCs w:val="15"/>
                <w:color w:val="auto"/>
              </w:rPr>
            </w:pP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Income (loss) before income taxes...........</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(41,485)</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31,855</w:t>
            </w:r>
          </w:p>
        </w:tc>
        <w:tc>
          <w:tcPr>
            <w:tcW w:w="380" w:type="dxa"/>
            <w:vAlign w:val="bottom"/>
          </w:tcPr>
          <w:p>
            <w:pPr>
              <w:spacing w:after="0"/>
              <w:rPr>
                <w:sz w:val="15"/>
                <w:szCs w:val="15"/>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1,603</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(8,027)</w:t>
            </w: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Provision for (benefit from) income taxes...</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17,610</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12,622</w:t>
            </w:r>
          </w:p>
        </w:tc>
        <w:tc>
          <w:tcPr>
            <w:tcW w:w="380" w:type="dxa"/>
            <w:vAlign w:val="bottom"/>
          </w:tcPr>
          <w:p>
            <w:pPr>
              <w:spacing w:after="0"/>
              <w:rPr>
                <w:sz w:val="15"/>
                <w:szCs w:val="15"/>
                <w:color w:val="auto"/>
              </w:rPr>
            </w:pP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(49,547)d</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(19,315)</w:t>
            </w:r>
          </w:p>
        </w:tc>
      </w:tr>
      <w:tr>
        <w:trPr>
          <w:trHeight w:val="177"/>
        </w:trPr>
        <w:tc>
          <w:tcPr>
            <w:tcW w:w="4140" w:type="dxa"/>
            <w:vAlign w:val="bottom"/>
          </w:tcPr>
          <w:p>
            <w:pPr>
              <w:spacing w:after="0"/>
              <w:rPr>
                <w:sz w:val="15"/>
                <w:szCs w:val="15"/>
                <w:color w:val="auto"/>
              </w:rPr>
            </w:pP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Income (loss) from continuing operations....</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(59,095)</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19,233</w:t>
            </w:r>
          </w:p>
        </w:tc>
        <w:tc>
          <w:tcPr>
            <w:tcW w:w="380" w:type="dxa"/>
            <w:vAlign w:val="bottom"/>
          </w:tcPr>
          <w:p>
            <w:pPr>
              <w:spacing w:after="0"/>
              <w:rPr>
                <w:sz w:val="15"/>
                <w:szCs w:val="15"/>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51,150</w:t>
            </w:r>
          </w:p>
        </w:tc>
        <w:tc>
          <w:tcPr>
            <w:tcW w:w="280" w:type="dxa"/>
            <w:vAlign w:val="bottom"/>
          </w:tcPr>
          <w:p>
            <w:pPr>
              <w:spacing w:after="0"/>
              <w:rPr>
                <w:sz w:val="15"/>
                <w:szCs w:val="15"/>
                <w:color w:val="auto"/>
              </w:rPr>
            </w:pPr>
          </w:p>
        </w:tc>
        <w:tc>
          <w:tcPr>
            <w:tcW w:w="8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11,288</w:t>
            </w: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Preferred dividends.........................</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565</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565</w:t>
            </w:r>
          </w:p>
        </w:tc>
      </w:tr>
      <w:tr>
        <w:trPr>
          <w:trHeight w:val="177"/>
        </w:trPr>
        <w:tc>
          <w:tcPr>
            <w:tcW w:w="4140" w:type="dxa"/>
            <w:vAlign w:val="bottom"/>
          </w:tcPr>
          <w:p>
            <w:pPr>
              <w:spacing w:after="0"/>
              <w:rPr>
                <w:sz w:val="15"/>
                <w:szCs w:val="15"/>
                <w:color w:val="auto"/>
              </w:rPr>
            </w:pP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Income (loss) from continuing operations....</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(59,660)</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$ 19,233</w:t>
            </w:r>
          </w:p>
        </w:tc>
        <w:tc>
          <w:tcPr>
            <w:tcW w:w="380" w:type="dxa"/>
            <w:vAlign w:val="bottom"/>
          </w:tcPr>
          <w:p>
            <w:pPr>
              <w:ind w:left="280"/>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51,150</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10,723</w:t>
            </w:r>
          </w:p>
        </w:tc>
      </w:tr>
      <w:tr>
        <w:trPr>
          <w:trHeight w:val="177"/>
        </w:trPr>
        <w:tc>
          <w:tcPr>
            <w:tcW w:w="4140" w:type="dxa"/>
            <w:vAlign w:val="bottom"/>
          </w:tcPr>
          <w:p>
            <w:pPr>
              <w:spacing w:after="0"/>
              <w:rPr>
                <w:sz w:val="15"/>
                <w:szCs w:val="15"/>
                <w:color w:val="auto"/>
              </w:rPr>
            </w:pP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 per</w:t>
            </w: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common share..............................</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(0.82)</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1.07</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0.10c</w:t>
            </w:r>
          </w:p>
        </w:tc>
      </w:tr>
      <w:tr>
        <w:trPr>
          <w:trHeight w:val="177"/>
        </w:trPr>
        <w:tc>
          <w:tcPr>
            <w:tcW w:w="4140" w:type="dxa"/>
            <w:vAlign w:val="bottom"/>
          </w:tcPr>
          <w:p>
            <w:pPr>
              <w:spacing w:after="0"/>
              <w:rPr>
                <w:sz w:val="15"/>
                <w:szCs w:val="15"/>
                <w:color w:val="auto"/>
              </w:rPr>
            </w:pP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Weighted average number of common and common</w:t>
            </w: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equivalent shares outstanding.............</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72,968</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17,914</w:t>
            </w:r>
          </w:p>
        </w:tc>
        <w:tc>
          <w:tcPr>
            <w:tcW w:w="380" w:type="dxa"/>
            <w:vAlign w:val="bottom"/>
          </w:tcPr>
          <w:p>
            <w:pPr>
              <w:spacing w:after="0"/>
              <w:rPr>
                <w:sz w:val="15"/>
                <w:szCs w:val="15"/>
                <w:color w:val="auto"/>
              </w:rPr>
            </w:pP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12,540b</w:t>
            </w:r>
          </w:p>
        </w:tc>
        <w:tc>
          <w:tcPr>
            <w:tcW w:w="280" w:type="dxa"/>
            <w:vAlign w:val="bottom"/>
          </w:tcPr>
          <w:p>
            <w:pPr>
              <w:spacing w:after="0"/>
              <w:rPr>
                <w:sz w:val="15"/>
                <w:szCs w:val="15"/>
                <w:color w:val="auto"/>
              </w:rPr>
            </w:pPr>
          </w:p>
        </w:tc>
        <w:tc>
          <w:tcPr>
            <w:tcW w:w="8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103,422</w:t>
            </w:r>
          </w:p>
        </w:tc>
      </w:tr>
      <w:tr>
        <w:trPr>
          <w:trHeight w:val="177"/>
        </w:trPr>
        <w:tc>
          <w:tcPr>
            <w:tcW w:w="4140" w:type="dxa"/>
            <w:vAlign w:val="bottom"/>
          </w:tcPr>
          <w:p>
            <w:pPr>
              <w:spacing w:after="0"/>
              <w:rPr>
                <w:sz w:val="15"/>
                <w:szCs w:val="15"/>
                <w:color w:val="auto"/>
              </w:rPr>
            </w:pP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295" w:right="1440" w:bottom="144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5"/>
          <w:szCs w:val="15"/>
          <w:color w:val="auto"/>
        </w:rPr>
        <w:t>71</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USA WASTE AND SANIFILL</w:t>
      </w:r>
    </w:p>
    <w:p>
      <w:pPr>
        <w:spacing w:after="0" w:line="18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COMBINED UNAUDITED PRO FORMA CONDENSED</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STATEMENT OF OPERATIONS</w:t>
      </w:r>
    </w:p>
    <w:p>
      <w:pPr>
        <w:spacing w:after="0" w:line="185"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YEAR ENDED DECEMBER 31, 1993</w:t>
      </w:r>
    </w:p>
    <w:p>
      <w:pPr>
        <w:spacing w:after="0" w:line="185" w:lineRule="exact"/>
        <w:rPr>
          <w:sz w:val="20"/>
          <w:szCs w:val="20"/>
          <w:color w:val="auto"/>
        </w:rPr>
      </w:pPr>
    </w:p>
    <w:p>
      <w:pPr>
        <w:ind w:right="3299" w:firstLine="461"/>
        <w:spacing w:after="0" w:line="251" w:lineRule="auto"/>
        <w:rPr>
          <w:sz w:val="20"/>
          <w:szCs w:val="20"/>
          <w:color w:val="auto"/>
        </w:rPr>
      </w:pPr>
      <w:r>
        <w:rPr>
          <w:rFonts w:ascii="Courier New" w:cs="Courier New" w:eastAsia="Courier New" w:hAnsi="Courier New"/>
          <w:sz w:val="15"/>
          <w:szCs w:val="15"/>
          <w:color w:val="auto"/>
        </w:rPr>
        <w:t>The following combined unaudited pro forma condensed statement of operations for the year ended December 31, 1993 was prepared based upon the audited supplemental and audited historical statements of operations of USA Waste and Sanifill, respectively, for such year,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PRO FORMA</w:t>
            </w:r>
          </w:p>
        </w:tc>
        <w:tc>
          <w:tcPr>
            <w:tcW w:w="1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COMBINED</w:t>
            </w:r>
          </w:p>
        </w:tc>
      </w:tr>
      <w:tr>
        <w:trPr>
          <w:trHeight w:val="177"/>
        </w:trPr>
        <w:tc>
          <w:tcPr>
            <w:tcW w:w="4340" w:type="dxa"/>
            <w:vAlign w:val="bottom"/>
          </w:tcPr>
          <w:p>
            <w:pPr>
              <w:spacing w:after="0"/>
              <w:rPr>
                <w:sz w:val="15"/>
                <w:szCs w:val="15"/>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USA WASTE</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SANIFILL</w:t>
            </w:r>
          </w:p>
        </w:tc>
        <w:tc>
          <w:tcPr>
            <w:tcW w:w="1340" w:type="dxa"/>
            <w:vAlign w:val="bottom"/>
            <w:gridSpan w:val="2"/>
          </w:tcPr>
          <w:p>
            <w:pPr>
              <w:jc w:val="right"/>
              <w:ind w:right="263"/>
              <w:spacing w:after="0"/>
              <w:rPr>
                <w:sz w:val="20"/>
                <w:szCs w:val="20"/>
                <w:color w:val="auto"/>
              </w:rPr>
            </w:pPr>
            <w:r>
              <w:rPr>
                <w:rFonts w:ascii="Courier New" w:cs="Courier New" w:eastAsia="Courier New" w:hAnsi="Courier New"/>
                <w:sz w:val="15"/>
                <w:szCs w:val="15"/>
                <w:color w:val="auto"/>
                <w:w w:val="98"/>
              </w:rPr>
              <w:t>ADJUSTMENTS</w:t>
            </w:r>
          </w:p>
        </w:tc>
        <w:tc>
          <w:tcPr>
            <w:tcW w:w="1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PRO FORMA</w:t>
            </w:r>
          </w:p>
        </w:tc>
      </w:tr>
      <w:tr>
        <w:trPr>
          <w:trHeight w:val="177"/>
        </w:trPr>
        <w:tc>
          <w:tcPr>
            <w:tcW w:w="4340" w:type="dxa"/>
            <w:vAlign w:val="bottom"/>
          </w:tcPr>
          <w:p>
            <w:pPr>
              <w:spacing w:after="0"/>
              <w:rPr>
                <w:sz w:val="15"/>
                <w:szCs w:val="15"/>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3"/>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340" w:type="dxa"/>
            <w:vAlign w:val="bottom"/>
          </w:tcPr>
          <w:p>
            <w:pPr>
              <w:spacing w:after="0"/>
              <w:rPr>
                <w:sz w:val="15"/>
                <w:szCs w:val="15"/>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 EXCEPT</w:t>
            </w:r>
          </w:p>
        </w:tc>
        <w:tc>
          <w:tcPr>
            <w:tcW w:w="240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PER SHARE AMOUNTS)</w:t>
            </w:r>
          </w:p>
        </w:tc>
      </w:tr>
      <w:tr>
        <w:trPr>
          <w:trHeight w:val="355"/>
        </w:trPr>
        <w:tc>
          <w:tcPr>
            <w:tcW w:w="43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$639,239</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$139,727</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778,966</w:t>
            </w:r>
          </w:p>
        </w:tc>
      </w:tr>
      <w:tr>
        <w:trPr>
          <w:trHeight w:val="177"/>
        </w:trPr>
        <w:tc>
          <w:tcPr>
            <w:tcW w:w="4340" w:type="dxa"/>
            <w:vAlign w:val="bottom"/>
          </w:tcPr>
          <w:p>
            <w:pPr>
              <w:spacing w:after="0"/>
              <w:rPr>
                <w:sz w:val="15"/>
                <w:szCs w:val="15"/>
                <w:color w:val="auto"/>
              </w:rPr>
            </w:pP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43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4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Operating...................................</w:t>
            </w: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388,727</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90,397</w:t>
            </w:r>
          </w:p>
        </w:tc>
        <w:tc>
          <w:tcPr>
            <w:tcW w:w="180" w:type="dxa"/>
            <w:vAlign w:val="bottom"/>
          </w:tcPr>
          <w:p>
            <w:pPr>
              <w:spacing w:after="0"/>
              <w:rPr>
                <w:sz w:val="15"/>
                <w:szCs w:val="15"/>
                <w:color w:val="auto"/>
              </w:rPr>
            </w:pP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(23,842)a</w:t>
            </w:r>
          </w:p>
        </w:tc>
        <w:tc>
          <w:tcPr>
            <w:tcW w:w="2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455,282</w:t>
            </w:r>
          </w:p>
        </w:tc>
      </w:tr>
      <w:tr>
        <w:trPr>
          <w:trHeight w:val="177"/>
        </w:trPr>
        <w:tc>
          <w:tcPr>
            <w:tcW w:w="4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General and administrative..................</w:t>
            </w: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104,121</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22,599</w:t>
            </w:r>
          </w:p>
        </w:tc>
        <w:tc>
          <w:tcPr>
            <w:tcW w:w="180" w:type="dxa"/>
            <w:vAlign w:val="bottom"/>
          </w:tcPr>
          <w:p>
            <w:pPr>
              <w:spacing w:after="0"/>
              <w:rPr>
                <w:sz w:val="15"/>
                <w:szCs w:val="15"/>
                <w:color w:val="auto"/>
              </w:rPr>
            </w:pP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(373)a</w:t>
            </w:r>
          </w:p>
        </w:tc>
        <w:tc>
          <w:tcPr>
            <w:tcW w:w="2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126,347</w:t>
            </w:r>
          </w:p>
        </w:tc>
      </w:tr>
      <w:tr>
        <w:trPr>
          <w:trHeight w:val="177"/>
        </w:trPr>
        <w:tc>
          <w:tcPr>
            <w:tcW w:w="4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Depreciation and amortization...............</w:t>
            </w: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74,223</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22,638a,d</w:t>
            </w:r>
          </w:p>
        </w:tc>
        <w:tc>
          <w:tcPr>
            <w:tcW w:w="2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96,861</w:t>
            </w:r>
          </w:p>
        </w:tc>
      </w:tr>
      <w:tr>
        <w:trPr>
          <w:trHeight w:val="177"/>
        </w:trPr>
        <w:tc>
          <w:tcPr>
            <w:tcW w:w="4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Unusual items...............................</w:t>
            </w: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2,672</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2,672</w:t>
            </w:r>
          </w:p>
        </w:tc>
      </w:tr>
      <w:tr>
        <w:trPr>
          <w:trHeight w:val="177"/>
        </w:trPr>
        <w:tc>
          <w:tcPr>
            <w:tcW w:w="4340" w:type="dxa"/>
            <w:vAlign w:val="bottom"/>
          </w:tcPr>
          <w:p>
            <w:pPr>
              <w:spacing w:after="0"/>
              <w:rPr>
                <w:sz w:val="15"/>
                <w:szCs w:val="15"/>
                <w:color w:val="auto"/>
              </w:rPr>
            </w:pP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4340" w:type="dxa"/>
            <w:vAlign w:val="bottom"/>
          </w:tcPr>
          <w:p>
            <w:pPr>
              <w:spacing w:after="0"/>
              <w:rPr>
                <w:sz w:val="15"/>
                <w:szCs w:val="15"/>
                <w:color w:val="auto"/>
              </w:rPr>
            </w:pP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569,743</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112,996</w:t>
            </w:r>
          </w:p>
        </w:tc>
        <w:tc>
          <w:tcPr>
            <w:tcW w:w="180" w:type="dxa"/>
            <w:vAlign w:val="bottom"/>
          </w:tcPr>
          <w:p>
            <w:pPr>
              <w:spacing w:after="0"/>
              <w:rPr>
                <w:sz w:val="15"/>
                <w:szCs w:val="15"/>
                <w:color w:val="auto"/>
              </w:rPr>
            </w:pPr>
          </w:p>
        </w:tc>
        <w:tc>
          <w:tcPr>
            <w:tcW w:w="116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(1,577)</w:t>
            </w:r>
          </w:p>
        </w:tc>
        <w:tc>
          <w:tcPr>
            <w:tcW w:w="2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681,162</w:t>
            </w:r>
          </w:p>
        </w:tc>
      </w:tr>
      <w:tr>
        <w:trPr>
          <w:trHeight w:val="177"/>
        </w:trPr>
        <w:tc>
          <w:tcPr>
            <w:tcW w:w="4340" w:type="dxa"/>
            <w:vAlign w:val="bottom"/>
          </w:tcPr>
          <w:p>
            <w:pPr>
              <w:spacing w:after="0"/>
              <w:rPr>
                <w:sz w:val="15"/>
                <w:szCs w:val="15"/>
                <w:color w:val="auto"/>
              </w:rPr>
            </w:pP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4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Income from operations........................</w:t>
            </w: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69,496</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26,731</w:t>
            </w:r>
          </w:p>
        </w:tc>
        <w:tc>
          <w:tcPr>
            <w:tcW w:w="180" w:type="dxa"/>
            <w:vAlign w:val="bottom"/>
          </w:tcPr>
          <w:p>
            <w:pPr>
              <w:spacing w:after="0"/>
              <w:rPr>
                <w:sz w:val="15"/>
                <w:szCs w:val="15"/>
                <w:color w:val="auto"/>
              </w:rPr>
            </w:pP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1,577</w:t>
            </w:r>
          </w:p>
        </w:tc>
        <w:tc>
          <w:tcPr>
            <w:tcW w:w="2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97,804</w:t>
            </w:r>
          </w:p>
        </w:tc>
      </w:tr>
      <w:tr>
        <w:trPr>
          <w:trHeight w:val="177"/>
        </w:trPr>
        <w:tc>
          <w:tcPr>
            <w:tcW w:w="4340" w:type="dxa"/>
            <w:vAlign w:val="bottom"/>
          </w:tcPr>
          <w:p>
            <w:pPr>
              <w:spacing w:after="0"/>
              <w:rPr>
                <w:sz w:val="15"/>
                <w:szCs w:val="15"/>
                <w:color w:val="auto"/>
              </w:rPr>
            </w:pP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43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4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Stockholder litigation related costs........</w:t>
            </w: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(5,500)</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(5,500)</w:t>
            </w:r>
          </w:p>
        </w:tc>
      </w:tr>
      <w:tr>
        <w:trPr>
          <w:trHeight w:val="177"/>
        </w:trPr>
        <w:tc>
          <w:tcPr>
            <w:tcW w:w="4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Interest expense............................</w:t>
            </w: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(39,809)</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(6,223)</w:t>
            </w:r>
          </w:p>
        </w:tc>
        <w:tc>
          <w:tcPr>
            <w:tcW w:w="180" w:type="dxa"/>
            <w:vAlign w:val="bottom"/>
          </w:tcPr>
          <w:p>
            <w:pPr>
              <w:spacing w:after="0"/>
              <w:rPr>
                <w:sz w:val="15"/>
                <w:szCs w:val="15"/>
                <w:color w:val="auto"/>
              </w:rPr>
            </w:pP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(46,032)</w:t>
            </w:r>
          </w:p>
        </w:tc>
      </w:tr>
      <w:tr>
        <w:trPr>
          <w:trHeight w:val="177"/>
        </w:trPr>
        <w:tc>
          <w:tcPr>
            <w:tcW w:w="4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Interest income.............................</w:t>
            </w: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4,338</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497</w:t>
            </w:r>
          </w:p>
        </w:tc>
        <w:tc>
          <w:tcPr>
            <w:tcW w:w="180" w:type="dxa"/>
            <w:vAlign w:val="bottom"/>
          </w:tcPr>
          <w:p>
            <w:pPr>
              <w:spacing w:after="0"/>
              <w:rPr>
                <w:sz w:val="15"/>
                <w:szCs w:val="15"/>
                <w:color w:val="auto"/>
              </w:rPr>
            </w:pP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4,835</w:t>
            </w:r>
          </w:p>
        </w:tc>
      </w:tr>
      <w:tr>
        <w:trPr>
          <w:trHeight w:val="177"/>
        </w:trPr>
        <w:tc>
          <w:tcPr>
            <w:tcW w:w="4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Other income, net...........................</w:t>
            </w: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1,148</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13</w:t>
            </w:r>
          </w:p>
        </w:tc>
        <w:tc>
          <w:tcPr>
            <w:tcW w:w="180" w:type="dxa"/>
            <w:vAlign w:val="bottom"/>
          </w:tcPr>
          <w:p>
            <w:pPr>
              <w:spacing w:after="0"/>
              <w:rPr>
                <w:sz w:val="15"/>
                <w:szCs w:val="15"/>
                <w:color w:val="auto"/>
              </w:rPr>
            </w:pP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1,161</w:t>
            </w:r>
          </w:p>
        </w:tc>
      </w:tr>
      <w:tr>
        <w:trPr>
          <w:trHeight w:val="177"/>
        </w:trPr>
        <w:tc>
          <w:tcPr>
            <w:tcW w:w="4340" w:type="dxa"/>
            <w:vAlign w:val="bottom"/>
          </w:tcPr>
          <w:p>
            <w:pPr>
              <w:spacing w:after="0"/>
              <w:rPr>
                <w:sz w:val="15"/>
                <w:szCs w:val="15"/>
                <w:color w:val="auto"/>
              </w:rPr>
            </w:pP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4340" w:type="dxa"/>
            <w:vAlign w:val="bottom"/>
          </w:tcPr>
          <w:p>
            <w:pPr>
              <w:spacing w:after="0"/>
              <w:rPr>
                <w:sz w:val="15"/>
                <w:szCs w:val="15"/>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(39,823)</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(5,713)</w:t>
            </w:r>
          </w:p>
        </w:tc>
        <w:tc>
          <w:tcPr>
            <w:tcW w:w="180" w:type="dxa"/>
            <w:vAlign w:val="bottom"/>
          </w:tcPr>
          <w:p>
            <w:pPr>
              <w:spacing w:after="0"/>
              <w:rPr>
                <w:sz w:val="15"/>
                <w:szCs w:val="15"/>
                <w:color w:val="auto"/>
              </w:rPr>
            </w:pP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(45,536)</w:t>
            </w:r>
          </w:p>
        </w:tc>
      </w:tr>
      <w:tr>
        <w:trPr>
          <w:trHeight w:val="177"/>
        </w:trPr>
        <w:tc>
          <w:tcPr>
            <w:tcW w:w="4340" w:type="dxa"/>
            <w:vAlign w:val="bottom"/>
          </w:tcPr>
          <w:p>
            <w:pPr>
              <w:spacing w:after="0"/>
              <w:rPr>
                <w:sz w:val="15"/>
                <w:szCs w:val="15"/>
                <w:color w:val="auto"/>
              </w:rPr>
            </w:pP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4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Income before income taxes....................</w:t>
            </w: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29,673</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21,018</w:t>
            </w:r>
          </w:p>
        </w:tc>
        <w:tc>
          <w:tcPr>
            <w:tcW w:w="180" w:type="dxa"/>
            <w:vAlign w:val="bottom"/>
          </w:tcPr>
          <w:p>
            <w:pPr>
              <w:spacing w:after="0"/>
              <w:rPr>
                <w:sz w:val="15"/>
                <w:szCs w:val="15"/>
                <w:color w:val="auto"/>
              </w:rPr>
            </w:pP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1,577</w:t>
            </w:r>
          </w:p>
        </w:tc>
        <w:tc>
          <w:tcPr>
            <w:tcW w:w="2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52,268</w:t>
            </w:r>
          </w:p>
        </w:tc>
      </w:tr>
      <w:tr>
        <w:trPr>
          <w:trHeight w:val="177"/>
        </w:trPr>
        <w:tc>
          <w:tcPr>
            <w:tcW w:w="4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Provision for income taxes....................</w:t>
            </w: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16,112</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8,048</w:t>
            </w:r>
          </w:p>
        </w:tc>
        <w:tc>
          <w:tcPr>
            <w:tcW w:w="180" w:type="dxa"/>
            <w:vAlign w:val="bottom"/>
          </w:tcPr>
          <w:p>
            <w:pPr>
              <w:spacing w:after="0"/>
              <w:rPr>
                <w:sz w:val="15"/>
                <w:szCs w:val="15"/>
                <w:color w:val="auto"/>
              </w:rPr>
            </w:pPr>
          </w:p>
        </w:tc>
        <w:tc>
          <w:tcPr>
            <w:tcW w:w="116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6,157d</w:t>
            </w:r>
          </w:p>
        </w:tc>
        <w:tc>
          <w:tcPr>
            <w:tcW w:w="2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30,317</w:t>
            </w:r>
          </w:p>
        </w:tc>
      </w:tr>
      <w:tr>
        <w:trPr>
          <w:trHeight w:val="177"/>
        </w:trPr>
        <w:tc>
          <w:tcPr>
            <w:tcW w:w="4340" w:type="dxa"/>
            <w:vAlign w:val="bottom"/>
          </w:tcPr>
          <w:p>
            <w:pPr>
              <w:spacing w:after="0"/>
              <w:rPr>
                <w:sz w:val="15"/>
                <w:szCs w:val="15"/>
                <w:color w:val="auto"/>
              </w:rPr>
            </w:pP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4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Income from continuing operations.............</w:t>
            </w: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13,561</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12,970</w:t>
            </w:r>
          </w:p>
        </w:tc>
        <w:tc>
          <w:tcPr>
            <w:tcW w:w="180" w:type="dxa"/>
            <w:vAlign w:val="bottom"/>
          </w:tcPr>
          <w:p>
            <w:pPr>
              <w:spacing w:after="0"/>
              <w:rPr>
                <w:sz w:val="15"/>
                <w:szCs w:val="15"/>
                <w:color w:val="auto"/>
              </w:rPr>
            </w:pPr>
          </w:p>
        </w:tc>
        <w:tc>
          <w:tcPr>
            <w:tcW w:w="116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(4,580)</w:t>
            </w:r>
          </w:p>
        </w:tc>
        <w:tc>
          <w:tcPr>
            <w:tcW w:w="2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21,951</w:t>
            </w:r>
          </w:p>
        </w:tc>
      </w:tr>
      <w:tr>
        <w:trPr>
          <w:trHeight w:val="177"/>
        </w:trPr>
        <w:tc>
          <w:tcPr>
            <w:tcW w:w="4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Preferred dividends...........................</w:t>
            </w: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582</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582</w:t>
            </w:r>
          </w:p>
        </w:tc>
      </w:tr>
      <w:tr>
        <w:trPr>
          <w:trHeight w:val="177"/>
        </w:trPr>
        <w:tc>
          <w:tcPr>
            <w:tcW w:w="4340" w:type="dxa"/>
            <w:vAlign w:val="bottom"/>
          </w:tcPr>
          <w:p>
            <w:pPr>
              <w:spacing w:after="0"/>
              <w:rPr>
                <w:sz w:val="15"/>
                <w:szCs w:val="15"/>
                <w:color w:val="auto"/>
              </w:rPr>
            </w:pP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4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Income from continuing operations available to</w:t>
            </w:r>
          </w:p>
        </w:tc>
        <w:tc>
          <w:tcPr>
            <w:tcW w:w="1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4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common stockholders.........................</w:t>
            </w: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$ 12,979</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$ 12,970</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(4,580)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21,369</w:t>
            </w:r>
          </w:p>
        </w:tc>
      </w:tr>
      <w:tr>
        <w:trPr>
          <w:trHeight w:val="177"/>
        </w:trPr>
        <w:tc>
          <w:tcPr>
            <w:tcW w:w="4340" w:type="dxa"/>
            <w:vAlign w:val="bottom"/>
          </w:tcPr>
          <w:p>
            <w:pPr>
              <w:spacing w:after="0"/>
              <w:rPr>
                <w:sz w:val="15"/>
                <w:szCs w:val="15"/>
                <w:color w:val="auto"/>
              </w:rPr>
            </w:pP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4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Income from continuing operations available to</w:t>
            </w:r>
          </w:p>
        </w:tc>
        <w:tc>
          <w:tcPr>
            <w:tcW w:w="1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4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common stockholders per common share........</w:t>
            </w: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0.19</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0.80</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0.22c</w:t>
            </w:r>
          </w:p>
        </w:tc>
      </w:tr>
      <w:tr>
        <w:trPr>
          <w:trHeight w:val="177"/>
        </w:trPr>
        <w:tc>
          <w:tcPr>
            <w:tcW w:w="4340" w:type="dxa"/>
            <w:vAlign w:val="bottom"/>
          </w:tcPr>
          <w:p>
            <w:pPr>
              <w:spacing w:after="0"/>
              <w:rPr>
                <w:sz w:val="15"/>
                <w:szCs w:val="15"/>
                <w:color w:val="auto"/>
              </w:rPr>
            </w:pP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434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common</w:t>
            </w:r>
          </w:p>
        </w:tc>
        <w:tc>
          <w:tcPr>
            <w:tcW w:w="1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4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equivalent shares outstanding...............</w:t>
            </w: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68,457</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16,118</w:t>
            </w:r>
          </w:p>
        </w:tc>
        <w:tc>
          <w:tcPr>
            <w:tcW w:w="180" w:type="dxa"/>
            <w:vAlign w:val="bottom"/>
          </w:tcPr>
          <w:p>
            <w:pPr>
              <w:spacing w:after="0"/>
              <w:rPr>
                <w:sz w:val="15"/>
                <w:szCs w:val="15"/>
                <w:color w:val="auto"/>
              </w:rPr>
            </w:pPr>
          </w:p>
        </w:tc>
        <w:tc>
          <w:tcPr>
            <w:tcW w:w="116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11,283b</w:t>
            </w:r>
          </w:p>
        </w:tc>
        <w:tc>
          <w:tcPr>
            <w:tcW w:w="2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95,858</w:t>
            </w:r>
          </w:p>
        </w:tc>
      </w:tr>
      <w:tr>
        <w:trPr>
          <w:trHeight w:val="177"/>
        </w:trPr>
        <w:tc>
          <w:tcPr>
            <w:tcW w:w="4340" w:type="dxa"/>
            <w:vAlign w:val="bottom"/>
          </w:tcPr>
          <w:p>
            <w:pPr>
              <w:spacing w:after="0"/>
              <w:rPr>
                <w:sz w:val="15"/>
                <w:szCs w:val="15"/>
                <w:color w:val="auto"/>
              </w:rPr>
            </w:pP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w:t>
            </w:r>
          </w:p>
        </w:tc>
      </w:tr>
    </w:tbl>
    <w:p>
      <w:pPr>
        <w:spacing w:after="0" w:line="360"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295" w:right="1440"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5"/>
          <w:szCs w:val="15"/>
          <w:color w:val="auto"/>
        </w:rPr>
        <w:t>72</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USA WASTE AND SANIFILL</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NOTES TO COMBINED UNAUDITED PRO FORMA CONDENSED</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FINANCIAL STATEMENTS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combined unaudited pro forma condensed financial statements assume the issuance of USA Waste Common Stock in exchange for all outstanding Sanifill Common Stock. Such financial statements also assume that the Merger will be accounted for using the "pooling of interests" method of accounting pursuant to Opinion No. 16 of the Accounting Principles Board. The "pooling of interests" method of accounting assumes that the combining companies have been merged from their inception, and the financial statements for periods prior to consummation of the Merger are restated as though the companies had been combined from their inception.</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Pursuant to the rules and regulations of the Commission, the combined unaudited pro forma condensed statements of operations exclude the results of operations associated with discontinued businesses, extraordinary items and cumulative effects of accounting changes. In addition, the combined unaudited pro forma condensed financial statements do not include any adjustment for estimated nonrecurring costs directly related to the Merger and USA Waste's merger with Western which are expected to be included in operations of USA Waste within the twelve months succeeding the consummation of the two mergers. Such costs are currently estimated to be approximately $89.8 million.</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Certain reclassifications have been made to the financial statements of USA Waste and Sanifill to conform to the pro forma presentation. Such reclassifications are not material to the combined unaudited pro forma condensed financial statements.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 FORMA ADJUSTMENTS</w:t>
      </w:r>
    </w:p>
    <w:p>
      <w:pPr>
        <w:spacing w:after="0" w:line="185" w:lineRule="exact"/>
        <w:rPr>
          <w:sz w:val="20"/>
          <w:szCs w:val="20"/>
          <w:color w:val="auto"/>
        </w:rPr>
      </w:pPr>
    </w:p>
    <w:p>
      <w:pPr>
        <w:ind w:right="2939" w:firstLine="456"/>
        <w:spacing w:after="0" w:line="251" w:lineRule="auto"/>
        <w:tabs>
          <w:tab w:leader="none" w:pos="83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have been made to reclassify Sanifill's depreciation and amortization from operating expenses and general and administrative expenses to a separate line item to conform to the presentation of USA Waste as if the companies had been combined since their inception.</w:t>
      </w:r>
    </w:p>
    <w:p>
      <w:pPr>
        <w:spacing w:after="0" w:line="176" w:lineRule="exact"/>
        <w:rPr>
          <w:rFonts w:ascii="Courier New" w:cs="Courier New" w:eastAsia="Courier New" w:hAnsi="Courier New"/>
          <w:sz w:val="15"/>
          <w:szCs w:val="15"/>
          <w:color w:val="auto"/>
        </w:rPr>
      </w:pPr>
    </w:p>
    <w:p>
      <w:pPr>
        <w:ind w:right="2839" w:firstLine="456"/>
        <w:spacing w:after="0" w:line="251" w:lineRule="auto"/>
        <w:tabs>
          <w:tab w:leader="none" w:pos="83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stockholders' equity accounts have been adjusted to reflect the assumed issuance of USA Waste Common Stock for all issued and outstanding shares of Sanifill Common Stock (based on the exchange ratio of 1.70 shares of USA Waste Common Stock for each share of Sanifill Common Stock outstanding as of the date of the applicable balance sheet). The number of shares of USA Waste Common Stock to be issued pursuant to the Merger will be based upon the number of shares of Sanifill Common Stock issued and outstanding immediately prior to the consummation of the Merger.</w:t>
      </w:r>
    </w:p>
    <w:p>
      <w:pPr>
        <w:spacing w:after="0" w:line="175" w:lineRule="exact"/>
        <w:rPr>
          <w:rFonts w:ascii="Courier New" w:cs="Courier New" w:eastAsia="Courier New" w:hAnsi="Courier New"/>
          <w:sz w:val="15"/>
          <w:szCs w:val="15"/>
          <w:color w:val="auto"/>
        </w:rPr>
      </w:pPr>
    </w:p>
    <w:p>
      <w:pPr>
        <w:ind w:right="2839" w:firstLine="456"/>
        <w:spacing w:after="0" w:line="251" w:lineRule="auto"/>
        <w:tabs>
          <w:tab w:leader="none" w:pos="83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income from continuing operations available to common stockholders per share for each period is based on the combined weighted average number of shares outstanding, after giving effect to the issuance of 1.70 shares of USA Waste Common Stock for each share of Sanifill Common Stock. Fully diluted earnings per share are considered equal to primary earnings per share for all periods presented because the addition of potentially dilutive securities that are not common stock equivalents would have been either antidilutive or not material.</w:t>
      </w:r>
    </w:p>
    <w:p>
      <w:pPr>
        <w:spacing w:after="0" w:line="175" w:lineRule="exact"/>
        <w:rPr>
          <w:rFonts w:ascii="Courier New" w:cs="Courier New" w:eastAsia="Courier New" w:hAnsi="Courier New"/>
          <w:sz w:val="15"/>
          <w:szCs w:val="15"/>
          <w:color w:val="auto"/>
        </w:rPr>
      </w:pPr>
    </w:p>
    <w:p>
      <w:pPr>
        <w:ind w:right="3019" w:firstLine="456"/>
        <w:spacing w:after="0" w:line="252" w:lineRule="auto"/>
        <w:tabs>
          <w:tab w:leader="none" w:pos="83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have been made for the impact of restating deferred taxes of the combined company as though the companies had been combined from their inception.</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295"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5"/>
          <w:szCs w:val="15"/>
          <w:color w:val="auto"/>
        </w:rPr>
        <w:t>73</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SUPPLEMENTALLY PROVIDED INFORMATION RELATING</w:t>
      </w:r>
    </w:p>
    <w:p>
      <w:pPr>
        <w:spacing w:after="0" w:line="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TO THE COMBINED UNAUDITED PRO FORMA</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CONDENSED FINANCIAL STATEMENTS</w:t>
      </w:r>
    </w:p>
    <w:p>
      <w:pPr>
        <w:spacing w:after="0" w:line="362"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following combined unaudited pro forma condensed financial information as of and for the three months ended March 31, 1996 and for the year ended December 31, 1995 gives effect to certain pro forma adjustments described in the notes to such information. In addition to the pro forma adjustments in the combined unaudited pro forma condensed financial statements (which in effect are a restatement of the financial statements as if the Merger were consummated), the impact of certain transactions occurring in 1995 and 1996 is presented supplementally. This supplementally provided information does not include the impact of certain cost and expense savings and other economic benefits that are expected to be realized as a result of the Merger or additional cost reductions relating to landfill and collection operations or additional revenues that may result from volume or price increases.</w:t>
      </w:r>
    </w:p>
    <w:p>
      <w:pPr>
        <w:spacing w:after="0" w:line="36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295" w:right="1440" w:bottom="1440" w:gutter="0" w:footer="0" w:header="0"/>
        </w:sectPr>
      </w:pPr>
    </w:p>
    <w:bookmarkStart w:id="74" w:name="page75"/>
    <w:bookmarkEnd w:id="74"/>
    <w:p>
      <w:pPr>
        <w:ind w:left="280"/>
        <w:spacing w:after="0"/>
        <w:rPr>
          <w:sz w:val="20"/>
          <w:szCs w:val="20"/>
          <w:color w:val="auto"/>
        </w:rPr>
      </w:pPr>
      <w:r>
        <w:rPr>
          <w:rFonts w:ascii="Courier New" w:cs="Courier New" w:eastAsia="Courier New" w:hAnsi="Courier New"/>
          <w:sz w:val="15"/>
          <w:szCs w:val="15"/>
          <w:color w:val="auto"/>
        </w:rPr>
        <w:t>74</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USA WASTE AND SANIFILL</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COMBINED SUPPLEMENTALLY PROVIDED BALANCE SHEET INFORMATION</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MARCH 31, 1996</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0" w:type="dxa"/>
            <w:vAlign w:val="bottom"/>
            <w:gridSpan w:val="2"/>
          </w:tcPr>
          <w:p>
            <w:pPr>
              <w:jc w:val="right"/>
              <w:ind w:right="323"/>
              <w:spacing w:after="0"/>
              <w:rPr>
                <w:sz w:val="20"/>
                <w:szCs w:val="20"/>
                <w:color w:val="auto"/>
              </w:rPr>
            </w:pPr>
            <w:r>
              <w:rPr>
                <w:rFonts w:ascii="Courier New" w:cs="Courier New" w:eastAsia="Courier New" w:hAnsi="Courier New"/>
                <w:sz w:val="15"/>
                <w:szCs w:val="15"/>
                <w:color w:val="auto"/>
              </w:rPr>
              <w:t>SUPPLEMENTALLY</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SUPPLEMENTALLY</w:t>
            </w:r>
          </w:p>
        </w:tc>
      </w:tr>
      <w:tr>
        <w:trPr>
          <w:trHeight w:val="177"/>
        </w:trPr>
        <w:tc>
          <w:tcPr>
            <w:tcW w:w="5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COMBINED</w:t>
            </w:r>
          </w:p>
        </w:tc>
        <w:tc>
          <w:tcPr>
            <w:tcW w:w="180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PROVIDED</w:t>
            </w:r>
          </w:p>
        </w:tc>
        <w:tc>
          <w:tcPr>
            <w:tcW w:w="340" w:type="dxa"/>
            <w:vAlign w:val="bottom"/>
          </w:tcPr>
          <w:p>
            <w:pPr>
              <w:spacing w:after="0"/>
              <w:rPr>
                <w:sz w:val="15"/>
                <w:szCs w:val="15"/>
                <w:color w:val="auto"/>
              </w:rPr>
            </w:pPr>
          </w:p>
        </w:tc>
        <w:tc>
          <w:tcPr>
            <w:tcW w:w="1000" w:type="dxa"/>
            <w:vAlign w:val="bottom"/>
          </w:tcPr>
          <w:p>
            <w:pPr>
              <w:jc w:val="center"/>
              <w:ind w:right="203"/>
              <w:spacing w:after="0"/>
              <w:rPr>
                <w:sz w:val="20"/>
                <w:szCs w:val="20"/>
                <w:color w:val="auto"/>
              </w:rPr>
            </w:pPr>
            <w:r>
              <w:rPr>
                <w:rFonts w:ascii="Courier New" w:cs="Courier New" w:eastAsia="Courier New" w:hAnsi="Courier New"/>
                <w:sz w:val="15"/>
                <w:szCs w:val="15"/>
                <w:color w:val="auto"/>
                <w:w w:val="99"/>
              </w:rPr>
              <w:t>PROVIDED</w:t>
            </w:r>
          </w:p>
        </w:tc>
      </w:tr>
      <w:tr>
        <w:trPr>
          <w:trHeight w:val="177"/>
        </w:trPr>
        <w:tc>
          <w:tcPr>
            <w:tcW w:w="506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PRO FORMA</w:t>
            </w:r>
          </w:p>
        </w:tc>
        <w:tc>
          <w:tcPr>
            <w:tcW w:w="180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ADJUSTMENTS</w:t>
            </w:r>
          </w:p>
        </w:tc>
        <w:tc>
          <w:tcPr>
            <w:tcW w:w="134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INFORMATION</w:t>
            </w:r>
          </w:p>
        </w:tc>
      </w:tr>
      <w:tr>
        <w:trPr>
          <w:trHeight w:val="177"/>
        </w:trPr>
        <w:tc>
          <w:tcPr>
            <w:tcW w:w="5060" w:type="dxa"/>
            <w:vAlign w:val="bottom"/>
          </w:tcPr>
          <w:p>
            <w:pPr>
              <w:spacing w:after="0"/>
              <w:rPr>
                <w:sz w:val="15"/>
                <w:szCs w:val="15"/>
                <w:color w:val="auto"/>
              </w:rPr>
            </w:pPr>
          </w:p>
        </w:tc>
        <w:tc>
          <w:tcPr>
            <w:tcW w:w="12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7"/>
        </w:trPr>
        <w:tc>
          <w:tcPr>
            <w:tcW w:w="5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140" w:type="dxa"/>
            <w:vAlign w:val="bottom"/>
            <w:gridSpan w:val="5"/>
          </w:tcPr>
          <w:p>
            <w:pPr>
              <w:jc w:val="center"/>
              <w:ind w:right="123"/>
              <w:spacing w:after="0"/>
              <w:rPr>
                <w:sz w:val="20"/>
                <w:szCs w:val="20"/>
                <w:color w:val="auto"/>
              </w:rPr>
            </w:pPr>
            <w:r>
              <w:rPr>
                <w:rFonts w:ascii="Courier New" w:cs="Courier New" w:eastAsia="Courier New" w:hAnsi="Courier New"/>
                <w:sz w:val="15"/>
                <w:szCs w:val="15"/>
                <w:color w:val="auto"/>
              </w:rPr>
              <w:t>(IN THOUSANDS, EXCEPT SHARE AND PER SHARE</w:t>
            </w:r>
          </w:p>
        </w:tc>
      </w:tr>
      <w:tr>
        <w:trPr>
          <w:trHeight w:val="177"/>
        </w:trPr>
        <w:tc>
          <w:tcPr>
            <w:tcW w:w="5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tcPr>
          <w:p>
            <w:pPr>
              <w:jc w:val="center"/>
              <w:ind w:right="263"/>
              <w:spacing w:after="0"/>
              <w:rPr>
                <w:sz w:val="20"/>
                <w:szCs w:val="20"/>
                <w:color w:val="auto"/>
              </w:rPr>
            </w:pPr>
            <w:r>
              <w:rPr>
                <w:rFonts w:ascii="Courier New" w:cs="Courier New" w:eastAsia="Courier New" w:hAnsi="Courier New"/>
                <w:sz w:val="15"/>
                <w:szCs w:val="15"/>
                <w:color w:val="auto"/>
              </w:rPr>
              <w:t>DATA)</w:t>
            </w: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55"/>
        </w:trPr>
        <w:tc>
          <w:tcPr>
            <w:tcW w:w="50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5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Cash and cash equivalents...........................</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32,539</w:t>
            </w:r>
          </w:p>
        </w:tc>
        <w:tc>
          <w:tcPr>
            <w:tcW w:w="1800" w:type="dxa"/>
            <w:vAlign w:val="bottom"/>
            <w:gridSpan w:val="2"/>
          </w:tcPr>
          <w:p>
            <w:pPr>
              <w:jc w:val="right"/>
              <w:ind w:right="423"/>
              <w:spacing w:after="0"/>
              <w:rPr>
                <w:sz w:val="20"/>
                <w:szCs w:val="20"/>
                <w:color w:val="auto"/>
              </w:rPr>
            </w:pPr>
            <w:r>
              <w:rPr>
                <w:rFonts w:ascii="Courier New" w:cs="Courier New" w:eastAsia="Courier New" w:hAnsi="Courier New"/>
                <w:sz w:val="15"/>
                <w:szCs w:val="15"/>
                <w:color w:val="auto"/>
              </w:rPr>
              <w:t>$(32,539)c</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Accounts receivable, net............................</w:t>
            </w: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145,087</w:t>
            </w:r>
          </w:p>
        </w:tc>
        <w:tc>
          <w:tcPr>
            <w:tcW w:w="480" w:type="dxa"/>
            <w:vAlign w:val="bottom"/>
          </w:tcPr>
          <w:p>
            <w:pPr>
              <w:spacing w:after="0"/>
              <w:rPr>
                <w:sz w:val="15"/>
                <w:szCs w:val="15"/>
                <w:color w:val="auto"/>
              </w:rPr>
            </w:pPr>
          </w:p>
        </w:tc>
        <w:tc>
          <w:tcPr>
            <w:tcW w:w="13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2,175c</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147,262</w:t>
            </w:r>
          </w:p>
        </w:tc>
      </w:tr>
      <w:tr>
        <w:trPr>
          <w:trHeight w:val="177"/>
        </w:trPr>
        <w:tc>
          <w:tcPr>
            <w:tcW w:w="5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Notes and other receivables.........................</w:t>
            </w: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13,133</w:t>
            </w:r>
          </w:p>
        </w:tc>
        <w:tc>
          <w:tcPr>
            <w:tcW w:w="480" w:type="dxa"/>
            <w:vAlign w:val="bottom"/>
          </w:tcPr>
          <w:p>
            <w:pPr>
              <w:spacing w:after="0"/>
              <w:rPr>
                <w:sz w:val="15"/>
                <w:szCs w:val="15"/>
                <w:color w:val="auto"/>
              </w:rPr>
            </w:pPr>
          </w:p>
        </w:tc>
        <w:tc>
          <w:tcPr>
            <w:tcW w:w="132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13,133</w:t>
            </w:r>
          </w:p>
        </w:tc>
      </w:tr>
      <w:tr>
        <w:trPr>
          <w:trHeight w:val="177"/>
        </w:trPr>
        <w:tc>
          <w:tcPr>
            <w:tcW w:w="5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Deferred income taxes...............................</w:t>
            </w: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20,101</w:t>
            </w:r>
          </w:p>
        </w:tc>
        <w:tc>
          <w:tcPr>
            <w:tcW w:w="480" w:type="dxa"/>
            <w:vAlign w:val="bottom"/>
          </w:tcPr>
          <w:p>
            <w:pPr>
              <w:spacing w:after="0"/>
              <w:rPr>
                <w:sz w:val="15"/>
                <w:szCs w:val="15"/>
                <w:color w:val="auto"/>
              </w:rPr>
            </w:pPr>
          </w:p>
        </w:tc>
        <w:tc>
          <w:tcPr>
            <w:tcW w:w="132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20,101</w:t>
            </w:r>
          </w:p>
        </w:tc>
      </w:tr>
      <w:tr>
        <w:trPr>
          <w:trHeight w:val="177"/>
        </w:trPr>
        <w:tc>
          <w:tcPr>
            <w:tcW w:w="5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Prepaid expenses and other..........................</w:t>
            </w: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42,799</w:t>
            </w:r>
          </w:p>
        </w:tc>
        <w:tc>
          <w:tcPr>
            <w:tcW w:w="480" w:type="dxa"/>
            <w:vAlign w:val="bottom"/>
          </w:tcPr>
          <w:p>
            <w:pPr>
              <w:spacing w:after="0"/>
              <w:rPr>
                <w:sz w:val="15"/>
                <w:szCs w:val="15"/>
                <w:color w:val="auto"/>
              </w:rPr>
            </w:pPr>
          </w:p>
        </w:tc>
        <w:tc>
          <w:tcPr>
            <w:tcW w:w="13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135c</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42,934</w:t>
            </w:r>
          </w:p>
        </w:tc>
      </w:tr>
      <w:tr>
        <w:trPr>
          <w:trHeight w:val="177"/>
        </w:trPr>
        <w:tc>
          <w:tcPr>
            <w:tcW w:w="5060" w:type="dxa"/>
            <w:vAlign w:val="bottom"/>
          </w:tcPr>
          <w:p>
            <w:pPr>
              <w:spacing w:after="0"/>
              <w:rPr>
                <w:sz w:val="15"/>
                <w:szCs w:val="15"/>
                <w:color w:val="auto"/>
              </w:rPr>
            </w:pPr>
          </w:p>
        </w:tc>
        <w:tc>
          <w:tcPr>
            <w:tcW w:w="12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Total current assets........................</w:t>
            </w: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253,659</w:t>
            </w:r>
          </w:p>
        </w:tc>
        <w:tc>
          <w:tcPr>
            <w:tcW w:w="480" w:type="dxa"/>
            <w:vAlign w:val="bottom"/>
          </w:tcPr>
          <w:p>
            <w:pPr>
              <w:spacing w:after="0"/>
              <w:rPr>
                <w:sz w:val="15"/>
                <w:szCs w:val="15"/>
                <w:color w:val="auto"/>
              </w:rPr>
            </w:pPr>
          </w:p>
        </w:tc>
        <w:tc>
          <w:tcPr>
            <w:tcW w:w="1320" w:type="dxa"/>
            <w:vAlign w:val="bottom"/>
          </w:tcPr>
          <w:p>
            <w:pPr>
              <w:jc w:val="right"/>
              <w:ind w:right="523"/>
              <w:spacing w:after="0"/>
              <w:rPr>
                <w:sz w:val="20"/>
                <w:szCs w:val="20"/>
                <w:color w:val="auto"/>
              </w:rPr>
            </w:pPr>
            <w:r>
              <w:rPr>
                <w:rFonts w:ascii="Courier New" w:cs="Courier New" w:eastAsia="Courier New" w:hAnsi="Courier New"/>
                <w:sz w:val="15"/>
                <w:szCs w:val="15"/>
                <w:color w:val="auto"/>
                <w:w w:val="97"/>
              </w:rPr>
              <w:t>(30,229)</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223,430</w:t>
            </w:r>
          </w:p>
        </w:tc>
      </w:tr>
      <w:tr>
        <w:trPr>
          <w:trHeight w:val="177"/>
        </w:trPr>
        <w:tc>
          <w:tcPr>
            <w:tcW w:w="5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Notes and other receivables...........................</w:t>
            </w: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19,495</w:t>
            </w:r>
          </w:p>
        </w:tc>
        <w:tc>
          <w:tcPr>
            <w:tcW w:w="480" w:type="dxa"/>
            <w:vAlign w:val="bottom"/>
          </w:tcPr>
          <w:p>
            <w:pPr>
              <w:spacing w:after="0"/>
              <w:rPr>
                <w:sz w:val="15"/>
                <w:szCs w:val="15"/>
                <w:color w:val="auto"/>
              </w:rPr>
            </w:pPr>
          </w:p>
        </w:tc>
        <w:tc>
          <w:tcPr>
            <w:tcW w:w="132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19,495</w:t>
            </w:r>
          </w:p>
        </w:tc>
      </w:tr>
      <w:tr>
        <w:trPr>
          <w:trHeight w:val="177"/>
        </w:trPr>
        <w:tc>
          <w:tcPr>
            <w:tcW w:w="5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Property and equipment, net...........................</w:t>
            </w: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8"/>
              </w:rPr>
              <w:t>1,480,056</w:t>
            </w:r>
          </w:p>
        </w:tc>
        <w:tc>
          <w:tcPr>
            <w:tcW w:w="480" w:type="dxa"/>
            <w:vAlign w:val="bottom"/>
          </w:tcPr>
          <w:p>
            <w:pPr>
              <w:spacing w:after="0"/>
              <w:rPr>
                <w:sz w:val="15"/>
                <w:szCs w:val="15"/>
                <w:color w:val="auto"/>
              </w:rPr>
            </w:pPr>
          </w:p>
        </w:tc>
        <w:tc>
          <w:tcPr>
            <w:tcW w:w="13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19,862c</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8"/>
              </w:rPr>
              <w:t>1,499,918</w:t>
            </w:r>
          </w:p>
        </w:tc>
      </w:tr>
      <w:tr>
        <w:trPr>
          <w:trHeight w:val="177"/>
        </w:trPr>
        <w:tc>
          <w:tcPr>
            <w:tcW w:w="5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Excess of cost over net assets of acquired businesses,</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5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net.................................................</w:t>
            </w: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228,694</w:t>
            </w:r>
          </w:p>
        </w:tc>
        <w:tc>
          <w:tcPr>
            <w:tcW w:w="480" w:type="dxa"/>
            <w:vAlign w:val="bottom"/>
          </w:tcPr>
          <w:p>
            <w:pPr>
              <w:spacing w:after="0"/>
              <w:rPr>
                <w:sz w:val="15"/>
                <w:szCs w:val="15"/>
                <w:color w:val="auto"/>
              </w:rPr>
            </w:pPr>
          </w:p>
        </w:tc>
        <w:tc>
          <w:tcPr>
            <w:tcW w:w="13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36,071c</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264,765</w:t>
            </w:r>
          </w:p>
        </w:tc>
      </w:tr>
      <w:tr>
        <w:trPr>
          <w:trHeight w:val="177"/>
        </w:trPr>
        <w:tc>
          <w:tcPr>
            <w:tcW w:w="5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Other intangible assets, net..........................</w:t>
            </w: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55,374</w:t>
            </w:r>
          </w:p>
        </w:tc>
        <w:tc>
          <w:tcPr>
            <w:tcW w:w="480" w:type="dxa"/>
            <w:vAlign w:val="bottom"/>
          </w:tcPr>
          <w:p>
            <w:pPr>
              <w:spacing w:after="0"/>
              <w:rPr>
                <w:sz w:val="15"/>
                <w:szCs w:val="15"/>
                <w:color w:val="auto"/>
              </w:rPr>
            </w:pPr>
          </w:p>
        </w:tc>
        <w:tc>
          <w:tcPr>
            <w:tcW w:w="13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6,680c</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62,054</w:t>
            </w:r>
          </w:p>
        </w:tc>
      </w:tr>
      <w:tr>
        <w:trPr>
          <w:trHeight w:val="177"/>
        </w:trPr>
        <w:tc>
          <w:tcPr>
            <w:tcW w:w="5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Other assets..........................................</w:t>
            </w: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107,403</w:t>
            </w:r>
          </w:p>
        </w:tc>
        <w:tc>
          <w:tcPr>
            <w:tcW w:w="480" w:type="dxa"/>
            <w:vAlign w:val="bottom"/>
          </w:tcPr>
          <w:p>
            <w:pPr>
              <w:spacing w:after="0"/>
              <w:rPr>
                <w:sz w:val="15"/>
                <w:szCs w:val="15"/>
                <w:color w:val="auto"/>
              </w:rPr>
            </w:pPr>
          </w:p>
        </w:tc>
        <w:tc>
          <w:tcPr>
            <w:tcW w:w="132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107,403</w:t>
            </w:r>
          </w:p>
        </w:tc>
      </w:tr>
      <w:tr>
        <w:trPr>
          <w:trHeight w:val="177"/>
        </w:trPr>
        <w:tc>
          <w:tcPr>
            <w:tcW w:w="5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Deferred income taxes.................................</w:t>
            </w: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13,220</w:t>
            </w:r>
          </w:p>
        </w:tc>
        <w:tc>
          <w:tcPr>
            <w:tcW w:w="480" w:type="dxa"/>
            <w:vAlign w:val="bottom"/>
          </w:tcPr>
          <w:p>
            <w:pPr>
              <w:spacing w:after="0"/>
              <w:rPr>
                <w:sz w:val="15"/>
                <w:szCs w:val="15"/>
                <w:color w:val="auto"/>
              </w:rPr>
            </w:pPr>
          </w:p>
        </w:tc>
        <w:tc>
          <w:tcPr>
            <w:tcW w:w="132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13,220</w:t>
            </w:r>
          </w:p>
        </w:tc>
      </w:tr>
      <w:tr>
        <w:trPr>
          <w:trHeight w:val="177"/>
        </w:trPr>
        <w:tc>
          <w:tcPr>
            <w:tcW w:w="5060" w:type="dxa"/>
            <w:vAlign w:val="bottom"/>
          </w:tcPr>
          <w:p>
            <w:pPr>
              <w:spacing w:after="0"/>
              <w:rPr>
                <w:sz w:val="15"/>
                <w:szCs w:val="15"/>
                <w:color w:val="auto"/>
              </w:rPr>
            </w:pPr>
          </w:p>
        </w:tc>
        <w:tc>
          <w:tcPr>
            <w:tcW w:w="12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Total assets................................</w:t>
            </w:r>
          </w:p>
        </w:tc>
        <w:tc>
          <w:tcPr>
            <w:tcW w:w="12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$2,157,901</w:t>
            </w:r>
          </w:p>
        </w:tc>
        <w:tc>
          <w:tcPr>
            <w:tcW w:w="1800" w:type="dxa"/>
            <w:vAlign w:val="bottom"/>
            <w:gridSpan w:val="2"/>
          </w:tcPr>
          <w:p>
            <w:pPr>
              <w:jc w:val="right"/>
              <w:ind w:right="603"/>
              <w:spacing w:after="0"/>
              <w:rPr>
                <w:sz w:val="20"/>
                <w:szCs w:val="20"/>
                <w:color w:val="auto"/>
              </w:rPr>
            </w:pPr>
            <w:r>
              <w:rPr>
                <w:rFonts w:ascii="Courier New" w:cs="Courier New" w:eastAsia="Courier New" w:hAnsi="Courier New"/>
                <w:sz w:val="15"/>
                <w:szCs w:val="15"/>
                <w:color w:val="auto"/>
              </w:rPr>
              <w:t>$ 32,384</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8"/>
              </w:rPr>
              <w:t>2,190,285</w:t>
            </w:r>
          </w:p>
        </w:tc>
      </w:tr>
      <w:tr>
        <w:trPr>
          <w:trHeight w:val="177"/>
        </w:trPr>
        <w:tc>
          <w:tcPr>
            <w:tcW w:w="5060" w:type="dxa"/>
            <w:vAlign w:val="bottom"/>
          </w:tcPr>
          <w:p>
            <w:pPr>
              <w:spacing w:after="0"/>
              <w:rPr>
                <w:sz w:val="15"/>
                <w:szCs w:val="15"/>
                <w:color w:val="auto"/>
              </w:rPr>
            </w:pPr>
          </w:p>
        </w:tc>
        <w:tc>
          <w:tcPr>
            <w:tcW w:w="12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5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Accounts payable....................................</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62,251</w:t>
            </w:r>
          </w:p>
        </w:tc>
        <w:tc>
          <w:tcPr>
            <w:tcW w:w="480" w:type="dxa"/>
            <w:vAlign w:val="bottom"/>
          </w:tcPr>
          <w:p>
            <w:pPr>
              <w:ind w:left="380"/>
              <w:spacing w:after="0"/>
              <w:rPr>
                <w:sz w:val="20"/>
                <w:szCs w:val="20"/>
                <w:color w:val="auto"/>
              </w:rPr>
            </w:pPr>
            <w:r>
              <w:rPr>
                <w:rFonts w:ascii="Courier New" w:cs="Courier New" w:eastAsia="Courier New" w:hAnsi="Courier New"/>
                <w:sz w:val="15"/>
                <w:szCs w:val="15"/>
                <w:color w:val="auto"/>
                <w:w w:val="88"/>
              </w:rPr>
              <w:t>$</w:t>
            </w:r>
          </w:p>
        </w:tc>
        <w:tc>
          <w:tcPr>
            <w:tcW w:w="132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62,251</w:t>
            </w:r>
          </w:p>
        </w:tc>
      </w:tr>
      <w:tr>
        <w:trPr>
          <w:trHeight w:val="177"/>
        </w:trPr>
        <w:tc>
          <w:tcPr>
            <w:tcW w:w="5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Accrued liabilities.................................</w:t>
            </w: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64,651</w:t>
            </w:r>
          </w:p>
        </w:tc>
        <w:tc>
          <w:tcPr>
            <w:tcW w:w="480" w:type="dxa"/>
            <w:vAlign w:val="bottom"/>
          </w:tcPr>
          <w:p>
            <w:pPr>
              <w:spacing w:after="0"/>
              <w:rPr>
                <w:sz w:val="15"/>
                <w:szCs w:val="15"/>
                <w:color w:val="auto"/>
              </w:rPr>
            </w:pPr>
          </w:p>
        </w:tc>
        <w:tc>
          <w:tcPr>
            <w:tcW w:w="13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2,507c</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67,158</w:t>
            </w:r>
          </w:p>
        </w:tc>
      </w:tr>
      <w:tr>
        <w:trPr>
          <w:trHeight w:val="177"/>
        </w:trPr>
        <w:tc>
          <w:tcPr>
            <w:tcW w:w="5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Deferred revenues...................................</w:t>
            </w: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12,670</w:t>
            </w:r>
          </w:p>
        </w:tc>
        <w:tc>
          <w:tcPr>
            <w:tcW w:w="480" w:type="dxa"/>
            <w:vAlign w:val="bottom"/>
          </w:tcPr>
          <w:p>
            <w:pPr>
              <w:spacing w:after="0"/>
              <w:rPr>
                <w:sz w:val="15"/>
                <w:szCs w:val="15"/>
                <w:color w:val="auto"/>
              </w:rPr>
            </w:pPr>
          </w:p>
        </w:tc>
        <w:tc>
          <w:tcPr>
            <w:tcW w:w="132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12,670</w:t>
            </w:r>
          </w:p>
        </w:tc>
      </w:tr>
      <w:tr>
        <w:trPr>
          <w:trHeight w:val="177"/>
        </w:trPr>
        <w:tc>
          <w:tcPr>
            <w:tcW w:w="5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Current maturities of long-term debt................</w:t>
            </w: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59,753</w:t>
            </w:r>
          </w:p>
        </w:tc>
        <w:tc>
          <w:tcPr>
            <w:tcW w:w="480" w:type="dxa"/>
            <w:vAlign w:val="bottom"/>
          </w:tcPr>
          <w:p>
            <w:pPr>
              <w:spacing w:after="0"/>
              <w:rPr>
                <w:sz w:val="15"/>
                <w:szCs w:val="15"/>
                <w:color w:val="auto"/>
              </w:rPr>
            </w:pPr>
          </w:p>
        </w:tc>
        <w:tc>
          <w:tcPr>
            <w:tcW w:w="1320" w:type="dxa"/>
            <w:vAlign w:val="bottom"/>
          </w:tcPr>
          <w:p>
            <w:pPr>
              <w:jc w:val="center"/>
              <w:ind w:right="243"/>
              <w:spacing w:after="0"/>
              <w:rPr>
                <w:sz w:val="20"/>
                <w:szCs w:val="20"/>
                <w:color w:val="auto"/>
              </w:rPr>
            </w:pPr>
            <w:r>
              <w:rPr>
                <w:rFonts w:ascii="Courier New" w:cs="Courier New" w:eastAsia="Courier New" w:hAnsi="Courier New"/>
                <w:sz w:val="15"/>
                <w:szCs w:val="15"/>
                <w:color w:val="auto"/>
              </w:rPr>
              <w:t>(26,700)c,h</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33,053</w:t>
            </w:r>
          </w:p>
        </w:tc>
      </w:tr>
      <w:tr>
        <w:trPr>
          <w:trHeight w:val="177"/>
        </w:trPr>
        <w:tc>
          <w:tcPr>
            <w:tcW w:w="5060" w:type="dxa"/>
            <w:vAlign w:val="bottom"/>
          </w:tcPr>
          <w:p>
            <w:pPr>
              <w:spacing w:after="0"/>
              <w:rPr>
                <w:sz w:val="15"/>
                <w:szCs w:val="15"/>
                <w:color w:val="auto"/>
              </w:rPr>
            </w:pPr>
          </w:p>
        </w:tc>
        <w:tc>
          <w:tcPr>
            <w:tcW w:w="12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Total current liabilities...................</w:t>
            </w: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199,325</w:t>
            </w:r>
          </w:p>
        </w:tc>
        <w:tc>
          <w:tcPr>
            <w:tcW w:w="480" w:type="dxa"/>
            <w:vAlign w:val="bottom"/>
          </w:tcPr>
          <w:p>
            <w:pPr>
              <w:spacing w:after="0"/>
              <w:rPr>
                <w:sz w:val="15"/>
                <w:szCs w:val="15"/>
                <w:color w:val="auto"/>
              </w:rPr>
            </w:pPr>
          </w:p>
        </w:tc>
        <w:tc>
          <w:tcPr>
            <w:tcW w:w="1320" w:type="dxa"/>
            <w:vAlign w:val="bottom"/>
          </w:tcPr>
          <w:p>
            <w:pPr>
              <w:jc w:val="right"/>
              <w:ind w:right="523"/>
              <w:spacing w:after="0"/>
              <w:rPr>
                <w:sz w:val="20"/>
                <w:szCs w:val="20"/>
                <w:color w:val="auto"/>
              </w:rPr>
            </w:pPr>
            <w:r>
              <w:rPr>
                <w:rFonts w:ascii="Courier New" w:cs="Courier New" w:eastAsia="Courier New" w:hAnsi="Courier New"/>
                <w:sz w:val="15"/>
                <w:szCs w:val="15"/>
                <w:color w:val="auto"/>
                <w:w w:val="97"/>
              </w:rPr>
              <w:t>(24,193)</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175,132</w:t>
            </w:r>
          </w:p>
        </w:tc>
      </w:tr>
      <w:tr>
        <w:trPr>
          <w:trHeight w:val="177"/>
        </w:trPr>
        <w:tc>
          <w:tcPr>
            <w:tcW w:w="5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Long-term debt........................................</w:t>
            </w: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801,538</w:t>
            </w:r>
          </w:p>
        </w:tc>
        <w:tc>
          <w:tcPr>
            <w:tcW w:w="4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94,453c,d,f,h</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895,991</w:t>
            </w:r>
          </w:p>
        </w:tc>
      </w:tr>
      <w:tr>
        <w:trPr>
          <w:trHeight w:val="177"/>
        </w:trPr>
        <w:tc>
          <w:tcPr>
            <w:tcW w:w="5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Closure, post-closure and other liabilities...........</w:t>
            </w: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151,279</w:t>
            </w:r>
          </w:p>
        </w:tc>
        <w:tc>
          <w:tcPr>
            <w:tcW w:w="480" w:type="dxa"/>
            <w:vAlign w:val="bottom"/>
          </w:tcPr>
          <w:p>
            <w:pPr>
              <w:spacing w:after="0"/>
              <w:rPr>
                <w:sz w:val="15"/>
                <w:szCs w:val="15"/>
                <w:color w:val="auto"/>
              </w:rPr>
            </w:pPr>
          </w:p>
        </w:tc>
        <w:tc>
          <w:tcPr>
            <w:tcW w:w="13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2,589c</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153,868</w:t>
            </w:r>
          </w:p>
        </w:tc>
      </w:tr>
      <w:tr>
        <w:trPr>
          <w:trHeight w:val="177"/>
        </w:trPr>
        <w:tc>
          <w:tcPr>
            <w:tcW w:w="5060" w:type="dxa"/>
            <w:vAlign w:val="bottom"/>
          </w:tcPr>
          <w:p>
            <w:pPr>
              <w:spacing w:after="0"/>
              <w:rPr>
                <w:sz w:val="15"/>
                <w:szCs w:val="15"/>
                <w:color w:val="auto"/>
              </w:rPr>
            </w:pPr>
          </w:p>
        </w:tc>
        <w:tc>
          <w:tcPr>
            <w:tcW w:w="12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Total liabilities...........................</w:t>
            </w: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8"/>
              </w:rPr>
              <w:t>1,152,142</w:t>
            </w:r>
          </w:p>
        </w:tc>
        <w:tc>
          <w:tcPr>
            <w:tcW w:w="480" w:type="dxa"/>
            <w:vAlign w:val="bottom"/>
          </w:tcPr>
          <w:p>
            <w:pPr>
              <w:spacing w:after="0"/>
              <w:rPr>
                <w:sz w:val="15"/>
                <w:szCs w:val="15"/>
                <w:color w:val="auto"/>
              </w:rPr>
            </w:pPr>
          </w:p>
        </w:tc>
        <w:tc>
          <w:tcPr>
            <w:tcW w:w="132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72,849</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8"/>
              </w:rPr>
              <w:t>1,224,991</w:t>
            </w:r>
          </w:p>
        </w:tc>
      </w:tr>
      <w:tr>
        <w:trPr>
          <w:trHeight w:val="177"/>
        </w:trPr>
        <w:tc>
          <w:tcPr>
            <w:tcW w:w="5060" w:type="dxa"/>
            <w:vAlign w:val="bottom"/>
          </w:tcPr>
          <w:p>
            <w:pPr>
              <w:spacing w:after="0"/>
              <w:rPr>
                <w:sz w:val="15"/>
                <w:szCs w:val="15"/>
                <w:color w:val="auto"/>
              </w:rPr>
            </w:pPr>
          </w:p>
        </w:tc>
        <w:tc>
          <w:tcPr>
            <w:tcW w:w="12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Commitments and contingencies.........................</w:t>
            </w: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5"/>
                <w:szCs w:val="15"/>
                <w:color w:val="auto"/>
              </w:rPr>
            </w:pPr>
          </w:p>
        </w:tc>
        <w:tc>
          <w:tcPr>
            <w:tcW w:w="132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506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5060" w:type="dxa"/>
            <w:vAlign w:val="bottom"/>
          </w:tcPr>
          <w:p>
            <w:pPr>
              <w:jc w:val="center"/>
              <w:spacing w:after="0"/>
              <w:rPr>
                <w:sz w:val="20"/>
                <w:szCs w:val="20"/>
                <w:color w:val="auto"/>
              </w:rPr>
            </w:pPr>
            <w:r>
              <w:rPr>
                <w:rFonts w:ascii="Courier New" w:cs="Courier New" w:eastAsia="Courier New" w:hAnsi="Courier New"/>
                <w:sz w:val="15"/>
                <w:szCs w:val="15"/>
                <w:color w:val="auto"/>
              </w:rPr>
              <w:t>USA Waste: $1.00 par value; 10,000,000 shares</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5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authorized; none issued........................</w:t>
            </w: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5"/>
                <w:szCs w:val="15"/>
                <w:color w:val="auto"/>
              </w:rPr>
            </w:pPr>
          </w:p>
        </w:tc>
        <w:tc>
          <w:tcPr>
            <w:tcW w:w="132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060" w:type="dxa"/>
            <w:vAlign w:val="bottom"/>
          </w:tcPr>
          <w:p>
            <w:pPr>
              <w:ind w:left="180"/>
              <w:spacing w:after="0"/>
              <w:rPr>
                <w:sz w:val="20"/>
                <w:szCs w:val="20"/>
                <w:color w:val="auto"/>
              </w:rPr>
            </w:pPr>
            <w:r>
              <w:rPr>
                <w:rFonts w:ascii="Courier New" w:cs="Courier New" w:eastAsia="Courier New" w:hAnsi="Courier New"/>
                <w:sz w:val="15"/>
                <w:szCs w:val="15"/>
                <w:color w:val="auto"/>
              </w:rPr>
              <w:t>Common stock:</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5060" w:type="dxa"/>
            <w:vAlign w:val="bottom"/>
          </w:tcPr>
          <w:p>
            <w:pPr>
              <w:jc w:val="center"/>
              <w:spacing w:after="0"/>
              <w:rPr>
                <w:sz w:val="20"/>
                <w:szCs w:val="20"/>
                <w:color w:val="auto"/>
              </w:rPr>
            </w:pPr>
            <w:r>
              <w:rPr>
                <w:rFonts w:ascii="Courier New" w:cs="Courier New" w:eastAsia="Courier New" w:hAnsi="Courier New"/>
                <w:sz w:val="15"/>
                <w:szCs w:val="15"/>
                <w:color w:val="auto"/>
              </w:rPr>
              <w:t>USA Waste: $.01 par value; 150,000,000 shares</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5060" w:type="dxa"/>
            <w:vAlign w:val="bottom"/>
          </w:tcPr>
          <w:p>
            <w:pPr>
              <w:ind w:left="640"/>
              <w:spacing w:after="0"/>
              <w:rPr>
                <w:sz w:val="20"/>
                <w:szCs w:val="20"/>
                <w:color w:val="auto"/>
              </w:rPr>
            </w:pPr>
            <w:r>
              <w:rPr>
                <w:rFonts w:ascii="Courier New" w:cs="Courier New" w:eastAsia="Courier New" w:hAnsi="Courier New"/>
                <w:sz w:val="15"/>
                <w:szCs w:val="15"/>
                <w:color w:val="auto"/>
              </w:rPr>
              <w:t>authorized; 129,204,873 combined pro forma</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5060" w:type="dxa"/>
            <w:vAlign w:val="bottom"/>
          </w:tcPr>
          <w:p>
            <w:pPr>
              <w:ind w:left="640"/>
              <w:spacing w:after="0"/>
              <w:rPr>
                <w:sz w:val="20"/>
                <w:szCs w:val="20"/>
                <w:color w:val="auto"/>
              </w:rPr>
            </w:pPr>
            <w:r>
              <w:rPr>
                <w:rFonts w:ascii="Courier New" w:cs="Courier New" w:eastAsia="Courier New" w:hAnsi="Courier New"/>
                <w:sz w:val="15"/>
                <w:szCs w:val="15"/>
                <w:color w:val="auto"/>
              </w:rPr>
              <w:t>shares issued; 131,904,873 supplemental shares</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5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issued.........................................</w:t>
            </w: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1,292</w:t>
            </w:r>
          </w:p>
        </w:tc>
        <w:tc>
          <w:tcPr>
            <w:tcW w:w="480" w:type="dxa"/>
            <w:vAlign w:val="bottom"/>
          </w:tcPr>
          <w:p>
            <w:pPr>
              <w:spacing w:after="0"/>
              <w:rPr>
                <w:sz w:val="15"/>
                <w:szCs w:val="15"/>
                <w:color w:val="auto"/>
              </w:rPr>
            </w:pPr>
          </w:p>
        </w:tc>
        <w:tc>
          <w:tcPr>
            <w:tcW w:w="132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27c,f</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1,319</w:t>
            </w:r>
          </w:p>
        </w:tc>
      </w:tr>
      <w:tr>
        <w:trPr>
          <w:trHeight w:val="177"/>
        </w:trPr>
        <w:tc>
          <w:tcPr>
            <w:tcW w:w="5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Additional paid-in capital..........................</w:t>
            </w: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8"/>
              </w:rPr>
              <w:t>1,105,765</w:t>
            </w:r>
          </w:p>
        </w:tc>
        <w:tc>
          <w:tcPr>
            <w:tcW w:w="480" w:type="dxa"/>
            <w:vAlign w:val="bottom"/>
          </w:tcPr>
          <w:p>
            <w:pPr>
              <w:spacing w:after="0"/>
              <w:rPr>
                <w:sz w:val="15"/>
                <w:szCs w:val="15"/>
                <w:color w:val="auto"/>
              </w:rPr>
            </w:pPr>
          </w:p>
        </w:tc>
        <w:tc>
          <w:tcPr>
            <w:tcW w:w="132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49,308c,f</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8"/>
              </w:rPr>
              <w:t>1,155,073</w:t>
            </w:r>
          </w:p>
        </w:tc>
      </w:tr>
      <w:tr>
        <w:trPr>
          <w:trHeight w:val="177"/>
        </w:trPr>
        <w:tc>
          <w:tcPr>
            <w:tcW w:w="5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Accumulated deficit.................................</w:t>
            </w:r>
          </w:p>
        </w:tc>
        <w:tc>
          <w:tcPr>
            <w:tcW w:w="20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(84,596)</w:t>
            </w:r>
          </w:p>
        </w:tc>
        <w:tc>
          <w:tcPr>
            <w:tcW w:w="480" w:type="dxa"/>
            <w:vAlign w:val="bottom"/>
          </w:tcPr>
          <w:p>
            <w:pPr>
              <w:spacing w:after="0"/>
              <w:rPr>
                <w:sz w:val="15"/>
                <w:szCs w:val="15"/>
                <w:color w:val="auto"/>
              </w:rPr>
            </w:pPr>
          </w:p>
        </w:tc>
        <w:tc>
          <w:tcPr>
            <w:tcW w:w="132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8"/>
              </w:rPr>
              <w:t>(89,800)d</w:t>
            </w:r>
          </w:p>
        </w:tc>
        <w:tc>
          <w:tcPr>
            <w:tcW w:w="34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(174,396)</w:t>
            </w:r>
          </w:p>
        </w:tc>
      </w:tr>
      <w:tr>
        <w:trPr>
          <w:trHeight w:val="177"/>
        </w:trPr>
        <w:tc>
          <w:tcPr>
            <w:tcW w:w="5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Foreign currency adjustment.........................</w:t>
            </w:r>
          </w:p>
        </w:tc>
        <w:tc>
          <w:tcPr>
            <w:tcW w:w="20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(14,548)</w:t>
            </w:r>
          </w:p>
        </w:tc>
        <w:tc>
          <w:tcPr>
            <w:tcW w:w="480" w:type="dxa"/>
            <w:vAlign w:val="bottom"/>
          </w:tcPr>
          <w:p>
            <w:pPr>
              <w:spacing w:after="0"/>
              <w:rPr>
                <w:sz w:val="15"/>
                <w:szCs w:val="15"/>
                <w:color w:val="auto"/>
              </w:rPr>
            </w:pPr>
          </w:p>
        </w:tc>
        <w:tc>
          <w:tcPr>
            <w:tcW w:w="132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(14,548)</w:t>
            </w:r>
          </w:p>
        </w:tc>
      </w:tr>
      <w:tr>
        <w:trPr>
          <w:trHeight w:val="177"/>
        </w:trPr>
        <w:tc>
          <w:tcPr>
            <w:tcW w:w="5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Less treasury stock, at cost, 144,975 shares........</w:t>
            </w:r>
          </w:p>
        </w:tc>
        <w:tc>
          <w:tcPr>
            <w:tcW w:w="20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(2,154)</w:t>
            </w:r>
          </w:p>
        </w:tc>
        <w:tc>
          <w:tcPr>
            <w:tcW w:w="480" w:type="dxa"/>
            <w:vAlign w:val="bottom"/>
          </w:tcPr>
          <w:p>
            <w:pPr>
              <w:spacing w:after="0"/>
              <w:rPr>
                <w:sz w:val="15"/>
                <w:szCs w:val="15"/>
                <w:color w:val="auto"/>
              </w:rPr>
            </w:pPr>
          </w:p>
        </w:tc>
        <w:tc>
          <w:tcPr>
            <w:tcW w:w="132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(2,154)</w:t>
            </w:r>
          </w:p>
        </w:tc>
      </w:tr>
      <w:tr>
        <w:trPr>
          <w:trHeight w:val="177"/>
        </w:trPr>
        <w:tc>
          <w:tcPr>
            <w:tcW w:w="5060" w:type="dxa"/>
            <w:vAlign w:val="bottom"/>
          </w:tcPr>
          <w:p>
            <w:pPr>
              <w:spacing w:after="0"/>
              <w:rPr>
                <w:sz w:val="15"/>
                <w:szCs w:val="15"/>
                <w:color w:val="auto"/>
              </w:rPr>
            </w:pPr>
          </w:p>
        </w:tc>
        <w:tc>
          <w:tcPr>
            <w:tcW w:w="12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Total stockholders' equity..................</w:t>
            </w: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8"/>
              </w:rPr>
              <w:t>1,005,759</w:t>
            </w:r>
          </w:p>
        </w:tc>
        <w:tc>
          <w:tcPr>
            <w:tcW w:w="480" w:type="dxa"/>
            <w:vAlign w:val="bottom"/>
          </w:tcPr>
          <w:p>
            <w:pPr>
              <w:spacing w:after="0"/>
              <w:rPr>
                <w:sz w:val="15"/>
                <w:szCs w:val="15"/>
                <w:color w:val="auto"/>
              </w:rPr>
            </w:pPr>
          </w:p>
        </w:tc>
        <w:tc>
          <w:tcPr>
            <w:tcW w:w="1320" w:type="dxa"/>
            <w:vAlign w:val="bottom"/>
          </w:tcPr>
          <w:p>
            <w:pPr>
              <w:jc w:val="right"/>
              <w:ind w:right="523"/>
              <w:spacing w:after="0"/>
              <w:rPr>
                <w:sz w:val="20"/>
                <w:szCs w:val="20"/>
                <w:color w:val="auto"/>
              </w:rPr>
            </w:pPr>
            <w:r>
              <w:rPr>
                <w:rFonts w:ascii="Courier New" w:cs="Courier New" w:eastAsia="Courier New" w:hAnsi="Courier New"/>
                <w:sz w:val="15"/>
                <w:szCs w:val="15"/>
                <w:color w:val="auto"/>
                <w:w w:val="97"/>
              </w:rPr>
              <w:t>(40,465)</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965,294</w:t>
            </w:r>
          </w:p>
        </w:tc>
      </w:tr>
      <w:tr>
        <w:trPr>
          <w:trHeight w:val="177"/>
        </w:trPr>
        <w:tc>
          <w:tcPr>
            <w:tcW w:w="5060" w:type="dxa"/>
            <w:vAlign w:val="bottom"/>
          </w:tcPr>
          <w:p>
            <w:pPr>
              <w:spacing w:after="0"/>
              <w:rPr>
                <w:sz w:val="15"/>
                <w:szCs w:val="15"/>
                <w:color w:val="auto"/>
              </w:rPr>
            </w:pPr>
          </w:p>
        </w:tc>
        <w:tc>
          <w:tcPr>
            <w:tcW w:w="12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060" w:type="dxa"/>
            <w:vAlign w:val="bottom"/>
          </w:tcPr>
          <w:p>
            <w:pPr>
              <w:jc w:val="center"/>
              <w:spacing w:after="0"/>
              <w:rPr>
                <w:sz w:val="20"/>
                <w:szCs w:val="20"/>
                <w:color w:val="auto"/>
              </w:rPr>
            </w:pPr>
            <w:r>
              <w:rPr>
                <w:rFonts w:ascii="Courier New" w:cs="Courier New" w:eastAsia="Courier New" w:hAnsi="Courier New"/>
                <w:sz w:val="15"/>
                <w:szCs w:val="15"/>
                <w:color w:val="auto"/>
              </w:rPr>
              <w:t>Total liabilities and stockholders'</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5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equity....................................</w:t>
            </w:r>
          </w:p>
        </w:tc>
        <w:tc>
          <w:tcPr>
            <w:tcW w:w="12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$2,157,901</w:t>
            </w:r>
          </w:p>
        </w:tc>
        <w:tc>
          <w:tcPr>
            <w:tcW w:w="1800" w:type="dxa"/>
            <w:vAlign w:val="bottom"/>
            <w:gridSpan w:val="2"/>
          </w:tcPr>
          <w:p>
            <w:pPr>
              <w:jc w:val="right"/>
              <w:ind w:right="603"/>
              <w:spacing w:after="0"/>
              <w:rPr>
                <w:sz w:val="20"/>
                <w:szCs w:val="20"/>
                <w:color w:val="auto"/>
              </w:rPr>
            </w:pPr>
            <w:r>
              <w:rPr>
                <w:rFonts w:ascii="Courier New" w:cs="Courier New" w:eastAsia="Courier New" w:hAnsi="Courier New"/>
                <w:sz w:val="15"/>
                <w:szCs w:val="15"/>
                <w:color w:val="auto"/>
              </w:rPr>
              <w:t>$ 32,384</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8"/>
              </w:rPr>
              <w:t>2,190,285</w:t>
            </w:r>
          </w:p>
        </w:tc>
      </w:tr>
      <w:tr>
        <w:trPr>
          <w:trHeight w:val="177"/>
        </w:trPr>
        <w:tc>
          <w:tcPr>
            <w:tcW w:w="5060" w:type="dxa"/>
            <w:vAlign w:val="bottom"/>
          </w:tcPr>
          <w:p>
            <w:pPr>
              <w:spacing w:after="0"/>
              <w:rPr>
                <w:sz w:val="15"/>
                <w:szCs w:val="15"/>
                <w:color w:val="auto"/>
              </w:rPr>
            </w:pPr>
          </w:p>
        </w:tc>
        <w:tc>
          <w:tcPr>
            <w:tcW w:w="12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710"/>
        </w:trPr>
        <w:tc>
          <w:tcPr>
            <w:tcW w:w="5060" w:type="dxa"/>
            <w:vAlign w:val="bottom"/>
          </w:tcPr>
          <w:p>
            <w:pPr>
              <w:jc w:val="right"/>
              <w:ind w:right="1203"/>
              <w:spacing w:after="0"/>
              <w:rPr>
                <w:sz w:val="20"/>
                <w:szCs w:val="20"/>
                <w:color w:val="auto"/>
              </w:rPr>
            </w:pPr>
            <w:r>
              <w:rPr>
                <w:rFonts w:ascii="Courier New" w:cs="Courier New" w:eastAsia="Courier New" w:hAnsi="Courier New"/>
                <w:sz w:val="15"/>
                <w:szCs w:val="15"/>
                <w:color w:val="auto"/>
              </w:rPr>
              <w:t>64</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19"/>
          </w:cols>
          <w:pgMar w:left="240" w:top="295" w:right="1440"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5"/>
          <w:szCs w:val="15"/>
          <w:color w:val="auto"/>
        </w:rPr>
        <w:t>75</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USA WASTE AND SANIFILL COMBINED</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SUPPLEMENTALLY PROVIDED STATEMENT OF OPERATIONS INFORMATION</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THREE MONTHS ENDED MARCH 31, 1996</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SUPPLEMENTALLY</w:t>
            </w:r>
          </w:p>
        </w:tc>
        <w:tc>
          <w:tcPr>
            <w:tcW w:w="1480" w:type="dxa"/>
            <w:vAlign w:val="bottom"/>
          </w:tcPr>
          <w:p>
            <w:pPr>
              <w:jc w:val="center"/>
              <w:ind w:left="123"/>
              <w:spacing w:after="0"/>
              <w:rPr>
                <w:sz w:val="20"/>
                <w:szCs w:val="20"/>
                <w:color w:val="auto"/>
              </w:rPr>
            </w:pPr>
            <w:r>
              <w:rPr>
                <w:rFonts w:ascii="Courier New" w:cs="Courier New" w:eastAsia="Courier New" w:hAnsi="Courier New"/>
                <w:sz w:val="15"/>
                <w:szCs w:val="15"/>
                <w:color w:val="auto"/>
              </w:rPr>
              <w:t>SUPPLEMENTALLY</w:t>
            </w:r>
          </w:p>
        </w:tc>
      </w:tr>
      <w:tr>
        <w:trPr>
          <w:trHeight w:val="177"/>
        </w:trPr>
        <w:tc>
          <w:tcPr>
            <w:tcW w:w="4700" w:type="dxa"/>
            <w:vAlign w:val="bottom"/>
          </w:tcPr>
          <w:p>
            <w:pPr>
              <w:spacing w:after="0"/>
              <w:rPr>
                <w:sz w:val="15"/>
                <w:szCs w:val="15"/>
                <w:color w:val="auto"/>
              </w:rPr>
            </w:pPr>
          </w:p>
        </w:tc>
        <w:tc>
          <w:tcPr>
            <w:tcW w:w="1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COMBINED</w:t>
            </w:r>
          </w:p>
        </w:tc>
        <w:tc>
          <w:tcPr>
            <w:tcW w:w="12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PROVIDED</w:t>
            </w:r>
          </w:p>
        </w:tc>
        <w:tc>
          <w:tcPr>
            <w:tcW w:w="640" w:type="dxa"/>
            <w:vAlign w:val="bottom"/>
          </w:tcPr>
          <w:p>
            <w:pPr>
              <w:spacing w:after="0"/>
              <w:rPr>
                <w:sz w:val="15"/>
                <w:szCs w:val="15"/>
                <w:color w:val="auto"/>
              </w:rPr>
            </w:pPr>
          </w:p>
        </w:tc>
        <w:tc>
          <w:tcPr>
            <w:tcW w:w="1480" w:type="dxa"/>
            <w:vAlign w:val="bottom"/>
          </w:tcPr>
          <w:p>
            <w:pPr>
              <w:jc w:val="center"/>
              <w:ind w:left="123"/>
              <w:spacing w:after="0"/>
              <w:rPr>
                <w:sz w:val="20"/>
                <w:szCs w:val="20"/>
                <w:color w:val="auto"/>
              </w:rPr>
            </w:pPr>
            <w:r>
              <w:rPr>
                <w:rFonts w:ascii="Courier New" w:cs="Courier New" w:eastAsia="Courier New" w:hAnsi="Courier New"/>
                <w:sz w:val="15"/>
                <w:szCs w:val="15"/>
                <w:color w:val="auto"/>
                <w:w w:val="99"/>
              </w:rPr>
              <w:t>PROVIDED</w:t>
            </w:r>
          </w:p>
        </w:tc>
      </w:tr>
      <w:tr>
        <w:trPr>
          <w:trHeight w:val="177"/>
        </w:trPr>
        <w:tc>
          <w:tcPr>
            <w:tcW w:w="4700" w:type="dxa"/>
            <w:vAlign w:val="bottom"/>
          </w:tcPr>
          <w:p>
            <w:pPr>
              <w:spacing w:after="0"/>
              <w:rPr>
                <w:sz w:val="15"/>
                <w:szCs w:val="15"/>
                <w:color w:val="auto"/>
              </w:rPr>
            </w:pPr>
          </w:p>
        </w:tc>
        <w:tc>
          <w:tcPr>
            <w:tcW w:w="1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 FORMA</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ADJUSTMENTS</w:t>
            </w:r>
          </w:p>
        </w:tc>
        <w:tc>
          <w:tcPr>
            <w:tcW w:w="640" w:type="dxa"/>
            <w:vAlign w:val="bottom"/>
          </w:tcPr>
          <w:p>
            <w:pPr>
              <w:spacing w:after="0"/>
              <w:rPr>
                <w:sz w:val="15"/>
                <w:szCs w:val="15"/>
                <w:color w:val="auto"/>
              </w:rPr>
            </w:pPr>
          </w:p>
        </w:tc>
        <w:tc>
          <w:tcPr>
            <w:tcW w:w="14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INFORMATION</w:t>
            </w:r>
          </w:p>
        </w:tc>
      </w:tr>
      <w:tr>
        <w:trPr>
          <w:trHeight w:val="177"/>
        </w:trPr>
        <w:tc>
          <w:tcPr>
            <w:tcW w:w="4700" w:type="dxa"/>
            <w:vAlign w:val="bottom"/>
          </w:tcPr>
          <w:p>
            <w:pPr>
              <w:spacing w:after="0"/>
              <w:rPr>
                <w:sz w:val="15"/>
                <w:szCs w:val="15"/>
                <w:color w:val="auto"/>
              </w:rPr>
            </w:pPr>
          </w:p>
        </w:tc>
        <w:tc>
          <w:tcPr>
            <w:tcW w:w="130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center"/>
              <w:ind w:lef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20" w:type="dxa"/>
            <w:vAlign w:val="bottom"/>
            <w:gridSpan w:val="5"/>
          </w:tcPr>
          <w:p>
            <w:pPr>
              <w:jc w:val="right"/>
              <w:ind w:right="463"/>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55"/>
        </w:trPr>
        <w:tc>
          <w:tcPr>
            <w:tcW w:w="47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282,525</w:t>
            </w:r>
          </w:p>
        </w:tc>
        <w:tc>
          <w:tcPr>
            <w:tcW w:w="540" w:type="dxa"/>
            <w:vAlign w:val="bottom"/>
          </w:tcPr>
          <w:p>
            <w:pPr>
              <w:ind w:left="46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25,232c</w:t>
            </w:r>
          </w:p>
        </w:tc>
        <w:tc>
          <w:tcPr>
            <w:tcW w:w="640" w:type="dxa"/>
            <w:vAlign w:val="bottom"/>
          </w:tcPr>
          <w:p>
            <w:pPr>
              <w:spacing w:after="0"/>
              <w:rPr>
                <w:sz w:val="24"/>
                <w:szCs w:val="24"/>
                <w:color w:val="auto"/>
              </w:rPr>
            </w:pP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$307,757</w:t>
            </w:r>
          </w:p>
        </w:tc>
      </w:tr>
      <w:tr>
        <w:trPr>
          <w:trHeight w:val="177"/>
        </w:trPr>
        <w:tc>
          <w:tcPr>
            <w:tcW w:w="4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7"/>
        </w:trPr>
        <w:tc>
          <w:tcPr>
            <w:tcW w:w="4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Operating......................................</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158,956</w:t>
            </w:r>
          </w:p>
        </w:tc>
        <w:tc>
          <w:tcPr>
            <w:tcW w:w="5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15,838c</w:t>
            </w:r>
          </w:p>
        </w:tc>
        <w:tc>
          <w:tcPr>
            <w:tcW w:w="640" w:type="dxa"/>
            <w:vAlign w:val="bottom"/>
          </w:tcPr>
          <w:p>
            <w:pPr>
              <w:spacing w:after="0"/>
              <w:rPr>
                <w:sz w:val="15"/>
                <w:szCs w:val="15"/>
                <w:color w:val="auto"/>
              </w:rPr>
            </w:pP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174,794</w:t>
            </w:r>
          </w:p>
        </w:tc>
      </w:tr>
      <w:tr>
        <w:trPr>
          <w:trHeight w:val="177"/>
        </w:trPr>
        <w:tc>
          <w:tcPr>
            <w:tcW w:w="4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General and administrative.....................</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36,704</w:t>
            </w:r>
          </w:p>
        </w:tc>
        <w:tc>
          <w:tcPr>
            <w:tcW w:w="5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3,338c</w:t>
            </w:r>
          </w:p>
        </w:tc>
        <w:tc>
          <w:tcPr>
            <w:tcW w:w="640" w:type="dxa"/>
            <w:vAlign w:val="bottom"/>
          </w:tcPr>
          <w:p>
            <w:pPr>
              <w:spacing w:after="0"/>
              <w:rPr>
                <w:sz w:val="15"/>
                <w:szCs w:val="15"/>
                <w:color w:val="auto"/>
              </w:rPr>
            </w:pP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40,042</w:t>
            </w:r>
          </w:p>
        </w:tc>
      </w:tr>
      <w:tr>
        <w:trPr>
          <w:trHeight w:val="177"/>
        </w:trPr>
        <w:tc>
          <w:tcPr>
            <w:tcW w:w="4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Depreciation and amortization..................</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32,701</w:t>
            </w:r>
          </w:p>
        </w:tc>
        <w:tc>
          <w:tcPr>
            <w:tcW w:w="5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2,942c</w:t>
            </w:r>
          </w:p>
        </w:tc>
        <w:tc>
          <w:tcPr>
            <w:tcW w:w="640" w:type="dxa"/>
            <w:vAlign w:val="bottom"/>
          </w:tcPr>
          <w:p>
            <w:pPr>
              <w:spacing w:after="0"/>
              <w:rPr>
                <w:sz w:val="15"/>
                <w:szCs w:val="15"/>
                <w:color w:val="auto"/>
              </w:rPr>
            </w:pP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35,643</w:t>
            </w:r>
          </w:p>
        </w:tc>
      </w:tr>
      <w:tr>
        <w:trPr>
          <w:trHeight w:val="177"/>
        </w:trPr>
        <w:tc>
          <w:tcPr>
            <w:tcW w:w="4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4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228,361</w:t>
            </w:r>
          </w:p>
        </w:tc>
        <w:tc>
          <w:tcPr>
            <w:tcW w:w="54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22,118</w:t>
            </w:r>
          </w:p>
        </w:tc>
        <w:tc>
          <w:tcPr>
            <w:tcW w:w="640" w:type="dxa"/>
            <w:vAlign w:val="bottom"/>
          </w:tcPr>
          <w:p>
            <w:pPr>
              <w:spacing w:after="0"/>
              <w:rPr>
                <w:sz w:val="15"/>
                <w:szCs w:val="15"/>
                <w:color w:val="auto"/>
              </w:rPr>
            </w:pP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250,479</w:t>
            </w:r>
          </w:p>
        </w:tc>
      </w:tr>
      <w:tr>
        <w:trPr>
          <w:trHeight w:val="177"/>
        </w:trPr>
        <w:tc>
          <w:tcPr>
            <w:tcW w:w="4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4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Income from operations...........................</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54,164</w:t>
            </w:r>
          </w:p>
        </w:tc>
        <w:tc>
          <w:tcPr>
            <w:tcW w:w="54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3,114</w:t>
            </w:r>
          </w:p>
        </w:tc>
        <w:tc>
          <w:tcPr>
            <w:tcW w:w="640" w:type="dxa"/>
            <w:vAlign w:val="bottom"/>
          </w:tcPr>
          <w:p>
            <w:pPr>
              <w:spacing w:after="0"/>
              <w:rPr>
                <w:sz w:val="15"/>
                <w:szCs w:val="15"/>
                <w:color w:val="auto"/>
              </w:rPr>
            </w:pP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57,278</w:t>
            </w:r>
          </w:p>
        </w:tc>
      </w:tr>
      <w:tr>
        <w:trPr>
          <w:trHeight w:val="177"/>
        </w:trPr>
        <w:tc>
          <w:tcPr>
            <w:tcW w:w="4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7"/>
        </w:trPr>
        <w:tc>
          <w:tcPr>
            <w:tcW w:w="4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Interest expense...............................</w:t>
            </w:r>
          </w:p>
        </w:tc>
        <w:tc>
          <w:tcPr>
            <w:tcW w:w="28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(11,227)</w:t>
            </w:r>
          </w:p>
        </w:tc>
        <w:tc>
          <w:tcPr>
            <w:tcW w:w="540" w:type="dxa"/>
            <w:vAlign w:val="bottom"/>
          </w:tcPr>
          <w:p>
            <w:pPr>
              <w:spacing w:after="0"/>
              <w:rPr>
                <w:sz w:val="15"/>
                <w:szCs w:val="15"/>
                <w:color w:val="auto"/>
              </w:rPr>
            </w:pPr>
          </w:p>
        </w:tc>
        <w:tc>
          <w:tcPr>
            <w:tcW w:w="13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(534)c,f,g</w:t>
            </w:r>
          </w:p>
        </w:tc>
        <w:tc>
          <w:tcPr>
            <w:tcW w:w="14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(11,761)</w:t>
            </w:r>
          </w:p>
        </w:tc>
      </w:tr>
      <w:tr>
        <w:trPr>
          <w:trHeight w:val="177"/>
        </w:trPr>
        <w:tc>
          <w:tcPr>
            <w:tcW w:w="4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Interest income................................</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1,930</w:t>
            </w:r>
          </w:p>
        </w:tc>
        <w:tc>
          <w:tcPr>
            <w:tcW w:w="54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1,930</w:t>
            </w:r>
          </w:p>
        </w:tc>
      </w:tr>
      <w:tr>
        <w:trPr>
          <w:trHeight w:val="177"/>
        </w:trPr>
        <w:tc>
          <w:tcPr>
            <w:tcW w:w="4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Other income, net..............................</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1,215</w:t>
            </w:r>
          </w:p>
        </w:tc>
        <w:tc>
          <w:tcPr>
            <w:tcW w:w="5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351c</w:t>
            </w:r>
          </w:p>
        </w:tc>
        <w:tc>
          <w:tcPr>
            <w:tcW w:w="640" w:type="dxa"/>
            <w:vAlign w:val="bottom"/>
          </w:tcPr>
          <w:p>
            <w:pPr>
              <w:spacing w:after="0"/>
              <w:rPr>
                <w:sz w:val="15"/>
                <w:szCs w:val="15"/>
                <w:color w:val="auto"/>
              </w:rPr>
            </w:pP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1,566</w:t>
            </w:r>
          </w:p>
        </w:tc>
      </w:tr>
      <w:tr>
        <w:trPr>
          <w:trHeight w:val="177"/>
        </w:trPr>
        <w:tc>
          <w:tcPr>
            <w:tcW w:w="4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4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(8,082)</w:t>
            </w:r>
          </w:p>
        </w:tc>
        <w:tc>
          <w:tcPr>
            <w:tcW w:w="5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(183)</w:t>
            </w:r>
          </w:p>
        </w:tc>
        <w:tc>
          <w:tcPr>
            <w:tcW w:w="640" w:type="dxa"/>
            <w:vAlign w:val="bottom"/>
          </w:tcPr>
          <w:p>
            <w:pPr>
              <w:spacing w:after="0"/>
              <w:rPr>
                <w:sz w:val="15"/>
                <w:szCs w:val="15"/>
                <w:color w:val="auto"/>
              </w:rPr>
            </w:pPr>
          </w:p>
        </w:tc>
        <w:tc>
          <w:tcPr>
            <w:tcW w:w="14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(8,265)</w:t>
            </w:r>
          </w:p>
        </w:tc>
      </w:tr>
      <w:tr>
        <w:trPr>
          <w:trHeight w:val="177"/>
        </w:trPr>
        <w:tc>
          <w:tcPr>
            <w:tcW w:w="4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4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Income before income taxes.......................</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46,082</w:t>
            </w:r>
          </w:p>
        </w:tc>
        <w:tc>
          <w:tcPr>
            <w:tcW w:w="54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2,931</w:t>
            </w:r>
          </w:p>
        </w:tc>
        <w:tc>
          <w:tcPr>
            <w:tcW w:w="640" w:type="dxa"/>
            <w:vAlign w:val="bottom"/>
          </w:tcPr>
          <w:p>
            <w:pPr>
              <w:spacing w:after="0"/>
              <w:rPr>
                <w:sz w:val="15"/>
                <w:szCs w:val="15"/>
                <w:color w:val="auto"/>
              </w:rPr>
            </w:pP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49,013</w:t>
            </w:r>
          </w:p>
        </w:tc>
      </w:tr>
      <w:tr>
        <w:trPr>
          <w:trHeight w:val="177"/>
        </w:trPr>
        <w:tc>
          <w:tcPr>
            <w:tcW w:w="4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Provision for income taxes.......................</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18,433</w:t>
            </w:r>
          </w:p>
        </w:tc>
        <w:tc>
          <w:tcPr>
            <w:tcW w:w="540" w:type="dxa"/>
            <w:vAlign w:val="bottom"/>
          </w:tcPr>
          <w:p>
            <w:pPr>
              <w:spacing w:after="0"/>
              <w:rPr>
                <w:sz w:val="15"/>
                <w:szCs w:val="15"/>
                <w:color w:val="auto"/>
              </w:rPr>
            </w:pPr>
          </w:p>
        </w:tc>
        <w:tc>
          <w:tcPr>
            <w:tcW w:w="138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1,173c,f,g</w:t>
            </w: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19,606</w:t>
            </w:r>
          </w:p>
        </w:tc>
      </w:tr>
      <w:tr>
        <w:trPr>
          <w:trHeight w:val="177"/>
        </w:trPr>
        <w:tc>
          <w:tcPr>
            <w:tcW w:w="4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4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Income from continuing operations................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27,649</w:t>
            </w:r>
          </w:p>
        </w:tc>
        <w:tc>
          <w:tcPr>
            <w:tcW w:w="540" w:type="dxa"/>
            <w:vAlign w:val="bottom"/>
          </w:tcPr>
          <w:p>
            <w:pPr>
              <w:ind w:left="46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1,758</w:t>
            </w:r>
          </w:p>
        </w:tc>
        <w:tc>
          <w:tcPr>
            <w:tcW w:w="640" w:type="dxa"/>
            <w:vAlign w:val="bottom"/>
          </w:tcPr>
          <w:p>
            <w:pPr>
              <w:spacing w:after="0"/>
              <w:rPr>
                <w:sz w:val="15"/>
                <w:szCs w:val="15"/>
                <w:color w:val="auto"/>
              </w:rPr>
            </w:pP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$ 29,407</w:t>
            </w:r>
          </w:p>
        </w:tc>
      </w:tr>
      <w:tr>
        <w:trPr>
          <w:trHeight w:val="177"/>
        </w:trPr>
        <w:tc>
          <w:tcPr>
            <w:tcW w:w="4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per common</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7"/>
        </w:trPr>
        <w:tc>
          <w:tcPr>
            <w:tcW w:w="4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0.21</w:t>
            </w: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0.21</w:t>
            </w:r>
          </w:p>
        </w:tc>
      </w:tr>
      <w:tr>
        <w:trPr>
          <w:trHeight w:val="177"/>
        </w:trPr>
        <w:tc>
          <w:tcPr>
            <w:tcW w:w="4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common</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7"/>
        </w:trPr>
        <w:tc>
          <w:tcPr>
            <w:tcW w:w="4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equivalent shares outstanding..................</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132,362</w:t>
            </w:r>
          </w:p>
        </w:tc>
        <w:tc>
          <w:tcPr>
            <w:tcW w:w="54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4,544</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c,f</w:t>
            </w: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136,906</w:t>
            </w:r>
          </w:p>
        </w:tc>
      </w:tr>
      <w:tr>
        <w:trPr>
          <w:trHeight w:val="177"/>
        </w:trPr>
        <w:tc>
          <w:tcPr>
            <w:tcW w:w="4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532"/>
        </w:trPr>
        <w:tc>
          <w:tcPr>
            <w:tcW w:w="470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65</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0219"/>
          </w:cols>
          <w:pgMar w:left="240" w:top="295"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5"/>
          <w:szCs w:val="15"/>
          <w:color w:val="auto"/>
        </w:rPr>
        <w:t>76</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USA WASTE AND SANIFILL COMBINED</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SUPPLEMENTALLY PROVIDED STATEMENT OF OPERATIONS INFORMATION</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YEAR ENDED DECEMBER 31, 1995</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60" w:type="dxa"/>
            <w:vAlign w:val="bottom"/>
          </w:tcPr>
          <w:p>
            <w:pPr>
              <w:jc w:val="center"/>
              <w:ind w:right="503"/>
              <w:spacing w:after="0"/>
              <w:rPr>
                <w:sz w:val="20"/>
                <w:szCs w:val="20"/>
                <w:color w:val="auto"/>
              </w:rPr>
            </w:pPr>
            <w:r>
              <w:rPr>
                <w:rFonts w:ascii="Courier New" w:cs="Courier New" w:eastAsia="Courier New" w:hAnsi="Courier New"/>
                <w:sz w:val="15"/>
                <w:szCs w:val="15"/>
                <w:color w:val="auto"/>
              </w:rPr>
              <w:t>SUPPLEMENTALLY</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SUPPLEMENTALLY</w:t>
            </w:r>
          </w:p>
        </w:tc>
      </w:tr>
      <w:tr>
        <w:trPr>
          <w:trHeight w:val="177"/>
        </w:trPr>
        <w:tc>
          <w:tcPr>
            <w:tcW w:w="460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COMBINED</w:t>
            </w:r>
          </w:p>
        </w:tc>
        <w:tc>
          <w:tcPr>
            <w:tcW w:w="2260" w:type="dxa"/>
            <w:vAlign w:val="bottom"/>
          </w:tcPr>
          <w:p>
            <w:pPr>
              <w:jc w:val="center"/>
              <w:ind w:right="523"/>
              <w:spacing w:after="0"/>
              <w:rPr>
                <w:sz w:val="20"/>
                <w:szCs w:val="20"/>
                <w:color w:val="auto"/>
              </w:rPr>
            </w:pPr>
            <w:r>
              <w:rPr>
                <w:rFonts w:ascii="Courier New" w:cs="Courier New" w:eastAsia="Courier New" w:hAnsi="Courier New"/>
                <w:sz w:val="15"/>
                <w:szCs w:val="15"/>
                <w:color w:val="auto"/>
              </w:rPr>
              <w:t>PROVIDED</w:t>
            </w:r>
          </w:p>
        </w:tc>
        <w:tc>
          <w:tcPr>
            <w:tcW w:w="340" w:type="dxa"/>
            <w:vAlign w:val="bottom"/>
          </w:tcPr>
          <w:p>
            <w:pPr>
              <w:spacing w:after="0"/>
              <w:rPr>
                <w:sz w:val="15"/>
                <w:szCs w:val="15"/>
                <w:color w:val="auto"/>
              </w:rPr>
            </w:pPr>
          </w:p>
        </w:tc>
        <w:tc>
          <w:tcPr>
            <w:tcW w:w="1000" w:type="dxa"/>
            <w:vAlign w:val="bottom"/>
          </w:tcPr>
          <w:p>
            <w:pPr>
              <w:jc w:val="center"/>
              <w:ind w:right="203"/>
              <w:spacing w:after="0"/>
              <w:rPr>
                <w:sz w:val="20"/>
                <w:szCs w:val="20"/>
                <w:color w:val="auto"/>
              </w:rPr>
            </w:pPr>
            <w:r>
              <w:rPr>
                <w:rFonts w:ascii="Courier New" w:cs="Courier New" w:eastAsia="Courier New" w:hAnsi="Courier New"/>
                <w:sz w:val="15"/>
                <w:szCs w:val="15"/>
                <w:color w:val="auto"/>
                <w:w w:val="99"/>
              </w:rPr>
              <w:t>PROVIDED</w:t>
            </w:r>
          </w:p>
        </w:tc>
      </w:tr>
      <w:tr>
        <w:trPr>
          <w:trHeight w:val="177"/>
        </w:trPr>
        <w:tc>
          <w:tcPr>
            <w:tcW w:w="460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PRO FORMA</w:t>
            </w:r>
          </w:p>
        </w:tc>
        <w:tc>
          <w:tcPr>
            <w:tcW w:w="226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ADJUSTMENTS</w:t>
            </w:r>
          </w:p>
        </w:tc>
        <w:tc>
          <w:tcPr>
            <w:tcW w:w="134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INFORMATION</w:t>
            </w:r>
          </w:p>
        </w:tc>
      </w:tr>
      <w:tr>
        <w:trPr>
          <w:trHeight w:val="177"/>
        </w:trPr>
        <w:tc>
          <w:tcPr>
            <w:tcW w:w="4600" w:type="dxa"/>
            <w:vAlign w:val="bottom"/>
          </w:tcPr>
          <w:p>
            <w:pPr>
              <w:spacing w:after="0"/>
              <w:rPr>
                <w:sz w:val="15"/>
                <w:szCs w:val="15"/>
                <w:color w:val="auto"/>
              </w:rPr>
            </w:pPr>
          </w:p>
        </w:tc>
        <w:tc>
          <w:tcPr>
            <w:tcW w:w="1200" w:type="dxa"/>
            <w:vAlign w:val="bottom"/>
            <w:gridSpan w:val="2"/>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jc w:val="center"/>
              <w:ind w:right="50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7"/>
        </w:trPr>
        <w:tc>
          <w:tcPr>
            <w:tcW w:w="4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0" w:type="dxa"/>
            <w:vAlign w:val="bottom"/>
            <w:gridSpan w:val="4"/>
          </w:tcPr>
          <w:p>
            <w:pPr>
              <w:jc w:val="right"/>
              <w:ind w:right="463"/>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55"/>
        </w:trPr>
        <w:tc>
          <w:tcPr>
            <w:tcW w:w="46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987,705</w:t>
            </w:r>
          </w:p>
        </w:tc>
        <w:tc>
          <w:tcPr>
            <w:tcW w:w="226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$190,421c</w:t>
            </w:r>
          </w:p>
        </w:tc>
        <w:tc>
          <w:tcPr>
            <w:tcW w:w="134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$1,178,126</w:t>
            </w:r>
          </w:p>
        </w:tc>
      </w:tr>
      <w:tr>
        <w:trPr>
          <w:trHeight w:val="177"/>
        </w:trPr>
        <w:tc>
          <w:tcPr>
            <w:tcW w:w="4600" w:type="dxa"/>
            <w:vAlign w:val="bottom"/>
          </w:tcPr>
          <w:p>
            <w:pPr>
              <w:spacing w:after="0"/>
              <w:rPr>
                <w:sz w:val="15"/>
                <w:szCs w:val="15"/>
                <w:color w:val="auto"/>
              </w:rPr>
            </w:pPr>
          </w:p>
        </w:tc>
        <w:tc>
          <w:tcPr>
            <w:tcW w:w="1200" w:type="dxa"/>
            <w:vAlign w:val="bottom"/>
            <w:gridSpan w:val="2"/>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98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46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4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Operating......................................</w:t>
            </w: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551,305</w:t>
            </w:r>
          </w:p>
        </w:tc>
        <w:tc>
          <w:tcPr>
            <w:tcW w:w="226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121,133c</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672,438</w:t>
            </w:r>
          </w:p>
        </w:tc>
      </w:tr>
      <w:tr>
        <w:trPr>
          <w:trHeight w:val="177"/>
        </w:trPr>
        <w:tc>
          <w:tcPr>
            <w:tcW w:w="4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General and administrative.....................</w:t>
            </w: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140,051</w:t>
            </w:r>
          </w:p>
        </w:tc>
        <w:tc>
          <w:tcPr>
            <w:tcW w:w="226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29,240c</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169,291</w:t>
            </w:r>
          </w:p>
        </w:tc>
      </w:tr>
      <w:tr>
        <w:trPr>
          <w:trHeight w:val="177"/>
        </w:trPr>
        <w:tc>
          <w:tcPr>
            <w:tcW w:w="4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Depreciation and amortization..................</w:t>
            </w: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119,570</w:t>
            </w:r>
          </w:p>
        </w:tc>
        <w:tc>
          <w:tcPr>
            <w:tcW w:w="2260" w:type="dxa"/>
            <w:vAlign w:val="bottom"/>
          </w:tcPr>
          <w:p>
            <w:pPr>
              <w:jc w:val="right"/>
              <w:ind w:right="983"/>
              <w:spacing w:after="0"/>
              <w:rPr>
                <w:sz w:val="20"/>
                <w:szCs w:val="20"/>
                <w:color w:val="auto"/>
              </w:rPr>
            </w:pPr>
            <w:r>
              <w:rPr>
                <w:rFonts w:ascii="Courier New" w:cs="Courier New" w:eastAsia="Courier New" w:hAnsi="Courier New"/>
                <w:sz w:val="15"/>
                <w:szCs w:val="15"/>
                <w:color w:val="auto"/>
              </w:rPr>
              <w:t>21,215</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140,785</w:t>
            </w:r>
          </w:p>
        </w:tc>
      </w:tr>
      <w:tr>
        <w:trPr>
          <w:trHeight w:val="177"/>
        </w:trPr>
        <w:tc>
          <w:tcPr>
            <w:tcW w:w="4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Merger costs...................................</w:t>
            </w: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25,639</w:t>
            </w:r>
          </w:p>
        </w:tc>
        <w:tc>
          <w:tcPr>
            <w:tcW w:w="2260" w:type="dxa"/>
            <w:vAlign w:val="bottom"/>
          </w:tcPr>
          <w:p>
            <w:pPr>
              <w:jc w:val="right"/>
              <w:ind w:right="983"/>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25,639</w:t>
            </w:r>
          </w:p>
        </w:tc>
      </w:tr>
      <w:tr>
        <w:trPr>
          <w:trHeight w:val="177"/>
        </w:trPr>
        <w:tc>
          <w:tcPr>
            <w:tcW w:w="4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Unusual items..................................</w:t>
            </w: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4,733</w:t>
            </w:r>
          </w:p>
        </w:tc>
        <w:tc>
          <w:tcPr>
            <w:tcW w:w="2260" w:type="dxa"/>
            <w:vAlign w:val="bottom"/>
          </w:tcPr>
          <w:p>
            <w:pPr>
              <w:jc w:val="right"/>
              <w:ind w:right="983"/>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4,733</w:t>
            </w:r>
          </w:p>
        </w:tc>
      </w:tr>
      <w:tr>
        <w:trPr>
          <w:trHeight w:val="177"/>
        </w:trPr>
        <w:tc>
          <w:tcPr>
            <w:tcW w:w="4600" w:type="dxa"/>
            <w:vAlign w:val="bottom"/>
          </w:tcPr>
          <w:p>
            <w:pPr>
              <w:spacing w:after="0"/>
              <w:rPr>
                <w:sz w:val="15"/>
                <w:szCs w:val="15"/>
                <w:color w:val="auto"/>
              </w:rPr>
            </w:pPr>
          </w:p>
        </w:tc>
        <w:tc>
          <w:tcPr>
            <w:tcW w:w="1200" w:type="dxa"/>
            <w:vAlign w:val="bottom"/>
            <w:gridSpan w:val="2"/>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98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4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841,298</w:t>
            </w:r>
          </w:p>
        </w:tc>
        <w:tc>
          <w:tcPr>
            <w:tcW w:w="2260" w:type="dxa"/>
            <w:vAlign w:val="bottom"/>
          </w:tcPr>
          <w:p>
            <w:pPr>
              <w:jc w:val="right"/>
              <w:ind w:right="983"/>
              <w:spacing w:after="0"/>
              <w:rPr>
                <w:sz w:val="20"/>
                <w:szCs w:val="20"/>
                <w:color w:val="auto"/>
              </w:rPr>
            </w:pPr>
            <w:r>
              <w:rPr>
                <w:rFonts w:ascii="Courier New" w:cs="Courier New" w:eastAsia="Courier New" w:hAnsi="Courier New"/>
                <w:sz w:val="15"/>
                <w:szCs w:val="15"/>
                <w:color w:val="auto"/>
              </w:rPr>
              <w:t>171,588</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8"/>
              </w:rPr>
              <w:t>1,012,886</w:t>
            </w:r>
          </w:p>
        </w:tc>
      </w:tr>
      <w:tr>
        <w:trPr>
          <w:trHeight w:val="177"/>
        </w:trPr>
        <w:tc>
          <w:tcPr>
            <w:tcW w:w="4600" w:type="dxa"/>
            <w:vAlign w:val="bottom"/>
          </w:tcPr>
          <w:p>
            <w:pPr>
              <w:spacing w:after="0"/>
              <w:rPr>
                <w:sz w:val="15"/>
                <w:szCs w:val="15"/>
                <w:color w:val="auto"/>
              </w:rPr>
            </w:pPr>
          </w:p>
        </w:tc>
        <w:tc>
          <w:tcPr>
            <w:tcW w:w="1200" w:type="dxa"/>
            <w:vAlign w:val="bottom"/>
            <w:gridSpan w:val="2"/>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98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4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Income from operations...........................</w:t>
            </w: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146,407</w:t>
            </w:r>
          </w:p>
        </w:tc>
        <w:tc>
          <w:tcPr>
            <w:tcW w:w="2260" w:type="dxa"/>
            <w:vAlign w:val="bottom"/>
          </w:tcPr>
          <w:p>
            <w:pPr>
              <w:jc w:val="right"/>
              <w:ind w:right="983"/>
              <w:spacing w:after="0"/>
              <w:rPr>
                <w:sz w:val="20"/>
                <w:szCs w:val="20"/>
                <w:color w:val="auto"/>
              </w:rPr>
            </w:pPr>
            <w:r>
              <w:rPr>
                <w:rFonts w:ascii="Courier New" w:cs="Courier New" w:eastAsia="Courier New" w:hAnsi="Courier New"/>
                <w:sz w:val="15"/>
                <w:szCs w:val="15"/>
                <w:color w:val="auto"/>
              </w:rPr>
              <w:t>18,833</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165,240</w:t>
            </w:r>
          </w:p>
        </w:tc>
      </w:tr>
      <w:tr>
        <w:trPr>
          <w:trHeight w:val="177"/>
        </w:trPr>
        <w:tc>
          <w:tcPr>
            <w:tcW w:w="4600" w:type="dxa"/>
            <w:vAlign w:val="bottom"/>
          </w:tcPr>
          <w:p>
            <w:pPr>
              <w:spacing w:after="0"/>
              <w:rPr>
                <w:sz w:val="15"/>
                <w:szCs w:val="15"/>
                <w:color w:val="auto"/>
              </w:rPr>
            </w:pPr>
          </w:p>
        </w:tc>
        <w:tc>
          <w:tcPr>
            <w:tcW w:w="1200" w:type="dxa"/>
            <w:vAlign w:val="bottom"/>
            <w:gridSpan w:val="2"/>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98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46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4600" w:type="dxa"/>
            <w:vAlign w:val="bottom"/>
          </w:tcPr>
          <w:p>
            <w:pPr>
              <w:jc w:val="right"/>
              <w:ind w:right="2783"/>
              <w:spacing w:after="0"/>
              <w:rPr>
                <w:sz w:val="20"/>
                <w:szCs w:val="20"/>
                <w:color w:val="auto"/>
              </w:rPr>
            </w:pPr>
            <w:r>
              <w:rPr>
                <w:rFonts w:ascii="Courier New" w:cs="Courier New" w:eastAsia="Courier New" w:hAnsi="Courier New"/>
                <w:sz w:val="15"/>
                <w:szCs w:val="15"/>
                <w:color w:val="auto"/>
              </w:rPr>
              <w:t>Interest expense:</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4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Nonrecurring interest.......................</w:t>
            </w: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(10,994)</w:t>
            </w:r>
          </w:p>
        </w:tc>
        <w:tc>
          <w:tcPr>
            <w:tcW w:w="2260" w:type="dxa"/>
            <w:vAlign w:val="bottom"/>
          </w:tcPr>
          <w:p>
            <w:pPr>
              <w:jc w:val="right"/>
              <w:ind w:right="983"/>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(10,994)</w:t>
            </w:r>
          </w:p>
        </w:tc>
      </w:tr>
      <w:tr>
        <w:trPr>
          <w:trHeight w:val="177"/>
        </w:trPr>
        <w:tc>
          <w:tcPr>
            <w:tcW w:w="4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Other.......................................</w:t>
            </w: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(48,558)</w:t>
            </w:r>
          </w:p>
        </w:tc>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rPr>
              <w:t>1,251a,b,c,e,f,g</w:t>
            </w:r>
          </w:p>
        </w:tc>
        <w:tc>
          <w:tcPr>
            <w:tcW w:w="34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(47,307)</w:t>
            </w:r>
          </w:p>
        </w:tc>
      </w:tr>
      <w:tr>
        <w:trPr>
          <w:trHeight w:val="177"/>
        </w:trPr>
        <w:tc>
          <w:tcPr>
            <w:tcW w:w="4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Interest income................................</w:t>
            </w: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5,482</w:t>
            </w:r>
          </w:p>
        </w:tc>
        <w:tc>
          <w:tcPr>
            <w:tcW w:w="226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789c</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6,271</w:t>
            </w:r>
          </w:p>
        </w:tc>
      </w:tr>
      <w:tr>
        <w:trPr>
          <w:trHeight w:val="177"/>
        </w:trPr>
        <w:tc>
          <w:tcPr>
            <w:tcW w:w="4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Other income, net..............................</w:t>
            </w: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5,143</w:t>
            </w:r>
          </w:p>
        </w:tc>
        <w:tc>
          <w:tcPr>
            <w:tcW w:w="226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695c</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5,838</w:t>
            </w:r>
          </w:p>
        </w:tc>
      </w:tr>
      <w:tr>
        <w:trPr>
          <w:trHeight w:val="177"/>
        </w:trPr>
        <w:tc>
          <w:tcPr>
            <w:tcW w:w="4600" w:type="dxa"/>
            <w:vAlign w:val="bottom"/>
          </w:tcPr>
          <w:p>
            <w:pPr>
              <w:spacing w:after="0"/>
              <w:rPr>
                <w:sz w:val="15"/>
                <w:szCs w:val="15"/>
                <w:color w:val="auto"/>
              </w:rPr>
            </w:pPr>
          </w:p>
        </w:tc>
        <w:tc>
          <w:tcPr>
            <w:tcW w:w="1200" w:type="dxa"/>
            <w:vAlign w:val="bottom"/>
            <w:gridSpan w:val="2"/>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98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4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(48,927)</w:t>
            </w:r>
          </w:p>
        </w:tc>
        <w:tc>
          <w:tcPr>
            <w:tcW w:w="2260" w:type="dxa"/>
            <w:vAlign w:val="bottom"/>
          </w:tcPr>
          <w:p>
            <w:pPr>
              <w:jc w:val="right"/>
              <w:ind w:right="983"/>
              <w:spacing w:after="0"/>
              <w:rPr>
                <w:sz w:val="20"/>
                <w:szCs w:val="20"/>
                <w:color w:val="auto"/>
              </w:rPr>
            </w:pPr>
            <w:r>
              <w:rPr>
                <w:rFonts w:ascii="Courier New" w:cs="Courier New" w:eastAsia="Courier New" w:hAnsi="Courier New"/>
                <w:sz w:val="15"/>
                <w:szCs w:val="15"/>
                <w:color w:val="auto"/>
              </w:rPr>
              <w:t>2,735</w:t>
            </w:r>
          </w:p>
        </w:tc>
        <w:tc>
          <w:tcPr>
            <w:tcW w:w="34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(46,192)</w:t>
            </w:r>
          </w:p>
        </w:tc>
      </w:tr>
      <w:tr>
        <w:trPr>
          <w:trHeight w:val="177"/>
        </w:trPr>
        <w:tc>
          <w:tcPr>
            <w:tcW w:w="4600" w:type="dxa"/>
            <w:vAlign w:val="bottom"/>
          </w:tcPr>
          <w:p>
            <w:pPr>
              <w:spacing w:after="0"/>
              <w:rPr>
                <w:sz w:val="15"/>
                <w:szCs w:val="15"/>
                <w:color w:val="auto"/>
              </w:rPr>
            </w:pPr>
          </w:p>
        </w:tc>
        <w:tc>
          <w:tcPr>
            <w:tcW w:w="1200" w:type="dxa"/>
            <w:vAlign w:val="bottom"/>
            <w:gridSpan w:val="2"/>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98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4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Income before income taxes.......................</w:t>
            </w: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97,480</w:t>
            </w:r>
          </w:p>
        </w:tc>
        <w:tc>
          <w:tcPr>
            <w:tcW w:w="2260" w:type="dxa"/>
            <w:vAlign w:val="bottom"/>
          </w:tcPr>
          <w:p>
            <w:pPr>
              <w:jc w:val="right"/>
              <w:ind w:right="983"/>
              <w:spacing w:after="0"/>
              <w:rPr>
                <w:sz w:val="20"/>
                <w:szCs w:val="20"/>
                <w:color w:val="auto"/>
              </w:rPr>
            </w:pPr>
            <w:r>
              <w:rPr>
                <w:rFonts w:ascii="Courier New" w:cs="Courier New" w:eastAsia="Courier New" w:hAnsi="Courier New"/>
                <w:sz w:val="15"/>
                <w:szCs w:val="15"/>
                <w:color w:val="auto"/>
              </w:rPr>
              <w:t>21,568</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119,048</w:t>
            </w:r>
          </w:p>
        </w:tc>
      </w:tr>
      <w:tr>
        <w:trPr>
          <w:trHeight w:val="177"/>
        </w:trPr>
        <w:tc>
          <w:tcPr>
            <w:tcW w:w="4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Provision for income taxes.......................</w:t>
            </w: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64,437</w:t>
            </w:r>
          </w:p>
        </w:tc>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rPr>
              <w:t>5,996a,b,c,e,f,g</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70,433</w:t>
            </w:r>
          </w:p>
        </w:tc>
      </w:tr>
      <w:tr>
        <w:trPr>
          <w:trHeight w:val="177"/>
        </w:trPr>
        <w:tc>
          <w:tcPr>
            <w:tcW w:w="4600" w:type="dxa"/>
            <w:vAlign w:val="bottom"/>
          </w:tcPr>
          <w:p>
            <w:pPr>
              <w:spacing w:after="0"/>
              <w:rPr>
                <w:sz w:val="15"/>
                <w:szCs w:val="15"/>
                <w:color w:val="auto"/>
              </w:rPr>
            </w:pPr>
          </w:p>
        </w:tc>
        <w:tc>
          <w:tcPr>
            <w:tcW w:w="1200" w:type="dxa"/>
            <w:vAlign w:val="bottom"/>
            <w:gridSpan w:val="2"/>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98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4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Income from continuing operations................</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33,043</w:t>
            </w:r>
          </w:p>
        </w:tc>
        <w:tc>
          <w:tcPr>
            <w:tcW w:w="2260" w:type="dxa"/>
            <w:vAlign w:val="bottom"/>
          </w:tcPr>
          <w:p>
            <w:pPr>
              <w:jc w:val="right"/>
              <w:ind w:right="983"/>
              <w:spacing w:after="0"/>
              <w:rPr>
                <w:sz w:val="20"/>
                <w:szCs w:val="20"/>
                <w:color w:val="auto"/>
              </w:rPr>
            </w:pPr>
            <w:r>
              <w:rPr>
                <w:rFonts w:ascii="Courier New" w:cs="Courier New" w:eastAsia="Courier New" w:hAnsi="Courier New"/>
                <w:sz w:val="15"/>
                <w:szCs w:val="15"/>
                <w:color w:val="auto"/>
              </w:rPr>
              <w:t>$ 15,572</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48,615</w:t>
            </w:r>
          </w:p>
        </w:tc>
      </w:tr>
      <w:tr>
        <w:trPr>
          <w:trHeight w:val="177"/>
        </w:trPr>
        <w:tc>
          <w:tcPr>
            <w:tcW w:w="4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w:t>
            </w:r>
          </w:p>
        </w:tc>
        <w:tc>
          <w:tcPr>
            <w:tcW w:w="2260" w:type="dxa"/>
            <w:vAlign w:val="bottom"/>
          </w:tcPr>
          <w:p>
            <w:pPr>
              <w:jc w:val="right"/>
              <w:ind w:right="98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460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per common</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4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share..........................................</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0.29</w:t>
            </w:r>
          </w:p>
        </w:tc>
        <w:tc>
          <w:tcPr>
            <w:tcW w:w="22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0.37</w:t>
            </w:r>
          </w:p>
        </w:tc>
      </w:tr>
      <w:tr>
        <w:trPr>
          <w:trHeight w:val="177"/>
        </w:trPr>
        <w:tc>
          <w:tcPr>
            <w:tcW w:w="4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w:t>
            </w:r>
          </w:p>
        </w:tc>
        <w:tc>
          <w:tcPr>
            <w:tcW w:w="2260" w:type="dxa"/>
            <w:vAlign w:val="bottom"/>
          </w:tcPr>
          <w:p>
            <w:pPr>
              <w:spacing w:after="0"/>
              <w:rPr>
                <w:sz w:val="15"/>
                <w:szCs w:val="15"/>
                <w:color w:val="auto"/>
              </w:rPr>
            </w:pPr>
          </w:p>
        </w:tc>
        <w:tc>
          <w:tcPr>
            <w:tcW w:w="134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46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common</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4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equivalent shares outstanding..................</w:t>
            </w: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113,279</w:t>
            </w:r>
          </w:p>
        </w:tc>
        <w:tc>
          <w:tcPr>
            <w:tcW w:w="22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17,852c,e,f</w:t>
            </w:r>
          </w:p>
        </w:tc>
        <w:tc>
          <w:tcPr>
            <w:tcW w:w="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131,131</w:t>
            </w:r>
          </w:p>
        </w:tc>
      </w:tr>
      <w:tr>
        <w:trPr>
          <w:trHeight w:val="177"/>
        </w:trPr>
        <w:tc>
          <w:tcPr>
            <w:tcW w:w="4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w:t>
            </w:r>
          </w:p>
        </w:tc>
        <w:tc>
          <w:tcPr>
            <w:tcW w:w="2260" w:type="dxa"/>
            <w:vAlign w:val="bottom"/>
          </w:tcPr>
          <w:p>
            <w:pPr>
              <w:jc w:val="right"/>
              <w:ind w:right="98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532"/>
        </w:trPr>
        <w:tc>
          <w:tcPr>
            <w:tcW w:w="460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66</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19"/>
          </w:cols>
          <w:pgMar w:left="240" w:top="295" w:right="1440" w:bottom="1440" w:gutter="0" w:footer="0" w:header="0"/>
        </w:sectPr>
      </w:pPr>
    </w:p>
    <w:bookmarkStart w:id="77" w:name="page78"/>
    <w:bookmarkEnd w:id="77"/>
    <w:p>
      <w:pPr>
        <w:ind w:left="285"/>
        <w:spacing w:after="0"/>
        <w:rPr>
          <w:sz w:val="20"/>
          <w:szCs w:val="20"/>
          <w:color w:val="auto"/>
        </w:rPr>
      </w:pPr>
      <w:r>
        <w:rPr>
          <w:rFonts w:ascii="Courier New" w:cs="Courier New" w:eastAsia="Courier New" w:hAnsi="Courier New"/>
          <w:sz w:val="15"/>
          <w:szCs w:val="15"/>
          <w:color w:val="auto"/>
        </w:rPr>
        <w:t>77</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SUPPLEMENTAL ADJUSTMENTS</w:t>
      </w:r>
    </w:p>
    <w:p>
      <w:pPr>
        <w:spacing w:after="0" w:line="185" w:lineRule="exact"/>
        <w:rPr>
          <w:sz w:val="20"/>
          <w:szCs w:val="20"/>
          <w:color w:val="auto"/>
        </w:rPr>
      </w:pPr>
    </w:p>
    <w:p>
      <w:pPr>
        <w:ind w:left="465" w:right="2839" w:hanging="465"/>
        <w:spacing w:after="0" w:line="251" w:lineRule="auto"/>
        <w:tabs>
          <w:tab w:leader="none" w:pos="46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of interest expense as a result of USA Waste's public offering of 6,345,625 shares of its common stock on October 6, 1995, the net proceeds of which were used for the repayment of approximately $118,000,000 of debt, as if the transactions had occurred on January 1, 1995.</w:t>
      </w:r>
    </w:p>
    <w:p>
      <w:pPr>
        <w:spacing w:after="0" w:line="176" w:lineRule="exact"/>
        <w:rPr>
          <w:rFonts w:ascii="Courier New" w:cs="Courier New" w:eastAsia="Courier New" w:hAnsi="Courier New"/>
          <w:sz w:val="15"/>
          <w:szCs w:val="15"/>
          <w:color w:val="auto"/>
        </w:rPr>
      </w:pPr>
    </w:p>
    <w:p>
      <w:pPr>
        <w:ind w:left="465" w:right="3019" w:hanging="465"/>
        <w:spacing w:after="0" w:line="251" w:lineRule="auto"/>
        <w:tabs>
          <w:tab w:leader="none" w:pos="46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of interest expense as a result of USA Waste's conversion of $42,300,000 of its 8 1/2% convertible subordinated debentures into its common stock at $13.25 per share between November 3, 1995 and December 1, 1995, as if the conversion had occurred on January 1, 1995.</w:t>
      </w:r>
    </w:p>
    <w:p>
      <w:pPr>
        <w:spacing w:after="0" w:line="176" w:lineRule="exact"/>
        <w:rPr>
          <w:rFonts w:ascii="Courier New" w:cs="Courier New" w:eastAsia="Courier New" w:hAnsi="Courier New"/>
          <w:sz w:val="15"/>
          <w:szCs w:val="15"/>
          <w:color w:val="auto"/>
        </w:rPr>
      </w:pPr>
    </w:p>
    <w:p>
      <w:pPr>
        <w:ind w:left="465" w:right="2839" w:hanging="465"/>
        <w:spacing w:after="0" w:line="252" w:lineRule="auto"/>
        <w:tabs>
          <w:tab w:leader="none" w:pos="46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in results of operations and changes in balance sheet accounts assuming the 1995 and 1996 business combinations accounted for as purchases had occurred on January 1, 1995.</w:t>
      </w:r>
    </w:p>
    <w:p>
      <w:pPr>
        <w:spacing w:after="0" w:line="174" w:lineRule="exact"/>
        <w:rPr>
          <w:rFonts w:ascii="Courier New" w:cs="Courier New" w:eastAsia="Courier New" w:hAnsi="Courier New"/>
          <w:sz w:val="15"/>
          <w:szCs w:val="15"/>
          <w:color w:val="auto"/>
        </w:rPr>
      </w:pPr>
    </w:p>
    <w:p>
      <w:pPr>
        <w:ind w:left="465" w:right="2939" w:hanging="465"/>
        <w:spacing w:after="0" w:line="251" w:lineRule="auto"/>
        <w:tabs>
          <w:tab w:leader="none" w:pos="46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in accumulated deficit and increase in long-term debt related to estimated nonrecurring costs of $89,800,000, consisting of $50,000,000 and $39,800,000 of costs related to the mergers with Sanifill and Western, respectively. Actual merger costs may vary from such estimates.</w:t>
      </w:r>
    </w:p>
    <w:p>
      <w:pPr>
        <w:spacing w:after="0" w:line="176" w:lineRule="exact"/>
        <w:rPr>
          <w:rFonts w:ascii="Courier New" w:cs="Courier New" w:eastAsia="Courier New" w:hAnsi="Courier New"/>
          <w:sz w:val="15"/>
          <w:szCs w:val="15"/>
          <w:color w:val="auto"/>
        </w:rPr>
      </w:pPr>
    </w:p>
    <w:p>
      <w:pPr>
        <w:ind w:left="465" w:right="2939" w:hanging="465"/>
        <w:spacing w:after="0" w:line="251" w:lineRule="auto"/>
        <w:tabs>
          <w:tab w:leader="none" w:pos="46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of interest expense as a result of Sanifill's public offering of 2,098,750 shares of common stock on August 23, 1995, certain net proceeds of which were used for repayment of approximately $40,000,000 of debt, as if the transactions had occurred on January 1, 1995.</w:t>
      </w:r>
    </w:p>
    <w:p>
      <w:pPr>
        <w:spacing w:after="0" w:line="176" w:lineRule="exact"/>
        <w:rPr>
          <w:rFonts w:ascii="Courier New" w:cs="Courier New" w:eastAsia="Courier New" w:hAnsi="Courier New"/>
          <w:sz w:val="15"/>
          <w:szCs w:val="15"/>
          <w:color w:val="auto"/>
        </w:rPr>
      </w:pPr>
    </w:p>
    <w:p>
      <w:pPr>
        <w:ind w:left="465" w:right="2839" w:hanging="465"/>
        <w:spacing w:after="0" w:line="251" w:lineRule="auto"/>
        <w:tabs>
          <w:tab w:leader="none" w:pos="46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of interest expense and balance sheet effect of Sanifill's conversion of $59,800,000 of its 7 1/2% convertible subordinated debentures into its common stock at $28.82 per share between March 19, 1996 and April 10, 1996, as if the conversion occurred at the beginning of the period presented.</w:t>
      </w:r>
    </w:p>
    <w:p>
      <w:pPr>
        <w:spacing w:after="0" w:line="176" w:lineRule="exact"/>
        <w:rPr>
          <w:rFonts w:ascii="Courier New" w:cs="Courier New" w:eastAsia="Courier New" w:hAnsi="Courier New"/>
          <w:sz w:val="15"/>
          <w:szCs w:val="15"/>
          <w:color w:val="auto"/>
        </w:rPr>
      </w:pPr>
    </w:p>
    <w:p>
      <w:pPr>
        <w:ind w:left="465" w:right="2839" w:hanging="465"/>
        <w:spacing w:after="0" w:line="251" w:lineRule="auto"/>
        <w:tabs>
          <w:tab w:leader="none" w:pos="46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of interest expense and balance sheet effect of Sanifill's issuance of $115 million of 5% subordinated debentures on March 4, 1996, all of the net proceeds of which were used for the repayment of debt, as if the transaction occurred at the beginning of the period presented.</w:t>
      </w:r>
    </w:p>
    <w:p>
      <w:pPr>
        <w:spacing w:after="0" w:line="176" w:lineRule="exact"/>
        <w:rPr>
          <w:rFonts w:ascii="Courier New" w:cs="Courier New" w:eastAsia="Courier New" w:hAnsi="Courier New"/>
          <w:sz w:val="15"/>
          <w:szCs w:val="15"/>
          <w:color w:val="auto"/>
        </w:rPr>
      </w:pPr>
    </w:p>
    <w:p>
      <w:pPr>
        <w:ind w:left="465" w:right="2939" w:hanging="465"/>
        <w:spacing w:after="0" w:line="252" w:lineRule="auto"/>
        <w:tabs>
          <w:tab w:leader="none" w:pos="46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to the refinancing of the USA Waste credit facility in connection with the Western merger, there is no current maturity of this credit facility, as principal reductions are not required for a three-year period.</w:t>
      </w: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25"/>
          </w:cols>
          <w:pgMar w:left="235" w:top="295"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5"/>
          <w:szCs w:val="15"/>
          <w:color w:val="auto"/>
        </w:rPr>
        <w:t>78</w:t>
      </w:r>
    </w:p>
    <w:p>
      <w:pPr>
        <w:spacing w:after="0" w:line="185"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PRINCIPAL STOCKHOLDERS OF USA WASTE AND SANIFILL</w:t>
      </w:r>
    </w:p>
    <w:p>
      <w:pPr>
        <w:spacing w:after="0" w:line="185" w:lineRule="exact"/>
        <w:rPr>
          <w:sz w:val="20"/>
          <w:szCs w:val="20"/>
          <w:color w:val="auto"/>
        </w:rPr>
      </w:pPr>
    </w:p>
    <w:p>
      <w:pPr>
        <w:ind w:right="2860" w:firstLine="461"/>
        <w:spacing w:after="0" w:line="250" w:lineRule="auto"/>
        <w:rPr>
          <w:sz w:val="20"/>
          <w:szCs w:val="20"/>
          <w:color w:val="auto"/>
        </w:rPr>
      </w:pPr>
      <w:r>
        <w:rPr>
          <w:rFonts w:ascii="Courier New" w:cs="Courier New" w:eastAsia="Courier New" w:hAnsi="Courier New"/>
          <w:sz w:val="15"/>
          <w:szCs w:val="15"/>
          <w:color w:val="auto"/>
        </w:rPr>
        <w:t>The following tables set forth information with respect to the beneficial ownership of USA Waste Common Stock and Sanifill Common Stock as of the Record Date by (1) each owner of more than 5% of such common stock, (2) each director of USA Waste and Sanifill, (3) certain executive officers of USA Waste and Sanifill, including the Chief Executive Officers and four most highly compensated officers other than the Chief Executive Officer who were serving as officers at December 31, 1995, and (4) all executive officers and directors of USA Waste and Sanifill as a group. Except as otherwise indicated below, each of the entities and persons named in the tables has sole voting and investment power with respect to all shares of common stock beneficially owned. Unless otherwise indicated, the address for each of the individuals or entities named in the tables below is the principal executive offices of USA Waste or Sanifill, as applicable.</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60" w:type="dxa"/>
            <w:vAlign w:val="bottom"/>
          </w:tcPr>
          <w:p>
            <w:pPr>
              <w:spacing w:after="0"/>
              <w:rPr>
                <w:sz w:val="14"/>
                <w:szCs w:val="14"/>
                <w:color w:val="auto"/>
              </w:rPr>
            </w:pPr>
          </w:p>
        </w:tc>
        <w:tc>
          <w:tcPr>
            <w:tcW w:w="244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AMOUNT OF</w:t>
            </w:r>
          </w:p>
        </w:tc>
        <w:tc>
          <w:tcPr>
            <w:tcW w:w="204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PERCENTAGE</w:t>
            </w:r>
          </w:p>
        </w:tc>
        <w:tc>
          <w:tcPr>
            <w:tcW w:w="18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PERCENTAGE</w:t>
            </w:r>
          </w:p>
        </w:tc>
      </w:tr>
      <w:tr>
        <w:trPr>
          <w:trHeight w:val="177"/>
        </w:trPr>
        <w:tc>
          <w:tcPr>
            <w:tcW w:w="3960" w:type="dxa"/>
            <w:vAlign w:val="bottom"/>
          </w:tcPr>
          <w:p>
            <w:pPr>
              <w:ind w:left="1660"/>
              <w:spacing w:after="0"/>
              <w:rPr>
                <w:sz w:val="20"/>
                <w:szCs w:val="20"/>
                <w:color w:val="auto"/>
              </w:rPr>
            </w:pPr>
            <w:r>
              <w:rPr>
                <w:rFonts w:ascii="Courier New" w:cs="Courier New" w:eastAsia="Courier New" w:hAnsi="Courier New"/>
                <w:sz w:val="15"/>
                <w:szCs w:val="15"/>
                <w:color w:val="auto"/>
              </w:rPr>
              <w:t>NAME</w:t>
            </w:r>
          </w:p>
        </w:tc>
        <w:tc>
          <w:tcPr>
            <w:tcW w:w="24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BENEFICIAL OWNERSHIP(1)</w:t>
            </w:r>
          </w:p>
        </w:tc>
        <w:tc>
          <w:tcPr>
            <w:tcW w:w="20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BEFORE THE MERGER</w:t>
            </w:r>
          </w:p>
        </w:tc>
        <w:tc>
          <w:tcPr>
            <w:tcW w:w="18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AFTER THE MERGER</w:t>
            </w:r>
          </w:p>
        </w:tc>
      </w:tr>
      <w:tr>
        <w:trPr>
          <w:trHeight w:val="177"/>
        </w:trPr>
        <w:tc>
          <w:tcPr>
            <w:tcW w:w="39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4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960" w:type="dxa"/>
            <w:vAlign w:val="bottom"/>
          </w:tcPr>
          <w:p>
            <w:pPr>
              <w:spacing w:after="0"/>
              <w:rPr>
                <w:sz w:val="20"/>
                <w:szCs w:val="20"/>
                <w:color w:val="auto"/>
              </w:rPr>
            </w:pPr>
            <w:r>
              <w:rPr>
                <w:rFonts w:ascii="Courier New" w:cs="Courier New" w:eastAsia="Courier New" w:hAnsi="Courier New"/>
                <w:sz w:val="15"/>
                <w:szCs w:val="15"/>
                <w:color w:val="auto"/>
              </w:rPr>
              <w:t>Alliance Capital Management L.P..........</w:t>
            </w:r>
          </w:p>
        </w:tc>
        <w:tc>
          <w:tcPr>
            <w:tcW w:w="24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5,221,466(2)</w:t>
            </w:r>
          </w:p>
        </w:tc>
        <w:tc>
          <w:tcPr>
            <w:tcW w:w="204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5.9</w:t>
            </w:r>
          </w:p>
        </w:tc>
        <w:tc>
          <w:tcPr>
            <w:tcW w:w="18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3.9</w:t>
            </w:r>
          </w:p>
        </w:tc>
      </w:tr>
      <w:tr>
        <w:trPr>
          <w:trHeight w:val="177"/>
        </w:trPr>
        <w:tc>
          <w:tcPr>
            <w:tcW w:w="3960" w:type="dxa"/>
            <w:vAlign w:val="bottom"/>
          </w:tcPr>
          <w:p>
            <w:pPr>
              <w:ind w:left="180"/>
              <w:spacing w:after="0"/>
              <w:rPr>
                <w:sz w:val="20"/>
                <w:szCs w:val="20"/>
                <w:color w:val="auto"/>
              </w:rPr>
            </w:pPr>
            <w:r>
              <w:rPr>
                <w:rFonts w:ascii="Courier New" w:cs="Courier New" w:eastAsia="Courier New" w:hAnsi="Courier New"/>
                <w:sz w:val="15"/>
                <w:szCs w:val="15"/>
                <w:color w:val="auto"/>
              </w:rPr>
              <w:t>1345 Avenue of the Americas</w:t>
            </w:r>
          </w:p>
        </w:tc>
        <w:tc>
          <w:tcPr>
            <w:tcW w:w="24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77"/>
        </w:trPr>
        <w:tc>
          <w:tcPr>
            <w:tcW w:w="3960" w:type="dxa"/>
            <w:vAlign w:val="bottom"/>
          </w:tcPr>
          <w:p>
            <w:pPr>
              <w:ind w:left="180"/>
              <w:spacing w:after="0"/>
              <w:rPr>
                <w:sz w:val="20"/>
                <w:szCs w:val="20"/>
                <w:color w:val="auto"/>
              </w:rPr>
            </w:pPr>
            <w:r>
              <w:rPr>
                <w:rFonts w:ascii="Courier New" w:cs="Courier New" w:eastAsia="Courier New" w:hAnsi="Courier New"/>
                <w:sz w:val="15"/>
                <w:szCs w:val="15"/>
                <w:color w:val="auto"/>
              </w:rPr>
              <w:t>New York, New York 10105</w:t>
            </w:r>
          </w:p>
        </w:tc>
        <w:tc>
          <w:tcPr>
            <w:tcW w:w="24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77"/>
        </w:trPr>
        <w:tc>
          <w:tcPr>
            <w:tcW w:w="3960" w:type="dxa"/>
            <w:vAlign w:val="bottom"/>
          </w:tcPr>
          <w:p>
            <w:pPr>
              <w:spacing w:after="0"/>
              <w:rPr>
                <w:sz w:val="20"/>
                <w:szCs w:val="20"/>
                <w:color w:val="auto"/>
              </w:rPr>
            </w:pPr>
            <w:r>
              <w:rPr>
                <w:rFonts w:ascii="Courier New" w:cs="Courier New" w:eastAsia="Courier New" w:hAnsi="Courier New"/>
                <w:sz w:val="15"/>
                <w:szCs w:val="15"/>
                <w:color w:val="auto"/>
              </w:rPr>
              <w:t>John E. Drury............................</w:t>
            </w:r>
          </w:p>
        </w:tc>
        <w:tc>
          <w:tcPr>
            <w:tcW w:w="24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1,570,114(3)</w:t>
            </w:r>
          </w:p>
        </w:tc>
        <w:tc>
          <w:tcPr>
            <w:tcW w:w="204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1.7</w:t>
            </w:r>
          </w:p>
        </w:tc>
        <w:tc>
          <w:tcPr>
            <w:tcW w:w="18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1.2</w:t>
            </w:r>
          </w:p>
        </w:tc>
      </w:tr>
      <w:tr>
        <w:trPr>
          <w:trHeight w:val="177"/>
        </w:trPr>
        <w:tc>
          <w:tcPr>
            <w:tcW w:w="3960" w:type="dxa"/>
            <w:vAlign w:val="bottom"/>
          </w:tcPr>
          <w:p>
            <w:pPr>
              <w:spacing w:after="0"/>
              <w:rPr>
                <w:sz w:val="20"/>
                <w:szCs w:val="20"/>
                <w:color w:val="auto"/>
              </w:rPr>
            </w:pPr>
            <w:r>
              <w:rPr>
                <w:rFonts w:ascii="Courier New" w:cs="Courier New" w:eastAsia="Courier New" w:hAnsi="Courier New"/>
                <w:sz w:val="15"/>
                <w:szCs w:val="15"/>
                <w:color w:val="auto"/>
              </w:rPr>
              <w:t>Donald F. Moorehead, Jr..................</w:t>
            </w:r>
          </w:p>
        </w:tc>
        <w:tc>
          <w:tcPr>
            <w:tcW w:w="24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2,277,753(4)</w:t>
            </w:r>
          </w:p>
        </w:tc>
        <w:tc>
          <w:tcPr>
            <w:tcW w:w="204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2.5</w:t>
            </w:r>
          </w:p>
        </w:tc>
        <w:tc>
          <w:tcPr>
            <w:tcW w:w="18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1.7</w:t>
            </w:r>
          </w:p>
        </w:tc>
      </w:tr>
      <w:tr>
        <w:trPr>
          <w:trHeight w:val="177"/>
        </w:trPr>
        <w:tc>
          <w:tcPr>
            <w:tcW w:w="3960" w:type="dxa"/>
            <w:vAlign w:val="bottom"/>
          </w:tcPr>
          <w:p>
            <w:pPr>
              <w:spacing w:after="0"/>
              <w:rPr>
                <w:sz w:val="20"/>
                <w:szCs w:val="20"/>
                <w:color w:val="auto"/>
              </w:rPr>
            </w:pPr>
            <w:r>
              <w:rPr>
                <w:rFonts w:ascii="Courier New" w:cs="Courier New" w:eastAsia="Courier New" w:hAnsi="Courier New"/>
                <w:sz w:val="15"/>
                <w:szCs w:val="15"/>
                <w:color w:val="auto"/>
              </w:rPr>
              <w:t>David Sutherland-Yoest...................</w:t>
            </w:r>
          </w:p>
        </w:tc>
        <w:tc>
          <w:tcPr>
            <w:tcW w:w="24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447,013(5)</w:t>
            </w:r>
          </w:p>
        </w:tc>
        <w:tc>
          <w:tcPr>
            <w:tcW w:w="204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3960" w:type="dxa"/>
            <w:vAlign w:val="bottom"/>
          </w:tcPr>
          <w:p>
            <w:pPr>
              <w:spacing w:after="0"/>
              <w:rPr>
                <w:sz w:val="20"/>
                <w:szCs w:val="20"/>
                <w:color w:val="auto"/>
              </w:rPr>
            </w:pPr>
            <w:r>
              <w:rPr>
                <w:rFonts w:ascii="Courier New" w:cs="Courier New" w:eastAsia="Courier New" w:hAnsi="Courier New"/>
                <w:sz w:val="15"/>
                <w:szCs w:val="15"/>
                <w:color w:val="auto"/>
              </w:rPr>
              <w:t>Earl E. DeFrates.........................</w:t>
            </w:r>
          </w:p>
        </w:tc>
        <w:tc>
          <w:tcPr>
            <w:tcW w:w="24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136,754(6)</w:t>
            </w:r>
          </w:p>
        </w:tc>
        <w:tc>
          <w:tcPr>
            <w:tcW w:w="204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3960" w:type="dxa"/>
            <w:vAlign w:val="bottom"/>
          </w:tcPr>
          <w:p>
            <w:pPr>
              <w:spacing w:after="0"/>
              <w:rPr>
                <w:sz w:val="20"/>
                <w:szCs w:val="20"/>
                <w:color w:val="auto"/>
              </w:rPr>
            </w:pPr>
            <w:r>
              <w:rPr>
                <w:rFonts w:ascii="Courier New" w:cs="Courier New" w:eastAsia="Courier New" w:hAnsi="Courier New"/>
                <w:sz w:val="15"/>
                <w:szCs w:val="15"/>
                <w:color w:val="auto"/>
              </w:rPr>
              <w:t>Charles A. Wilcox........................</w:t>
            </w:r>
          </w:p>
        </w:tc>
        <w:tc>
          <w:tcPr>
            <w:tcW w:w="24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36,000(7)</w:t>
            </w:r>
          </w:p>
        </w:tc>
        <w:tc>
          <w:tcPr>
            <w:tcW w:w="204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3960" w:type="dxa"/>
            <w:vAlign w:val="bottom"/>
          </w:tcPr>
          <w:p>
            <w:pPr>
              <w:spacing w:after="0"/>
              <w:rPr>
                <w:sz w:val="20"/>
                <w:szCs w:val="20"/>
                <w:color w:val="auto"/>
              </w:rPr>
            </w:pPr>
            <w:r>
              <w:rPr>
                <w:rFonts w:ascii="Courier New" w:cs="Courier New" w:eastAsia="Courier New" w:hAnsi="Courier New"/>
                <w:sz w:val="15"/>
                <w:szCs w:val="15"/>
                <w:color w:val="auto"/>
              </w:rPr>
              <w:t>George L. Ball...........................</w:t>
            </w:r>
          </w:p>
        </w:tc>
        <w:tc>
          <w:tcPr>
            <w:tcW w:w="24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72,931(8)</w:t>
            </w:r>
          </w:p>
        </w:tc>
        <w:tc>
          <w:tcPr>
            <w:tcW w:w="204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3960" w:type="dxa"/>
            <w:vAlign w:val="bottom"/>
          </w:tcPr>
          <w:p>
            <w:pPr>
              <w:spacing w:after="0"/>
              <w:rPr>
                <w:sz w:val="20"/>
                <w:szCs w:val="20"/>
                <w:color w:val="auto"/>
              </w:rPr>
            </w:pPr>
            <w:r>
              <w:rPr>
                <w:rFonts w:ascii="Courier New" w:cs="Courier New" w:eastAsia="Courier New" w:hAnsi="Courier New"/>
                <w:sz w:val="15"/>
                <w:szCs w:val="15"/>
                <w:color w:val="auto"/>
              </w:rPr>
              <w:t>Peter J. Gibbons.........................</w:t>
            </w:r>
          </w:p>
        </w:tc>
        <w:tc>
          <w:tcPr>
            <w:tcW w:w="24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4,499(9)</w:t>
            </w:r>
          </w:p>
        </w:tc>
        <w:tc>
          <w:tcPr>
            <w:tcW w:w="204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3960" w:type="dxa"/>
            <w:vAlign w:val="bottom"/>
          </w:tcPr>
          <w:p>
            <w:pPr>
              <w:spacing w:after="0"/>
              <w:rPr>
                <w:sz w:val="20"/>
                <w:szCs w:val="20"/>
                <w:color w:val="auto"/>
              </w:rPr>
            </w:pPr>
            <w:r>
              <w:rPr>
                <w:rFonts w:ascii="Courier New" w:cs="Courier New" w:eastAsia="Courier New" w:hAnsi="Courier New"/>
                <w:sz w:val="15"/>
                <w:szCs w:val="15"/>
                <w:color w:val="auto"/>
              </w:rPr>
              <w:t>Richard J. Heckmann......................</w:t>
            </w:r>
          </w:p>
        </w:tc>
        <w:tc>
          <w:tcPr>
            <w:tcW w:w="2440" w:type="dxa"/>
            <w:vAlign w:val="bottom"/>
          </w:tcPr>
          <w:p>
            <w:pPr>
              <w:jc w:val="right"/>
              <w:ind w:right="783"/>
              <w:spacing w:after="0"/>
              <w:rPr>
                <w:sz w:val="20"/>
                <w:szCs w:val="20"/>
                <w:color w:val="auto"/>
              </w:rPr>
            </w:pPr>
            <w:r>
              <w:rPr>
                <w:rFonts w:ascii="Courier New" w:cs="Courier New" w:eastAsia="Courier New" w:hAnsi="Courier New"/>
                <w:sz w:val="15"/>
                <w:szCs w:val="15"/>
                <w:color w:val="auto"/>
              </w:rPr>
              <w:t>10,439</w:t>
            </w:r>
          </w:p>
        </w:tc>
        <w:tc>
          <w:tcPr>
            <w:tcW w:w="204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3960" w:type="dxa"/>
            <w:vAlign w:val="bottom"/>
          </w:tcPr>
          <w:p>
            <w:pPr>
              <w:spacing w:after="0"/>
              <w:rPr>
                <w:sz w:val="20"/>
                <w:szCs w:val="20"/>
                <w:color w:val="auto"/>
              </w:rPr>
            </w:pPr>
            <w:r>
              <w:rPr>
                <w:rFonts w:ascii="Courier New" w:cs="Courier New" w:eastAsia="Courier New" w:hAnsi="Courier New"/>
                <w:sz w:val="15"/>
                <w:szCs w:val="15"/>
                <w:color w:val="auto"/>
              </w:rPr>
              <w:t>William E. Moffett.......................</w:t>
            </w:r>
          </w:p>
        </w:tc>
        <w:tc>
          <w:tcPr>
            <w:tcW w:w="24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6,665(10)</w:t>
            </w:r>
          </w:p>
        </w:tc>
        <w:tc>
          <w:tcPr>
            <w:tcW w:w="204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3960" w:type="dxa"/>
            <w:vAlign w:val="bottom"/>
          </w:tcPr>
          <w:p>
            <w:pPr>
              <w:spacing w:after="0"/>
              <w:rPr>
                <w:sz w:val="20"/>
                <w:szCs w:val="20"/>
                <w:color w:val="auto"/>
              </w:rPr>
            </w:pPr>
            <w:r>
              <w:rPr>
                <w:rFonts w:ascii="Courier New" w:cs="Courier New" w:eastAsia="Courier New" w:hAnsi="Courier New"/>
                <w:sz w:val="15"/>
                <w:szCs w:val="15"/>
                <w:color w:val="auto"/>
              </w:rPr>
              <w:t>John G. Rangos, Sr.......................</w:t>
            </w:r>
          </w:p>
        </w:tc>
        <w:tc>
          <w:tcPr>
            <w:tcW w:w="2440" w:type="dxa"/>
            <w:vAlign w:val="bottom"/>
          </w:tcPr>
          <w:p>
            <w:pPr>
              <w:jc w:val="right"/>
              <w:ind w:right="783"/>
              <w:spacing w:after="0"/>
              <w:rPr>
                <w:sz w:val="20"/>
                <w:szCs w:val="20"/>
                <w:color w:val="auto"/>
              </w:rPr>
            </w:pPr>
            <w:r>
              <w:rPr>
                <w:rFonts w:ascii="Courier New" w:cs="Courier New" w:eastAsia="Courier New" w:hAnsi="Courier New"/>
                <w:sz w:val="15"/>
                <w:szCs w:val="15"/>
                <w:color w:val="auto"/>
              </w:rPr>
              <w:t>7,663,911</w:t>
            </w:r>
          </w:p>
        </w:tc>
        <w:tc>
          <w:tcPr>
            <w:tcW w:w="204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8.6</w:t>
            </w:r>
          </w:p>
        </w:tc>
        <w:tc>
          <w:tcPr>
            <w:tcW w:w="18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5.8</w:t>
            </w:r>
          </w:p>
        </w:tc>
      </w:tr>
      <w:tr>
        <w:trPr>
          <w:trHeight w:val="177"/>
        </w:trPr>
        <w:tc>
          <w:tcPr>
            <w:tcW w:w="3960" w:type="dxa"/>
            <w:vAlign w:val="bottom"/>
          </w:tcPr>
          <w:p>
            <w:pPr>
              <w:spacing w:after="0"/>
              <w:rPr>
                <w:sz w:val="20"/>
                <w:szCs w:val="20"/>
                <w:color w:val="auto"/>
              </w:rPr>
            </w:pPr>
            <w:r>
              <w:rPr>
                <w:rFonts w:ascii="Courier New" w:cs="Courier New" w:eastAsia="Courier New" w:hAnsi="Courier New"/>
                <w:sz w:val="15"/>
                <w:szCs w:val="15"/>
                <w:color w:val="auto"/>
              </w:rPr>
              <w:t>Alexander W. Rangos......................</w:t>
            </w:r>
          </w:p>
        </w:tc>
        <w:tc>
          <w:tcPr>
            <w:tcW w:w="24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2,082,131(11)</w:t>
            </w:r>
          </w:p>
        </w:tc>
        <w:tc>
          <w:tcPr>
            <w:tcW w:w="204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2.5</w:t>
            </w:r>
          </w:p>
        </w:tc>
        <w:tc>
          <w:tcPr>
            <w:tcW w:w="18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1.6</w:t>
            </w:r>
          </w:p>
        </w:tc>
      </w:tr>
      <w:tr>
        <w:trPr>
          <w:trHeight w:val="177"/>
        </w:trPr>
        <w:tc>
          <w:tcPr>
            <w:tcW w:w="3960" w:type="dxa"/>
            <w:vAlign w:val="bottom"/>
          </w:tcPr>
          <w:p>
            <w:pPr>
              <w:spacing w:after="0"/>
              <w:rPr>
                <w:sz w:val="20"/>
                <w:szCs w:val="20"/>
                <w:color w:val="auto"/>
              </w:rPr>
            </w:pPr>
            <w:r>
              <w:rPr>
                <w:rFonts w:ascii="Courier New" w:cs="Courier New" w:eastAsia="Courier New" w:hAnsi="Courier New"/>
                <w:sz w:val="15"/>
                <w:szCs w:val="15"/>
                <w:color w:val="auto"/>
              </w:rPr>
              <w:t>Kosti Shirvanian.........................</w:t>
            </w:r>
          </w:p>
        </w:tc>
        <w:tc>
          <w:tcPr>
            <w:tcW w:w="24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9,051,061(12)</w:t>
            </w:r>
          </w:p>
        </w:tc>
        <w:tc>
          <w:tcPr>
            <w:tcW w:w="204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9.9</w:t>
            </w:r>
          </w:p>
        </w:tc>
        <w:tc>
          <w:tcPr>
            <w:tcW w:w="18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6.7</w:t>
            </w:r>
          </w:p>
        </w:tc>
      </w:tr>
      <w:tr>
        <w:trPr>
          <w:trHeight w:val="177"/>
        </w:trPr>
        <w:tc>
          <w:tcPr>
            <w:tcW w:w="3960" w:type="dxa"/>
            <w:vAlign w:val="bottom"/>
          </w:tcPr>
          <w:p>
            <w:pPr>
              <w:spacing w:after="0"/>
              <w:rPr>
                <w:sz w:val="20"/>
                <w:szCs w:val="20"/>
                <w:color w:val="auto"/>
              </w:rPr>
            </w:pPr>
            <w:r>
              <w:rPr>
                <w:rFonts w:ascii="Courier New" w:cs="Courier New" w:eastAsia="Courier New" w:hAnsi="Courier New"/>
                <w:sz w:val="15"/>
                <w:szCs w:val="15"/>
                <w:color w:val="auto"/>
              </w:rPr>
              <w:t>Savey Tufenkian..........................</w:t>
            </w:r>
          </w:p>
        </w:tc>
        <w:tc>
          <w:tcPr>
            <w:tcW w:w="24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1,086,579(13)</w:t>
            </w:r>
          </w:p>
        </w:tc>
        <w:tc>
          <w:tcPr>
            <w:tcW w:w="204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1.2</w:t>
            </w:r>
          </w:p>
        </w:tc>
        <w:tc>
          <w:tcPr>
            <w:tcW w:w="18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3960" w:type="dxa"/>
            <w:vAlign w:val="bottom"/>
          </w:tcPr>
          <w:p>
            <w:pPr>
              <w:spacing w:after="0"/>
              <w:rPr>
                <w:sz w:val="20"/>
                <w:szCs w:val="20"/>
                <w:color w:val="auto"/>
              </w:rPr>
            </w:pPr>
            <w:r>
              <w:rPr>
                <w:rFonts w:ascii="Courier New" w:cs="Courier New" w:eastAsia="Courier New" w:hAnsi="Courier New"/>
                <w:sz w:val="15"/>
                <w:szCs w:val="15"/>
                <w:color w:val="auto"/>
              </w:rPr>
              <w:t>All directors and executive..............</w:t>
            </w:r>
          </w:p>
        </w:tc>
        <w:tc>
          <w:tcPr>
            <w:tcW w:w="24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24,498,365(14)</w:t>
            </w:r>
          </w:p>
        </w:tc>
        <w:tc>
          <w:tcPr>
            <w:tcW w:w="204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26.2</w:t>
            </w:r>
          </w:p>
        </w:tc>
        <w:tc>
          <w:tcPr>
            <w:tcW w:w="18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17.9</w:t>
            </w:r>
          </w:p>
        </w:tc>
      </w:tr>
      <w:tr>
        <w:trPr>
          <w:trHeight w:val="177"/>
        </w:trPr>
        <w:tc>
          <w:tcPr>
            <w:tcW w:w="3960" w:type="dxa"/>
            <w:vAlign w:val="bottom"/>
          </w:tcPr>
          <w:p>
            <w:pPr>
              <w:ind w:left="180"/>
              <w:spacing w:after="0"/>
              <w:rPr>
                <w:sz w:val="20"/>
                <w:szCs w:val="20"/>
                <w:color w:val="auto"/>
              </w:rPr>
            </w:pPr>
            <w:r>
              <w:rPr>
                <w:rFonts w:ascii="Courier New" w:cs="Courier New" w:eastAsia="Courier New" w:hAnsi="Courier New"/>
                <w:sz w:val="15"/>
                <w:szCs w:val="15"/>
                <w:color w:val="auto"/>
              </w:rPr>
              <w:t>officers as a group (17 persons)</w:t>
            </w:r>
          </w:p>
        </w:tc>
        <w:tc>
          <w:tcPr>
            <w:tcW w:w="24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800" w:type="dxa"/>
            <w:vAlign w:val="bottom"/>
          </w:tcPr>
          <w:p>
            <w:pPr>
              <w:spacing w:after="0"/>
              <w:rPr>
                <w:sz w:val="15"/>
                <w:szCs w:val="15"/>
                <w:color w:val="auto"/>
              </w:rPr>
            </w:pP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460" w:hanging="281"/>
        <w:spacing w:after="0"/>
        <w:tabs>
          <w:tab w:leader="none" w:pos="4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w:t>
      </w:r>
    </w:p>
    <w:p>
      <w:pPr>
        <w:spacing w:after="0" w:line="185" w:lineRule="exact"/>
        <w:rPr>
          <w:sz w:val="20"/>
          <w:szCs w:val="20"/>
          <w:color w:val="auto"/>
        </w:rPr>
      </w:pPr>
    </w:p>
    <w:p>
      <w:pPr>
        <w:ind w:left="460" w:right="3040" w:hanging="373"/>
        <w:spacing w:after="0" w:line="251" w:lineRule="auto"/>
        <w:tabs>
          <w:tab w:leader="none" w:pos="4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over which such person shares voting or disposition power and shares in which such person has the right to acquire beneficial ownership within 60 days, including upon exercise of a stock option or conversion of a convertible security.</w:t>
      </w:r>
    </w:p>
    <w:p>
      <w:pPr>
        <w:spacing w:after="0" w:line="176" w:lineRule="exact"/>
        <w:rPr>
          <w:rFonts w:ascii="Courier New" w:cs="Courier New" w:eastAsia="Courier New" w:hAnsi="Courier New"/>
          <w:sz w:val="15"/>
          <w:szCs w:val="15"/>
          <w:color w:val="auto"/>
        </w:rPr>
      </w:pPr>
    </w:p>
    <w:p>
      <w:pPr>
        <w:ind w:left="460" w:hanging="373"/>
        <w:spacing w:after="0"/>
        <w:tabs>
          <w:tab w:leader="none" w:pos="4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a Schedule 13F on file with the Commission.</w:t>
      </w:r>
    </w:p>
    <w:p>
      <w:pPr>
        <w:spacing w:after="0" w:line="362" w:lineRule="exact"/>
        <w:rPr>
          <w:rFonts w:ascii="Courier New" w:cs="Courier New" w:eastAsia="Courier New" w:hAnsi="Courier New"/>
          <w:sz w:val="15"/>
          <w:szCs w:val="15"/>
          <w:color w:val="auto"/>
        </w:rPr>
      </w:pPr>
    </w:p>
    <w:p>
      <w:pPr>
        <w:ind w:left="460" w:right="2960" w:hanging="373"/>
        <w:spacing w:after="0" w:line="253" w:lineRule="auto"/>
        <w:tabs>
          <w:tab w:leader="none" w:pos="4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510,000 shares issuable pursuant to options exercisable within 60 days and 5,176 shares owned by Mr. Drury's spouse.</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460" w:right="2960" w:hanging="373"/>
        <w:spacing w:after="0" w:line="253" w:lineRule="auto"/>
        <w:tabs>
          <w:tab w:leader="none" w:pos="4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286,500 shares issuable pursuant to options exercisable within 60 days and 228,632 shares owned by Mr. Moorehead's spouse and children.</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460" w:right="2960" w:hanging="373"/>
        <w:spacing w:after="0" w:line="253" w:lineRule="auto"/>
        <w:tabs>
          <w:tab w:leader="none" w:pos="4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209,029 shares issuable pursuant to options exercisable within 60 days and 2,000 shares owned by Mr. Sutherland-Yoest's daughter.</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460" w:right="3040" w:hanging="373"/>
        <w:spacing w:after="0" w:line="253" w:lineRule="auto"/>
        <w:tabs>
          <w:tab w:leader="none" w:pos="4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99,000 shares issuable pursuant to options exercisable within 60 days.</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460" w:right="3040" w:hanging="373"/>
        <w:spacing w:after="0" w:line="253" w:lineRule="auto"/>
        <w:tabs>
          <w:tab w:leader="none" w:pos="4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36,000 shares issuable pursuant to options exercisable within 60 days.</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460" w:right="3040" w:hanging="373"/>
        <w:spacing w:after="0" w:line="251" w:lineRule="auto"/>
        <w:tabs>
          <w:tab w:leader="none" w:pos="4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10,000 shares issuable pursuant to options exercisable within 60 days and 32,135 shares owned by Mr. Ball's spouse and an investment partnership for her children and 3,600 shares owned by Mr. Ball's stepdaughter.</w:t>
      </w:r>
    </w:p>
    <w:p>
      <w:pPr>
        <w:sectPr>
          <w:pgSz w:w="11900" w:h="16838" w:orient="portrait"/>
          <w:cols w:equalWidth="0" w:num="1">
            <w:col w:w="10240"/>
          </w:cols>
          <w:pgMar w:left="240" w:top="295" w:right="1419" w:bottom="185" w:gutter="0" w:footer="0" w:header="0"/>
        </w:sectPr>
      </w:pPr>
    </w:p>
    <w:bookmarkStart w:id="79" w:name="page80"/>
    <w:bookmarkEnd w:id="79"/>
    <w:p>
      <w:pPr>
        <w:ind w:left="460" w:hanging="373"/>
        <w:spacing w:after="0"/>
        <w:tabs>
          <w:tab w:leader="none" w:pos="4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2,499 shares issuable pursuant to options exercisable within 60</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days.</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142" w:right="1440" w:bottom="1440" w:gutter="0" w:footer="0" w:header="0"/>
        </w:sectPr>
      </w:pPr>
    </w:p>
    <w:bookmarkStart w:id="80" w:name="page81"/>
    <w:bookmarkEnd w:id="80"/>
    <w:p>
      <w:pPr>
        <w:ind w:left="285"/>
        <w:spacing w:after="0"/>
        <w:rPr>
          <w:sz w:val="20"/>
          <w:szCs w:val="20"/>
          <w:color w:val="auto"/>
        </w:rPr>
      </w:pPr>
      <w:r>
        <w:rPr>
          <w:rFonts w:ascii="Courier New" w:cs="Courier New" w:eastAsia="Courier New" w:hAnsi="Courier New"/>
          <w:sz w:val="15"/>
          <w:szCs w:val="15"/>
          <w:color w:val="auto"/>
        </w:rPr>
        <w:t>79</w:t>
      </w:r>
    </w:p>
    <w:p>
      <w:pPr>
        <w:spacing w:after="0" w:line="362" w:lineRule="exact"/>
        <w:rPr>
          <w:sz w:val="20"/>
          <w:szCs w:val="20"/>
          <w:color w:val="auto"/>
        </w:rPr>
      </w:pPr>
    </w:p>
    <w:p>
      <w:pPr>
        <w:ind w:left="465" w:right="3220" w:hanging="465"/>
        <w:spacing w:after="0" w:line="253" w:lineRule="auto"/>
        <w:tabs>
          <w:tab w:leader="none" w:pos="46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6,665 shares issuable pursuant to options exercisable within 60 days.</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465" w:right="2940" w:hanging="465"/>
        <w:spacing w:after="0" w:line="253" w:lineRule="auto"/>
        <w:tabs>
          <w:tab w:leader="none" w:pos="46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210,709 shares issuable pursuant to options exercisable within 60 days and 1,210,008 shares held by John Rangos Development Corporation, Inc.</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465" w:right="3040" w:hanging="465"/>
        <w:spacing w:after="0" w:line="252" w:lineRule="auto"/>
        <w:tabs>
          <w:tab w:leader="none" w:pos="46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2,337,000 shares issuable pursuant to options exercisable within 60 days and 6,581,680 shares held by a trust over which Mr. Shirvanian and his wife share voting and investment power.</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465" w:right="3040" w:hanging="465"/>
        <w:spacing w:after="0" w:line="252" w:lineRule="auto"/>
        <w:tabs>
          <w:tab w:leader="none" w:pos="46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686,250 shares issuable pursuant to options exercisable within 60 days, and 363,880 shares and options exercisable within 60 days owned by Ms. Tufenkian's husband.</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465" w:right="3120" w:hanging="465"/>
        <w:spacing w:after="0" w:line="253" w:lineRule="auto"/>
        <w:tabs>
          <w:tab w:leader="none" w:pos="46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4,445,652 shares issuable pursuant to options exercisable within 60 days.</w:t>
      </w:r>
    </w:p>
    <w:p>
      <w:pPr>
        <w:spacing w:after="0" w:line="35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SANIFILL</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500" w:type="dxa"/>
            <w:vAlign w:val="bottom"/>
          </w:tcPr>
          <w:p>
            <w:pPr>
              <w:spacing w:after="0"/>
              <w:rPr>
                <w:sz w:val="14"/>
                <w:szCs w:val="14"/>
                <w:color w:val="auto"/>
              </w:rPr>
            </w:pPr>
          </w:p>
        </w:tc>
        <w:tc>
          <w:tcPr>
            <w:tcW w:w="2120" w:type="dxa"/>
            <w:vAlign w:val="bottom"/>
          </w:tcPr>
          <w:p>
            <w:pPr>
              <w:jc w:val="center"/>
              <w:ind w:right="183"/>
              <w:spacing w:after="0"/>
              <w:rPr>
                <w:sz w:val="20"/>
                <w:szCs w:val="20"/>
                <w:color w:val="auto"/>
              </w:rPr>
            </w:pPr>
            <w:r>
              <w:rPr>
                <w:rFonts w:ascii="Courier New" w:cs="Courier New" w:eastAsia="Courier New" w:hAnsi="Courier New"/>
                <w:sz w:val="15"/>
                <w:szCs w:val="15"/>
                <w:color w:val="auto"/>
              </w:rPr>
              <w:t>SANIFILL</w:t>
            </w:r>
          </w:p>
        </w:tc>
        <w:tc>
          <w:tcPr>
            <w:tcW w:w="1300" w:type="dxa"/>
            <w:vAlign w:val="bottom"/>
          </w:tcPr>
          <w:p>
            <w:pPr>
              <w:spacing w:after="0"/>
              <w:rPr>
                <w:sz w:val="14"/>
                <w:szCs w:val="14"/>
                <w:color w:val="auto"/>
              </w:rPr>
            </w:pPr>
          </w:p>
        </w:tc>
        <w:tc>
          <w:tcPr>
            <w:tcW w:w="21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USA WASTE</w:t>
            </w:r>
          </w:p>
        </w:tc>
        <w:tc>
          <w:tcPr>
            <w:tcW w:w="1240" w:type="dxa"/>
            <w:vAlign w:val="bottom"/>
          </w:tcPr>
          <w:p>
            <w:pPr>
              <w:spacing w:after="0"/>
              <w:rPr>
                <w:sz w:val="14"/>
                <w:szCs w:val="14"/>
                <w:color w:val="auto"/>
              </w:rPr>
            </w:pPr>
          </w:p>
        </w:tc>
      </w:tr>
      <w:tr>
        <w:trPr>
          <w:trHeight w:val="177"/>
        </w:trPr>
        <w:tc>
          <w:tcPr>
            <w:tcW w:w="3500" w:type="dxa"/>
            <w:vAlign w:val="bottom"/>
          </w:tcPr>
          <w:p>
            <w:pPr>
              <w:spacing w:after="0"/>
              <w:rPr>
                <w:sz w:val="15"/>
                <w:szCs w:val="15"/>
                <w:color w:val="auto"/>
              </w:rPr>
            </w:pPr>
          </w:p>
        </w:tc>
        <w:tc>
          <w:tcPr>
            <w:tcW w:w="2120" w:type="dxa"/>
            <w:vAlign w:val="bottom"/>
          </w:tcPr>
          <w:p>
            <w:pPr>
              <w:jc w:val="center"/>
              <w:ind w:right="203"/>
              <w:spacing w:after="0"/>
              <w:rPr>
                <w:sz w:val="20"/>
                <w:szCs w:val="20"/>
                <w:color w:val="auto"/>
              </w:rPr>
            </w:pPr>
            <w:r>
              <w:rPr>
                <w:rFonts w:ascii="Courier New" w:cs="Courier New" w:eastAsia="Courier New" w:hAnsi="Courier New"/>
                <w:sz w:val="15"/>
                <w:szCs w:val="15"/>
                <w:color w:val="auto"/>
              </w:rPr>
              <w:t>COMMON STOCK</w:t>
            </w:r>
          </w:p>
        </w:tc>
        <w:tc>
          <w:tcPr>
            <w:tcW w:w="1300" w:type="dxa"/>
            <w:vAlign w:val="bottom"/>
          </w:tcPr>
          <w:p>
            <w:pPr>
              <w:spacing w:after="0"/>
              <w:rPr>
                <w:sz w:val="15"/>
                <w:szCs w:val="15"/>
                <w:color w:val="auto"/>
              </w:rPr>
            </w:pPr>
          </w:p>
        </w:tc>
        <w:tc>
          <w:tcPr>
            <w:tcW w:w="216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COMMON STOCK</w:t>
            </w:r>
          </w:p>
        </w:tc>
        <w:tc>
          <w:tcPr>
            <w:tcW w:w="1240" w:type="dxa"/>
            <w:vAlign w:val="bottom"/>
          </w:tcPr>
          <w:p>
            <w:pPr>
              <w:spacing w:after="0"/>
              <w:rPr>
                <w:sz w:val="15"/>
                <w:szCs w:val="15"/>
                <w:color w:val="auto"/>
              </w:rPr>
            </w:pPr>
          </w:p>
        </w:tc>
      </w:tr>
      <w:tr>
        <w:trPr>
          <w:trHeight w:val="177"/>
        </w:trPr>
        <w:tc>
          <w:tcPr>
            <w:tcW w:w="3500" w:type="dxa"/>
            <w:vAlign w:val="bottom"/>
          </w:tcPr>
          <w:p>
            <w:pPr>
              <w:ind w:left="1480"/>
              <w:spacing w:after="0"/>
              <w:rPr>
                <w:sz w:val="20"/>
                <w:szCs w:val="20"/>
                <w:color w:val="auto"/>
              </w:rPr>
            </w:pPr>
            <w:r>
              <w:rPr>
                <w:rFonts w:ascii="Courier New" w:cs="Courier New" w:eastAsia="Courier New" w:hAnsi="Courier New"/>
                <w:sz w:val="15"/>
                <w:szCs w:val="15"/>
                <w:color w:val="auto"/>
              </w:rPr>
              <w:t>NAME</w:t>
            </w:r>
          </w:p>
        </w:tc>
        <w:tc>
          <w:tcPr>
            <w:tcW w:w="2120" w:type="dxa"/>
            <w:vAlign w:val="bottom"/>
          </w:tcPr>
          <w:p>
            <w:pPr>
              <w:jc w:val="center"/>
              <w:ind w:right="203"/>
              <w:spacing w:after="0"/>
              <w:rPr>
                <w:sz w:val="20"/>
                <w:szCs w:val="20"/>
                <w:color w:val="auto"/>
              </w:rPr>
            </w:pPr>
            <w:r>
              <w:rPr>
                <w:rFonts w:ascii="Courier New" w:cs="Courier New" w:eastAsia="Courier New" w:hAnsi="Courier New"/>
                <w:sz w:val="15"/>
                <w:szCs w:val="15"/>
                <w:color w:val="auto"/>
              </w:rPr>
              <w:t>BEFORE THE MERGER(1)</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PERCENTAGE</w:t>
            </w:r>
          </w:p>
        </w:tc>
        <w:tc>
          <w:tcPr>
            <w:tcW w:w="2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AFTER THE MERGER(1)</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PERCENTAGE</w:t>
            </w:r>
          </w:p>
        </w:tc>
      </w:tr>
      <w:tr>
        <w:trPr>
          <w:trHeight w:val="177"/>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 ------------------------------------- --------------------</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500" w:type="dxa"/>
            <w:vAlign w:val="bottom"/>
          </w:tcPr>
          <w:p>
            <w:pPr>
              <w:spacing w:after="0"/>
              <w:rPr>
                <w:sz w:val="20"/>
                <w:szCs w:val="20"/>
                <w:color w:val="auto"/>
              </w:rPr>
            </w:pPr>
            <w:r>
              <w:rPr>
                <w:rFonts w:ascii="Courier New" w:cs="Courier New" w:eastAsia="Courier New" w:hAnsi="Courier New"/>
                <w:sz w:val="15"/>
                <w:szCs w:val="15"/>
                <w:color w:val="auto"/>
              </w:rPr>
              <w:t>Lorne D. Bain........................</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437,703(2)</w:t>
            </w:r>
          </w:p>
        </w:tc>
        <w:tc>
          <w:tcPr>
            <w:tcW w:w="13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1.8</w:t>
            </w:r>
          </w:p>
        </w:tc>
        <w:tc>
          <w:tcPr>
            <w:tcW w:w="21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744,095</w:t>
            </w:r>
          </w:p>
        </w:tc>
        <w:tc>
          <w:tcPr>
            <w:tcW w:w="12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177"/>
        </w:trPr>
        <w:tc>
          <w:tcPr>
            <w:tcW w:w="3500" w:type="dxa"/>
            <w:vAlign w:val="bottom"/>
          </w:tcPr>
          <w:p>
            <w:pPr>
              <w:spacing w:after="0"/>
              <w:rPr>
                <w:sz w:val="20"/>
                <w:szCs w:val="20"/>
                <w:color w:val="auto"/>
              </w:rPr>
            </w:pPr>
            <w:r>
              <w:rPr>
                <w:rFonts w:ascii="Courier New" w:cs="Courier New" w:eastAsia="Courier New" w:hAnsi="Courier New"/>
                <w:sz w:val="15"/>
                <w:szCs w:val="15"/>
                <w:color w:val="auto"/>
              </w:rPr>
              <w:t>Larry J. Martin......................</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924,300(3)</w:t>
            </w:r>
          </w:p>
        </w:tc>
        <w:tc>
          <w:tcPr>
            <w:tcW w:w="13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3.7</w:t>
            </w:r>
          </w:p>
        </w:tc>
        <w:tc>
          <w:tcPr>
            <w:tcW w:w="2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1,624,643(17)</w:t>
            </w:r>
          </w:p>
        </w:tc>
        <w:tc>
          <w:tcPr>
            <w:tcW w:w="12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1.2</w:t>
            </w:r>
          </w:p>
        </w:tc>
      </w:tr>
      <w:tr>
        <w:trPr>
          <w:trHeight w:val="177"/>
        </w:trPr>
        <w:tc>
          <w:tcPr>
            <w:tcW w:w="3500" w:type="dxa"/>
            <w:vAlign w:val="bottom"/>
          </w:tcPr>
          <w:p>
            <w:pPr>
              <w:spacing w:after="0"/>
              <w:rPr>
                <w:sz w:val="20"/>
                <w:szCs w:val="20"/>
                <w:color w:val="auto"/>
              </w:rPr>
            </w:pPr>
            <w:r>
              <w:rPr>
                <w:rFonts w:ascii="Courier New" w:cs="Courier New" w:eastAsia="Courier New" w:hAnsi="Courier New"/>
                <w:sz w:val="15"/>
                <w:szCs w:val="15"/>
                <w:color w:val="auto"/>
              </w:rPr>
              <w:t>Rodney R. Proto......................</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354,029(4)</w:t>
            </w:r>
          </w:p>
        </w:tc>
        <w:tc>
          <w:tcPr>
            <w:tcW w:w="13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1.4</w:t>
            </w:r>
          </w:p>
        </w:tc>
        <w:tc>
          <w:tcPr>
            <w:tcW w:w="2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603,265(18)</w:t>
            </w:r>
          </w:p>
        </w:tc>
        <w:tc>
          <w:tcPr>
            <w:tcW w:w="12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177"/>
        </w:trPr>
        <w:tc>
          <w:tcPr>
            <w:tcW w:w="3500" w:type="dxa"/>
            <w:vAlign w:val="bottom"/>
          </w:tcPr>
          <w:p>
            <w:pPr>
              <w:spacing w:after="0"/>
              <w:rPr>
                <w:sz w:val="20"/>
                <w:szCs w:val="20"/>
                <w:color w:val="auto"/>
              </w:rPr>
            </w:pPr>
            <w:r>
              <w:rPr>
                <w:rFonts w:ascii="Courier New" w:cs="Courier New" w:eastAsia="Courier New" w:hAnsi="Courier New"/>
                <w:sz w:val="15"/>
                <w:szCs w:val="15"/>
                <w:color w:val="auto"/>
              </w:rPr>
              <w:t>Alfred C. Warrington, IV.............</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307,935(5)</w:t>
            </w:r>
          </w:p>
        </w:tc>
        <w:tc>
          <w:tcPr>
            <w:tcW w:w="13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1.2</w:t>
            </w:r>
          </w:p>
        </w:tc>
        <w:tc>
          <w:tcPr>
            <w:tcW w:w="21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523,489</w:t>
            </w:r>
          </w:p>
        </w:tc>
        <w:tc>
          <w:tcPr>
            <w:tcW w:w="12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177"/>
        </w:trPr>
        <w:tc>
          <w:tcPr>
            <w:tcW w:w="3500" w:type="dxa"/>
            <w:vAlign w:val="bottom"/>
          </w:tcPr>
          <w:p>
            <w:pPr>
              <w:spacing w:after="0"/>
              <w:rPr>
                <w:sz w:val="20"/>
                <w:szCs w:val="20"/>
                <w:color w:val="auto"/>
              </w:rPr>
            </w:pPr>
            <w:r>
              <w:rPr>
                <w:rFonts w:ascii="Courier New" w:cs="Courier New" w:eastAsia="Courier New" w:hAnsi="Courier New"/>
                <w:sz w:val="15"/>
                <w:szCs w:val="15"/>
                <w:color w:val="auto"/>
              </w:rPr>
              <w:t>William L. Lynch.....................</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57,850(7)</w:t>
            </w:r>
          </w:p>
        </w:tc>
        <w:tc>
          <w:tcPr>
            <w:tcW w:w="13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98,345</w:t>
            </w:r>
          </w:p>
        </w:tc>
        <w:tc>
          <w:tcPr>
            <w:tcW w:w="12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177"/>
        </w:trPr>
        <w:tc>
          <w:tcPr>
            <w:tcW w:w="3500" w:type="dxa"/>
            <w:vAlign w:val="bottom"/>
          </w:tcPr>
          <w:p>
            <w:pPr>
              <w:spacing w:after="0"/>
              <w:rPr>
                <w:sz w:val="20"/>
                <w:szCs w:val="20"/>
                <w:color w:val="auto"/>
              </w:rPr>
            </w:pPr>
            <w:r>
              <w:rPr>
                <w:rFonts w:ascii="Courier New" w:cs="Courier New" w:eastAsia="Courier New" w:hAnsi="Courier New"/>
                <w:sz w:val="15"/>
                <w:szCs w:val="15"/>
                <w:color w:val="auto"/>
              </w:rPr>
              <w:t>Robert G. Jones......................</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50,100(6)</w:t>
            </w:r>
          </w:p>
        </w:tc>
        <w:tc>
          <w:tcPr>
            <w:tcW w:w="13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85,170</w:t>
            </w:r>
          </w:p>
        </w:tc>
        <w:tc>
          <w:tcPr>
            <w:tcW w:w="12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177"/>
        </w:trPr>
        <w:tc>
          <w:tcPr>
            <w:tcW w:w="3500" w:type="dxa"/>
            <w:vAlign w:val="bottom"/>
          </w:tcPr>
          <w:p>
            <w:pPr>
              <w:spacing w:after="0"/>
              <w:rPr>
                <w:sz w:val="20"/>
                <w:szCs w:val="20"/>
                <w:color w:val="auto"/>
              </w:rPr>
            </w:pPr>
            <w:r>
              <w:rPr>
                <w:rFonts w:ascii="Courier New" w:cs="Courier New" w:eastAsia="Courier New" w:hAnsi="Courier New"/>
                <w:sz w:val="15"/>
                <w:szCs w:val="15"/>
                <w:color w:val="auto"/>
              </w:rPr>
              <w:t>Ralph F. Cox.........................</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25,000(8)</w:t>
            </w:r>
          </w:p>
        </w:tc>
        <w:tc>
          <w:tcPr>
            <w:tcW w:w="13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42,500</w:t>
            </w:r>
          </w:p>
        </w:tc>
        <w:tc>
          <w:tcPr>
            <w:tcW w:w="12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177"/>
        </w:trPr>
        <w:tc>
          <w:tcPr>
            <w:tcW w:w="3500" w:type="dxa"/>
            <w:vAlign w:val="bottom"/>
          </w:tcPr>
          <w:p>
            <w:pPr>
              <w:spacing w:after="0"/>
              <w:rPr>
                <w:sz w:val="20"/>
                <w:szCs w:val="20"/>
                <w:color w:val="auto"/>
              </w:rPr>
            </w:pPr>
            <w:r>
              <w:rPr>
                <w:rFonts w:ascii="Courier New" w:cs="Courier New" w:eastAsia="Courier New" w:hAnsi="Courier New"/>
                <w:sz w:val="15"/>
                <w:szCs w:val="15"/>
                <w:color w:val="auto"/>
              </w:rPr>
              <w:t>Raymond C. Loehr.....................</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15,000(9)</w:t>
            </w:r>
          </w:p>
        </w:tc>
        <w:tc>
          <w:tcPr>
            <w:tcW w:w="13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25,500</w:t>
            </w:r>
          </w:p>
        </w:tc>
        <w:tc>
          <w:tcPr>
            <w:tcW w:w="12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177"/>
        </w:trPr>
        <w:tc>
          <w:tcPr>
            <w:tcW w:w="3500" w:type="dxa"/>
            <w:vAlign w:val="bottom"/>
          </w:tcPr>
          <w:p>
            <w:pPr>
              <w:spacing w:after="0"/>
              <w:rPr>
                <w:sz w:val="20"/>
                <w:szCs w:val="20"/>
                <w:color w:val="auto"/>
              </w:rPr>
            </w:pPr>
            <w:r>
              <w:rPr>
                <w:rFonts w:ascii="Courier New" w:cs="Courier New" w:eastAsia="Courier New" w:hAnsi="Courier New"/>
                <w:sz w:val="15"/>
                <w:szCs w:val="15"/>
                <w:color w:val="auto"/>
              </w:rPr>
              <w:t>William J. Razzouk...................</w:t>
            </w:r>
          </w:p>
        </w:tc>
        <w:tc>
          <w:tcPr>
            <w:tcW w:w="21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10,000(10)</w:t>
            </w:r>
          </w:p>
        </w:tc>
        <w:tc>
          <w:tcPr>
            <w:tcW w:w="13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17,000</w:t>
            </w:r>
          </w:p>
        </w:tc>
        <w:tc>
          <w:tcPr>
            <w:tcW w:w="12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177"/>
        </w:trPr>
        <w:tc>
          <w:tcPr>
            <w:tcW w:w="3500" w:type="dxa"/>
            <w:vAlign w:val="bottom"/>
          </w:tcPr>
          <w:p>
            <w:pPr>
              <w:spacing w:after="0"/>
              <w:rPr>
                <w:sz w:val="20"/>
                <w:szCs w:val="20"/>
                <w:color w:val="auto"/>
              </w:rPr>
            </w:pPr>
            <w:r>
              <w:rPr>
                <w:rFonts w:ascii="Courier New" w:cs="Courier New" w:eastAsia="Courier New" w:hAnsi="Courier New"/>
                <w:sz w:val="15"/>
                <w:szCs w:val="15"/>
                <w:color w:val="auto"/>
              </w:rPr>
              <w:t>J. Chris Brewster....................</w:t>
            </w:r>
          </w:p>
        </w:tc>
        <w:tc>
          <w:tcPr>
            <w:tcW w:w="21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114,873(11)</w:t>
            </w:r>
          </w:p>
        </w:tc>
        <w:tc>
          <w:tcPr>
            <w:tcW w:w="13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233,534(19)</w:t>
            </w:r>
          </w:p>
        </w:tc>
        <w:tc>
          <w:tcPr>
            <w:tcW w:w="12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177"/>
        </w:trPr>
        <w:tc>
          <w:tcPr>
            <w:tcW w:w="3500" w:type="dxa"/>
            <w:vAlign w:val="bottom"/>
          </w:tcPr>
          <w:p>
            <w:pPr>
              <w:spacing w:after="0"/>
              <w:rPr>
                <w:sz w:val="20"/>
                <w:szCs w:val="20"/>
                <w:color w:val="auto"/>
              </w:rPr>
            </w:pPr>
            <w:r>
              <w:rPr>
                <w:rFonts w:ascii="Courier New" w:cs="Courier New" w:eastAsia="Courier New" w:hAnsi="Courier New"/>
                <w:sz w:val="15"/>
                <w:szCs w:val="15"/>
                <w:color w:val="auto"/>
              </w:rPr>
              <w:t>Charles E. Williams..................</w:t>
            </w:r>
          </w:p>
        </w:tc>
        <w:tc>
          <w:tcPr>
            <w:tcW w:w="21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23,945(12)</w:t>
            </w:r>
          </w:p>
        </w:tc>
        <w:tc>
          <w:tcPr>
            <w:tcW w:w="13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40,706</w:t>
            </w:r>
          </w:p>
        </w:tc>
        <w:tc>
          <w:tcPr>
            <w:tcW w:w="12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177"/>
        </w:trPr>
        <w:tc>
          <w:tcPr>
            <w:tcW w:w="3500" w:type="dxa"/>
            <w:vAlign w:val="bottom"/>
          </w:tcPr>
          <w:p>
            <w:pPr>
              <w:spacing w:after="0"/>
              <w:rPr>
                <w:sz w:val="20"/>
                <w:szCs w:val="20"/>
                <w:color w:val="auto"/>
              </w:rPr>
            </w:pPr>
            <w:r>
              <w:rPr>
                <w:rFonts w:ascii="Courier New" w:cs="Courier New" w:eastAsia="Courier New" w:hAnsi="Courier New"/>
                <w:sz w:val="15"/>
                <w:szCs w:val="15"/>
                <w:color w:val="auto"/>
              </w:rPr>
              <w:t>H. Steven Walton.....................</w:t>
            </w:r>
          </w:p>
        </w:tc>
        <w:tc>
          <w:tcPr>
            <w:tcW w:w="21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23,780(13)</w:t>
            </w:r>
          </w:p>
        </w:tc>
        <w:tc>
          <w:tcPr>
            <w:tcW w:w="13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40,426</w:t>
            </w:r>
          </w:p>
        </w:tc>
        <w:tc>
          <w:tcPr>
            <w:tcW w:w="12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177"/>
        </w:trPr>
        <w:tc>
          <w:tcPr>
            <w:tcW w:w="3500" w:type="dxa"/>
            <w:vAlign w:val="bottom"/>
          </w:tcPr>
          <w:p>
            <w:pPr>
              <w:spacing w:after="0"/>
              <w:rPr>
                <w:sz w:val="20"/>
                <w:szCs w:val="20"/>
                <w:color w:val="auto"/>
              </w:rPr>
            </w:pPr>
            <w:r>
              <w:rPr>
                <w:rFonts w:ascii="Courier New" w:cs="Courier New" w:eastAsia="Courier New" w:hAnsi="Courier New"/>
                <w:sz w:val="15"/>
                <w:szCs w:val="15"/>
                <w:color w:val="auto"/>
              </w:rPr>
              <w:t>American Express Financial Corp......</w:t>
            </w:r>
          </w:p>
        </w:tc>
        <w:tc>
          <w:tcPr>
            <w:tcW w:w="21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2,164,500(14)</w:t>
            </w:r>
          </w:p>
        </w:tc>
        <w:tc>
          <w:tcPr>
            <w:tcW w:w="13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8.5</w:t>
            </w:r>
          </w:p>
        </w:tc>
        <w:tc>
          <w:tcPr>
            <w:tcW w:w="21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3,679,650</w:t>
            </w:r>
          </w:p>
        </w:tc>
        <w:tc>
          <w:tcPr>
            <w:tcW w:w="12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2.8</w:t>
            </w:r>
          </w:p>
        </w:tc>
      </w:tr>
      <w:tr>
        <w:trPr>
          <w:trHeight w:val="177"/>
        </w:trPr>
        <w:tc>
          <w:tcPr>
            <w:tcW w:w="3500" w:type="dxa"/>
            <w:vAlign w:val="bottom"/>
          </w:tcPr>
          <w:p>
            <w:pPr>
              <w:spacing w:after="0"/>
              <w:rPr>
                <w:sz w:val="20"/>
                <w:szCs w:val="20"/>
                <w:color w:val="auto"/>
              </w:rPr>
            </w:pPr>
            <w:r>
              <w:rPr>
                <w:rFonts w:ascii="Courier New" w:cs="Courier New" w:eastAsia="Courier New" w:hAnsi="Courier New"/>
                <w:sz w:val="15"/>
                <w:szCs w:val="15"/>
                <w:color w:val="auto"/>
              </w:rPr>
              <w:t>Pilgrim Baxter &amp; Associates..........</w:t>
            </w:r>
          </w:p>
        </w:tc>
        <w:tc>
          <w:tcPr>
            <w:tcW w:w="21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1,901,600(15)</w:t>
            </w:r>
          </w:p>
        </w:tc>
        <w:tc>
          <w:tcPr>
            <w:tcW w:w="13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7.5</w:t>
            </w:r>
          </w:p>
        </w:tc>
        <w:tc>
          <w:tcPr>
            <w:tcW w:w="21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3,232,720</w:t>
            </w:r>
          </w:p>
        </w:tc>
        <w:tc>
          <w:tcPr>
            <w:tcW w:w="12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2.4</w:t>
            </w:r>
          </w:p>
        </w:tc>
      </w:tr>
      <w:tr>
        <w:trPr>
          <w:trHeight w:val="177"/>
        </w:trPr>
        <w:tc>
          <w:tcPr>
            <w:tcW w:w="3500" w:type="dxa"/>
            <w:vAlign w:val="bottom"/>
          </w:tcPr>
          <w:p>
            <w:pPr>
              <w:spacing w:after="0"/>
              <w:rPr>
                <w:sz w:val="20"/>
                <w:szCs w:val="20"/>
                <w:color w:val="auto"/>
              </w:rPr>
            </w:pPr>
            <w:r>
              <w:rPr>
                <w:rFonts w:ascii="Courier New" w:cs="Courier New" w:eastAsia="Courier New" w:hAnsi="Courier New"/>
                <w:sz w:val="15"/>
                <w:szCs w:val="15"/>
                <w:color w:val="auto"/>
              </w:rPr>
              <w:t>T. Rowe Price &amp; Associates, Inc......</w:t>
            </w:r>
          </w:p>
        </w:tc>
        <w:tc>
          <w:tcPr>
            <w:tcW w:w="21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1,459,900(16)</w:t>
            </w:r>
          </w:p>
        </w:tc>
        <w:tc>
          <w:tcPr>
            <w:tcW w:w="13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5.8</w:t>
            </w:r>
          </w:p>
        </w:tc>
        <w:tc>
          <w:tcPr>
            <w:tcW w:w="21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2,481,830</w:t>
            </w:r>
          </w:p>
        </w:tc>
        <w:tc>
          <w:tcPr>
            <w:tcW w:w="12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w:t>
            </w:r>
          </w:p>
        </w:tc>
      </w:tr>
      <w:tr>
        <w:trPr>
          <w:trHeight w:val="177"/>
        </w:trPr>
        <w:tc>
          <w:tcPr>
            <w:tcW w:w="3500" w:type="dxa"/>
            <w:vAlign w:val="bottom"/>
          </w:tcPr>
          <w:p>
            <w:pPr>
              <w:spacing w:after="0"/>
              <w:rPr>
                <w:sz w:val="20"/>
                <w:szCs w:val="20"/>
                <w:color w:val="auto"/>
              </w:rPr>
            </w:pPr>
            <w:r>
              <w:rPr>
                <w:rFonts w:ascii="Courier New" w:cs="Courier New" w:eastAsia="Courier New" w:hAnsi="Courier New"/>
                <w:sz w:val="15"/>
                <w:szCs w:val="15"/>
                <w:color w:val="auto"/>
              </w:rPr>
              <w:t>All officers and directors as a group</w:t>
            </w:r>
          </w:p>
        </w:tc>
        <w:tc>
          <w:tcPr>
            <w:tcW w:w="2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(13 persons).......................</w:t>
            </w:r>
          </w:p>
        </w:tc>
        <w:tc>
          <w:tcPr>
            <w:tcW w:w="212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2,354,272</w:t>
            </w:r>
          </w:p>
        </w:tc>
        <w:tc>
          <w:tcPr>
            <w:tcW w:w="13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9.3</w:t>
            </w:r>
          </w:p>
        </w:tc>
        <w:tc>
          <w:tcPr>
            <w:tcW w:w="21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4,095,259</w:t>
            </w:r>
          </w:p>
        </w:tc>
        <w:tc>
          <w:tcPr>
            <w:tcW w:w="12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3.1</w:t>
            </w:r>
          </w:p>
        </w:tc>
      </w:tr>
    </w:tbl>
    <w:p>
      <w:pPr>
        <w:spacing w:after="0" w:line="200" w:lineRule="exact"/>
        <w:rPr>
          <w:sz w:val="20"/>
          <w:szCs w:val="20"/>
          <w:color w:val="auto"/>
        </w:rPr>
      </w:pPr>
    </w:p>
    <w:p>
      <w:pPr>
        <w:spacing w:after="0" w:line="338" w:lineRule="exact"/>
        <w:rPr>
          <w:sz w:val="20"/>
          <w:szCs w:val="20"/>
          <w:color w:val="auto"/>
        </w:rPr>
      </w:pPr>
    </w:p>
    <w:p>
      <w:pPr>
        <w:ind w:left="185" w:hanging="185"/>
        <w:spacing w:after="0"/>
        <w:tabs>
          <w:tab w:leader="none" w:pos="18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4" w:lineRule="exact"/>
        <w:rPr>
          <w:rFonts w:ascii="Courier New" w:cs="Courier New" w:eastAsia="Courier New" w:hAnsi="Courier New"/>
          <w:sz w:val="15"/>
          <w:szCs w:val="15"/>
          <w:color w:val="auto"/>
        </w:rPr>
      </w:pPr>
    </w:p>
    <w:p>
      <w:pPr>
        <w:ind w:left="1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85" w:lineRule="exact"/>
        <w:rPr>
          <w:sz w:val="20"/>
          <w:szCs w:val="20"/>
          <w:color w:val="auto"/>
        </w:rPr>
      </w:pPr>
    </w:p>
    <w:p>
      <w:pPr>
        <w:ind w:left="465" w:right="3120" w:hanging="373"/>
        <w:spacing w:after="0" w:line="251" w:lineRule="auto"/>
        <w:tabs>
          <w:tab w:leader="none" w:pos="465"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over which such person shares voting or disposition power and shares in which such person has the right to acquire beneficial ownership within 60 days, including upon exercise of a stock option or conversion of a convertible security.</w:t>
      </w:r>
    </w:p>
    <w:p>
      <w:pPr>
        <w:spacing w:after="0" w:line="176" w:lineRule="exact"/>
        <w:rPr>
          <w:rFonts w:ascii="Courier New" w:cs="Courier New" w:eastAsia="Courier New" w:hAnsi="Courier New"/>
          <w:sz w:val="15"/>
          <w:szCs w:val="15"/>
          <w:color w:val="auto"/>
        </w:rPr>
      </w:pPr>
    </w:p>
    <w:p>
      <w:pPr>
        <w:ind w:left="465" w:right="3580" w:hanging="373"/>
        <w:spacing w:after="0" w:line="253" w:lineRule="auto"/>
        <w:tabs>
          <w:tab w:leader="none" w:pos="465"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ownership amount for Mr. Bain includes 398,750 shares issuable pursuant to options exercisable within 60 days.</w:t>
      </w:r>
    </w:p>
    <w:p>
      <w:pPr>
        <w:spacing w:after="0" w:line="174" w:lineRule="exact"/>
        <w:rPr>
          <w:rFonts w:ascii="Courier New" w:cs="Courier New" w:eastAsia="Courier New" w:hAnsi="Courier New"/>
          <w:sz w:val="15"/>
          <w:szCs w:val="15"/>
          <w:color w:val="auto"/>
        </w:rPr>
      </w:pPr>
    </w:p>
    <w:p>
      <w:pPr>
        <w:ind w:left="465" w:right="3220" w:hanging="373"/>
        <w:spacing w:after="0" w:line="253" w:lineRule="auto"/>
        <w:tabs>
          <w:tab w:leader="none" w:pos="465"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ownership amount for Mr. Martin includes 5,000 shares owned by Mr. Martin's minor daughter.</w:t>
      </w:r>
    </w:p>
    <w:p>
      <w:pPr>
        <w:spacing w:after="0" w:line="174" w:lineRule="exact"/>
        <w:rPr>
          <w:rFonts w:ascii="Courier New" w:cs="Courier New" w:eastAsia="Courier New" w:hAnsi="Courier New"/>
          <w:sz w:val="15"/>
          <w:szCs w:val="15"/>
          <w:color w:val="auto"/>
        </w:rPr>
      </w:pPr>
    </w:p>
    <w:p>
      <w:pPr>
        <w:ind w:left="465" w:right="3040" w:hanging="373"/>
        <w:spacing w:after="0" w:line="252" w:lineRule="auto"/>
        <w:tabs>
          <w:tab w:leader="none" w:pos="465"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ownership amount for Mr. Proto includes 217,500 shares issuable pursuant to options exercisable within 60 days and 100,000 shares issuable upon exercise of common stock warrants.</w:t>
      </w:r>
    </w:p>
    <w:p>
      <w:pPr>
        <w:spacing w:after="0" w:line="174" w:lineRule="exact"/>
        <w:rPr>
          <w:rFonts w:ascii="Courier New" w:cs="Courier New" w:eastAsia="Courier New" w:hAnsi="Courier New"/>
          <w:sz w:val="15"/>
          <w:szCs w:val="15"/>
          <w:color w:val="auto"/>
        </w:rPr>
      </w:pPr>
    </w:p>
    <w:p>
      <w:pPr>
        <w:ind w:left="465" w:right="3120" w:hanging="373"/>
        <w:spacing w:after="0" w:line="251" w:lineRule="auto"/>
        <w:tabs>
          <w:tab w:leader="none" w:pos="465"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ownership amount for Mr. Warrington includes 15,000 shares issuable pursuant to options exercisable within 60 days and 3,435 shares issuable upon the conversion of the Company's convertible subordinated debentures, 485 of which may be acquired by Mr. Warrington's former wife. Share ownership amount for Mr. Warrington also includes 68,000 shares held by a limited partnership in which Mr. Warrington is a general partner; Mr. Warrington disclaims beneficial ownership of such shares.</w:t>
      </w:r>
    </w:p>
    <w:p>
      <w:pPr>
        <w:spacing w:after="0" w:line="175" w:lineRule="exact"/>
        <w:rPr>
          <w:rFonts w:ascii="Courier New" w:cs="Courier New" w:eastAsia="Courier New" w:hAnsi="Courier New"/>
          <w:sz w:val="15"/>
          <w:szCs w:val="15"/>
          <w:color w:val="auto"/>
        </w:rPr>
      </w:pPr>
    </w:p>
    <w:p>
      <w:pPr>
        <w:ind w:left="465" w:right="3040" w:hanging="373"/>
        <w:spacing w:after="0" w:line="251" w:lineRule="auto"/>
        <w:tabs>
          <w:tab w:leader="none" w:pos="465"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ownership amount for Mr. Jones includes 15,000 shares issuable pursuant to options exercisable within 60 days. Share ownership amount for Mr. Jones excludes 300 shares owned by Mr. Jones' minor daughter, as to which Mr. Jones disclaims beneficial ownership.</w:t>
      </w:r>
    </w:p>
    <w:p>
      <w:pPr>
        <w:sectPr>
          <w:pgSz w:w="11900" w:h="16838" w:orient="portrait"/>
          <w:cols w:equalWidth="0" w:num="1">
            <w:col w:w="10325"/>
          </w:cols>
          <w:pgMar w:left="235" w:top="295" w:right="1339" w:bottom="0" w:gutter="0" w:footer="0" w:header="0"/>
        </w:sectPr>
      </w:pP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325"/>
          </w:cols>
          <w:pgMar w:left="235" w:top="295" w:right="1339" w:bottom="0" w:gutter="0" w:footer="0" w:header="0"/>
          <w:type w:val="continuous"/>
        </w:sectPr>
      </w:pPr>
    </w:p>
    <w:bookmarkStart w:id="81" w:name="page82"/>
    <w:bookmarkEnd w:id="81"/>
    <w:p>
      <w:pPr>
        <w:ind w:left="285"/>
        <w:spacing w:after="0"/>
        <w:rPr>
          <w:sz w:val="20"/>
          <w:szCs w:val="20"/>
          <w:color w:val="auto"/>
        </w:rPr>
      </w:pPr>
      <w:r>
        <w:rPr>
          <w:rFonts w:ascii="Courier New" w:cs="Courier New" w:eastAsia="Courier New" w:hAnsi="Courier New"/>
          <w:sz w:val="15"/>
          <w:szCs w:val="15"/>
          <w:color w:val="auto"/>
        </w:rPr>
        <w:t>80</w:t>
      </w:r>
    </w:p>
    <w:p>
      <w:pPr>
        <w:spacing w:after="0" w:line="185" w:lineRule="exact"/>
        <w:rPr>
          <w:sz w:val="20"/>
          <w:szCs w:val="20"/>
          <w:color w:val="auto"/>
        </w:rPr>
      </w:pPr>
    </w:p>
    <w:p>
      <w:pPr>
        <w:ind w:left="465" w:right="3479" w:hanging="373"/>
        <w:spacing w:after="0" w:line="253" w:lineRule="auto"/>
        <w:tabs>
          <w:tab w:leader="none" w:pos="465"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ownership amount for Mr. Lynch includes 15,000 shares issuable pursuant to options exercisable within 60 days.</w:t>
      </w:r>
    </w:p>
    <w:p>
      <w:pPr>
        <w:spacing w:after="0" w:line="174" w:lineRule="exact"/>
        <w:rPr>
          <w:rFonts w:ascii="Courier New" w:cs="Courier New" w:eastAsia="Courier New" w:hAnsi="Courier New"/>
          <w:sz w:val="15"/>
          <w:szCs w:val="15"/>
          <w:color w:val="auto"/>
        </w:rPr>
      </w:pPr>
    </w:p>
    <w:p>
      <w:pPr>
        <w:ind w:left="465" w:right="2839" w:hanging="373"/>
        <w:spacing w:after="0" w:line="253" w:lineRule="auto"/>
        <w:tabs>
          <w:tab w:leader="none" w:pos="465"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ownership amount for Mr. Cox includes 20,000 shares issuable pursuant to options exercisable within 60 days.</w:t>
      </w:r>
    </w:p>
    <w:p>
      <w:pPr>
        <w:spacing w:after="0" w:line="174" w:lineRule="exact"/>
        <w:rPr>
          <w:rFonts w:ascii="Courier New" w:cs="Courier New" w:eastAsia="Courier New" w:hAnsi="Courier New"/>
          <w:sz w:val="15"/>
          <w:szCs w:val="15"/>
          <w:color w:val="auto"/>
        </w:rPr>
      </w:pPr>
    </w:p>
    <w:p>
      <w:pPr>
        <w:ind w:left="465" w:right="3479" w:hanging="373"/>
        <w:spacing w:after="0" w:line="253" w:lineRule="auto"/>
        <w:tabs>
          <w:tab w:leader="none" w:pos="465"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ownership amount for Mr. Loehr includes 15,000 shares issuable pursuant to options exercisable within 60 days.</w:t>
      </w:r>
    </w:p>
    <w:p>
      <w:pPr>
        <w:spacing w:after="0" w:line="174" w:lineRule="exact"/>
        <w:rPr>
          <w:rFonts w:ascii="Courier New" w:cs="Courier New" w:eastAsia="Courier New" w:hAnsi="Courier New"/>
          <w:sz w:val="15"/>
          <w:szCs w:val="15"/>
          <w:color w:val="auto"/>
        </w:rPr>
      </w:pPr>
    </w:p>
    <w:p>
      <w:pPr>
        <w:ind w:left="465" w:right="3299" w:hanging="465"/>
        <w:spacing w:after="0" w:line="253" w:lineRule="auto"/>
        <w:tabs>
          <w:tab w:leader="none" w:pos="465"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ownership amount for Mr. Razzouk includes 10,000 shares issuable pursuant to options exercisable within 60 days.</w:t>
      </w:r>
    </w:p>
    <w:p>
      <w:pPr>
        <w:spacing w:after="0" w:line="174" w:lineRule="exact"/>
        <w:rPr>
          <w:rFonts w:ascii="Courier New" w:cs="Courier New" w:eastAsia="Courier New" w:hAnsi="Courier New"/>
          <w:sz w:val="15"/>
          <w:szCs w:val="15"/>
          <w:color w:val="auto"/>
        </w:rPr>
      </w:pPr>
    </w:p>
    <w:p>
      <w:pPr>
        <w:ind w:left="465" w:right="3119" w:hanging="465"/>
        <w:spacing w:after="0" w:line="253" w:lineRule="auto"/>
        <w:tabs>
          <w:tab w:leader="none" w:pos="465"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ownership amount for Mr. Brewster includes 102,500 shares issuable pursuant to options exercisable within 60 days.</w:t>
      </w:r>
    </w:p>
    <w:p>
      <w:pPr>
        <w:spacing w:after="0" w:line="174" w:lineRule="exact"/>
        <w:rPr>
          <w:rFonts w:ascii="Courier New" w:cs="Courier New" w:eastAsia="Courier New" w:hAnsi="Courier New"/>
          <w:sz w:val="15"/>
          <w:szCs w:val="15"/>
          <w:color w:val="auto"/>
        </w:rPr>
      </w:pPr>
    </w:p>
    <w:p>
      <w:pPr>
        <w:ind w:left="465" w:right="3299" w:hanging="465"/>
        <w:spacing w:after="0" w:line="253" w:lineRule="auto"/>
        <w:tabs>
          <w:tab w:leader="none" w:pos="465"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ownership amount for Mr. Williams includes 9,937 shares issuable pursuant to options exercisable within 60 days.</w:t>
      </w:r>
    </w:p>
    <w:p>
      <w:pPr>
        <w:spacing w:after="0" w:line="174" w:lineRule="exact"/>
        <w:rPr>
          <w:rFonts w:ascii="Courier New" w:cs="Courier New" w:eastAsia="Courier New" w:hAnsi="Courier New"/>
          <w:sz w:val="15"/>
          <w:szCs w:val="15"/>
          <w:color w:val="auto"/>
        </w:rPr>
      </w:pPr>
    </w:p>
    <w:p>
      <w:pPr>
        <w:ind w:left="465" w:right="3399" w:hanging="465"/>
        <w:spacing w:after="0" w:line="253" w:lineRule="auto"/>
        <w:tabs>
          <w:tab w:leader="none" w:pos="465"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ownership amount for Mr. Walton includes 16,500 shares issuable pursuant to options exercisable within 60 days.</w:t>
      </w:r>
    </w:p>
    <w:p>
      <w:pPr>
        <w:spacing w:after="0" w:line="174" w:lineRule="exact"/>
        <w:rPr>
          <w:rFonts w:ascii="Courier New" w:cs="Courier New" w:eastAsia="Courier New" w:hAnsi="Courier New"/>
          <w:sz w:val="15"/>
          <w:szCs w:val="15"/>
          <w:color w:val="auto"/>
        </w:rPr>
      </w:pPr>
    </w:p>
    <w:p>
      <w:pPr>
        <w:ind w:left="465" w:right="3859" w:hanging="465"/>
        <w:spacing w:after="0" w:line="253" w:lineRule="auto"/>
        <w:tabs>
          <w:tab w:leader="none" w:pos="465"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American Express Financial Corp. is IDS Tower 10, Minneapolis, Minnesota 55140.</w:t>
      </w:r>
    </w:p>
    <w:p>
      <w:pPr>
        <w:spacing w:after="0" w:line="174" w:lineRule="exact"/>
        <w:rPr>
          <w:rFonts w:ascii="Courier New" w:cs="Courier New" w:eastAsia="Courier New" w:hAnsi="Courier New"/>
          <w:sz w:val="15"/>
          <w:szCs w:val="15"/>
          <w:color w:val="auto"/>
        </w:rPr>
      </w:pPr>
    </w:p>
    <w:p>
      <w:pPr>
        <w:ind w:left="465" w:right="3219" w:hanging="465"/>
        <w:spacing w:after="0" w:line="253" w:lineRule="auto"/>
        <w:tabs>
          <w:tab w:leader="none" w:pos="465"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Pilgrim Baxter &amp; Associates is 1255 Drummers Lane, Suite 300, Wayne, Pennsylvania 19087.</w:t>
      </w:r>
    </w:p>
    <w:p>
      <w:pPr>
        <w:spacing w:after="0" w:line="174" w:lineRule="exact"/>
        <w:rPr>
          <w:rFonts w:ascii="Courier New" w:cs="Courier New" w:eastAsia="Courier New" w:hAnsi="Courier New"/>
          <w:sz w:val="15"/>
          <w:szCs w:val="15"/>
          <w:color w:val="auto"/>
        </w:rPr>
      </w:pPr>
    </w:p>
    <w:p>
      <w:pPr>
        <w:ind w:left="465" w:right="2839" w:hanging="465"/>
        <w:spacing w:after="0" w:line="251" w:lineRule="auto"/>
        <w:tabs>
          <w:tab w:leader="none" w:pos="465"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T. Rowe Price &amp; Associates, Inc. is 100 E. Pratt Street, Baltimore, Maryland 21202. These securities are owned by various individual and institutional investors, which T. Rowe Price &amp; Associates, Inc. ("Price Associates") serves as investment adviser with power to direct investments and/or sole power to vote the securities. For purposes of the reporting requirements of the Securities Exchange Act of 1934, Price Associates is deemed to be a beneficial owner of such securities; however, Price Associates expressly disclaims that it is, in fact, the beneficial owner of such securities.</w:t>
      </w:r>
    </w:p>
    <w:p>
      <w:pPr>
        <w:spacing w:after="0" w:line="175" w:lineRule="exact"/>
        <w:rPr>
          <w:rFonts w:ascii="Courier New" w:cs="Courier New" w:eastAsia="Courier New" w:hAnsi="Courier New"/>
          <w:sz w:val="15"/>
          <w:szCs w:val="15"/>
          <w:color w:val="auto"/>
        </w:rPr>
      </w:pPr>
    </w:p>
    <w:p>
      <w:pPr>
        <w:ind w:left="465" w:right="3219" w:hanging="465"/>
        <w:spacing w:after="0" w:line="253" w:lineRule="auto"/>
        <w:tabs>
          <w:tab w:leader="none" w:pos="465"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53,333 shares of USA Waste Common Stock currently owned by Mr. Martin.</w:t>
      </w:r>
    </w:p>
    <w:p>
      <w:pPr>
        <w:spacing w:after="0" w:line="174" w:lineRule="exact"/>
        <w:rPr>
          <w:rFonts w:ascii="Courier New" w:cs="Courier New" w:eastAsia="Courier New" w:hAnsi="Courier New"/>
          <w:sz w:val="15"/>
          <w:szCs w:val="15"/>
          <w:color w:val="auto"/>
        </w:rPr>
      </w:pPr>
    </w:p>
    <w:p>
      <w:pPr>
        <w:ind w:left="465" w:right="3299" w:hanging="465"/>
        <w:spacing w:after="0" w:line="253" w:lineRule="auto"/>
        <w:tabs>
          <w:tab w:leader="none" w:pos="465"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1,416 shares of USA Waste Common Stock currently owned by Mr. Proto.</w:t>
      </w:r>
    </w:p>
    <w:p>
      <w:pPr>
        <w:spacing w:after="0" w:line="174" w:lineRule="exact"/>
        <w:rPr>
          <w:rFonts w:ascii="Courier New" w:cs="Courier New" w:eastAsia="Courier New" w:hAnsi="Courier New"/>
          <w:sz w:val="15"/>
          <w:szCs w:val="15"/>
          <w:color w:val="auto"/>
        </w:rPr>
      </w:pPr>
    </w:p>
    <w:p>
      <w:pPr>
        <w:ind w:left="465" w:right="2839" w:hanging="465"/>
        <w:spacing w:after="0" w:line="252" w:lineRule="auto"/>
        <w:tabs>
          <w:tab w:leader="none" w:pos="465"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receivable in respect of an option for an additional 22,500 shares of Sanifill Common Stock that will become exercisable in connection with the Merger.</w:t>
      </w:r>
    </w:p>
    <w:p>
      <w:pPr>
        <w:spacing w:after="0" w:line="175"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As a result of the Voting Agreements, each of USA Waste and Sanifill may be deemed to beneficially own over 5% of the other's outstanding voting securities. See "The Plan of Merger and Terms of the Merger -- Voting Agreements." Each of USA Waste and Sanifill disclaims beneficial ownership with respect to such shares.</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25"/>
          </w:cols>
          <w:pgMar w:left="235" w:top="295" w:right="1440" w:bottom="1440" w:gutter="0" w:footer="0" w:header="0"/>
        </w:sectPr>
      </w:pPr>
    </w:p>
    <w:bookmarkStart w:id="82" w:name="page83"/>
    <w:bookmarkEnd w:id="82"/>
    <w:p>
      <w:pPr>
        <w:ind w:left="280"/>
        <w:spacing w:after="0"/>
        <w:rPr>
          <w:sz w:val="20"/>
          <w:szCs w:val="20"/>
          <w:color w:val="auto"/>
        </w:rPr>
      </w:pPr>
      <w:r>
        <w:rPr>
          <w:rFonts w:ascii="Courier New" w:cs="Courier New" w:eastAsia="Courier New" w:hAnsi="Courier New"/>
          <w:sz w:val="15"/>
          <w:szCs w:val="15"/>
          <w:color w:val="auto"/>
        </w:rPr>
        <w:t>81</w:t>
      </w:r>
    </w:p>
    <w:p>
      <w:pPr>
        <w:spacing w:after="0" w:line="185"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MARKET PRICE DATA</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INFORMATION</w:t>
      </w:r>
    </w:p>
    <w:p>
      <w:pPr>
        <w:spacing w:after="0" w:line="185" w:lineRule="exact"/>
        <w:rPr>
          <w:sz w:val="20"/>
          <w:szCs w:val="20"/>
          <w:color w:val="auto"/>
        </w:rPr>
      </w:pPr>
    </w:p>
    <w:p>
      <w:pPr>
        <w:ind w:right="3219" w:firstLine="461"/>
        <w:spacing w:after="0" w:line="251" w:lineRule="auto"/>
        <w:rPr>
          <w:sz w:val="20"/>
          <w:szCs w:val="20"/>
          <w:color w:val="auto"/>
        </w:rPr>
      </w:pPr>
      <w:r>
        <w:rPr>
          <w:rFonts w:ascii="Courier New" w:cs="Courier New" w:eastAsia="Courier New" w:hAnsi="Courier New"/>
          <w:sz w:val="15"/>
          <w:szCs w:val="15"/>
          <w:color w:val="auto"/>
        </w:rPr>
        <w:t>USA Waste Common Stock is traded on the NYSE under the symbol "UW." Sanifill Common Stock is traded on the NYSE under the symbol "FIL." The following table sets forth the range of high and low sale prices for the USA Waste Common Stock and the Sanifill Common Stock, as reported on the NYSE.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4800" w:type="dxa"/>
            <w:vAlign w:val="bottom"/>
          </w:tcPr>
          <w:p>
            <w:pPr>
              <w:spacing w:after="0"/>
              <w:rPr>
                <w:sz w:val="14"/>
                <w:szCs w:val="14"/>
                <w:color w:val="auto"/>
              </w:rPr>
            </w:pPr>
          </w:p>
        </w:tc>
        <w:tc>
          <w:tcPr>
            <w:tcW w:w="1660" w:type="dxa"/>
            <w:vAlign w:val="bottom"/>
            <w:gridSpan w:val="3"/>
          </w:tcPr>
          <w:p>
            <w:pPr>
              <w:jc w:val="right"/>
              <w:ind w:right="283"/>
              <w:spacing w:after="0"/>
              <w:rPr>
                <w:sz w:val="20"/>
                <w:szCs w:val="20"/>
                <w:color w:val="auto"/>
              </w:rPr>
            </w:pPr>
            <w:r>
              <w:rPr>
                <w:rFonts w:ascii="Courier New" w:cs="Courier New" w:eastAsia="Courier New" w:hAnsi="Courier New"/>
                <w:sz w:val="15"/>
                <w:szCs w:val="15"/>
                <w:color w:val="auto"/>
              </w:rPr>
              <w:t>USA WASTE</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left="123"/>
              <w:spacing w:after="0"/>
              <w:rPr>
                <w:sz w:val="20"/>
                <w:szCs w:val="20"/>
                <w:color w:val="auto"/>
              </w:rPr>
            </w:pPr>
            <w:r>
              <w:rPr>
                <w:rFonts w:ascii="Courier New" w:cs="Courier New" w:eastAsia="Courier New" w:hAnsi="Courier New"/>
                <w:sz w:val="15"/>
                <w:szCs w:val="15"/>
                <w:color w:val="auto"/>
              </w:rPr>
              <w:t>SANIFILL</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7"/>
        </w:trPr>
        <w:tc>
          <w:tcPr>
            <w:tcW w:w="4800" w:type="dxa"/>
            <w:vAlign w:val="bottom"/>
          </w:tcPr>
          <w:p>
            <w:pPr>
              <w:spacing w:after="0"/>
              <w:rPr>
                <w:sz w:val="15"/>
                <w:szCs w:val="15"/>
                <w:color w:val="auto"/>
              </w:rPr>
            </w:pPr>
          </w:p>
        </w:tc>
        <w:tc>
          <w:tcPr>
            <w:tcW w:w="1660" w:type="dxa"/>
            <w:vAlign w:val="bottom"/>
            <w:gridSpan w:val="3"/>
          </w:tcPr>
          <w:p>
            <w:pPr>
              <w:jc w:val="right"/>
              <w:ind w:right="103"/>
              <w:spacing w:after="0"/>
              <w:rPr>
                <w:sz w:val="20"/>
                <w:szCs w:val="20"/>
                <w:color w:val="auto"/>
              </w:rPr>
            </w:pPr>
            <w:r>
              <w:rPr>
                <w:rFonts w:ascii="Courier New" w:cs="Courier New" w:eastAsia="Courier New" w:hAnsi="Courier New"/>
                <w:sz w:val="15"/>
                <w:szCs w:val="15"/>
                <w:color w:val="auto"/>
              </w:rPr>
              <w:t>COMMON STOCK</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center"/>
              <w:ind w:right="203"/>
              <w:spacing w:after="0"/>
              <w:rPr>
                <w:sz w:val="20"/>
                <w:szCs w:val="20"/>
                <w:color w:val="auto"/>
              </w:rPr>
            </w:pPr>
            <w:r>
              <w:rPr>
                <w:rFonts w:ascii="Courier New" w:cs="Courier New" w:eastAsia="Courier New" w:hAnsi="Courier New"/>
                <w:sz w:val="15"/>
                <w:szCs w:val="15"/>
                <w:color w:val="auto"/>
              </w:rPr>
              <w:t>COMMON STOCK</w:t>
            </w:r>
          </w:p>
        </w:tc>
        <w:tc>
          <w:tcPr>
            <w:tcW w:w="260" w:type="dxa"/>
            <w:vAlign w:val="bottom"/>
          </w:tcPr>
          <w:p>
            <w:pPr>
              <w:spacing w:after="0"/>
              <w:rPr>
                <w:sz w:val="15"/>
                <w:szCs w:val="15"/>
                <w:color w:val="auto"/>
              </w:rPr>
            </w:pPr>
          </w:p>
        </w:tc>
      </w:tr>
      <w:tr>
        <w:trPr>
          <w:trHeight w:val="177"/>
        </w:trPr>
        <w:tc>
          <w:tcPr>
            <w:tcW w:w="4800" w:type="dxa"/>
            <w:vAlign w:val="bottom"/>
          </w:tcPr>
          <w:p>
            <w:pPr>
              <w:spacing w:after="0"/>
              <w:rPr>
                <w:sz w:val="15"/>
                <w:szCs w:val="15"/>
                <w:color w:val="auto"/>
              </w:rPr>
            </w:pPr>
          </w:p>
        </w:tc>
        <w:tc>
          <w:tcPr>
            <w:tcW w:w="1060" w:type="dxa"/>
            <w:vAlign w:val="bottom"/>
            <w:gridSpan w:val="2"/>
          </w:tcPr>
          <w:p>
            <w:pPr>
              <w:ind w:left="180"/>
              <w:spacing w:after="0"/>
              <w:rPr>
                <w:sz w:val="20"/>
                <w:szCs w:val="20"/>
                <w:color w:val="auto"/>
              </w:rPr>
            </w:pPr>
            <w:r>
              <w:rPr>
                <w:rFonts w:ascii="Courier New" w:cs="Courier New" w:eastAsia="Courier New" w:hAnsi="Courier New"/>
                <w:sz w:val="12"/>
                <w:szCs w:val="12"/>
                <w:color w:val="auto"/>
                <w:w w:val="74"/>
              </w:rPr>
              <w:t>----------------</w:t>
            </w: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2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r>
      <w:tr>
        <w:trPr>
          <w:trHeight w:val="177"/>
        </w:trPr>
        <w:tc>
          <w:tcPr>
            <w:tcW w:w="480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HIGH</w:t>
            </w:r>
          </w:p>
        </w:tc>
        <w:tc>
          <w:tcPr>
            <w:tcW w:w="420" w:type="dxa"/>
            <w:vAlign w:val="bottom"/>
          </w:tcPr>
          <w:p>
            <w:pPr>
              <w:spacing w:after="0"/>
              <w:rPr>
                <w:sz w:val="15"/>
                <w:szCs w:val="15"/>
                <w:color w:val="auto"/>
              </w:rPr>
            </w:pPr>
          </w:p>
        </w:tc>
        <w:tc>
          <w:tcPr>
            <w:tcW w:w="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LOW</w:t>
            </w:r>
          </w:p>
        </w:tc>
        <w:tc>
          <w:tcPr>
            <w:tcW w:w="420" w:type="dxa"/>
            <w:vAlign w:val="bottom"/>
          </w:tcPr>
          <w:p>
            <w:pPr>
              <w:spacing w:after="0"/>
              <w:rPr>
                <w:sz w:val="15"/>
                <w:szCs w:val="15"/>
                <w:color w:val="auto"/>
              </w:rPr>
            </w:pPr>
          </w:p>
        </w:tc>
        <w:tc>
          <w:tcPr>
            <w:tcW w:w="6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HIGH</w:t>
            </w:r>
          </w:p>
        </w:tc>
        <w:tc>
          <w:tcPr>
            <w:tcW w:w="560" w:type="dxa"/>
            <w:vAlign w:val="bottom"/>
          </w:tcPr>
          <w:p>
            <w:pPr>
              <w:spacing w:after="0"/>
              <w:rPr>
                <w:sz w:val="15"/>
                <w:szCs w:val="15"/>
                <w:color w:val="auto"/>
              </w:rPr>
            </w:pP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LOW</w:t>
            </w:r>
          </w:p>
        </w:tc>
        <w:tc>
          <w:tcPr>
            <w:tcW w:w="260" w:type="dxa"/>
            <w:vAlign w:val="bottom"/>
          </w:tcPr>
          <w:p>
            <w:pPr>
              <w:spacing w:after="0"/>
              <w:rPr>
                <w:sz w:val="15"/>
                <w:szCs w:val="15"/>
                <w:color w:val="auto"/>
              </w:rPr>
            </w:pPr>
          </w:p>
        </w:tc>
      </w:tr>
      <w:tr>
        <w:trPr>
          <w:trHeight w:val="177"/>
        </w:trPr>
        <w:tc>
          <w:tcPr>
            <w:tcW w:w="480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c>
          <w:tcPr>
            <w:tcW w:w="4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6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w:t>
            </w:r>
          </w:p>
        </w:tc>
        <w:tc>
          <w:tcPr>
            <w:tcW w:w="5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260" w:type="dxa"/>
            <w:vAlign w:val="bottom"/>
          </w:tcPr>
          <w:p>
            <w:pPr>
              <w:spacing w:after="0"/>
              <w:rPr>
                <w:sz w:val="15"/>
                <w:szCs w:val="15"/>
                <w:color w:val="auto"/>
              </w:rPr>
            </w:pPr>
          </w:p>
        </w:tc>
      </w:tr>
      <w:tr>
        <w:trPr>
          <w:trHeight w:val="355"/>
        </w:trPr>
        <w:tc>
          <w:tcPr>
            <w:tcW w:w="480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77"/>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First Quarter...................................</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$ 15</w:t>
            </w:r>
          </w:p>
        </w:tc>
        <w:tc>
          <w:tcPr>
            <w:tcW w:w="420" w:type="dxa"/>
            <w:vAlign w:val="bottom"/>
          </w:tcPr>
          <w:p>
            <w:pPr>
              <w:spacing w:after="0"/>
              <w:rPr>
                <w:sz w:val="15"/>
                <w:szCs w:val="15"/>
                <w:color w:val="auto"/>
              </w:rPr>
            </w:pP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$ 11 3/8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380" w:type="dxa"/>
            <w:vAlign w:val="bottom"/>
          </w:tcPr>
          <w:p>
            <w:pPr>
              <w:ind w:left="100"/>
              <w:spacing w:after="0"/>
              <w:rPr>
                <w:sz w:val="20"/>
                <w:szCs w:val="20"/>
                <w:color w:val="auto"/>
              </w:rPr>
            </w:pPr>
            <w:r>
              <w:rPr>
                <w:rFonts w:ascii="Courier New" w:cs="Courier New" w:eastAsia="Courier New" w:hAnsi="Courier New"/>
                <w:sz w:val="15"/>
                <w:szCs w:val="15"/>
                <w:color w:val="auto"/>
              </w:rPr>
              <w:t>25</w:t>
            </w:r>
          </w:p>
        </w:tc>
        <w:tc>
          <w:tcPr>
            <w:tcW w:w="56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$ 20 1/2</w:t>
            </w:r>
          </w:p>
        </w:tc>
      </w:tr>
      <w:tr>
        <w:trPr>
          <w:trHeight w:val="177"/>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Second Quarter..................................</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6"/>
              </w:rPr>
              <w:t>3/8</w:t>
            </w:r>
          </w:p>
        </w:tc>
        <w:tc>
          <w:tcPr>
            <w:tcW w:w="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6"/>
              </w:rPr>
              <w:t>3/8</w:t>
            </w:r>
          </w:p>
        </w:tc>
        <w:tc>
          <w:tcPr>
            <w:tcW w:w="220" w:type="dxa"/>
            <w:vAlign w:val="bottom"/>
          </w:tcPr>
          <w:p>
            <w:pPr>
              <w:spacing w:after="0"/>
              <w:rPr>
                <w:sz w:val="15"/>
                <w:szCs w:val="15"/>
                <w:color w:val="auto"/>
              </w:rPr>
            </w:pPr>
          </w:p>
        </w:tc>
        <w:tc>
          <w:tcPr>
            <w:tcW w:w="380" w:type="dxa"/>
            <w:vAlign w:val="bottom"/>
          </w:tcPr>
          <w:p>
            <w:pPr>
              <w:ind w:left="100"/>
              <w:spacing w:after="0"/>
              <w:rPr>
                <w:sz w:val="20"/>
                <w:szCs w:val="20"/>
                <w:color w:val="auto"/>
              </w:rPr>
            </w:pPr>
            <w:r>
              <w:rPr>
                <w:rFonts w:ascii="Courier New" w:cs="Courier New" w:eastAsia="Courier New" w:hAnsi="Courier New"/>
                <w:sz w:val="15"/>
                <w:szCs w:val="15"/>
                <w:color w:val="auto"/>
              </w:rPr>
              <w:t>25</w:t>
            </w:r>
          </w:p>
        </w:tc>
        <w:tc>
          <w:tcPr>
            <w:tcW w:w="56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6"/>
              </w:rPr>
              <w:t>5/8</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w:t>
            </w:r>
          </w:p>
        </w:tc>
        <w:tc>
          <w:tcPr>
            <w:tcW w:w="260" w:type="dxa"/>
            <w:vAlign w:val="bottom"/>
          </w:tcPr>
          <w:p>
            <w:pPr>
              <w:spacing w:after="0"/>
              <w:rPr>
                <w:sz w:val="15"/>
                <w:szCs w:val="15"/>
                <w:color w:val="auto"/>
              </w:rPr>
            </w:pPr>
          </w:p>
        </w:tc>
      </w:tr>
      <w:tr>
        <w:trPr>
          <w:trHeight w:val="177"/>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Third Quarter...................................</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6"/>
              </w:rPr>
              <w:t>1/8</w:t>
            </w:r>
          </w:p>
        </w:tc>
        <w:tc>
          <w:tcPr>
            <w:tcW w:w="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6"/>
              </w:rPr>
              <w:t>1/2</w:t>
            </w:r>
          </w:p>
        </w:tc>
        <w:tc>
          <w:tcPr>
            <w:tcW w:w="220" w:type="dxa"/>
            <w:vAlign w:val="bottom"/>
          </w:tcPr>
          <w:p>
            <w:pPr>
              <w:spacing w:after="0"/>
              <w:rPr>
                <w:sz w:val="15"/>
                <w:szCs w:val="15"/>
                <w:color w:val="auto"/>
              </w:rPr>
            </w:pPr>
          </w:p>
        </w:tc>
        <w:tc>
          <w:tcPr>
            <w:tcW w:w="380" w:type="dxa"/>
            <w:vAlign w:val="bottom"/>
          </w:tcPr>
          <w:p>
            <w:pPr>
              <w:ind w:left="100"/>
              <w:spacing w:after="0"/>
              <w:rPr>
                <w:sz w:val="20"/>
                <w:szCs w:val="20"/>
                <w:color w:val="auto"/>
              </w:rPr>
            </w:pPr>
            <w:r>
              <w:rPr>
                <w:rFonts w:ascii="Courier New" w:cs="Courier New" w:eastAsia="Courier New" w:hAnsi="Courier New"/>
                <w:sz w:val="15"/>
                <w:szCs w:val="15"/>
                <w:color w:val="auto"/>
              </w:rPr>
              <w:t>25</w:t>
            </w:r>
          </w:p>
        </w:tc>
        <w:tc>
          <w:tcPr>
            <w:tcW w:w="56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6"/>
              </w:rPr>
              <w:t>1/8</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1/8</w:t>
            </w:r>
          </w:p>
        </w:tc>
      </w:tr>
      <w:tr>
        <w:trPr>
          <w:trHeight w:val="177"/>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Fourth Quarter..................................</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6"/>
              </w:rPr>
              <w:t>1/8</w:t>
            </w:r>
          </w:p>
        </w:tc>
        <w:tc>
          <w:tcPr>
            <w:tcW w:w="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ind w:left="100"/>
              <w:spacing w:after="0"/>
              <w:rPr>
                <w:sz w:val="20"/>
                <w:szCs w:val="20"/>
                <w:color w:val="auto"/>
              </w:rPr>
            </w:pPr>
            <w:r>
              <w:rPr>
                <w:rFonts w:ascii="Courier New" w:cs="Courier New" w:eastAsia="Courier New" w:hAnsi="Courier New"/>
                <w:sz w:val="15"/>
                <w:szCs w:val="15"/>
                <w:color w:val="auto"/>
              </w:rPr>
              <w:t>25</w:t>
            </w:r>
          </w:p>
        </w:tc>
        <w:tc>
          <w:tcPr>
            <w:tcW w:w="560" w:type="dxa"/>
            <w:vAlign w:val="bottom"/>
          </w:tcPr>
          <w:p>
            <w:pPr>
              <w:spacing w:after="0"/>
              <w:rPr>
                <w:sz w:val="15"/>
                <w:szCs w:val="15"/>
                <w:color w:val="auto"/>
              </w:rPr>
            </w:pP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1/8</w:t>
            </w:r>
          </w:p>
        </w:tc>
      </w:tr>
      <w:tr>
        <w:trPr>
          <w:trHeight w:val="177"/>
        </w:trPr>
        <w:tc>
          <w:tcPr>
            <w:tcW w:w="480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7"/>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First Quarter...................................</w:t>
            </w:r>
          </w:p>
        </w:tc>
        <w:tc>
          <w:tcPr>
            <w:tcW w:w="10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$ 12 3/8</w:t>
            </w:r>
          </w:p>
        </w:tc>
        <w:tc>
          <w:tcPr>
            <w:tcW w:w="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$ 10</w:t>
            </w:r>
          </w:p>
        </w:tc>
        <w:tc>
          <w:tcPr>
            <w:tcW w:w="420" w:type="dxa"/>
            <w:vAlign w:val="bottom"/>
          </w:tcPr>
          <w:p>
            <w:pPr>
              <w:spacing w:after="0"/>
              <w:rPr>
                <w:sz w:val="15"/>
                <w:szCs w:val="15"/>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380" w:type="dxa"/>
            <w:vAlign w:val="bottom"/>
          </w:tcPr>
          <w:p>
            <w:pPr>
              <w:ind w:left="100"/>
              <w:spacing w:after="0"/>
              <w:rPr>
                <w:sz w:val="20"/>
                <w:szCs w:val="20"/>
                <w:color w:val="auto"/>
              </w:rPr>
            </w:pPr>
            <w:r>
              <w:rPr>
                <w:rFonts w:ascii="Courier New" w:cs="Courier New" w:eastAsia="Courier New" w:hAnsi="Courier New"/>
                <w:sz w:val="15"/>
                <w:szCs w:val="15"/>
                <w:color w:val="auto"/>
              </w:rPr>
              <w:t>27</w:t>
            </w:r>
          </w:p>
        </w:tc>
        <w:tc>
          <w:tcPr>
            <w:tcW w:w="56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$ 22 3/8</w:t>
            </w:r>
          </w:p>
        </w:tc>
      </w:tr>
      <w:tr>
        <w:trPr>
          <w:trHeight w:val="177"/>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Second Quarter..................................</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6"/>
              </w:rPr>
              <w:t>5/8</w:t>
            </w:r>
          </w:p>
        </w:tc>
        <w:tc>
          <w:tcPr>
            <w:tcW w:w="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6"/>
              </w:rPr>
              <w:t>1/2</w:t>
            </w:r>
          </w:p>
        </w:tc>
        <w:tc>
          <w:tcPr>
            <w:tcW w:w="220" w:type="dxa"/>
            <w:vAlign w:val="bottom"/>
          </w:tcPr>
          <w:p>
            <w:pPr>
              <w:spacing w:after="0"/>
              <w:rPr>
                <w:sz w:val="15"/>
                <w:szCs w:val="15"/>
                <w:color w:val="auto"/>
              </w:rPr>
            </w:pPr>
          </w:p>
        </w:tc>
        <w:tc>
          <w:tcPr>
            <w:tcW w:w="380" w:type="dxa"/>
            <w:vAlign w:val="bottom"/>
          </w:tcPr>
          <w:p>
            <w:pPr>
              <w:ind w:left="100"/>
              <w:spacing w:after="0"/>
              <w:rPr>
                <w:sz w:val="20"/>
                <w:szCs w:val="20"/>
                <w:color w:val="auto"/>
              </w:rPr>
            </w:pPr>
            <w:r>
              <w:rPr>
                <w:rFonts w:ascii="Courier New" w:cs="Courier New" w:eastAsia="Courier New" w:hAnsi="Courier New"/>
                <w:sz w:val="15"/>
                <w:szCs w:val="15"/>
                <w:color w:val="auto"/>
              </w:rPr>
              <w:t>31</w:t>
            </w:r>
          </w:p>
        </w:tc>
        <w:tc>
          <w:tcPr>
            <w:tcW w:w="56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6"/>
              </w:rPr>
              <w:t>5/8</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24</w:t>
            </w:r>
          </w:p>
        </w:tc>
        <w:tc>
          <w:tcPr>
            <w:tcW w:w="260" w:type="dxa"/>
            <w:vAlign w:val="bottom"/>
          </w:tcPr>
          <w:p>
            <w:pPr>
              <w:spacing w:after="0"/>
              <w:rPr>
                <w:sz w:val="15"/>
                <w:szCs w:val="15"/>
                <w:color w:val="auto"/>
              </w:rPr>
            </w:pPr>
          </w:p>
        </w:tc>
      </w:tr>
      <w:tr>
        <w:trPr>
          <w:trHeight w:val="177"/>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Third Quarter...................................</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6"/>
              </w:rPr>
              <w:t>7/8</w:t>
            </w:r>
          </w:p>
        </w:tc>
        <w:tc>
          <w:tcPr>
            <w:tcW w:w="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6"/>
              </w:rPr>
              <w:t>5/8</w:t>
            </w:r>
          </w:p>
        </w:tc>
        <w:tc>
          <w:tcPr>
            <w:tcW w:w="220" w:type="dxa"/>
            <w:vAlign w:val="bottom"/>
          </w:tcPr>
          <w:p>
            <w:pPr>
              <w:spacing w:after="0"/>
              <w:rPr>
                <w:sz w:val="15"/>
                <w:szCs w:val="15"/>
                <w:color w:val="auto"/>
              </w:rPr>
            </w:pPr>
          </w:p>
        </w:tc>
        <w:tc>
          <w:tcPr>
            <w:tcW w:w="380" w:type="dxa"/>
            <w:vAlign w:val="bottom"/>
          </w:tcPr>
          <w:p>
            <w:pPr>
              <w:ind w:left="100"/>
              <w:spacing w:after="0"/>
              <w:rPr>
                <w:sz w:val="20"/>
                <w:szCs w:val="20"/>
                <w:color w:val="auto"/>
              </w:rPr>
            </w:pPr>
            <w:r>
              <w:rPr>
                <w:rFonts w:ascii="Courier New" w:cs="Courier New" w:eastAsia="Courier New" w:hAnsi="Courier New"/>
                <w:sz w:val="15"/>
                <w:szCs w:val="15"/>
                <w:color w:val="auto"/>
              </w:rPr>
              <w:t>34</w:t>
            </w:r>
          </w:p>
        </w:tc>
        <w:tc>
          <w:tcPr>
            <w:tcW w:w="56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6"/>
              </w:rPr>
              <w:t>1/8</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3/4</w:t>
            </w:r>
          </w:p>
        </w:tc>
      </w:tr>
      <w:tr>
        <w:trPr>
          <w:trHeight w:val="177"/>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Fourth Quarter..................................</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6"/>
              </w:rPr>
              <w:t>1/8</w:t>
            </w:r>
          </w:p>
        </w:tc>
        <w:tc>
          <w:tcPr>
            <w:tcW w:w="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17</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ind w:left="100"/>
              <w:spacing w:after="0"/>
              <w:rPr>
                <w:sz w:val="20"/>
                <w:szCs w:val="20"/>
                <w:color w:val="auto"/>
              </w:rPr>
            </w:pPr>
            <w:r>
              <w:rPr>
                <w:rFonts w:ascii="Courier New" w:cs="Courier New" w:eastAsia="Courier New" w:hAnsi="Courier New"/>
                <w:sz w:val="15"/>
                <w:szCs w:val="15"/>
                <w:color w:val="auto"/>
              </w:rPr>
              <w:t>34</w:t>
            </w:r>
          </w:p>
        </w:tc>
        <w:tc>
          <w:tcPr>
            <w:tcW w:w="560" w:type="dxa"/>
            <w:vAlign w:val="bottom"/>
          </w:tcPr>
          <w:p>
            <w:pPr>
              <w:spacing w:after="0"/>
              <w:rPr>
                <w:sz w:val="15"/>
                <w:szCs w:val="15"/>
                <w:color w:val="auto"/>
              </w:rPr>
            </w:pP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1/8</w:t>
            </w:r>
          </w:p>
        </w:tc>
      </w:tr>
      <w:tr>
        <w:trPr>
          <w:trHeight w:val="177"/>
        </w:trPr>
        <w:tc>
          <w:tcPr>
            <w:tcW w:w="48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7"/>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First Quarter...................................</w:t>
            </w:r>
          </w:p>
        </w:tc>
        <w:tc>
          <w:tcPr>
            <w:tcW w:w="10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$ 25 5/8</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$ 17 1/4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39 1/4</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4"/>
              </w:rPr>
              <w:t>$ 33</w:t>
            </w:r>
          </w:p>
        </w:tc>
        <w:tc>
          <w:tcPr>
            <w:tcW w:w="260" w:type="dxa"/>
            <w:vAlign w:val="bottom"/>
          </w:tcPr>
          <w:p>
            <w:pPr>
              <w:spacing w:after="0"/>
              <w:rPr>
                <w:sz w:val="15"/>
                <w:szCs w:val="15"/>
                <w:color w:val="auto"/>
              </w:rPr>
            </w:pPr>
          </w:p>
        </w:tc>
      </w:tr>
      <w:tr>
        <w:trPr>
          <w:trHeight w:val="177"/>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Second Quarter..................................</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6"/>
              </w:rPr>
              <w:t>1/8</w:t>
            </w:r>
          </w:p>
        </w:tc>
        <w:tc>
          <w:tcPr>
            <w:tcW w:w="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24</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ind w:left="100"/>
              <w:spacing w:after="0"/>
              <w:rPr>
                <w:sz w:val="20"/>
                <w:szCs w:val="20"/>
                <w:color w:val="auto"/>
              </w:rPr>
            </w:pPr>
            <w:r>
              <w:rPr>
                <w:rFonts w:ascii="Courier New" w:cs="Courier New" w:eastAsia="Courier New" w:hAnsi="Courier New"/>
                <w:sz w:val="15"/>
                <w:szCs w:val="15"/>
                <w:color w:val="auto"/>
              </w:rPr>
              <w:t>50</w:t>
            </w:r>
          </w:p>
        </w:tc>
        <w:tc>
          <w:tcPr>
            <w:tcW w:w="56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6"/>
              </w:rPr>
              <w:t>1/8</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7/8</w:t>
            </w:r>
          </w:p>
        </w:tc>
      </w:tr>
      <w:tr>
        <w:trPr>
          <w:trHeight w:val="177"/>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Third Quarter (through July 18).................</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w:t>
            </w:r>
          </w:p>
        </w:tc>
        <w:tc>
          <w:tcPr>
            <w:tcW w:w="420" w:type="dxa"/>
            <w:vAlign w:val="bottom"/>
          </w:tcPr>
          <w:p>
            <w:pPr>
              <w:spacing w:after="0"/>
              <w:rPr>
                <w:sz w:val="15"/>
                <w:szCs w:val="15"/>
                <w:color w:val="auto"/>
              </w:rPr>
            </w:pPr>
          </w:p>
        </w:tc>
        <w:tc>
          <w:tcPr>
            <w:tcW w:w="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23</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ind w:left="100"/>
              <w:spacing w:after="0"/>
              <w:rPr>
                <w:sz w:val="20"/>
                <w:szCs w:val="20"/>
                <w:color w:val="auto"/>
              </w:rPr>
            </w:pPr>
            <w:r>
              <w:rPr>
                <w:rFonts w:ascii="Courier New" w:cs="Courier New" w:eastAsia="Courier New" w:hAnsi="Courier New"/>
                <w:sz w:val="15"/>
                <w:szCs w:val="15"/>
                <w:color w:val="auto"/>
              </w:rPr>
              <w:t>49</w:t>
            </w:r>
          </w:p>
        </w:tc>
        <w:tc>
          <w:tcPr>
            <w:tcW w:w="56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6"/>
              </w:rPr>
              <w:t>7/8</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38</w:t>
            </w:r>
          </w:p>
        </w:tc>
        <w:tc>
          <w:tcPr>
            <w:tcW w:w="260" w:type="dxa"/>
            <w:vAlign w:val="bottom"/>
          </w:tcPr>
          <w:p>
            <w:pPr>
              <w:spacing w:after="0"/>
              <w:rPr>
                <w:sz w:val="15"/>
                <w:szCs w:val="15"/>
                <w:color w:val="auto"/>
              </w:rPr>
            </w:pPr>
          </w:p>
        </w:tc>
      </w:tr>
    </w:tbl>
    <w:p>
      <w:pPr>
        <w:spacing w:after="0" w:line="200" w:lineRule="exact"/>
        <w:rPr>
          <w:sz w:val="20"/>
          <w:szCs w:val="20"/>
          <w:color w:val="auto"/>
        </w:rPr>
      </w:pPr>
    </w:p>
    <w:p>
      <w:pPr>
        <w:spacing w:after="0" w:line="338"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On June 21, 1996, the last trading day prior to announcement by USA Waste and Sanifill that they had reached an agreement concerning the Merger, the closing sale price of USA Waste Common Stock as reported on the NYSE was $27 7/8 per share, and the closing sale price of Sanifill Common Stock as reported on the NYSE was $47 7/8 per share. The equivalent per share price of Sanifill Common Stock on June 21, 1996, calculated by multiplying the closing sale price of USA Waste Common Stock on the same date by the Exchange Ratio, was $47.3875.</w:t>
      </w:r>
    </w:p>
    <w:p>
      <w:pPr>
        <w:spacing w:after="0" w:line="353"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On July 18, 1996, the closing sale price of USA Waste Common Stock as reported on the NYSE was $27 1/4 per share, and the closing sale price of Sanifill Common on the NYSE was $45 7/8 per share. Following the Merger, USA Waste Common Stock will continue to be traded on the NYSE under the symbol "UW," and the listing of Sanifill Common Stock on the NYSE will be terminated.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 INFORMATION</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USA Waste has never paid cash dividends on its Common Stock. Envirofil paid stock dividends on its preferred stock prior to its acquisition by USA Waste; the holders of such preferred stock received USA Waste Common Stock in that acquisition, and no dividends have been paid by USA Waste. In addition, Chambers paid a dividend on its Class A common stock in November 1990; the holders of Chambers' Class A common stock received USA Waste Common Stock in the merger with Chambers, and no dividends have been paid by USA Waste. The Board of Directors of USA Waste presently intends to retain any earnings in the foreseeable future for USA Waste's business. In addition, payment of dividends on the USA Waste Common Stock is restricted by the terms of USA Waste's bank credit agreement.</w:t>
      </w:r>
    </w:p>
    <w:p>
      <w:pPr>
        <w:spacing w:after="0" w:line="352" w:lineRule="exact"/>
        <w:rPr>
          <w:sz w:val="20"/>
          <w:szCs w:val="20"/>
          <w:color w:val="auto"/>
        </w:rPr>
      </w:pPr>
    </w:p>
    <w:p>
      <w:pPr>
        <w:ind w:right="2939" w:firstLine="461"/>
        <w:spacing w:after="0" w:line="252" w:lineRule="auto"/>
        <w:rPr>
          <w:sz w:val="20"/>
          <w:szCs w:val="20"/>
          <w:color w:val="auto"/>
        </w:rPr>
      </w:pPr>
      <w:r>
        <w:rPr>
          <w:rFonts w:ascii="Courier New" w:cs="Courier New" w:eastAsia="Courier New" w:hAnsi="Courier New"/>
          <w:sz w:val="15"/>
          <w:szCs w:val="15"/>
          <w:color w:val="auto"/>
        </w:rPr>
        <w:t>Sanifill has never paid cash dividends on its Common Stock. In addition, payment of dividends on the Sanifill Common Stock is restricted by the terms of its credit facility.</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295" w:right="1440" w:bottom="1440" w:gutter="0" w:footer="0" w:header="0"/>
        </w:sectPr>
      </w:pPr>
    </w:p>
    <w:bookmarkStart w:id="83" w:name="page84"/>
    <w:bookmarkEnd w:id="83"/>
    <w:p>
      <w:pPr>
        <w:ind w:left="280"/>
        <w:spacing w:after="0"/>
        <w:rPr>
          <w:sz w:val="20"/>
          <w:szCs w:val="20"/>
          <w:color w:val="auto"/>
        </w:rPr>
      </w:pPr>
      <w:r>
        <w:rPr>
          <w:rFonts w:ascii="Courier New" w:cs="Courier New" w:eastAsia="Courier New" w:hAnsi="Courier New"/>
          <w:sz w:val="15"/>
          <w:szCs w:val="15"/>
          <w:color w:val="auto"/>
        </w:rPr>
        <w:t>82</w:t>
      </w:r>
    </w:p>
    <w:p>
      <w:pPr>
        <w:spacing w:after="0" w:line="18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DESCRIPTION OF USA WASTE CAPITAL STOCK</w:t>
      </w:r>
    </w:p>
    <w:p>
      <w:pPr>
        <w:spacing w:after="0" w:line="36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USA Waste is currently authorized to issue 150,000,000 shares of its Common Stock, par value $.01 per share, of which 89,176,731 shares were outstanding on the Record Date and 10,000,000 shares of Preferred Stock, none of which are outstanding. If the amendment to the Restated Certificate of Incorporation of USA Waste is approved, the number of authorized shares of USA Waste Common Stock will be increased to 300,000,000.</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85"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Each holder of USA Waste Common Stock is entitled to one vote per share held of record on each matter submitted to stockholders. Cumulative voting for the election of directors is not permitted, and the holders of a majority of shares voting for the election of directors can elect all members of the USA Waste Board of Directors.</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Subject to the rights of any holders of Preferred Stock, holders of record of shares of USA Waste Common Stock are entitled to receive ratably dividends when and if declared by the USA Waste Board of Directors out of funds of USA Waste legally available therefor. In the event of a voluntary or involuntary winding up or dissolution, liquidation or partial liquidation of USA Waste, holders of USA Waste Common Stock are entitled to participate ratably in any distribution of the assets of USA Waste, subject to any prior rights of holders of any outstanding Preferred Stock.</w:t>
      </w:r>
    </w:p>
    <w:p>
      <w:pPr>
        <w:spacing w:after="0" w:line="175" w:lineRule="exact"/>
        <w:rPr>
          <w:sz w:val="20"/>
          <w:szCs w:val="20"/>
          <w:color w:val="auto"/>
        </w:rPr>
      </w:pPr>
    </w:p>
    <w:p>
      <w:pPr>
        <w:ind w:right="2939" w:firstLine="461"/>
        <w:spacing w:after="0" w:line="252" w:lineRule="auto"/>
        <w:rPr>
          <w:sz w:val="20"/>
          <w:szCs w:val="20"/>
          <w:color w:val="auto"/>
        </w:rPr>
      </w:pPr>
      <w:r>
        <w:rPr>
          <w:rFonts w:ascii="Courier New" w:cs="Courier New" w:eastAsia="Courier New" w:hAnsi="Courier New"/>
          <w:sz w:val="15"/>
          <w:szCs w:val="15"/>
          <w:color w:val="auto"/>
        </w:rPr>
        <w:t>Holders of USA Waste Common Stock have no conversion, redemption or preemptive rights. All outstanding shares of USA Waste Common Stock are validly issued, fully paid and nonassessable.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USA Waste Board of Directors is authorized, without further approval of the stockholders, to issue the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of USA Waste, without stockholder approval, may issue Preferred Stock with voting and conversion rights, both of which could adversely affect the voting power of the holders of USA Waste Common Stock, and dividend or liquidation preferences that would restrict Common Stock dividends or adversely affect the assets available for distribution to holders of shares of Common Stock upon USA Waste's dissolution.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BUT UNISSUED SHARES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Authorized but unissued shares of USA Waste Common Stock or Preferred Stock can be reserved for issuance by the Board of Directors of USA Waste from time to time without further stockholder action for proper corporate purposes, including stock dividends or stock splits, raising equity capital and structuring future corporate transactions, including acquisitions.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85" w:lineRule="exact"/>
        <w:rPr>
          <w:sz w:val="20"/>
          <w:szCs w:val="20"/>
          <w:color w:val="auto"/>
        </w:rPr>
      </w:pPr>
    </w:p>
    <w:p>
      <w:pPr>
        <w:ind w:right="3019" w:firstLine="461"/>
        <w:spacing w:after="0" w:line="253" w:lineRule="auto"/>
        <w:rPr>
          <w:sz w:val="20"/>
          <w:szCs w:val="20"/>
          <w:color w:val="auto"/>
        </w:rPr>
      </w:pPr>
      <w:r>
        <w:rPr>
          <w:rFonts w:ascii="Courier New" w:cs="Courier New" w:eastAsia="Courier New" w:hAnsi="Courier New"/>
          <w:sz w:val="15"/>
          <w:szCs w:val="15"/>
          <w:color w:val="auto"/>
        </w:rPr>
        <w:t>The transfer agent and registrar for the USA Waste Common Stock is Boston EquiServe, Boston, Massachusetts.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LIMITED LIABILITY AND INDEMNIFICATION OF OFFICERS AND DIRECTORS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Certificate of Incorporation of USA Waste provides that the directors of USA Waste shall not be liable to USA Waste or its stockholders for monetary damages for breach of fiduciary duty as a director to the fullest extent permitted by the DGCL. The foregoing limitation does not eliminate or limit the liability of a director for any breach of a director's duty of loyalty to USA Waste or its stockholders, for acts or omissions not in good faith or which involved intentional misconduct or a knowing violation of law, for any transaction from which the director derived an improper personal benefit, or for approval of the unlawful payment of a dividend or an unlawful stock purchase or redemption. The Certificate of Incorporation of USA Waste also</w:t>
      </w:r>
    </w:p>
    <w:p>
      <w:pPr>
        <w:sectPr>
          <w:pgSz w:w="11900" w:h="16838" w:orient="portrait"/>
          <w:cols w:equalWidth="0" w:num="1">
            <w:col w:w="10219"/>
          </w:cols>
          <w:pgMar w:left="240" w:top="295" w:right="1440" w:bottom="1440" w:gutter="0" w:footer="0" w:header="0"/>
        </w:sectPr>
      </w:pPr>
    </w:p>
    <w:p>
      <w:pPr>
        <w:spacing w:after="0" w:line="18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295" w:right="1440" w:bottom="1440" w:gutter="0" w:footer="0" w:header="0"/>
          <w:type w:val="continuous"/>
        </w:sectPr>
      </w:pPr>
    </w:p>
    <w:bookmarkStart w:id="84" w:name="page85"/>
    <w:bookmarkEnd w:id="84"/>
    <w:p>
      <w:pPr>
        <w:ind w:left="280"/>
        <w:spacing w:after="0"/>
        <w:rPr>
          <w:sz w:val="20"/>
          <w:szCs w:val="20"/>
          <w:color w:val="auto"/>
        </w:rPr>
      </w:pPr>
      <w:r>
        <w:rPr>
          <w:rFonts w:ascii="Courier New" w:cs="Courier New" w:eastAsia="Courier New" w:hAnsi="Courier New"/>
          <w:sz w:val="15"/>
          <w:szCs w:val="15"/>
          <w:color w:val="auto"/>
        </w:rPr>
        <w:t>83</w:t>
      </w:r>
    </w:p>
    <w:p>
      <w:pPr>
        <w:spacing w:after="0" w:line="185" w:lineRule="exact"/>
        <w:rPr>
          <w:sz w:val="20"/>
          <w:szCs w:val="20"/>
          <w:color w:val="auto"/>
        </w:rPr>
      </w:pPr>
    </w:p>
    <w:p>
      <w:pPr>
        <w:ind w:right="2839"/>
        <w:spacing w:after="0" w:line="252" w:lineRule="auto"/>
        <w:rPr>
          <w:sz w:val="20"/>
          <w:szCs w:val="20"/>
          <w:color w:val="auto"/>
        </w:rPr>
      </w:pPr>
      <w:r>
        <w:rPr>
          <w:rFonts w:ascii="Courier New" w:cs="Courier New" w:eastAsia="Courier New" w:hAnsi="Courier New"/>
          <w:sz w:val="15"/>
          <w:szCs w:val="15"/>
          <w:color w:val="auto"/>
        </w:rPr>
        <w:t>provides that USA Waste shall indemnify, and advance litigation expenses to, its officers, directors, employees, and agents to the fullest extent permitted by the DGCL and all other laws of the State of Delaware.</w:t>
      </w:r>
    </w:p>
    <w:p>
      <w:pPr>
        <w:spacing w:after="0" w:line="17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DGCL provides that USA Waste has the power to indemnify any person who is sued or threatened to be made a named party in a proceeding, other than an action by or in the right of USA Waste, because such person is or was a director, officer, employee, or agent of USA Waste or is or was serving at the request of USA Waste as a director, officer, employee, or agent of another corporation, partnership, joint venture, trust or other enterprise, against expenses actually and reasonably incurred by such person in connection with such proceeding. In order to be indemnified, the person must have (1) acted in good faith; (2) acted in a manner he reasonably believed to be in or not opposed to the best interests of USA Waste; and (3) with respect to any criminal action or proceeding, had no reasonable cause to believe such person's conduct was unlawful. The indemnification includes attorneys' fees, judgments, fines and amounts paid in settlement.</w:t>
      </w:r>
    </w:p>
    <w:p>
      <w:pPr>
        <w:spacing w:after="0" w:line="183"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DGCL also provides that USA Waste may indemnify any person who is sued or threatened to be made a named party in a proceeding by or in the right of USA Waste to procure a judgment in its favor because such person is or was a director, officer, employee or agent of USA Waste, or is or was serving at the request of USA Waste as a director, officer, employee or agent of another corporation, partnership, joint venture, trust or other enterprise. In order to be indemnified, the person must have conducted himself or herself in good faith and in a manner such person reasonably believed to be in or not opposed to the best interests of USA Waste. No indemnification may be made, however, with respect to any claim, issue or matter as to which such person shall have been judged to be liable to USA Waste unless and only to the extent that the court in which such action or suit was brought shall determine upon application that, despite the adjudication of liability but in view of all the circumstances of the case, such person is fairly and reasonably entitled to indemnification for such expenses which the court shall deem proper.</w:t>
      </w:r>
    </w:p>
    <w:p>
      <w:pPr>
        <w:spacing w:after="0" w:line="184"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Indemnification by USA Waste is subject to a determination that the director, officer, employee or agent has met the applicable standard of conduct. The determination must be made (1) by a majority vote of a quorum of the USA Waste Board of Directors, consisting only of directors who were not parties to such action, suit or proceeding; (2) if such a quorum cannot be obtained, or even if obtainable, if a quorum of disinterested directors so directs, by independent legal counsel in a written opinion; or (3) by the stockholders of USA Waste.</w:t>
      </w:r>
    </w:p>
    <w:p>
      <w:pPr>
        <w:spacing w:after="0" w:line="353"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USA Waste maintains an officers and directors liability insurance policy insuring officers and directors of USA Waste and its subsidiaries against certain liabilities, including liabilities under the Securities Act. The effect of such policy is to indemnify the officers and directors of USA Waste against losses incurred by them while acting in such capacities.</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Insofar as indemnification for liabilities under the Securities Act may be permitted to directors, officers, or persons controlling USA Waste pursuant to the foregoing provisions, USA Waste had been informed that in the opinion of the Commission such indemnification is against public policy as expressed in such Act and is therefore unenforceable.</w:t>
      </w:r>
    </w:p>
    <w:p>
      <w:pPr>
        <w:spacing w:after="0" w:line="176"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PROPOSALS OF STOCKHOLDERS FOR ANNUAL MEETING</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Board of Directors of USA Waste will consider proposals of stockholders intended to be presented for action at the 1997 Annual Meeting of Stockholders. A stockholder proposal must be submitted in writing and be received at USA Waste's principal executive offices, 5400 LBJ Freeway, Suite 300 -- Tower One, Dallas, Texas 75240, no later than December 3, 1996, to be considered for inclusion in USA Waste's proxy statement and form of proxy relating to the 1997 Annual Meeting of Stockholders. Submission of a stockholder proposal does not assure inclusion in the proxy statement or form of proxy because proposals must meet certain Commission rules.</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295"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5"/>
          <w:szCs w:val="15"/>
          <w:color w:val="auto"/>
        </w:rPr>
        <w:t>84</w:t>
      </w:r>
    </w:p>
    <w:p>
      <w:pPr>
        <w:spacing w:after="0" w:line="185"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OTHER MATTERS</w:t>
      </w:r>
    </w:p>
    <w:p>
      <w:pPr>
        <w:spacing w:after="0" w:line="185" w:lineRule="exact"/>
        <w:rPr>
          <w:sz w:val="20"/>
          <w:szCs w:val="20"/>
          <w:color w:val="auto"/>
        </w:rPr>
      </w:pPr>
    </w:p>
    <w:p>
      <w:pPr>
        <w:ind w:right="2939" w:firstLine="461"/>
        <w:spacing w:after="0" w:line="252" w:lineRule="auto"/>
        <w:rPr>
          <w:sz w:val="20"/>
          <w:szCs w:val="20"/>
          <w:color w:val="auto"/>
        </w:rPr>
      </w:pPr>
      <w:r>
        <w:rPr>
          <w:rFonts w:ascii="Courier New" w:cs="Courier New" w:eastAsia="Courier New" w:hAnsi="Courier New"/>
          <w:sz w:val="15"/>
          <w:szCs w:val="15"/>
          <w:color w:val="auto"/>
        </w:rPr>
        <w:t>The Boards of Directors of USA Waste and Sanifill do not know of any other matters to be presented for action at the Meetings other than those listed in each company's respective Notice of Meeting and referred to herein.</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LEGAL MATTERS</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validity of the USA Waste Common Stock to be issued in connection with the Merger and certain legal issues and tax consequences of the Merger will be passed upon by Andrews &amp; Kurth L.L.P., Houston, Texas. Certain legal issues and tax consequences of the Merger will be passed upon for Sanifill by Baker &amp; Botts, L.L.P., Houston, Texas.</w:t>
      </w:r>
    </w:p>
    <w:p>
      <w:pPr>
        <w:spacing w:after="0" w:line="17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EXPERTS</w:t>
      </w:r>
    </w:p>
    <w:p>
      <w:pPr>
        <w:spacing w:after="0" w:line="362"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consolidated financial statements of USA Waste and subsidiaries as of December 31, 1994 and 1995, and for each of the three years in the period ended December 31, 1995, which are included in USA Waste's Annual Report on Form 10-K for the fiscal year ended December 31, 1995, and the supplemental consolidated balance sheets of USA Waste as of December 31, 1994 and 1995 and the supplemental consolidated statements of operations, retained earnings and cash flows for each of the years in the three-year period ended December 31, 1995, and the consolidated financial statements of USA Waste Services, Inc. appearing in USA Waste Services, Inc.'s Current Report on Form 8-K/A (Amendment No. 3) filed July 1, 1996 incorporated by reference in this Joint Proxy Statement and Prospectus, have been incorporated herein in reliance on the report of Coopers &amp; Lybrand L.L.P., independent accountants, given on the authority of that firm as experts in accounting and auditing.</w:t>
      </w:r>
    </w:p>
    <w:p>
      <w:pPr>
        <w:spacing w:after="0" w:line="361"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consolidated financial statements of Sanifill appearing in Sanifill's Annual Report on Form 10-K for the year ended December 31, 1995 and the financial statements of various companies acquired by Sanifill appearing in Sanifill's Current Reports on Form 8-K dated February 5, 1996, February 11, 1996 and March 20, 1996 incorporated by reference in this Joint Proxy Statement and Prospectus have been audited by Arthur Andersen LLP, independent public accountants, as indicated in their reports with respect thereto, and are incorporated herein by reference in reliance upon the authority of such firm as experts in accounting and auditing.</w:t>
      </w:r>
    </w:p>
    <w:p>
      <w:pPr>
        <w:spacing w:after="0" w:line="17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consolidated financial statements of Western Waste Industries at June 30, 1995 and 1994, and for each of the three years in the period ended June 30, 1995, included in USA Waste's Current Report on Form 8-K dated January 9, 1996, have been audited by Ernst &amp; Young LLP, independent auditors, as set forth in their report thereon and included therein and incorporated herein by reference. Such consolidated financial statements are incorporated herein by reference in reliance upon such report given upon the authority of such firm as experts in accounting and auditing.</w:t>
      </w:r>
    </w:p>
    <w:p>
      <w:pPr>
        <w:spacing w:after="0" w:line="17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INDEPENDENT AUDITORS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Representatives of Coopers &amp; Lybrand L.L.P., USA Waste's independent auditors, are expected to be present at the USA Waste Special Meeting and will have the opportunity to make a statement if they so desire. Such representatives are also expected to be available to respond to appropriate questions.</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Representatives of Arthur Andersen LLP, Sanifill's independent auditors, are expected to be present at the Sanifill Special Meeting and will have the opportunity to make a statement if they so desire. Such representatives are also expected to be available to respond to appropriate questions.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295"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5"/>
          <w:szCs w:val="15"/>
          <w:color w:val="auto"/>
        </w:rPr>
        <w:t>85</w:t>
      </w:r>
    </w:p>
    <w:p>
      <w:pPr>
        <w:spacing w:after="0" w:line="185"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ANNEX A</w:t>
      </w:r>
    </w:p>
    <w:p>
      <w:pPr>
        <w:spacing w:after="0" w:line="185"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EXECUTION COPY</w:t>
      </w:r>
    </w:p>
    <w:p>
      <w:pPr>
        <w:spacing w:after="0" w:line="18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AGREEMENT AND PLAN OF MERGER</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DATED AS OF JUNE 22, 1996</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BY AND AMONG</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USA WASTE SERVICES, INC.,</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QUATRO ACQUISITION CORP.</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AND</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SANIFILL, INC.</w:t>
      </w:r>
    </w:p>
    <w:p>
      <w:pPr>
        <w:sectPr>
          <w:pgSz w:w="11900" w:h="16838" w:orient="portrait"/>
          <w:cols w:equalWidth="0" w:num="1">
            <w:col w:w="9939"/>
          </w:cols>
          <w:pgMar w:left="520" w:top="295"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5"/>
          <w:szCs w:val="15"/>
          <w:color w:val="auto"/>
        </w:rPr>
        <w:t>86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080" w:type="dxa"/>
            <w:vAlign w:val="bottom"/>
          </w:tcPr>
          <w:p>
            <w:pPr>
              <w:ind w:left="100"/>
              <w:spacing w:after="0"/>
              <w:rPr>
                <w:sz w:val="20"/>
                <w:szCs w:val="20"/>
                <w:color w:val="auto"/>
              </w:rPr>
            </w:pPr>
            <w:r>
              <w:rPr>
                <w:rFonts w:ascii="Courier New" w:cs="Courier New" w:eastAsia="Courier New" w:hAnsi="Courier New"/>
                <w:sz w:val="15"/>
                <w:szCs w:val="15"/>
                <w:color w:val="auto"/>
              </w:rPr>
              <w:t>TABLE OF CONTENTS</w:t>
            </w:r>
          </w:p>
        </w:tc>
        <w:tc>
          <w:tcPr>
            <w:tcW w:w="920" w:type="dxa"/>
            <w:vAlign w:val="bottom"/>
          </w:tcPr>
          <w:p>
            <w:pPr>
              <w:spacing w:after="0"/>
              <w:rPr>
                <w:sz w:val="14"/>
                <w:szCs w:val="14"/>
                <w:color w:val="auto"/>
              </w:rPr>
            </w:pPr>
          </w:p>
        </w:tc>
      </w:tr>
      <w:tr>
        <w:trPr>
          <w:trHeight w:val="710"/>
        </w:trPr>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PAGE NO.</w:t>
            </w:r>
          </w:p>
        </w:tc>
      </w:tr>
      <w:tr>
        <w:trPr>
          <w:trHeight w:val="177"/>
        </w:trPr>
        <w:tc>
          <w:tcPr>
            <w:tcW w:w="1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1200" w:type="dxa"/>
            <w:vAlign w:val="bottom"/>
          </w:tcPr>
          <w:p>
            <w:pPr>
              <w:spacing w:after="0"/>
              <w:rPr>
                <w:sz w:val="20"/>
                <w:szCs w:val="20"/>
                <w:color w:val="auto"/>
              </w:rPr>
            </w:pPr>
            <w:r>
              <w:rPr>
                <w:rFonts w:ascii="Courier New" w:cs="Courier New" w:eastAsia="Courier New" w:hAnsi="Courier New"/>
                <w:sz w:val="15"/>
                <w:szCs w:val="15"/>
                <w:color w:val="auto"/>
              </w:rPr>
              <w:t>ARTICLE I</w:t>
            </w:r>
          </w:p>
        </w:tc>
        <w:tc>
          <w:tcPr>
            <w:tcW w:w="66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THE MERGER..........................................................</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A-1</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1.1.</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The Merger...........................................</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A-1</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1.2.</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Effective Time of the Merger.........................</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A-1</w:t>
            </w:r>
          </w:p>
        </w:tc>
      </w:tr>
      <w:tr>
        <w:trPr>
          <w:trHeight w:val="177"/>
        </w:trPr>
        <w:tc>
          <w:tcPr>
            <w:tcW w:w="1200" w:type="dxa"/>
            <w:vAlign w:val="bottom"/>
          </w:tcPr>
          <w:p>
            <w:pPr>
              <w:spacing w:after="0"/>
              <w:rPr>
                <w:sz w:val="20"/>
                <w:szCs w:val="20"/>
                <w:color w:val="auto"/>
              </w:rPr>
            </w:pPr>
            <w:r>
              <w:rPr>
                <w:rFonts w:ascii="Courier New" w:cs="Courier New" w:eastAsia="Courier New" w:hAnsi="Courier New"/>
                <w:sz w:val="15"/>
                <w:szCs w:val="15"/>
                <w:color w:val="auto"/>
              </w:rPr>
              <w:t>ARTICLE II</w:t>
            </w:r>
          </w:p>
        </w:tc>
        <w:tc>
          <w:tcPr>
            <w:tcW w:w="66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THE SURVIVING AND PARENT CORPORATIONS...............................</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A-2</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2.1.</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Certificate of Incorporation.........................</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A-2</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2.2.</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By-Laws..............................................</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A-2</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2.3.</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Directors............................................</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A-2</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2.4.</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Officers.............................................</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A-2</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2.5.</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Corporate Offices....................................</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A-2</w:t>
            </w:r>
          </w:p>
        </w:tc>
      </w:tr>
      <w:tr>
        <w:trPr>
          <w:trHeight w:val="177"/>
        </w:trPr>
        <w:tc>
          <w:tcPr>
            <w:tcW w:w="1200" w:type="dxa"/>
            <w:vAlign w:val="bottom"/>
          </w:tcPr>
          <w:p>
            <w:pPr>
              <w:spacing w:after="0"/>
              <w:rPr>
                <w:sz w:val="20"/>
                <w:szCs w:val="20"/>
                <w:color w:val="auto"/>
              </w:rPr>
            </w:pPr>
            <w:r>
              <w:rPr>
                <w:rFonts w:ascii="Courier New" w:cs="Courier New" w:eastAsia="Courier New" w:hAnsi="Courier New"/>
                <w:sz w:val="15"/>
                <w:szCs w:val="15"/>
                <w:color w:val="auto"/>
              </w:rPr>
              <w:t>ARTICLE III</w:t>
            </w:r>
          </w:p>
        </w:tc>
        <w:tc>
          <w:tcPr>
            <w:tcW w:w="66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CONVERSION OF SHARES................................................</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A-2</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3.1.</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Conversion of Company Shares in the Merger...........</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A-2</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3.2.</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Conversion of Subsidiary Shares......................</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A-3</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3.3.</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Exchange of Certificates.............................</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A-3</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3.4.</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No Fractional Securities.............................</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A-4</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3.5.</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Closing..............................................</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A-4</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3.6.</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Closing of the Company's Transfer Books..............</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A-4</w:t>
            </w:r>
          </w:p>
        </w:tc>
      </w:tr>
      <w:tr>
        <w:trPr>
          <w:trHeight w:val="177"/>
        </w:trPr>
        <w:tc>
          <w:tcPr>
            <w:tcW w:w="1200" w:type="dxa"/>
            <w:vAlign w:val="bottom"/>
          </w:tcPr>
          <w:p>
            <w:pPr>
              <w:spacing w:after="0"/>
              <w:rPr>
                <w:sz w:val="20"/>
                <w:szCs w:val="20"/>
                <w:color w:val="auto"/>
              </w:rPr>
            </w:pPr>
            <w:r>
              <w:rPr>
                <w:rFonts w:ascii="Courier New" w:cs="Courier New" w:eastAsia="Courier New" w:hAnsi="Courier New"/>
                <w:sz w:val="15"/>
                <w:szCs w:val="15"/>
                <w:color w:val="auto"/>
              </w:rPr>
              <w:t>ARTICLE IV</w:t>
            </w:r>
          </w:p>
        </w:tc>
        <w:tc>
          <w:tcPr>
            <w:tcW w:w="66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REPRESENTATIONS AND WARRANTIES OF PARENT AND SUBSIDIARY.............</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A-5</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4.1.</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Organization and Qualification.......................</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A-5</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4.2.</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Capitalization.......................................</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A-5</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4.3.</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Subsidiaries.........................................</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A-5</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4.4.</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Authority; Non-Contravention; Approvals..............</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A-6</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4.5.</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Reports and Financial Statements.....................</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A-7</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4.6.</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Absence of Undisclosed Liabilities...................</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A-7</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4.7.</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Absence of Certain Changes or Events.................</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A-8</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4.8.</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Litigation...........................................</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A-8</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4.9.</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Registration Statement and Proxy Statement...........</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A-8</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4.10.</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No Violation of Law..................................</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A-8</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4.11.</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Compliance with Agreements...........................</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A-9</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4.12.</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Taxes................................................</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A-9</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4.13.</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Employee Benefit Plans; ERISA........................</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A-10</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4.14.</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Labor Controversies..................................</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A-11</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4.15.</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Environmental Matters................................</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A-11</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4.16.</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Non-competition Agreements...........................</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A-12</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4.17.</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Title to Assets......................................</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A-12</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4.18.</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Reorganization and Pooling of Interests..............</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A-13</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4.19.</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Parent Stockholders' Approval........................</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A-13</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4.20.</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Brokers and Finders..................................</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A-13</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4.21.</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Opinion of Financial Advisor.........................</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A-13</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4.22.</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Ownership of Company Common Stock....................</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A-13</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4.23.</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Parent Disclosure Schedule...........................</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A-13</w:t>
            </w:r>
          </w:p>
        </w:tc>
      </w:tr>
      <w:tr>
        <w:trPr>
          <w:trHeight w:val="177"/>
        </w:trPr>
        <w:tc>
          <w:tcPr>
            <w:tcW w:w="1200" w:type="dxa"/>
            <w:vAlign w:val="bottom"/>
          </w:tcPr>
          <w:p>
            <w:pPr>
              <w:spacing w:after="0"/>
              <w:rPr>
                <w:sz w:val="20"/>
                <w:szCs w:val="20"/>
                <w:color w:val="auto"/>
              </w:rPr>
            </w:pPr>
            <w:r>
              <w:rPr>
                <w:rFonts w:ascii="Courier New" w:cs="Courier New" w:eastAsia="Courier New" w:hAnsi="Courier New"/>
                <w:sz w:val="15"/>
                <w:szCs w:val="15"/>
                <w:color w:val="auto"/>
              </w:rPr>
              <w:t>ARTICLE V</w:t>
            </w:r>
          </w:p>
        </w:tc>
        <w:tc>
          <w:tcPr>
            <w:tcW w:w="66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REPRESENTATIONS AND WARRANTIES OF THE COMPANY.......................</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A-13</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5.1.</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Organization and Qualification.......................</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A-13</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5.2.</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Capitalization.......................................</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A-14</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5.3.</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Subsidiaries.........................................</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A-14</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5.4.</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Authority; Non-Contravention; Approvals..............</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A-15</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5.5.</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Reports and Financial Statements.....................</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A-16</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5.6.</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Absence of Undisclosed Liabilities...................</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A-16</w:t>
            </w:r>
          </w:p>
        </w:tc>
      </w:tr>
      <w:tr>
        <w:trPr>
          <w:trHeight w:val="177"/>
        </w:trPr>
        <w:tc>
          <w:tcPr>
            <w:tcW w:w="120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Section 5.7.</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Absence of Certain Changes or Events.................</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A-16</w:t>
            </w:r>
          </w:p>
        </w:tc>
      </w:tr>
    </w:tbl>
    <w:p>
      <w:pPr>
        <w:spacing w:after="0" w:line="36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95" w:right="1440"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72"/>
        </w:trPr>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87</w:t>
            </w:r>
          </w:p>
        </w:tc>
        <w:tc>
          <w:tcPr>
            <w:tcW w:w="15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710"/>
        </w:trPr>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PAGE NO.</w:t>
            </w:r>
          </w:p>
        </w:tc>
      </w:tr>
      <w:tr>
        <w:trPr>
          <w:trHeight w:val="177"/>
        </w:trPr>
        <w:tc>
          <w:tcPr>
            <w:tcW w:w="1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1240" w:type="dxa"/>
            <w:vAlign w:val="bottom"/>
          </w:tcPr>
          <w:p>
            <w:pPr>
              <w:spacing w:after="0"/>
              <w:rPr>
                <w:sz w:val="24"/>
                <w:szCs w:val="24"/>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5.8.</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Litigation...........................................</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A-16</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5.9.</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Registration Statement and Proxy Statement...........</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A-17</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5.10.</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No Violation of Law..................................</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A-17</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5.11.</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Compliance with Agreements...........................</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A-17</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5.12.</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Taxes................................................</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A-18</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5.13.</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Employee Benefit Plans; ERISA........................</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A-18</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5.14.</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Labor Controversies..................................</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A-19</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5.15.</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Environmental Matters................................</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A-19</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5.16.</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Non-competition Agreements...........................</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A-20</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5.17.</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Title to Assets......................................</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A-20</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5.18.</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Reorganization and Pooling of Interests..............</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A-21</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5.19.</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Company Stockholders' Approval.......................</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A-21</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5.20.</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Brokers and Finders..................................</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A-21</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5.21.</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Opinion of Financial Advisor.........................</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A-21</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5.22.</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Amendment to Preferred Stock Rights Agreement........</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A-21</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5.23.</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Company Disclosure Schedule..........................</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A-21</w:t>
            </w:r>
          </w:p>
        </w:tc>
      </w:tr>
      <w:tr>
        <w:trPr>
          <w:trHeight w:val="177"/>
        </w:trPr>
        <w:tc>
          <w:tcPr>
            <w:tcW w:w="1240" w:type="dxa"/>
            <w:vAlign w:val="bottom"/>
          </w:tcPr>
          <w:p>
            <w:pPr>
              <w:spacing w:after="0"/>
              <w:rPr>
                <w:sz w:val="20"/>
                <w:szCs w:val="20"/>
                <w:color w:val="auto"/>
              </w:rPr>
            </w:pPr>
            <w:r>
              <w:rPr>
                <w:rFonts w:ascii="Courier New" w:cs="Courier New" w:eastAsia="Courier New" w:hAnsi="Courier New"/>
                <w:sz w:val="15"/>
                <w:szCs w:val="15"/>
                <w:color w:val="auto"/>
              </w:rPr>
              <w:t>ARTICLE VI</w:t>
            </w:r>
          </w:p>
        </w:tc>
        <w:tc>
          <w:tcPr>
            <w:tcW w:w="66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CONDUCT OF BUSINESS PENDING THE MERGER..............................</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A-21</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6.1.</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Conduct of Business by the Company Pending the</w:t>
            </w:r>
          </w:p>
        </w:tc>
        <w:tc>
          <w:tcPr>
            <w:tcW w:w="92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Merger.............................................</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A-21</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6.2.</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Conduct of Business by Parent and Subsidiary Pending</w:t>
            </w:r>
          </w:p>
        </w:tc>
        <w:tc>
          <w:tcPr>
            <w:tcW w:w="92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the Merger.........................................</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A-23</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6.3.</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Control of the Company's Operations..................</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A-24</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6.4.</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Control of Parent's Operations.......................</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A-24</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6.5.</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Acquisition Transactions.............................</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A-24</w:t>
            </w:r>
          </w:p>
        </w:tc>
      </w:tr>
      <w:tr>
        <w:trPr>
          <w:trHeight w:val="177"/>
        </w:trPr>
        <w:tc>
          <w:tcPr>
            <w:tcW w:w="1240" w:type="dxa"/>
            <w:vAlign w:val="bottom"/>
          </w:tcPr>
          <w:p>
            <w:pPr>
              <w:spacing w:after="0"/>
              <w:rPr>
                <w:sz w:val="20"/>
                <w:szCs w:val="20"/>
                <w:color w:val="auto"/>
              </w:rPr>
            </w:pPr>
            <w:r>
              <w:rPr>
                <w:rFonts w:ascii="Courier New" w:cs="Courier New" w:eastAsia="Courier New" w:hAnsi="Courier New"/>
                <w:sz w:val="15"/>
                <w:szCs w:val="15"/>
                <w:color w:val="auto"/>
              </w:rPr>
              <w:t>ARTICLE VII</w:t>
            </w:r>
          </w:p>
        </w:tc>
        <w:tc>
          <w:tcPr>
            <w:tcW w:w="66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ADDITIONAL AGREEMENTS...............................................</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A-25</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7.1.</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Access to Information................................</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A-25</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7.2.</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Registration Statement and Proxy Statement...........</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A-26</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7.3.</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Stockholders' Approvals..............................</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A-26</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7.4.</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Compliance with the Securities Act...................</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A-26</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7.5.</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Exchange Listing.....................................</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A-27</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7.6.</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Expenses and Fees....................................</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A-27</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7.7.</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Agreement to Cooperate...............................</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A-27</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7.8.</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Public Statements....................................</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A-28</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7.9.</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Option Plans.........................................</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A-28</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7.10.</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Notification of Certain Matters......................</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A-28</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7.11.</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Directors' and Officers' Indemnification.............</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A-28</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7.12.</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Corrections to the Joint Proxy Statement/Prospectus</w:t>
            </w:r>
          </w:p>
        </w:tc>
        <w:tc>
          <w:tcPr>
            <w:tcW w:w="92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and Registration Statement.........................</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A-29</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7.13.</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Effect on Accounting Treatment.......................</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A-29</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7.14.</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Amendment of Certain Acquisition Agreements..........</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A-30</w:t>
            </w:r>
          </w:p>
        </w:tc>
      </w:tr>
      <w:tr>
        <w:trPr>
          <w:trHeight w:val="177"/>
        </w:trPr>
        <w:tc>
          <w:tcPr>
            <w:tcW w:w="1240" w:type="dxa"/>
            <w:vAlign w:val="bottom"/>
          </w:tcPr>
          <w:p>
            <w:pPr>
              <w:spacing w:after="0"/>
              <w:rPr>
                <w:sz w:val="20"/>
                <w:szCs w:val="20"/>
                <w:color w:val="auto"/>
              </w:rPr>
            </w:pPr>
            <w:r>
              <w:rPr>
                <w:rFonts w:ascii="Courier New" w:cs="Courier New" w:eastAsia="Courier New" w:hAnsi="Courier New"/>
                <w:sz w:val="15"/>
                <w:szCs w:val="15"/>
                <w:color w:val="auto"/>
              </w:rPr>
              <w:t>ARTICLE VIII</w:t>
            </w:r>
          </w:p>
        </w:tc>
        <w:tc>
          <w:tcPr>
            <w:tcW w:w="66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CONDITIONS..........................................................</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A-30</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8.1.</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Conditions to Each Party's Obligation to Effect the</w:t>
            </w:r>
          </w:p>
        </w:tc>
        <w:tc>
          <w:tcPr>
            <w:tcW w:w="92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Merger.............................................</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A-30</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8.2.</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Conditions to Obligation of the Company to Effect the</w:t>
            </w:r>
          </w:p>
        </w:tc>
        <w:tc>
          <w:tcPr>
            <w:tcW w:w="92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Merger.............................................</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A-31</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8.3.</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Conditions to Obligations of Parent and Subsidiary to</w:t>
            </w:r>
          </w:p>
        </w:tc>
        <w:tc>
          <w:tcPr>
            <w:tcW w:w="92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Effect the Merger..................................</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A-31</w:t>
            </w:r>
          </w:p>
        </w:tc>
      </w:tr>
      <w:tr>
        <w:trPr>
          <w:trHeight w:val="177"/>
        </w:trPr>
        <w:tc>
          <w:tcPr>
            <w:tcW w:w="1240" w:type="dxa"/>
            <w:vAlign w:val="bottom"/>
          </w:tcPr>
          <w:p>
            <w:pPr>
              <w:spacing w:after="0"/>
              <w:rPr>
                <w:sz w:val="20"/>
                <w:szCs w:val="20"/>
                <w:color w:val="auto"/>
              </w:rPr>
            </w:pPr>
            <w:r>
              <w:rPr>
                <w:rFonts w:ascii="Courier New" w:cs="Courier New" w:eastAsia="Courier New" w:hAnsi="Courier New"/>
                <w:sz w:val="15"/>
                <w:szCs w:val="15"/>
                <w:color w:val="auto"/>
              </w:rPr>
              <w:t>ARTICLE IX</w:t>
            </w:r>
          </w:p>
        </w:tc>
        <w:tc>
          <w:tcPr>
            <w:tcW w:w="66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TERMINATION, AMENDMENT AND WAIVER...................................</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A-32</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9.1.</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Termination..........................................</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A-32</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9.2.</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Effect of Termination................................</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A-33</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9.3.</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Amendment............................................</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A-33</w:t>
            </w:r>
          </w:p>
        </w:tc>
      </w:tr>
      <w:tr>
        <w:trPr>
          <w:trHeight w:val="177"/>
        </w:trPr>
        <w:tc>
          <w:tcPr>
            <w:tcW w:w="12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Section 9.4.</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Waiver...............................................</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A-33</w:t>
            </w:r>
          </w:p>
        </w:tc>
      </w:tr>
    </w:tbl>
    <w:p>
      <w:pPr>
        <w:spacing w:after="0" w:line="3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295" w:right="1440"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72"/>
        </w:trPr>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88</w:t>
            </w:r>
          </w:p>
        </w:tc>
        <w:tc>
          <w:tcPr>
            <w:tcW w:w="15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710"/>
        </w:trPr>
        <w:tc>
          <w:tcPr>
            <w:tcW w:w="1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PAGE NO.</w:t>
            </w:r>
          </w:p>
        </w:tc>
      </w:tr>
      <w:tr>
        <w:trPr>
          <w:trHeight w:val="177"/>
        </w:trPr>
        <w:tc>
          <w:tcPr>
            <w:tcW w:w="1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8"/>
              </w:rPr>
              <w:t>ARTICLE X</w:t>
            </w:r>
          </w:p>
        </w:tc>
        <w:tc>
          <w:tcPr>
            <w:tcW w:w="67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GENERAL PROVISIONS..................................................</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A-34</w:t>
            </w:r>
          </w:p>
        </w:tc>
      </w:tr>
      <w:tr>
        <w:trPr>
          <w:trHeight w:val="177"/>
        </w:trPr>
        <w:tc>
          <w:tcPr>
            <w:tcW w:w="1100" w:type="dxa"/>
            <w:vAlign w:val="bottom"/>
          </w:tcPr>
          <w:p>
            <w:pPr>
              <w:spacing w:after="0"/>
              <w:rPr>
                <w:sz w:val="15"/>
                <w:szCs w:val="15"/>
                <w:color w:val="auto"/>
              </w:rPr>
            </w:pPr>
          </w:p>
        </w:tc>
        <w:tc>
          <w:tcPr>
            <w:tcW w:w="1580" w:type="dxa"/>
            <w:vAlign w:val="bottom"/>
          </w:tcPr>
          <w:p>
            <w:pPr>
              <w:ind w:left="280"/>
              <w:spacing w:after="0"/>
              <w:rPr>
                <w:sz w:val="20"/>
                <w:szCs w:val="20"/>
                <w:color w:val="auto"/>
              </w:rPr>
            </w:pPr>
            <w:r>
              <w:rPr>
                <w:rFonts w:ascii="Courier New" w:cs="Courier New" w:eastAsia="Courier New" w:hAnsi="Courier New"/>
                <w:sz w:val="15"/>
                <w:szCs w:val="15"/>
                <w:color w:val="auto"/>
              </w:rPr>
              <w:t>Section 10.1.</w:t>
            </w:r>
          </w:p>
        </w:tc>
        <w:tc>
          <w:tcPr>
            <w:tcW w:w="5160" w:type="dxa"/>
            <w:vAlign w:val="bottom"/>
          </w:tcPr>
          <w:p>
            <w:pPr>
              <w:ind w:left="80"/>
              <w:spacing w:after="0"/>
              <w:rPr>
                <w:sz w:val="20"/>
                <w:szCs w:val="20"/>
                <w:color w:val="auto"/>
              </w:rPr>
            </w:pPr>
            <w:r>
              <w:rPr>
                <w:rFonts w:ascii="Courier New" w:cs="Courier New" w:eastAsia="Courier New" w:hAnsi="Courier New"/>
                <w:sz w:val="15"/>
                <w:szCs w:val="15"/>
                <w:color w:val="auto"/>
              </w:rPr>
              <w:t>Non-Survival of Representations and Warranties.......</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A-34</w:t>
            </w:r>
          </w:p>
        </w:tc>
      </w:tr>
      <w:tr>
        <w:trPr>
          <w:trHeight w:val="177"/>
        </w:trPr>
        <w:tc>
          <w:tcPr>
            <w:tcW w:w="1100" w:type="dxa"/>
            <w:vAlign w:val="bottom"/>
          </w:tcPr>
          <w:p>
            <w:pPr>
              <w:spacing w:after="0"/>
              <w:rPr>
                <w:sz w:val="15"/>
                <w:szCs w:val="15"/>
                <w:color w:val="auto"/>
              </w:rPr>
            </w:pPr>
          </w:p>
        </w:tc>
        <w:tc>
          <w:tcPr>
            <w:tcW w:w="1580" w:type="dxa"/>
            <w:vAlign w:val="bottom"/>
          </w:tcPr>
          <w:p>
            <w:pPr>
              <w:ind w:left="280"/>
              <w:spacing w:after="0"/>
              <w:rPr>
                <w:sz w:val="20"/>
                <w:szCs w:val="20"/>
                <w:color w:val="auto"/>
              </w:rPr>
            </w:pPr>
            <w:r>
              <w:rPr>
                <w:rFonts w:ascii="Courier New" w:cs="Courier New" w:eastAsia="Courier New" w:hAnsi="Courier New"/>
                <w:sz w:val="15"/>
                <w:szCs w:val="15"/>
                <w:color w:val="auto"/>
              </w:rPr>
              <w:t>Section 10.2.</w:t>
            </w:r>
          </w:p>
        </w:tc>
        <w:tc>
          <w:tcPr>
            <w:tcW w:w="5160" w:type="dxa"/>
            <w:vAlign w:val="bottom"/>
          </w:tcPr>
          <w:p>
            <w:pPr>
              <w:ind w:left="80"/>
              <w:spacing w:after="0"/>
              <w:rPr>
                <w:sz w:val="20"/>
                <w:szCs w:val="20"/>
                <w:color w:val="auto"/>
              </w:rPr>
            </w:pPr>
            <w:r>
              <w:rPr>
                <w:rFonts w:ascii="Courier New" w:cs="Courier New" w:eastAsia="Courier New" w:hAnsi="Courier New"/>
                <w:sz w:val="15"/>
                <w:szCs w:val="15"/>
                <w:color w:val="auto"/>
              </w:rPr>
              <w:t>Notices..............................................</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A-34</w:t>
            </w:r>
          </w:p>
        </w:tc>
      </w:tr>
      <w:tr>
        <w:trPr>
          <w:trHeight w:val="177"/>
        </w:trPr>
        <w:tc>
          <w:tcPr>
            <w:tcW w:w="1100" w:type="dxa"/>
            <w:vAlign w:val="bottom"/>
          </w:tcPr>
          <w:p>
            <w:pPr>
              <w:spacing w:after="0"/>
              <w:rPr>
                <w:sz w:val="15"/>
                <w:szCs w:val="15"/>
                <w:color w:val="auto"/>
              </w:rPr>
            </w:pPr>
          </w:p>
        </w:tc>
        <w:tc>
          <w:tcPr>
            <w:tcW w:w="1580" w:type="dxa"/>
            <w:vAlign w:val="bottom"/>
          </w:tcPr>
          <w:p>
            <w:pPr>
              <w:ind w:left="280"/>
              <w:spacing w:after="0"/>
              <w:rPr>
                <w:sz w:val="20"/>
                <w:szCs w:val="20"/>
                <w:color w:val="auto"/>
              </w:rPr>
            </w:pPr>
            <w:r>
              <w:rPr>
                <w:rFonts w:ascii="Courier New" w:cs="Courier New" w:eastAsia="Courier New" w:hAnsi="Courier New"/>
                <w:sz w:val="15"/>
                <w:szCs w:val="15"/>
                <w:color w:val="auto"/>
              </w:rPr>
              <w:t>Section 10.3.</w:t>
            </w:r>
          </w:p>
        </w:tc>
        <w:tc>
          <w:tcPr>
            <w:tcW w:w="5160" w:type="dxa"/>
            <w:vAlign w:val="bottom"/>
          </w:tcPr>
          <w:p>
            <w:pPr>
              <w:ind w:left="80"/>
              <w:spacing w:after="0"/>
              <w:rPr>
                <w:sz w:val="20"/>
                <w:szCs w:val="20"/>
                <w:color w:val="auto"/>
              </w:rPr>
            </w:pPr>
            <w:r>
              <w:rPr>
                <w:rFonts w:ascii="Courier New" w:cs="Courier New" w:eastAsia="Courier New" w:hAnsi="Courier New"/>
                <w:sz w:val="15"/>
                <w:szCs w:val="15"/>
                <w:color w:val="auto"/>
              </w:rPr>
              <w:t>Interpretation.......................................</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A-34</w:t>
            </w:r>
          </w:p>
        </w:tc>
      </w:tr>
      <w:tr>
        <w:trPr>
          <w:trHeight w:val="177"/>
        </w:trPr>
        <w:tc>
          <w:tcPr>
            <w:tcW w:w="1100" w:type="dxa"/>
            <w:vAlign w:val="bottom"/>
          </w:tcPr>
          <w:p>
            <w:pPr>
              <w:spacing w:after="0"/>
              <w:rPr>
                <w:sz w:val="15"/>
                <w:szCs w:val="15"/>
                <w:color w:val="auto"/>
              </w:rPr>
            </w:pPr>
          </w:p>
        </w:tc>
        <w:tc>
          <w:tcPr>
            <w:tcW w:w="1580" w:type="dxa"/>
            <w:vAlign w:val="bottom"/>
          </w:tcPr>
          <w:p>
            <w:pPr>
              <w:ind w:left="280"/>
              <w:spacing w:after="0"/>
              <w:rPr>
                <w:sz w:val="20"/>
                <w:szCs w:val="20"/>
                <w:color w:val="auto"/>
              </w:rPr>
            </w:pPr>
            <w:r>
              <w:rPr>
                <w:rFonts w:ascii="Courier New" w:cs="Courier New" w:eastAsia="Courier New" w:hAnsi="Courier New"/>
                <w:sz w:val="15"/>
                <w:szCs w:val="15"/>
                <w:color w:val="auto"/>
              </w:rPr>
              <w:t>Section 10.4.</w:t>
            </w:r>
          </w:p>
        </w:tc>
        <w:tc>
          <w:tcPr>
            <w:tcW w:w="5160" w:type="dxa"/>
            <w:vAlign w:val="bottom"/>
          </w:tcPr>
          <w:p>
            <w:pPr>
              <w:ind w:left="80"/>
              <w:spacing w:after="0"/>
              <w:rPr>
                <w:sz w:val="20"/>
                <w:szCs w:val="20"/>
                <w:color w:val="auto"/>
              </w:rPr>
            </w:pPr>
            <w:r>
              <w:rPr>
                <w:rFonts w:ascii="Courier New" w:cs="Courier New" w:eastAsia="Courier New" w:hAnsi="Courier New"/>
                <w:sz w:val="15"/>
                <w:szCs w:val="15"/>
                <w:color w:val="auto"/>
              </w:rPr>
              <w:t>Miscellaneous........................................</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A-35</w:t>
            </w:r>
          </w:p>
        </w:tc>
      </w:tr>
      <w:tr>
        <w:trPr>
          <w:trHeight w:val="177"/>
        </w:trPr>
        <w:tc>
          <w:tcPr>
            <w:tcW w:w="1100" w:type="dxa"/>
            <w:vAlign w:val="bottom"/>
          </w:tcPr>
          <w:p>
            <w:pPr>
              <w:spacing w:after="0"/>
              <w:rPr>
                <w:sz w:val="15"/>
                <w:szCs w:val="15"/>
                <w:color w:val="auto"/>
              </w:rPr>
            </w:pPr>
          </w:p>
        </w:tc>
        <w:tc>
          <w:tcPr>
            <w:tcW w:w="1580" w:type="dxa"/>
            <w:vAlign w:val="bottom"/>
          </w:tcPr>
          <w:p>
            <w:pPr>
              <w:ind w:left="280"/>
              <w:spacing w:after="0"/>
              <w:rPr>
                <w:sz w:val="20"/>
                <w:szCs w:val="20"/>
                <w:color w:val="auto"/>
              </w:rPr>
            </w:pPr>
            <w:r>
              <w:rPr>
                <w:rFonts w:ascii="Courier New" w:cs="Courier New" w:eastAsia="Courier New" w:hAnsi="Courier New"/>
                <w:sz w:val="15"/>
                <w:szCs w:val="15"/>
                <w:color w:val="auto"/>
              </w:rPr>
              <w:t>Section 10.5.</w:t>
            </w:r>
          </w:p>
        </w:tc>
        <w:tc>
          <w:tcPr>
            <w:tcW w:w="5160" w:type="dxa"/>
            <w:vAlign w:val="bottom"/>
          </w:tcPr>
          <w:p>
            <w:pPr>
              <w:ind w:left="80"/>
              <w:spacing w:after="0"/>
              <w:rPr>
                <w:sz w:val="20"/>
                <w:szCs w:val="20"/>
                <w:color w:val="auto"/>
              </w:rPr>
            </w:pPr>
            <w:r>
              <w:rPr>
                <w:rFonts w:ascii="Courier New" w:cs="Courier New" w:eastAsia="Courier New" w:hAnsi="Courier New"/>
                <w:sz w:val="15"/>
                <w:szCs w:val="15"/>
                <w:color w:val="auto"/>
              </w:rPr>
              <w:t>Counterparts.........................................</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A-35</w:t>
            </w:r>
          </w:p>
        </w:tc>
      </w:tr>
      <w:tr>
        <w:trPr>
          <w:trHeight w:val="177"/>
        </w:trPr>
        <w:tc>
          <w:tcPr>
            <w:tcW w:w="1100" w:type="dxa"/>
            <w:vAlign w:val="bottom"/>
          </w:tcPr>
          <w:p>
            <w:pPr>
              <w:spacing w:after="0"/>
              <w:rPr>
                <w:sz w:val="15"/>
                <w:szCs w:val="15"/>
                <w:color w:val="auto"/>
              </w:rPr>
            </w:pPr>
          </w:p>
        </w:tc>
        <w:tc>
          <w:tcPr>
            <w:tcW w:w="1580" w:type="dxa"/>
            <w:vAlign w:val="bottom"/>
          </w:tcPr>
          <w:p>
            <w:pPr>
              <w:ind w:left="280"/>
              <w:spacing w:after="0"/>
              <w:rPr>
                <w:sz w:val="20"/>
                <w:szCs w:val="20"/>
                <w:color w:val="auto"/>
              </w:rPr>
            </w:pPr>
            <w:r>
              <w:rPr>
                <w:rFonts w:ascii="Courier New" w:cs="Courier New" w:eastAsia="Courier New" w:hAnsi="Courier New"/>
                <w:sz w:val="15"/>
                <w:szCs w:val="15"/>
                <w:color w:val="auto"/>
              </w:rPr>
              <w:t>Section 10.6.</w:t>
            </w:r>
          </w:p>
        </w:tc>
        <w:tc>
          <w:tcPr>
            <w:tcW w:w="5160" w:type="dxa"/>
            <w:vAlign w:val="bottom"/>
          </w:tcPr>
          <w:p>
            <w:pPr>
              <w:ind w:left="80"/>
              <w:spacing w:after="0"/>
              <w:rPr>
                <w:sz w:val="20"/>
                <w:szCs w:val="20"/>
                <w:color w:val="auto"/>
              </w:rPr>
            </w:pPr>
            <w:r>
              <w:rPr>
                <w:rFonts w:ascii="Courier New" w:cs="Courier New" w:eastAsia="Courier New" w:hAnsi="Courier New"/>
                <w:sz w:val="15"/>
                <w:szCs w:val="15"/>
                <w:color w:val="auto"/>
              </w:rPr>
              <w:t>Parties In Interest..................................</w:t>
            </w:r>
          </w:p>
        </w:tc>
        <w:tc>
          <w:tcPr>
            <w:tcW w:w="92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A-35</w:t>
            </w:r>
          </w:p>
        </w:tc>
      </w:tr>
    </w:tbl>
    <w:p>
      <w:pPr>
        <w:spacing w:after="0" w:line="3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295" w:right="1440"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5"/>
          <w:szCs w:val="15"/>
          <w:color w:val="auto"/>
        </w:rPr>
        <w:t>89</w:t>
      </w:r>
    </w:p>
    <w:p>
      <w:pPr>
        <w:spacing w:after="0" w:line="185"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AGREEMENT AND PLAN OF MERGER</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THIS AGREEMENT AND PLAN OF MERGER, dated as of June 22, 1996 (this "Agreement"), by and among USA Waste Services, Inc., a Delaware corporation ("Parent"), Quatro Acquisition Corp., a Delaware corporation and a wholly owned subsidiary of Parent ("Subsidiary"), and Sanifill, Inc., a Delaware corporation (the "Company");</w:t>
      </w:r>
    </w:p>
    <w:p>
      <w:pPr>
        <w:spacing w:after="0" w:line="176"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 I T N E S S E T H:</w:t>
      </w:r>
    </w:p>
    <w:p>
      <w:pPr>
        <w:spacing w:after="0" w:line="185" w:lineRule="exact"/>
        <w:rPr>
          <w:sz w:val="20"/>
          <w:szCs w:val="20"/>
          <w:color w:val="auto"/>
        </w:rPr>
      </w:pPr>
    </w:p>
    <w:p>
      <w:pPr>
        <w:ind w:right="2839" w:firstLine="461"/>
        <w:spacing w:after="0" w:line="252" w:lineRule="auto"/>
        <w:rPr>
          <w:sz w:val="20"/>
          <w:szCs w:val="20"/>
          <w:color w:val="auto"/>
        </w:rPr>
      </w:pPr>
      <w:r>
        <w:rPr>
          <w:rFonts w:ascii="Courier New" w:cs="Courier New" w:eastAsia="Courier New" w:hAnsi="Courier New"/>
          <w:sz w:val="15"/>
          <w:szCs w:val="15"/>
          <w:color w:val="auto"/>
        </w:rPr>
        <w:t>WHEREAS, the Boards of Directors of Parent, Subsidiary and the Company have approved the merger of Subsidiary with and into the Company on the terms set forth in this Agreement (the "Merger"); and</w:t>
      </w:r>
    </w:p>
    <w:p>
      <w:pPr>
        <w:spacing w:after="0" w:line="175" w:lineRule="exact"/>
        <w:rPr>
          <w:sz w:val="20"/>
          <w:szCs w:val="20"/>
          <w:color w:val="auto"/>
        </w:rPr>
      </w:pPr>
    </w:p>
    <w:p>
      <w:pPr>
        <w:ind w:right="2839" w:firstLine="461"/>
        <w:spacing w:after="0" w:line="252" w:lineRule="auto"/>
        <w:rPr>
          <w:sz w:val="20"/>
          <w:szCs w:val="20"/>
          <w:color w:val="auto"/>
        </w:rPr>
      </w:pPr>
      <w:r>
        <w:rPr>
          <w:rFonts w:ascii="Courier New" w:cs="Courier New" w:eastAsia="Courier New" w:hAnsi="Courier New"/>
          <w:sz w:val="15"/>
          <w:szCs w:val="15"/>
          <w:color w:val="auto"/>
        </w:rPr>
        <w:t>WHEREAS, Parent, Subsidiary and the Company intend the Merger to qualify as a tax-free reorganization under the provisions of Section 368 of the Internal Revenue Code of 1986, as amended (the "Code"), and the regulations thereunder;</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WHEREAS, in connection with the Merger and as an inducement to the Company to enter into this Agreement, the Company, Parent and the shareholders of Parent listed on the Parent Disclosure Schedule (as defined in Article IV) have executed as of the date hereof a voting agreement in favor of the Company with respect to, among other things, the voting of shares of capital stock of Parent held or to be held by them in favor of the Merger; and</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WHEREAS, in connection with the Merger and as an inducement to Parent to enter into this Agreement, Parent, the Company and the shareholders of the Company listed on the Company Disclosure Schedule (as defined in Article V) have executed as of the date hereof a voting agreement in favor of Parent with respect to, among other things, the voting of shares of capital stock of the Company held or to be held by such shareholder in favor of the Merger.</w:t>
      </w:r>
    </w:p>
    <w:p>
      <w:pPr>
        <w:spacing w:after="0" w:line="176" w:lineRule="exact"/>
        <w:rPr>
          <w:sz w:val="20"/>
          <w:szCs w:val="20"/>
          <w:color w:val="auto"/>
        </w:rPr>
      </w:pPr>
    </w:p>
    <w:p>
      <w:pPr>
        <w:ind w:right="3019" w:firstLine="461"/>
        <w:spacing w:after="0" w:line="252" w:lineRule="auto"/>
        <w:rPr>
          <w:sz w:val="20"/>
          <w:szCs w:val="20"/>
          <w:color w:val="auto"/>
        </w:rPr>
      </w:pPr>
      <w:r>
        <w:rPr>
          <w:rFonts w:ascii="Courier New" w:cs="Courier New" w:eastAsia="Courier New" w:hAnsi="Courier New"/>
          <w:sz w:val="15"/>
          <w:szCs w:val="15"/>
          <w:color w:val="auto"/>
        </w:rPr>
        <w:t>NOW, THEREFORE, in consideration of the premises and the representations, warranties, covenants and agreements contained herein, the parties hereto, intending to be legally bound, agree as follows:</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ARTICLE I</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THE MERGER</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SECTION 1.1. THE MERGER. Upon the terms and subject to the conditions of this Agreement, at the Effective Time (as defined in Section 1.2) in accordance with the General Corporation Law of the State of Delaware (the "DGCL"), Subsidiary shall be merged with and into the Company and the separate existence of Subsidiary shall thereupon cease. The Company shall be the surviving corporation in the Merger and is hereinafter sometimes referred to as the "Surviving Corporation."</w:t>
      </w:r>
    </w:p>
    <w:p>
      <w:pPr>
        <w:spacing w:after="0" w:line="176"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SECTION 1.2. EFFECTIVE TIME OF THE MERGER. The Merger shall become effective at such time (the "Effective Time") as shall be stated in a certificate of merger, in a form mutually acceptable to Parent and the Company, to be filed with the Secretary of State of the State of Delaware in accordance with the DGCL (the "Merger Filing"). The Merger Filing shall be made simultaneously with or as soon as practicable after the closing of the transactions contemplated by this Agreement in accordance with Section 3.5. The parties acknowledge that it is their mutual desire and intent to consummate the Merger as soon as practicable after the date hereof. Accordingly, the parties shall, subject to the provisions hereof and to the fiduciary duties of their respective boards of directors, use all reasonable efforts to consummate, as soon as practicable, the transactions contemplated by this Agreement in accordance with Section 3.5.</w:t>
      </w:r>
    </w:p>
    <w:p>
      <w:pPr>
        <w:spacing w:after="0" w:line="18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A-1</w:t>
      </w:r>
    </w:p>
    <w:p>
      <w:pPr>
        <w:sectPr>
          <w:pgSz w:w="11900" w:h="16838" w:orient="portrait"/>
          <w:cols w:equalWidth="0" w:num="1">
            <w:col w:w="10219"/>
          </w:cols>
          <w:pgMar w:left="240" w:top="295"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5"/>
          <w:szCs w:val="15"/>
          <w:color w:val="auto"/>
        </w:rPr>
        <w:t>90</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ARTICLE II</w:t>
      </w:r>
    </w:p>
    <w:p>
      <w:pPr>
        <w:spacing w:after="0" w:line="18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SURVIVING AND PARENT CORPORATIONS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SECTION 2.1. CERTIFICATE OF INCORPORATION. The Certificate of Incorporation of Subsidiary as in effect immediately prior to the Effective Time shall be the Certificate of Incorporation of the Surviving Corporation after the Effective Time, and thereafter may be amended in accordance with its terms and as provided in the DGCL.</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SECTION 2.2. BY-LAWS. The By-laws of Subsidiary as in effect immediately prior to the Effective Time shall be the By-laws of the Surviving Corporation after the Effective Time, and thereafter may be amended in accordance with their terms and as provided by the Certificate of Incorporation of the Surviving Corporation and the DGCL.</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SECTION 2.3. DIRECTORS. (a) The Board of Directors of Parent shall take such action as may be necessary to cause Parent's Board of Directors immediately following the Effective Time to be composed of twelve members, including three members designated by the Board of Directors of the Company prior to the Closing (the "Company Designees"). One of the Company Designees shall be Rodney R. Proto and the remaining two Company Designees shall be non-officers of the Company and its subsidiaries reasonably acceptable to Parent. If the Board positions are of different terms, the Company shall have the right to designate which of the Company Designees shall fill each Board position. Rodney R. Proto shall have an initial term of office expiring in 1997 or thereafter and the remaining two Company Designees shall have initial terms of office expiring in 1998 or thereafter. If the initial term of Rodney R. Proto shall expire in 1997, the Board of Directors of the Company shall take such action as may be necessary to renominate Rodney R. Proto to the Board of Directors of the Company with a term of office expiring in 2000 or thereafter. All of the Company Designees shall serve in accordance with the charter and bylaws of Parent until their respective successors are duly elected or appointed and qualified. One of the Company Designees (to be designated by the Board of Directors of the Company prior to the Closing and reasonably acceptable to Parent) shall be appointed by the Board of Directors of Parent to the Executive Committee of Parent's Board of Directors to serve in accordance with the By-laws of Parent.</w:t>
      </w:r>
    </w:p>
    <w:p>
      <w:pPr>
        <w:spacing w:after="0" w:line="187" w:lineRule="exact"/>
        <w:rPr>
          <w:sz w:val="20"/>
          <w:szCs w:val="20"/>
          <w:color w:val="auto"/>
        </w:rPr>
      </w:pPr>
    </w:p>
    <w:p>
      <w:pPr>
        <w:ind w:right="2839" w:firstLine="456"/>
        <w:spacing w:after="0" w:line="251" w:lineRule="auto"/>
        <w:tabs>
          <w:tab w:leader="none" w:pos="83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directors of Subsidiary in office immediately prior to the Effective Time shall be the directors of the Surviving Corporation after the Effective Time, and such directors shall serve in accordance with the By-laws of the Surviving Corporation until their respective successors are duly elected or appointed and qualified.</w:t>
      </w:r>
    </w:p>
    <w:p>
      <w:pPr>
        <w:spacing w:after="0" w:line="176" w:lineRule="exact"/>
        <w:rPr>
          <w:sz w:val="20"/>
          <w:szCs w:val="20"/>
          <w:color w:val="auto"/>
        </w:rPr>
      </w:pPr>
    </w:p>
    <w:p>
      <w:pPr>
        <w:ind w:right="2939" w:firstLine="461"/>
        <w:spacing w:after="0" w:line="252" w:lineRule="auto"/>
        <w:rPr>
          <w:sz w:val="20"/>
          <w:szCs w:val="20"/>
          <w:color w:val="auto"/>
        </w:rPr>
      </w:pPr>
      <w:r>
        <w:rPr>
          <w:rFonts w:ascii="Courier New" w:cs="Courier New" w:eastAsia="Courier New" w:hAnsi="Courier New"/>
          <w:sz w:val="15"/>
          <w:szCs w:val="15"/>
          <w:color w:val="auto"/>
        </w:rPr>
        <w:t>SECTION 2.4. OFFICERS. (a) Immediately following the Effective Time, the Board of Directors of Parent shall elect Rodney R. Proto as President and Chief Operating Officer of Parent to serve in accordance with the By-laws of Parent.</w:t>
      </w:r>
    </w:p>
    <w:p>
      <w:pPr>
        <w:spacing w:after="0" w:line="175" w:lineRule="exact"/>
        <w:rPr>
          <w:sz w:val="20"/>
          <w:szCs w:val="20"/>
          <w:color w:val="auto"/>
        </w:rPr>
      </w:pPr>
    </w:p>
    <w:p>
      <w:pPr>
        <w:ind w:right="2839" w:firstLine="456"/>
        <w:spacing w:after="0" w:line="251" w:lineRule="auto"/>
        <w:tabs>
          <w:tab w:leader="none" w:pos="83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officers of Subsidiary in office immediately prior to the Effective Time shall be the officers of the Surviving Corporation after the Effective Time, and such officers shall serve in accordance with the By-laws of the Surviving Corporation until their respective successors are duly elected or appointed and qualified.</w:t>
      </w:r>
    </w:p>
    <w:p>
      <w:pPr>
        <w:spacing w:after="0" w:line="176" w:lineRule="exact"/>
        <w:rPr>
          <w:sz w:val="20"/>
          <w:szCs w:val="20"/>
          <w:color w:val="auto"/>
        </w:rPr>
      </w:pPr>
    </w:p>
    <w:p>
      <w:pPr>
        <w:ind w:right="3119" w:firstLine="461"/>
        <w:spacing w:after="0" w:line="252" w:lineRule="auto"/>
        <w:rPr>
          <w:sz w:val="20"/>
          <w:szCs w:val="20"/>
          <w:color w:val="auto"/>
        </w:rPr>
      </w:pPr>
      <w:r>
        <w:rPr>
          <w:rFonts w:ascii="Courier New" w:cs="Courier New" w:eastAsia="Courier New" w:hAnsi="Courier New"/>
          <w:sz w:val="15"/>
          <w:szCs w:val="15"/>
          <w:color w:val="auto"/>
        </w:rPr>
        <w:t>SECTION 2.5. CORPORATE OFFICES. As soon as practicable following the Effective Time, Parent shall transfer Parent's principal executive offices to Houston, Texas.</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III</w:t>
      </w:r>
    </w:p>
    <w:p>
      <w:pPr>
        <w:spacing w:after="0" w:line="18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CONVERSION OF SHARES</w:t>
      </w:r>
    </w:p>
    <w:p>
      <w:pPr>
        <w:spacing w:after="0" w:line="185" w:lineRule="exact"/>
        <w:rPr>
          <w:sz w:val="20"/>
          <w:szCs w:val="20"/>
          <w:color w:val="auto"/>
        </w:rPr>
      </w:pPr>
    </w:p>
    <w:p>
      <w:pPr>
        <w:jc w:val="both"/>
        <w:ind w:right="3019" w:firstLine="461"/>
        <w:spacing w:after="0" w:line="252" w:lineRule="auto"/>
        <w:rPr>
          <w:sz w:val="20"/>
          <w:szCs w:val="20"/>
          <w:color w:val="auto"/>
        </w:rPr>
      </w:pPr>
      <w:r>
        <w:rPr>
          <w:rFonts w:ascii="Courier New" w:cs="Courier New" w:eastAsia="Courier New" w:hAnsi="Courier New"/>
          <w:sz w:val="15"/>
          <w:szCs w:val="15"/>
          <w:color w:val="auto"/>
        </w:rPr>
        <w:t>SECTION 3.1. CONVERSION OF COMPANY SHARES IN THE MERGER. At the Effective Time, by virtue of the Merger and without any action on the part of any holder of any capital stock of Parent or the Company:</w:t>
      </w:r>
    </w:p>
    <w:p>
      <w:pPr>
        <w:spacing w:after="0" w:line="175" w:lineRule="exact"/>
        <w:rPr>
          <w:sz w:val="20"/>
          <w:szCs w:val="20"/>
          <w:color w:val="auto"/>
        </w:rPr>
      </w:pPr>
    </w:p>
    <w:p>
      <w:pPr>
        <w:ind w:left="460" w:right="3019" w:firstLine="457"/>
        <w:spacing w:after="0" w:line="250" w:lineRule="auto"/>
        <w:tabs>
          <w:tab w:leader="none" w:pos="129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the common stock, par value $.01 per share, of the Company (the "Company Common Stock") shall, subject to Sections 3.3 and</w:t>
      </w:r>
    </w:p>
    <w:p>
      <w:pPr>
        <w:ind w:left="460" w:right="293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3.4, be converted into the right to receive, without interest, 1.70 (the "Exchange Ratio") shares of the common stock, par value $.01 per share, of Parent ("Parent Common Stock");</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A-2</w:t>
      </w:r>
    </w:p>
    <w:p>
      <w:pPr>
        <w:sectPr>
          <w:pgSz w:w="11900" w:h="16838" w:orient="portrait"/>
          <w:cols w:equalWidth="0" w:num="1">
            <w:col w:w="10219"/>
          </w:cols>
          <w:pgMar w:left="240" w:top="295"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5"/>
          <w:szCs w:val="15"/>
          <w:color w:val="auto"/>
        </w:rPr>
        <w:t>91</w:t>
      </w:r>
    </w:p>
    <w:p>
      <w:pPr>
        <w:spacing w:after="0" w:line="185" w:lineRule="exact"/>
        <w:rPr>
          <w:sz w:val="20"/>
          <w:szCs w:val="20"/>
          <w:color w:val="auto"/>
        </w:rPr>
      </w:pPr>
    </w:p>
    <w:p>
      <w:pPr>
        <w:ind w:left="460" w:right="2839" w:firstLine="457"/>
        <w:spacing w:after="0" w:line="251" w:lineRule="auto"/>
        <w:tabs>
          <w:tab w:leader="none" w:pos="129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capital stock of the Company, if any, owned by Parent or any subsidiary of Parent or held in treasury by the Company or any subsidiary of the Company immediately prior to the Effective Time shall be canceled and no consideration shall be paid in exchange therefor and shall cease to exist from and after the Effective Time; and</w:t>
      </w:r>
    </w:p>
    <w:p>
      <w:pPr>
        <w:spacing w:after="0" w:line="176" w:lineRule="exact"/>
        <w:rPr>
          <w:rFonts w:ascii="Courier New" w:cs="Courier New" w:eastAsia="Courier New" w:hAnsi="Courier New"/>
          <w:sz w:val="15"/>
          <w:szCs w:val="15"/>
          <w:color w:val="auto"/>
        </w:rPr>
      </w:pPr>
    </w:p>
    <w:p>
      <w:pPr>
        <w:ind w:left="460" w:right="2939" w:firstLine="457"/>
        <w:spacing w:after="0" w:line="250" w:lineRule="auto"/>
        <w:tabs>
          <w:tab w:leader="none" w:pos="129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and as more fully provided in Section 7.9, each unexpired option or warrant to purchase Company Common Stock that is outstanding at the Effective Time, whether or not exercisable, shall automatically and without any action on the part of the holder thereof be converted into an option or warrant to purchase a number of shares of Parent Common Stock equal to the number of shares of Company Common Stock that could be purchased under such option or warrant multiplied by the Exchange Ratio, at a price per share of Parent Common Stock equal to the per share exercise price of such option or warrant divided by the Exchange Ratio.</w:t>
      </w:r>
    </w:p>
    <w:p>
      <w:pPr>
        <w:spacing w:after="0" w:line="182" w:lineRule="exact"/>
        <w:rPr>
          <w:sz w:val="20"/>
          <w:szCs w:val="20"/>
          <w:color w:val="auto"/>
        </w:rPr>
      </w:pPr>
    </w:p>
    <w:p>
      <w:pPr>
        <w:ind w:right="3119" w:firstLine="461"/>
        <w:spacing w:after="0" w:line="251" w:lineRule="auto"/>
        <w:rPr>
          <w:sz w:val="20"/>
          <w:szCs w:val="20"/>
          <w:color w:val="auto"/>
        </w:rPr>
      </w:pPr>
      <w:r>
        <w:rPr>
          <w:rFonts w:ascii="Courier New" w:cs="Courier New" w:eastAsia="Courier New" w:hAnsi="Courier New"/>
          <w:sz w:val="15"/>
          <w:szCs w:val="15"/>
          <w:color w:val="auto"/>
        </w:rPr>
        <w:t>SECTION 3.2. CONVERSION OF SUBSIDIARY SHARES. At the Effective Time, by virtue of the Merger and without any action on the part of Parent as the sole stockholder of Subsidiary, each issued and outstanding share of common stock, par value $.01 per share, of Subsidiary ("Subsidiary Common Stock") shall be converted into one share of common stock, par value $.01 per share, of the Surviving Corporation.</w:t>
      </w:r>
    </w:p>
    <w:p>
      <w:pPr>
        <w:spacing w:after="0" w:line="176"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SECTION 3.3. EXCHANGE OF CERTIFICATES. (a) From and after the Effective Time, each holder of an outstanding certificate which immediately prior to the Effective Time represented shares of Company Common Stock shall be entitled to receive in exchange therefor, upon surrender thereof to an exchange agent reasonably satisfactory to Parent and the Company (the "Exchange Agent"), a certificate or certificates representing the number of whole shares of Parent Common Stock to which such holder is entitled pursuant to Section 3.1(a). Notwithstanding any other provision of this Agreement, (i) until holders or transferees of certificates theretofore representing shares of Company Common Stock have surrendered them for exchange as provided herein, no dividends shall be paid with respect to any shares represented by such certificates and</w:t>
      </w:r>
    </w:p>
    <w:p>
      <w:pPr>
        <w:spacing w:after="0" w:line="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no payment for fractional shares shall be made and (ii) without regard to when such certificates representing shares of Company Common Stock are surrendered for exchange as provided herein, no interest shall be paid on any dividends or any payment for fractional shares. Upon surrender of a certificate which immediately prior to the Effective Time represented shares of Company Common Stock, there shall be paid to the holder of such certificate the amount of any dividends which theretofore became payable, but which were not paid by reason of the foregoing, with respect to the number of whole shares of Parent Common Stock represented by the certificate or certificates issued upon such surrender.</w:t>
      </w:r>
    </w:p>
    <w:p>
      <w:pPr>
        <w:spacing w:after="0" w:line="175" w:lineRule="exact"/>
        <w:rPr>
          <w:sz w:val="20"/>
          <w:szCs w:val="20"/>
          <w:color w:val="auto"/>
        </w:rPr>
      </w:pPr>
    </w:p>
    <w:p>
      <w:pPr>
        <w:ind w:right="2839" w:firstLine="456"/>
        <w:spacing w:after="0" w:line="251" w:lineRule="auto"/>
        <w:tabs>
          <w:tab w:leader="none" w:pos="83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certificate for shares of Parent Common Stock is to be issued in a name other than that in which the certificate for shares of Company Common Stock surrendered in exchange therefor is registered, it shall be a condition of such exchange that the person requesting such exchange shall pay any applicable transfer or other taxes required by reason of such issuance.</w:t>
      </w:r>
    </w:p>
    <w:p>
      <w:pPr>
        <w:spacing w:after="0" w:line="176" w:lineRule="exact"/>
        <w:rPr>
          <w:rFonts w:ascii="Courier New" w:cs="Courier New" w:eastAsia="Courier New" w:hAnsi="Courier New"/>
          <w:sz w:val="15"/>
          <w:szCs w:val="15"/>
          <w:color w:val="auto"/>
        </w:rPr>
      </w:pPr>
    </w:p>
    <w:p>
      <w:pPr>
        <w:ind w:right="2839" w:firstLine="456"/>
        <w:spacing w:after="0" w:line="251" w:lineRule="auto"/>
        <w:tabs>
          <w:tab w:leader="none" w:pos="83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the Effective Time, Parent shall make available to the Exchange Agent the certificates representing shares of Parent Common Stock required to effect the exchanges referred to in paragraph (a) above and cash for payment of any fractional shares referred to in Section 3.4.</w:t>
      </w:r>
    </w:p>
    <w:p>
      <w:pPr>
        <w:spacing w:after="0" w:line="176" w:lineRule="exact"/>
        <w:rPr>
          <w:rFonts w:ascii="Courier New" w:cs="Courier New" w:eastAsia="Courier New" w:hAnsi="Courier New"/>
          <w:sz w:val="15"/>
          <w:szCs w:val="15"/>
          <w:color w:val="auto"/>
        </w:rPr>
      </w:pPr>
    </w:p>
    <w:p>
      <w:pPr>
        <w:ind w:right="2839" w:firstLine="456"/>
        <w:spacing w:after="0" w:line="250" w:lineRule="auto"/>
        <w:tabs>
          <w:tab w:leader="none" w:pos="83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the Effective Time, the Exchange Agent shall mail to each holder of record of a certificate or certificates that immediately prior to the Effective Time represented outstanding shares of Company Common Stock (the "Company Certificates") (i) a letter of transmittal (which shall specify that delivery shall be effected, and risk of loss and title to the Company Certificates shall pass, only upon actual delivery of the Company Certificates to the Exchange Agent) and (ii) instructions for use in effecting the surrender of the Company Certificates in exchange for certificates representing shares of Parent Common Stock. Upon surrender of Company Certificates for cancellation to the Exchange Agent, together with a duly executed letter of transmittal and such other documents as the Exchange Agent shall reasonably require, the holder of such Company Certificates shall be entitled to receive in exchange therefor a certificate representing that number of whole shares of Parent Common Stock into which the shares of Company Common Stock theretofore represented by the Company Certificates so surrendered shall have been converted pursuant to the provisions of Section 3.1(a), and the Company Certificates so surrendered shall be canceled. Notwithstanding</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A-3</w:t>
      </w:r>
    </w:p>
    <w:p>
      <w:pPr>
        <w:sectPr>
          <w:pgSz w:w="11900" w:h="16838" w:orient="portrait"/>
          <w:cols w:equalWidth="0" w:num="1">
            <w:col w:w="10219"/>
          </w:cols>
          <w:pgMar w:left="240" w:top="295"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5"/>
          <w:szCs w:val="15"/>
          <w:color w:val="auto"/>
        </w:rPr>
        <w:t>92</w:t>
      </w:r>
    </w:p>
    <w:p>
      <w:pPr>
        <w:spacing w:after="0" w:line="185"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the foregoing, neither the Exchange Agent nor any party hereto shall be liable to a holder of shares of Company Common Stock for any shares of Parent Common Stock or dividends or distributions thereon delivered to a public official pursuant to applicable abandoned property, escheat or similar laws.</w:t>
      </w:r>
    </w:p>
    <w:p>
      <w:pPr>
        <w:spacing w:after="0" w:line="176" w:lineRule="exact"/>
        <w:rPr>
          <w:sz w:val="20"/>
          <w:szCs w:val="20"/>
          <w:color w:val="auto"/>
        </w:rPr>
      </w:pPr>
    </w:p>
    <w:p>
      <w:pPr>
        <w:ind w:right="2839" w:firstLine="456"/>
        <w:spacing w:after="0" w:line="250" w:lineRule="auto"/>
        <w:tabs>
          <w:tab w:leader="none" w:pos="83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following the date which is nine months after the Effective Date, the Exchange Agent shall deliver to Parent all cash, certificates (including any Parent Common Stock) and other documents in its possession relating to the transactions described in this Agreement, and the Exchange Agent's duties shall terminate. Thereafter, each holder of a Company Certificate may surrender such Company Certificate to the Surviving Corporation and (subject to applicable abandoned property, escheat and similar laws) receive in exchange therefor the Parent Common Stock, without any interest thereon. Notwithstanding the foregoing, none of the Exchange Agent, Parent, Subsidiary, the Company or the Surviving Corporation shall be liable to a holder of shares of Company Common Stock for any shares of Parent Common Stock delivered to a public official pursuant to applicable abandoned property, escheat or similar laws.</w:t>
      </w:r>
    </w:p>
    <w:p>
      <w:pPr>
        <w:spacing w:after="0" w:line="182" w:lineRule="exact"/>
        <w:rPr>
          <w:rFonts w:ascii="Courier New" w:cs="Courier New" w:eastAsia="Courier New" w:hAnsi="Courier New"/>
          <w:sz w:val="15"/>
          <w:szCs w:val="15"/>
          <w:color w:val="auto"/>
        </w:rPr>
      </w:pPr>
    </w:p>
    <w:p>
      <w:pPr>
        <w:ind w:right="2839" w:firstLine="456"/>
        <w:spacing w:after="0" w:line="250" w:lineRule="auto"/>
        <w:tabs>
          <w:tab w:leader="none" w:pos="83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any Company Certificate shall have been lost, stolen or destroyed, upon the making of an affidavit of that fact by the person claiming such Company Certificate to be lost, stolen or destroyed, the Surviving Corporation shall issue in exchange for such lost, stolen or destroyed Company Certificate the Parent Common Stock deliverable in respect thereof determined in accordance with this Article III. When authorizing such issuance in exchange therefor, the Board of Directors of the Surviving Corporation may, in its discretion and as a condition precedent to the issuance thereof, require the owner of such lost, stolen or destroyed Company Certificate to give the Surviving Corporation such indemnity as it may reasonably direct as protection against any claim that may be made against the Surviving Corporation with respect to the Company Certificate alleged to have been lost, stolen or destroyed.</w:t>
      </w:r>
    </w:p>
    <w:p>
      <w:pPr>
        <w:spacing w:after="0" w:line="360"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SECTION 3.4. NO FRACTIONAL SECURITIES. Notwithstanding any other provision of this Agreement, no certificates or scrip for fractional shares of Parent Common Stock shall be issued in the Merger and no Parent Common Stock dividend, stock split or interest shall relate to any fractional security, and such fractional interests shall not entitle the owner thereof to vote or to any other rights of a security holder. In lieu of any such fractional shares, each holder of shares of Company Common Stock who would otherwise have been entitled to receive a fraction of a share of Parent Common Stock upon surrender of Company Certificates for exchange pursuant to this Article III shall be entitled to receive from the Exchange Agent a cash payment equal to such fraction multiplied by the average closing price per share of Parent Common Stock on the New York Stock Exchange, as reported by the Wall Street Journal, during the 10 trading days immediately preceding the Effective Time.</w:t>
      </w:r>
    </w:p>
    <w:p>
      <w:pPr>
        <w:spacing w:after="0" w:line="183"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SECTION 3.5. CLOSING. The closing (the "Closing") of the transactions contemplated by this Agreement shall take place at a location mutually agreeable to Parent and the Company as promptly as practicable following the date on which the last of the conditions set forth in Article VIII is fulfilled or waived, or at such other time and place as Parent and the Company shall agree. The date on which the Closing occurs is referred to in this Agreement as the "Closing Date."</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SECTION 3.6. CLOSING OF THE COMPANY'S TRANSFER BOOKS. At and after the Effective Time, holders of Company Certificates shall cease to have any rights as stockholders of the Company, except for the right to receive shares of Parent Common Stock pursuant to Section 3.1 and the right to receive cash for payment of fractional shares pursuant to Section 3.4. At the Effective Time, the stock transfer books of the Company shall be closed and no transfer of shares of Company Common Stock which were outstanding immediately prior to the Effective Time shall thereafter be made. If, after the Effective Time, subject to the terms and conditions of this Agreement, Company Certificates formerly representing shares of Company Common Stock are presented to the Surviving Corporation, they shall be canceled and exchanged for shares of Parent Common Stock in accordance with this Article III.</w:t>
      </w:r>
    </w:p>
    <w:p>
      <w:pPr>
        <w:spacing w:after="0" w:line="18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A-4</w:t>
      </w:r>
    </w:p>
    <w:p>
      <w:pPr>
        <w:sectPr>
          <w:pgSz w:w="11900" w:h="16838" w:orient="portrait"/>
          <w:cols w:equalWidth="0" w:num="1">
            <w:col w:w="10219"/>
          </w:cols>
          <w:pgMar w:left="240" w:top="295" w:right="1440"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5"/>
          <w:szCs w:val="15"/>
          <w:color w:val="auto"/>
        </w:rPr>
        <w:t>93</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ARTICLE IV</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REPRESENTATIONS AND WARRANTIES</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OF PARENT AND SUBSIDIARY</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Parent and Subsidiary each represent and warrant to the Company that, except as set forth in the Disclosure Schedule dated as of the date hereof and signed by an authorized officer of Parent (the "Parent Disclosure Schedule"), each of which exceptions shall specifically identify the relevant Section hereof to which it relates:</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SECTION 4.1. ORGANIZATION AND QUALIFICATION. Each of Parent and Subsidiary is a corporation duly organized, validly existing and in good standing under the laws of the state of its incorporation and has the requisite power and authority to own, lease and operate its assets and properties and to carry on its business as it is now being conducted. Each of Parent and Subsidiary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other such failures, have a material adverse effect on the business, operations, properties, assets, condition (financial or other) or results of operations of Parent and its subsidiaries, taken as a whole. True, accurate and complete copies of each of Parent's and Subsidiary's charters and By-laws, in each case as in effect on the date hereof, including all amendments thereto, have heretofore been delivered to the Company.</w:t>
      </w:r>
    </w:p>
    <w:p>
      <w:pPr>
        <w:spacing w:after="0" w:line="184"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SECTION 4.2. CAPITALIZATION. (a) As of June 15, 1996, the authorized capital stock of Parent consisted of 150,000,000 shares of Parent Common Stock and 10,000,000 shares of preferred stock, par value $.01 per share ("Parent Preferred Stock"). As of June 15, 1996, (i) 88,330,623 shares of Parent Common Stock were issued and outstanding, all of which were validly issued and are fully paid, nonassessable and free of preemptive rights, (ii) no shares of Parent Preferred Stock were issued and outstanding, (iii) 26,310 shares of Parent Common Stock and no shares of Company Preferred Stock were held in the treasury of Parent and (iv) 13,136,521 shares of Parent Common Stock were reserved for issuance pursuant to the exercise of outstanding options and warrants to purchase Parent Common Stock. Assuming the exercise of all outstanding options and warrants to purchase Parent Common Stock, as of June 15, 1996, there would be 101,467,144 shares of Parent Common Stock issued and outstanding. In addition, as of June 15, 1996, 4,364,152 shares of Parent Common Stock were reserved and unissued pending conversion of shares of acquired companies.</w:t>
      </w:r>
    </w:p>
    <w:p>
      <w:pPr>
        <w:spacing w:after="0" w:line="361" w:lineRule="exact"/>
        <w:rPr>
          <w:sz w:val="20"/>
          <w:szCs w:val="20"/>
          <w:color w:val="auto"/>
        </w:rPr>
      </w:pPr>
    </w:p>
    <w:p>
      <w:pPr>
        <w:ind w:right="2939" w:firstLine="456"/>
        <w:spacing w:after="0" w:line="252" w:lineRule="auto"/>
        <w:tabs>
          <w:tab w:leader="none" w:pos="83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authorized capital stock of Subsidiary consists of 1,000 shares of Subsidiary Common Stock, of which 100 shares are issued and outstanding, which shares are owned beneficially and of record by Parent.</w:t>
      </w:r>
    </w:p>
    <w:p>
      <w:pPr>
        <w:spacing w:after="0" w:line="174" w:lineRule="exact"/>
        <w:rPr>
          <w:rFonts w:ascii="Courier New" w:cs="Courier New" w:eastAsia="Courier New" w:hAnsi="Courier New"/>
          <w:sz w:val="15"/>
          <w:szCs w:val="15"/>
          <w:color w:val="auto"/>
        </w:rPr>
      </w:pPr>
    </w:p>
    <w:p>
      <w:pPr>
        <w:ind w:right="2839" w:firstLine="456"/>
        <w:spacing w:after="0" w:line="250" w:lineRule="auto"/>
        <w:tabs>
          <w:tab w:leader="none" w:pos="83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the Parent SEC Reports (as defined in Section 4.5), as of the date hereof, there are no outstanding subscriptions, options, calls, contracts, commitments, understandings, restrictions, arrangements, rights or warrants, including any right of conversion or exchange under any outstanding security, instrument or other agreement and also including any rights plan or other anti-takeover agreement, obligating Parent or any subsidiary of Parent to issue, deliver or sell, or cause to be issued, delivered or sold, additional shares of the capital stock of Parent or obligating Parent or any subsidiary of Parent to grant, extend or enter into any such agreement or commitment. Except as otherwise disclosed in the Parent SEC Reports, there are no voting trusts, proxies or other agreements or understandings to which Parent or any subsidiary of Parent is a party or is bound with respect to the voting of any shares of capital stock of Parent other than voting agreements executed in connection with this Agreement. The Shareholders Agreement dated as of December 18, 1995 between Parent and Donald F. Moorehead, Jr., John E. Drury, John G. Rangos, Sr., John G. Rangos, Jr., Alexander W. Rangos and John Rangos Development Corporation, Inc. has been terminated in connection with the execution of this Agreement. The shares of Parent Common Stock issued to stockholders of the Company in the Merger will be at the Effective Time duly authorized, validly issued, fully paid and nonassessable and free of preemptive rights.</w:t>
      </w:r>
    </w:p>
    <w:p>
      <w:pPr>
        <w:spacing w:after="0" w:line="364"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SECTION 4.3. SUBSIDIARIES. Each direct and indirect corporate subsidiary of Parent is duly organized, validly existing and in good standing under the laws of its jurisdiction of incorporation and has the requisite power and authority to own, lease and operate its assets and properties and to carry on its business as it is now</w:t>
      </w:r>
    </w:p>
    <w:p>
      <w:pPr>
        <w:spacing w:after="0" w:line="17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A-5</w:t>
      </w:r>
    </w:p>
    <w:p>
      <w:pPr>
        <w:sectPr>
          <w:pgSz w:w="11900" w:h="16838" w:orient="portrait"/>
          <w:cols w:equalWidth="0" w:num="1">
            <w:col w:w="10219"/>
          </w:cols>
          <w:pgMar w:left="240" w:top="295" w:right="1440" w:bottom="1440" w:gutter="0" w:footer="0" w:header="0"/>
        </w:sectPr>
      </w:pPr>
    </w:p>
    <w:bookmarkStart w:id="95" w:name="page96"/>
    <w:bookmarkEnd w:id="95"/>
    <w:p>
      <w:pPr>
        <w:ind w:left="280"/>
        <w:spacing w:after="0"/>
        <w:rPr>
          <w:sz w:val="20"/>
          <w:szCs w:val="20"/>
          <w:color w:val="auto"/>
        </w:rPr>
      </w:pPr>
      <w:r>
        <w:rPr>
          <w:rFonts w:ascii="Courier New" w:cs="Courier New" w:eastAsia="Courier New" w:hAnsi="Courier New"/>
          <w:sz w:val="15"/>
          <w:szCs w:val="15"/>
          <w:color w:val="auto"/>
        </w:rPr>
        <w:t>94</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being conducted. Each subsidiary of Parent is qualified to do business, and is in good standing, in each jurisdiction in which the properties owned, leased or operated by it or the nature of the business conducted by it makes such qualification necessary, except where the failure to be so qualified and in good standing would not, when taken together with all such other failures, have a material adverse effect on the business, operations, properties, assets, condition (financial or other) or results of operations of Parent and its subsidiaries, taken as a whole. All of the outstanding shares of capital stock of each corporate subsidiary of Parent are validly issued, fully paid, nonassessable and free of preemptive rights, and are owned directly or indirectly by Parent, free and clear of any liens, claims or encumbrances, except that such shares are pledged to secure Parent's credit facilities. There are no subscriptions, options, warrants, rights, calls, contracts, voting trusts, proxies or other commitments, understandings, restrictions or arrangements relating to the issuance, sale, voting, transfer, ownership or other rights with respect to any shares of capital stock of any corporate subsidiary of Parent, including any right of conversion or exchange under any outstanding security, instrument or agreement. As used in this Agreement, the term "subsidiary" shall mean, when used with reference to any person or entity, any corporation, partnership, joint venture or other entity of which such person or entity (either acting alone or together with its other subsidiaries) owns, directly or indirectly, 50% or more of the stock or other voting interests, the holders of which are entitled to vote for the election of a majority of the board of directors or any similar governing body of such corporation, partnership, joint venture or other entity.</w:t>
      </w:r>
    </w:p>
    <w:p>
      <w:pPr>
        <w:spacing w:after="0" w:line="36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SECTION 4.4. AUTHORITY; NON-CONTRAVENTION; APPROVALS. (a) Parent and Subsidiary each have full corporate power and authority to enter into this Agreement and, subject to the Parent Stockholders' Approval (as defined in Section 7.3(b)) and the Parent Required Statutory Approvals (as defined in Section 4.4(c)), to consummate the transactions contemplated hereby. This Agreement has been approved by the Boards of Directors of Parent and Subsidiary, and no other corporate proceedings on the part of Parent or Subsidiary are necessary to authorize the execution and delivery of this Agreement or, except for the Parent Stockholders' Approval, the consummation by Parent and Subsidiary of the transactions contemplated hereby. This Agreement has been duly executed and delivered by each of Parent and Subsidiary, and, assuming the due authorization, execution and delivery hereof by the Company, constitutes a valid and legally binding agreement of each of Parent and Subsidiary enforceable against each of them in accordance with its terms, except that such enforcement may be subject to (i) bankruptcy, insolvency, reorganization, moratorium or other similar laws affecting or relating to enforcement of creditors' rights generally and (ii) general equitable principles. Without limitation of the foregoing, each of the covenants and obligations of Parent set forth in Sections 6.2, 7.1, 7.2, 7.3, 7.6, 7.7, 7.8, 7.10 and 7.12 is valid, legally binding and enforceable (subject as aforesaid) notwithstanding the absence of the Parent Stockholders' Approval.</w:t>
      </w:r>
    </w:p>
    <w:p>
      <w:pPr>
        <w:spacing w:after="0" w:line="187" w:lineRule="exact"/>
        <w:rPr>
          <w:sz w:val="20"/>
          <w:szCs w:val="20"/>
          <w:color w:val="auto"/>
        </w:rPr>
      </w:pPr>
    </w:p>
    <w:p>
      <w:pPr>
        <w:ind w:right="2839" w:firstLine="456"/>
        <w:spacing w:after="0" w:line="250" w:lineRule="auto"/>
        <w:tabs>
          <w:tab w:leader="none" w:pos="83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each of Parent and Subsidiary do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Parent or any of its subsidiaries under any of the terms, conditions or provisions of (i) the respective charters or by-laws of Parent or any of its subsidiaries, (ii) any statute, law, ordinance, rule, regulation, judgment, decree, order, injunction, writ, permit or license of any court or governmental authority applicable to Parent or any of its subsidiaries or any of their respective properties or assets or (iii) any note, bond, mortgage, indenture, deed of trust, license, franchise, permit, concession, contract, lease or other instrument, obligation or agreement of any kind to which Parent or any of its subsidiaries is now a party or by which Parent or any of its subsidiaries or any of their respective properties or assets may be bound or affected. The consummation by Parent and Subsidiary of the transactions contemplated hereby will not result in any violation, conflict, breach, termination, acceleration or creation of liens under any of the terms, conditions or provisions described in clauses (i) through (iii) of the preceding sentence, subject (x) in the case of the terms, conditions or provisions described in clause (ii) above, to obtaining (prior to the Effective Time) the Parent Required Statutory Approvals and the Parent Stockholder's Approval and (y) in the case of the terms, conditions or provisions described in clause (iii) above, to obtaining (prior to the Effective Time) consents required from commercial lenders, lessors or other third parties as specified on the Parent Disclosure Schedule. Excluded from the foregoing sentences of this paragraph (b), insofar as they apply to the terms, conditions or provisions described in clauses (ii) and</w:t>
      </w:r>
    </w:p>
    <w:p>
      <w:pPr>
        <w:spacing w:after="0" w:line="19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A-6</w:t>
      </w:r>
    </w:p>
    <w:p>
      <w:pPr>
        <w:sectPr>
          <w:pgSz w:w="11900" w:h="16838" w:orient="portrait"/>
          <w:cols w:equalWidth="0" w:num="1">
            <w:col w:w="10219"/>
          </w:cols>
          <w:pgMar w:left="240" w:top="295" w:right="1440" w:bottom="1440" w:gutter="0" w:footer="0" w:header="0"/>
        </w:sectPr>
      </w:pPr>
    </w:p>
    <w:bookmarkStart w:id="96" w:name="page97"/>
    <w:bookmarkEnd w:id="96"/>
    <w:p>
      <w:pPr>
        <w:ind w:left="285"/>
        <w:spacing w:after="0"/>
        <w:rPr>
          <w:sz w:val="20"/>
          <w:szCs w:val="20"/>
          <w:color w:val="auto"/>
        </w:rPr>
      </w:pPr>
      <w:r>
        <w:rPr>
          <w:rFonts w:ascii="Courier New" w:cs="Courier New" w:eastAsia="Courier New" w:hAnsi="Courier New"/>
          <w:sz w:val="15"/>
          <w:szCs w:val="15"/>
          <w:color w:val="auto"/>
        </w:rPr>
        <w:t>95</w:t>
      </w:r>
    </w:p>
    <w:p>
      <w:pPr>
        <w:spacing w:after="0" w:line="185" w:lineRule="exact"/>
        <w:rPr>
          <w:sz w:val="20"/>
          <w:szCs w:val="20"/>
          <w:color w:val="auto"/>
        </w:rPr>
      </w:pPr>
    </w:p>
    <w:p>
      <w:pPr>
        <w:ind w:left="5" w:right="3299" w:hanging="5"/>
        <w:spacing w:after="0" w:line="251" w:lineRule="auto"/>
        <w:tabs>
          <w:tab w:leader="none" w:pos="55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first sentence of this paragraph (b), are such violations, conflicts, breaches, defaults, terminations, accelerations or creations of liens, security interests, charges or encumbrances that would not, in the aggregate, have a material adverse effect on the business, operations, properties, assets, condition (financial or other) results of operations of Parent and its subsidiaries, taken as a whole.</w:t>
      </w:r>
    </w:p>
    <w:p>
      <w:pPr>
        <w:spacing w:after="0" w:line="175" w:lineRule="exact"/>
        <w:rPr>
          <w:rFonts w:ascii="Courier New" w:cs="Courier New" w:eastAsia="Courier New" w:hAnsi="Courier New"/>
          <w:sz w:val="15"/>
          <w:szCs w:val="15"/>
          <w:color w:val="auto"/>
        </w:rPr>
      </w:pPr>
    </w:p>
    <w:p>
      <w:pPr>
        <w:ind w:left="5" w:right="2839" w:firstLine="456"/>
        <w:spacing w:after="0" w:line="250" w:lineRule="auto"/>
        <w:tabs>
          <w:tab w:leader="none" w:pos="836"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(i) the filings by Parent required by the Hart-Scott-Rodino Antitrust Improvements Act of 1976, as amended (the "HSR Act"), (ii) the filing of the Joint Proxy Statement/Prospectus (as defined in Section 4.9) with the Securities and Exchange Commission (the "SEC ") pursuant to the Securities Exchange Act of 1934, as amended (the "Exchange Act"), and the Securities Act of 1933, as amended (the "Securities Act"), and the declaration of the effectiveness thereof by the SEC and filings with various state blue sky authorities, (iii) the making of the Merger Filing with the Secretary of State of the State of Delaware in connection with the Merger, and (iv) any required filings with or approvals from applicable state environmental authorities, public service commissions and public utility commissions (the filings and approvals referred to in clauses (i) through (iv) are collectively referred to as the "Parent Required Statutory Approvals"), no declaration, filing or registration with, or notice to, or authorization, consent or approval of, any governmental or regulatory body or authority is necessary for the execution and delivery of this Agreement by Parent or Subsidiary or the consummation by Parent or Subsidiary of the transactions contemplated hereby, other than such declarations, filings, registrations, notices, authorizations, consents or approvals which, if not made or obtained, as the case may be, would not, in the aggregate, have a material adverse effect on the business, operations, properties, assets, condition (financial or other) or results of operations of Parent and its subsidiaries, taken as a whole.</w:t>
      </w:r>
    </w:p>
    <w:p>
      <w:pPr>
        <w:spacing w:after="0" w:line="364"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SECTION 4.5. REPORTS AND FINANCIAL STATEMENTS. Since January 1, 1994, Parent has filed with the SEC all forms, statements, reports and documents (including all exhibits, post-effective amendments and supplements thereto) required to be filed by it under each of the Securities Act, the Exchange Act and the respective rules and regulations thereunder, all of which, as amended if applicable, complied when filed in all material respects with all applicable requirements of the appropriate act and the rules and regulations thereunder. Parent has previously delivered to the Company copies (including all exhibits, post-effective amendments and supplements thereto) of its (a) Annual Reports on Form 10-K for the fiscal year ended December 31, 1995 and for the immediately preceding fiscal year, as filed with the SEC, (b) proxy and information statements relating to (i) all meetings of its stockholders (whether annual or special) and (ii) actions by written consent in lieu of a stockholders' meeting from January 1, 1994, until the date hereof, and (c) all other reports, including quarterly reports, and registration statements filed by Parent with the SEC since January 1, 1994 (other than registration statements filed on Form S-8) (the documents referred to in clauses (a), (b) and (c) filed prior to the date hereof are collectively referred to as the "Parent SEC Reports"). The Parent SEC Reports are identified on the Parent Disclosure Schedule. As of their respective dates, the Parent SEC Reports did not contain any untrue statement of a material fact or omit to state a material fact required to be stated therein or necessary to make the statements therein, in the light of the circumstances under which they were made, not misleading. The audited consolidated financial statements and unaudited interim consolidated financial statements of Parent included in such reports (collectively, the "Parent Financial Statements") have been prepared in accordance with generally accepted accounting principles applied on a consistent basis (except as may be indicated therein or in the notes thereto) and fairly present the financial position of Parent and its subsidiaries as of the dates thereof and the results of their operations and changes in financial position for the periods then ended, subject, in the case of the unaudited interim financial statements, to normal year-end and audit adjustments and any other adjustments described therein.</w:t>
      </w:r>
    </w:p>
    <w:p>
      <w:pPr>
        <w:spacing w:after="0" w:line="192"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SECTION 4.6. ABSENCE OF UNDISCLOSED LIABILITIES. Except as disclosed in the Parent SEC Reports or as heretofore disclosed to the Company in writing with respect to acquisitions or potential transactions or commitments, neither Parent nor any of its subsidiaries had at December 31, 1995, or has incurred since that date, any liabilities or obligations (whether absolute, accrued, contingent or otherwise) of any nature, except: (a) liabilities, obligations or contingencies</w:t>
      </w:r>
    </w:p>
    <w:p>
      <w:pPr>
        <w:spacing w:after="0" w:line="3" w:lineRule="exact"/>
        <w:rPr>
          <w:sz w:val="20"/>
          <w:szCs w:val="20"/>
          <w:color w:val="auto"/>
        </w:rPr>
      </w:pPr>
    </w:p>
    <w:p>
      <w:pPr>
        <w:ind w:left="5" w:right="2939" w:hanging="5"/>
        <w:spacing w:after="0" w:line="251" w:lineRule="auto"/>
        <w:tabs>
          <w:tab w:leader="none" w:pos="375"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are accrued or reserved against in the Parent Financial Statements or reflected in the notes thereto or (ii) which were incurred after December 31, 1995, and were incurred in the ordinary course of business and consistent with past practices; (b) liabilities, obligations or</w:t>
      </w:r>
    </w:p>
    <w:p>
      <w:pPr>
        <w:spacing w:after="0" w:line="176"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Page A-7</w:t>
      </w:r>
    </w:p>
    <w:p>
      <w:pPr>
        <w:sectPr>
          <w:pgSz w:w="11900" w:h="16838" w:orient="portrait"/>
          <w:cols w:equalWidth="0" w:num="1">
            <w:col w:w="10225"/>
          </w:cols>
          <w:pgMar w:left="235" w:top="295"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5"/>
          <w:szCs w:val="15"/>
          <w:color w:val="auto"/>
        </w:rPr>
        <w:t>96</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contingencies which (i) would not, in the aggregate, have a material adverse effect on the business, operations, properties, assets, condition (financial or other) or results of operations of Parent and its subsidiaries, taken as a whole, or (ii) have been discharged or paid in full prior to the date hereof; and (c) liabilities and obligations which are of a nature not required to be reflected in the consolidated financial statements of Parent and its subsidiaries prepared in accordance with generally accepted accounting principles consistently applied and which were incurred in the ordinary course of business.</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SECTION 4.7. ABSENCE OF CERTAIN CHANGES OR EVENTS. Since the date of the most recent Parent SEC Report that contains consolidated financial statements of Parent, there has not been any material adverse change in the business, operations, properties, assets, liabilities, condition (financial or other) or results of operations of Parent and its subsidiaries, taken as a whole, except for changes that affect the industries in which Parent and its subsidiaries operate generally.</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SECTION 4.8. LITIGATION. Except as disclosed in the Parent SEC Reports, there are no claims, suits, actions or proceedings pending or, to the knowledge of Parent, threatened against, relating to or affecting Parent or any of its subsidiaries, before any court, governmental department, commission, agency, instrumentality or authority, or any arbitrator that seek to restrain or enjoin the consummation of the Merger or which could reasonably be expected, either alone or in the aggregate with all such claims, actions or proceedings, to materially and adversely affect the business, operations, properties, assets, condition (financial or other) or results of operations of Parent and its subsidiaries, taken as a whole. Except as set forth in the Parent SEC Reports, neither Parent nor any of its subsidiaries is subject to any judgment, decree, injunction, rule or order of any court, governmental department, commission, agency, instrumentality or authority or any arbitrator which prohibits or restricts the consummation of the transactions contemplated hereby or would have any material adverse effect on the business, operations, properties, assets, condition (financial or other) or results of operations of Parent and its subsidiaries, taken as a whole.</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SECTION 4.9. REGISTRATION STATEMENT AND PROXY STATEMENT. None of the information to be supplied by Parent or its subsidiaries for inclusion in (a) the Registration Statement on Form S-4 to be filed under the Securities Act with the SEC by Parent in connection with the Merger for the purpose of registering the shares of Parent Common Stock to be issued in the Merger (the "Registration Statement") or (b) the proxy statement to be distributed in connection with the Company's and Parent's meetings of their respective stockholders to vote upon this Agreement and the transactions contemplated hereby (the "Proxy Statement" and, together with the prospectus included in the Registration Statement, the "Joint Proxy Statement/ Prospectus") will, in the case of the Proxy Statement or any amendments thereof or supplements thereto, at the time of the mailing of the Proxy Statement and any amendments or supplements thereto, and at the time of the meetings of stockholders of the Company and Parent to be held in connection with the transactions contemplated by this Agreement, or, in the case of the Registration Statement, as amended or supplemented, at the time it becomes effective and at the time of such meetings of the stockholders of the Company and Parent, contain any untrue statement of a material fact or omit to state any material fact required to be stated therein or necessary in order to make the statements therein, in the light of the circumstances under which they are made, not misleading. The Joint Proxy Statement/Prospectus will, as of its mailing date, comply as to form in all material respects with all applicable laws, including the provisions of the Securities Act and the Exchange Act and the rules and regulations promulgated thereunder, except that no representation is made by Parent or Subsidiary with respect to information supplied by the Company or the stockholders of the Company for inclusion therein.</w:t>
      </w:r>
    </w:p>
    <w:p>
      <w:pPr>
        <w:spacing w:after="0" w:line="188"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SECTION 4.10. NO VIOLATION OF LAW. Except as disclosed in the Parent SEC Reports, neither Parent nor any of its subsidiaries is in violation of, or has been given notice or been charged with any violation of, any law, statute, order, rule, regulation, ordinance, or judgment (including, without limitation, any applicable environmental law, ordinance or regulation) of any governmental or regulatory body or authority, except for violations which, in the aggregate, could not reasonably be expected to have a material adverse effect on the business, operations, properties, assets, condition (financial or other) or results of operations of Parent and its subsidiaries, taken as a whole. Except as disclosed in the Parent SEC Reports, as of the date of this Agreement, to the knowledge of Parent, no investigation or review by any governmental or regulatory body or authority is pending or threatened, nor has any governmental or regulatory body or authority indicated an</w:t>
      </w:r>
    </w:p>
    <w:p>
      <w:pPr>
        <w:spacing w:after="0" w:line="18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A-8</w:t>
      </w:r>
    </w:p>
    <w:p>
      <w:pPr>
        <w:sectPr>
          <w:pgSz w:w="11900" w:h="16838" w:orient="portrait"/>
          <w:cols w:equalWidth="0" w:num="1">
            <w:col w:w="10219"/>
          </w:cols>
          <w:pgMar w:left="240" w:top="295"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5"/>
          <w:szCs w:val="15"/>
          <w:color w:val="auto"/>
        </w:rPr>
        <w:t>97</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intention to conduct the same, other than, in each case, those the outcome of which, as far as reasonably can be foreseen, will not have a material adverse effect on the business, operations, properties, assets, condition (financial or other) or results of operations of Parent and its subsidiaries, taken as a whole. Parent and its subsidiaries have all permits, licenses, franchises, variances, exemptions, orders and other governmental authorizations, consents and approvals necessary to conduct their businesses as presently conducted (collectively, the "Parent Permits"), except for permits, licenses, franchises, variances, exemptions, orders, authorizations, consents and approvals the absence of which, alone or in the aggregate, would not have a material adverse effect on the business, operations, properties, assets, condition (financial or other) or results of operations of Parent and its subsidiaries, taken as a whole. Parent and its subsidiaries are not in violation of the terms of any Parent Permit, except for delays in filing reports or violations which, alone or in the aggregate, would not have a material adverse effect on the business, operations, properties, assets, condition (financial or other) or results of operations of Parent and its subsidiaries, taken as a whole.</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SECTION 4.11. COMPLIANCE WITH AGREEMENTS. Except as disclosed in the Parent SEC Reports, Parent and each of its subsidiaries are not in breach or violation of or in default in the performance or observance of any term or provision of, and no event has occurred which, with lapse of time or action by a third party, could result in a default under (a) the respective charter, by-laws or other similar organizational instruments of Parent or any of its subsidiaries or (b) any contract, commitment, agreement, indenture, mortgage, loan agreement, note, lease, bond, license, approval or other instrument to which Parent or any of its subsidiaries is a party or by which any of them is bound or to which any of their property is subject, other than, in the case of clause (b) of this Section 4.11, breaches, violations and defaults which would not have, in the aggregate, a material adverse effect on the business, operations, properties, assets, condition (financial or other) or results of operations of Parent and its subsidiaries, taken as a whole.</w:t>
      </w:r>
    </w:p>
    <w:p>
      <w:pPr>
        <w:spacing w:after="0" w:line="184"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SECTION 4.12. TAXES. (a) Parent and its subsidiaries have (i) duly filed with the appropriate governmental authorities all Tax Returns (as defined in Section 4.12(c)) required to be filed by them for all periods ending on or prior to the Effective Time, other than those Tax Returns the failure of which to file would not have a material adverse effect on the business, operations, properties, assets, condition (financial or other) or results of operations of Parent and its subsidiaries, taken as a whole, and such Tax Returns are true, correct and complete in all material respects and (ii) duly paid in full or made adequate provision for the payment of all Taxes (as defined in Section 4.12(b)) for all past and current periods. The liabilities and reserves for Taxes reflected in the Parent balance sheet included in the latest Parent SEC Report are adequate to cover all Taxes for all periods ending at or prior to the date of such balance sheet and there is no liability for Taxes for any period beginning after such date other than Taxes arising in the ordinary course of business. There are no material liens for Taxes upon any property or assets of Parent or any subsidiary thereof, except for liens for Taxes not yet due. There are no unresolved issues of law or fact arising out of a notice of deficiency, proposed deficiency or assessment from the Internal Revenue Service (the "IRS") or any other governmental taxing authority with respect to Taxes of the Parent or any of its subsidiaries which, if decided adversely, singly or in the aggregate, would have a material adverse effect on the business, operations, properties, assets, condition (financial or other) or results of operations of Parent and its subsidiaries, taken as a whole. Neither Parent nor its subsidiaries has waived any statute of limitations in respect of Taxes or agreed to any extension of time with respect to a Tax assessment or deficiency other than waivers and extensions which are no longer in effect. Neither Parent nor any of its subsidiaries is a party to any agreement providing for the allocation or sharing of Taxes with any entity that is not, directly or indirectly, a wholly-owned corporate subsidiary of Parent other than agreements the consequences of which are fully and adequately reserved for in the Parent Financial Statements. Neither Parent nor any of its corporate subsidiaries has, with regard to any assets or property held, acquired or to be acquired by any of them, filed a consent to the application of Section 341(f) of the Code.</w:t>
      </w:r>
    </w:p>
    <w:p>
      <w:pPr>
        <w:spacing w:after="0" w:line="192" w:lineRule="exact"/>
        <w:rPr>
          <w:sz w:val="20"/>
          <w:szCs w:val="20"/>
          <w:color w:val="auto"/>
        </w:rPr>
      </w:pPr>
    </w:p>
    <w:p>
      <w:pPr>
        <w:ind w:right="2839" w:firstLine="456"/>
        <w:spacing w:after="0" w:line="251" w:lineRule="auto"/>
        <w:tabs>
          <w:tab w:leader="none" w:pos="83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the term "Taxes" shall mean all taxes, including, without limitation, income, gross receipts, excise, property, sales, withholding, social security, occupation, use, service, license, payroll, franchise, transfer and recording taxes, fees and charges, windfall profits, severance, customs, import, export, employment or similar taxes, charges, fees, levies or other assessments imposed by the United States, or any state, local or foreign government or subdivision or agency thereof, whether computed on a separate,</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A-9</w:t>
      </w:r>
    </w:p>
    <w:p>
      <w:pPr>
        <w:sectPr>
          <w:pgSz w:w="11900" w:h="16838" w:orient="portrait"/>
          <w:cols w:equalWidth="0" w:num="1">
            <w:col w:w="10219"/>
          </w:cols>
          <w:pgMar w:left="240" w:top="295" w:right="1440" w:bottom="1440" w:gutter="0" w:footer="0" w:header="0"/>
        </w:sectPr>
      </w:pPr>
    </w:p>
    <w:bookmarkStart w:id="99" w:name="page100"/>
    <w:bookmarkEnd w:id="99"/>
    <w:p>
      <w:pPr>
        <w:ind w:left="285"/>
        <w:spacing w:after="0"/>
        <w:rPr>
          <w:sz w:val="20"/>
          <w:szCs w:val="20"/>
          <w:color w:val="auto"/>
        </w:rPr>
      </w:pPr>
      <w:r>
        <w:rPr>
          <w:rFonts w:ascii="Courier New" w:cs="Courier New" w:eastAsia="Courier New" w:hAnsi="Courier New"/>
          <w:sz w:val="15"/>
          <w:szCs w:val="15"/>
          <w:color w:val="auto"/>
        </w:rPr>
        <w:t>98</w:t>
      </w:r>
    </w:p>
    <w:p>
      <w:pPr>
        <w:spacing w:after="0" w:line="185" w:lineRule="exact"/>
        <w:rPr>
          <w:sz w:val="20"/>
          <w:szCs w:val="20"/>
          <w:color w:val="auto"/>
        </w:rPr>
      </w:pPr>
    </w:p>
    <w:p>
      <w:pPr>
        <w:jc w:val="both"/>
        <w:ind w:left="5" w:right="2839"/>
        <w:spacing w:after="0" w:line="251" w:lineRule="auto"/>
        <w:rPr>
          <w:sz w:val="20"/>
          <w:szCs w:val="20"/>
          <w:color w:val="auto"/>
        </w:rPr>
      </w:pPr>
      <w:r>
        <w:rPr>
          <w:rFonts w:ascii="Courier New" w:cs="Courier New" w:eastAsia="Courier New" w:hAnsi="Courier New"/>
          <w:sz w:val="15"/>
          <w:szCs w:val="15"/>
          <w:color w:val="auto"/>
        </w:rPr>
        <w:t>consolidated, unitary, combined or any other basis, and such term shall include any interest, fines, penalties or additional amounts and any interest in respect of any additions, fines or penalties attributable or imposed or with respect to any such taxes, charges, fees, levies or other assessments.</w:t>
      </w:r>
    </w:p>
    <w:p>
      <w:pPr>
        <w:spacing w:after="0" w:line="176" w:lineRule="exact"/>
        <w:rPr>
          <w:sz w:val="20"/>
          <w:szCs w:val="20"/>
          <w:color w:val="auto"/>
        </w:rPr>
      </w:pPr>
    </w:p>
    <w:p>
      <w:pPr>
        <w:ind w:left="5" w:right="3119" w:firstLine="456"/>
        <w:spacing w:after="0" w:line="252" w:lineRule="auto"/>
        <w:tabs>
          <w:tab w:leader="none" w:pos="836"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the term "Tax Return" shall mean any return, report or other document or information required to be supplied to a taxing authority in connection with Taxes.</w:t>
      </w:r>
    </w:p>
    <w:p>
      <w:pPr>
        <w:spacing w:after="0" w:line="175"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SECTION 4.13. EMPLOYEE BENEFIT PLANS; ERISA. (a) Except as disclosed in the Parent SEC Reports, at the date hereof, Parent and its subsidiaries do not maintain or contribute to or have any obligation or liability to or with respect to any material employee benefit plans, programs, arrangements or practices (such plans, programs, arrangements or practices of Parent and its subsidiaries being referred to as the "Parent Plans"), including employee benefit plans within the meaning set forth in Section 3(3) of the Employee Retirement Income Security Act of 1974, as amended ("ERISA"), or other similar material arrangements for the provision of benefits (excluding any "Multi-employer Plan" within the meaning of Section 3(37) of ERISA or a "Multiple Employer Plan" within the meaning of Section 413(c) of the Code). The Parent Disclosure Schedule lists all Multi-employer Plans to which any of them makes contributions or has any obligation or liability to make contributions. Neither Parent nor any of its subsidiaries maintains or has any liability with respect to any Multiple Employer Plan. Neither Parent nor any of its subsidiaries has any obligation to create or contribute to any additional such plan, program, arrangement or practice or to amend any such plan, program, arrangement or practice so as to increase benefits or contributions thereunder, except as required under the terms of the Parent Plans, under existing collective bargaining agreements or to comply with applicable law.</w:t>
      </w:r>
    </w:p>
    <w:p>
      <w:pPr>
        <w:spacing w:after="0" w:line="186" w:lineRule="exact"/>
        <w:rPr>
          <w:sz w:val="20"/>
          <w:szCs w:val="20"/>
          <w:color w:val="auto"/>
        </w:rPr>
      </w:pPr>
    </w:p>
    <w:p>
      <w:pPr>
        <w:ind w:left="5" w:right="2839" w:firstLine="456"/>
        <w:spacing w:after="0" w:line="250" w:lineRule="auto"/>
        <w:tabs>
          <w:tab w:leader="none" w:pos="836"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the Parent SEC Reports, (i) there have been no prohibited transactions within the meaning of Section 406 or 407 of ERISA or Section 4975 of the Code with respect to any of the Parent Plans that could result in penalties, taxes or liabilities which, singly or in the aggregate, could have a material adverse effect on the business, operations, properties, assets, condition (financial or other) or results of operations of Parent and its subsidiaries, taken as a whole, (ii) except for premiums due, there is no outstanding material liability, whether measured alone or in the aggregate, under Title IV of ERISA with respect to any of the Parent Plans, (iii) neither the Pension Benefit Guaranty Corporation nor any plan administrator has instituted proceedings to terminate any of the Parent Plans subject to Title IV of ERISA other than in a "standard termination" described in Section 4041(b) of ERISA, (iv) none of the Parent Plans has incurred any "accumulated funding deficiency" (as defined in Section 302 of ERISA and Section 412 of the Code), whether or not waived, as of the last day of the most recent fiscal year of each of the Parent Plans ended prior to the date of this Agreement, (v) the current present value of all projected benefit obligations under each of the Parent Plans which is subject to Title IV of ERISA did not, as of its latest valuation date, exceed the then current value of the assets of such plan allocable to such benefit liabilities by more than the amount, if any, disclosed in the Parent SEC Reports as of March 31, 1996, based upon reasonable actuarial assumptions currently utilized for such Parent Plan, (vi) each of the Parent Plans has been operated and administered in all material respects in accordance with applicable laws during the period of time covered by the applicable statute of limitations,</w:t>
      </w:r>
    </w:p>
    <w:p>
      <w:pPr>
        <w:spacing w:after="0" w:line="10" w:lineRule="exact"/>
        <w:rPr>
          <w:rFonts w:ascii="Courier New" w:cs="Courier New" w:eastAsia="Courier New" w:hAnsi="Courier New"/>
          <w:sz w:val="15"/>
          <w:szCs w:val="15"/>
          <w:color w:val="auto"/>
        </w:rPr>
      </w:pPr>
    </w:p>
    <w:p>
      <w:pPr>
        <w:ind w:left="5" w:right="2839" w:hanging="5"/>
        <w:spacing w:after="0" w:line="250" w:lineRule="auto"/>
        <w:tabs>
          <w:tab w:leader="none" w:pos="55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Parent Plans which is intended to be "qualified" within the meaning of Section 401(a) of the Code has been determined by the Internal Revenue Service to be so qualified and such determination has not been modified, revoked or limited by failure to satisfy any condition thereof or by a subsequent amendment thereto or a failure to amend, except that it may be necessary to make additional amendments retroactively to maintain the "qualified" status of such Parent Plans, and the period for making any such necessary retroactive amendments has not expired, (viii) with respect to Multi-employer Plans, neither Parent nor any of its subsidiaries has made or suffered a "complete withdrawal" or a "partial withdrawal," as such terms are respectively defined in Sections 4203, 4204 and 4205 of ERISA and, to the best knowledge of Parent and its subsidiaries, no event has occurred or is expected to occur which presents a material risk of a complete or partial withdrawal under said Sections 4203, 4204 and 4205, (ix) to the best knowledge of Parent and its subsidiaries, there are no material pending, threatened or anticipated claims involving any of the Parent Plans other than claims for benefits in the ordinary course, (x) Parent and its subsidiaries have no current material liability under Title IV of ERISA, and Parent and its subsidiaries do not reasonably anticipate that any such liability will be asserted against Parent or any of its subsidiaries, and</w:t>
      </w:r>
    </w:p>
    <w:p>
      <w:pPr>
        <w:spacing w:after="0" w:line="363"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Page A-10</w:t>
      </w:r>
    </w:p>
    <w:p>
      <w:pPr>
        <w:sectPr>
          <w:pgSz w:w="11900" w:h="16838" w:orient="portrait"/>
          <w:cols w:equalWidth="0" w:num="1">
            <w:col w:w="10225"/>
          </w:cols>
          <w:pgMar w:left="235" w:top="295" w:right="1440" w:bottom="1440" w:gutter="0" w:footer="0" w:header="0"/>
        </w:sectPr>
      </w:pPr>
    </w:p>
    <w:bookmarkStart w:id="100" w:name="page101"/>
    <w:bookmarkEnd w:id="100"/>
    <w:p>
      <w:pPr>
        <w:ind w:left="285"/>
        <w:spacing w:after="0"/>
        <w:rPr>
          <w:sz w:val="20"/>
          <w:szCs w:val="20"/>
          <w:color w:val="auto"/>
        </w:rPr>
      </w:pPr>
      <w:r>
        <w:rPr>
          <w:rFonts w:ascii="Courier New" w:cs="Courier New" w:eastAsia="Courier New" w:hAnsi="Courier New"/>
          <w:sz w:val="15"/>
          <w:szCs w:val="15"/>
          <w:color w:val="auto"/>
        </w:rPr>
        <w:t>99</w:t>
      </w:r>
    </w:p>
    <w:p>
      <w:pPr>
        <w:spacing w:after="0" w:line="185" w:lineRule="exact"/>
        <w:rPr>
          <w:sz w:val="20"/>
          <w:szCs w:val="20"/>
          <w:color w:val="auto"/>
        </w:rPr>
      </w:pPr>
    </w:p>
    <w:p>
      <w:pPr>
        <w:ind w:left="5" w:right="2939" w:hanging="5"/>
        <w:spacing w:after="0" w:line="250" w:lineRule="auto"/>
        <w:tabs>
          <w:tab w:leader="none" w:pos="467"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act, omission or transaction (individually or in the aggregate) has occurred with respect to any Parent Plan that has resulted or could result in any material liability (direct or indirect) of Parent or any subsidiary under Sections 409 or 502(c)(i) or (l) of ERISA or Chapter 43 of Subtitle (A) of the Code. None of the Parent Controlled Group Plans has an "accumulated funding deficiency" (as defined in Section 302 of ERISA and Section 412 of the Code) or is required to provide security to a Parent Plan pursuant to Section 401(a)(29) of the Code. Each Parent Plan can be unilaterally terminated by Parent or a subsidiary at any time without material liability, other than for amounts previously reflected in the financial statements (or notes thereto) included in the Parent SEC Reports.</w:t>
      </w:r>
    </w:p>
    <w:p>
      <w:pPr>
        <w:spacing w:after="0" w:line="182" w:lineRule="exact"/>
        <w:rPr>
          <w:rFonts w:ascii="Courier New" w:cs="Courier New" w:eastAsia="Courier New" w:hAnsi="Courier New"/>
          <w:sz w:val="15"/>
          <w:szCs w:val="15"/>
          <w:color w:val="auto"/>
        </w:rPr>
      </w:pPr>
    </w:p>
    <w:p>
      <w:pPr>
        <w:ind w:left="5" w:right="3019" w:firstLine="456"/>
        <w:spacing w:after="0" w:line="251" w:lineRule="auto"/>
        <w:tabs>
          <w:tab w:leader="none" w:pos="836"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Parent SEC Reports contain a true and complete summary or list of or otherwise describe all material employment contracts and other employee benefit arrangements with "change of control" or similar provisions and all severance agreements with executive officers.</w:t>
      </w:r>
    </w:p>
    <w:p>
      <w:pPr>
        <w:spacing w:after="0" w:line="176" w:lineRule="exact"/>
        <w:rPr>
          <w:rFonts w:ascii="Courier New" w:cs="Courier New" w:eastAsia="Courier New" w:hAnsi="Courier New"/>
          <w:sz w:val="15"/>
          <w:szCs w:val="15"/>
          <w:color w:val="auto"/>
        </w:rPr>
      </w:pPr>
    </w:p>
    <w:p>
      <w:pPr>
        <w:ind w:left="5" w:right="2839" w:firstLine="456"/>
        <w:spacing w:after="0" w:line="251" w:lineRule="auto"/>
        <w:tabs>
          <w:tab w:leader="none" w:pos="836"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agreements which will or may provide payments to any officer, employee, stockholder, or highly compensated individual which will be "parachute payments" under Code Section 280G that are nondeductible to Parent or subject to tax under Code Section 4999 for which Parent or any ERISA Affiliate would have withholding liability.</w:t>
      </w:r>
    </w:p>
    <w:p>
      <w:pPr>
        <w:spacing w:after="0" w:line="176"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SECTION 4.14. LABOR CONTROVERSIES. Except as disclosed in the Parent SEC Reports, (a) there are no significant controversies pending or, to the knowledge of Parent, threatened between Parent or its subsidiaries and any representatives of any of their employees and (b) to the knowledge of Parent, there are no material organizational efforts presently being made involving any of the presently unorganized employees of Parent and its subsidiaries except for such controversies and organizational efforts which, singly or in the aggregate, could not reasonably be expected to materially and adversely affect the business, operations, properties, assets, condition (financial or other) or results of operations of Parent and its subsidiaries, taken as a whole.</w:t>
      </w:r>
    </w:p>
    <w:p>
      <w:pPr>
        <w:spacing w:after="0" w:line="182"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SECTION 4.15. ENVIRONMENTAL MATTERS. (a) Except as disclosed in the Parent SEC Reports, (i) Parent and its subsidiaries have conducted their respective businesses in compliance with all applicable Environmental Laws (defined in Section 4.15(b)), including, without limitation, having all permits, licenses and other approvals and authorizations necessary for the operation of their respective businesses as presently conducted, (ii) none of the properties owned by Parent or any of its subsidiaries contain any Hazardous Substance (defined in Section 4.15(c)) as a result of any activity of Parent or any of its subsidiaries in amounts exceeding the levels permitted by applicable Environmental Laws, (iii) neither Parent nor any of its subsidiaries has received any notices, demand letters or requests for information from any Federal, state, local or foreign governmental entity or third party indicating that Parent or any of its subsidiaries may be in violation of, or liable under, any Environmental Law in connection with the ownership or operation of their businesses, (iv) there are no civil, criminal or administrative actions, suits, demands, claims, hearings, investigations or proceedings pending or threatened, against Parent or any of its subsidiaries relating to any violation, or alleged violation, of any Environmental Law, (v) no reports have been filed, or are required to be filed, by Parent or any of its subsidiaries concerning the release of any Hazardous Substance or the threatened or actual violation of any Environmental Law, (vi) no Hazardous Substance has been disposed of, released or transported in violation of any applicable Environmental Law from any properties owned by Parent or any of its subsidiaries as a result of any activity of Parent or any of its subsidiaries during the time such properties were owned, leased or operated by Parent or any of its subsidiaries, (vii) no underground storage tanks have been installed, closed or removed from any properties owned by Parent or any of its subsidiaries during, in the case of Parent, the time such properties were owned, leased or operated by Parent and during, in the case of each subsidiary, the time such subsidiary has been owned by Parent, (viii) there is no asbestos or asbestos containing material present in any of the properties owned by Parent and its subsidiaries, and no asbestos has been removed from any of such properties during the time such properties were owned, leased or operated by Parent or any of its subsidiaries, and (ix) neither Parent, its subsidiaries nor any of their respective properties are subject to any liabilities or expenditures (fixed or contingent) relating to any suit, settlement, court order, administrative order, regulatory requirement, judgment or claim asserted or arising under any Environmental Law, except for violations of the foregoing clauses (i) through (ix) that, singly or in the aggregate, would not reasonably be expected to have a material adverse effect on the business, operations, properties, assets, condition (financial or other) or results of operations of Parent and its subsidiaries, taken as a whole.</w:t>
      </w:r>
    </w:p>
    <w:p>
      <w:pPr>
        <w:spacing w:after="0" w:line="195"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Page A-11</w:t>
      </w:r>
    </w:p>
    <w:p>
      <w:pPr>
        <w:sectPr>
          <w:pgSz w:w="11900" w:h="16838" w:orient="portrait"/>
          <w:cols w:equalWidth="0" w:num="1">
            <w:col w:w="10225"/>
          </w:cols>
          <w:pgMar w:left="235" w:top="295" w:right="1440" w:bottom="1440" w:gutter="0" w:footer="0" w:header="0"/>
        </w:sectPr>
      </w:pPr>
    </w:p>
    <w:bookmarkStart w:id="101" w:name="page102"/>
    <w:bookmarkEnd w:id="101"/>
    <w:p>
      <w:pPr>
        <w:ind w:left="285"/>
        <w:spacing w:after="0"/>
        <w:rPr>
          <w:sz w:val="20"/>
          <w:szCs w:val="20"/>
          <w:color w:val="auto"/>
        </w:rPr>
      </w:pPr>
      <w:r>
        <w:rPr>
          <w:rFonts w:ascii="Courier New" w:cs="Courier New" w:eastAsia="Courier New" w:hAnsi="Courier New"/>
          <w:sz w:val="15"/>
          <w:szCs w:val="15"/>
          <w:color w:val="auto"/>
        </w:rPr>
        <w:t>100</w:t>
      </w:r>
    </w:p>
    <w:p>
      <w:pPr>
        <w:spacing w:after="0" w:line="185" w:lineRule="exact"/>
        <w:rPr>
          <w:sz w:val="20"/>
          <w:szCs w:val="20"/>
          <w:color w:val="auto"/>
        </w:rPr>
      </w:pPr>
    </w:p>
    <w:p>
      <w:pPr>
        <w:ind w:left="5" w:right="2939" w:firstLine="456"/>
        <w:spacing w:after="0" w:line="250" w:lineRule="auto"/>
        <w:tabs>
          <w:tab w:leader="none" w:pos="836"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"Environmental Law" means any Federal, state, local or foreign law, statute, ordinance, rule, regulation, code, license, permit, authorization, approval, consent, legal doctrine, order, judgment, decree, injunction, requirement or agreement with any governmental entity relating to</w:t>
      </w:r>
    </w:p>
    <w:p>
      <w:pPr>
        <w:spacing w:after="0" w:line="1" w:lineRule="exact"/>
        <w:rPr>
          <w:rFonts w:ascii="Courier New" w:cs="Courier New" w:eastAsia="Courier New" w:hAnsi="Courier New"/>
          <w:sz w:val="15"/>
          <w:szCs w:val="15"/>
          <w:color w:val="auto"/>
        </w:rPr>
      </w:pPr>
    </w:p>
    <w:p>
      <w:pPr>
        <w:ind w:left="5" w:right="2839" w:hanging="5"/>
        <w:spacing w:after="0" w:line="250" w:lineRule="auto"/>
        <w:tabs>
          <w:tab w:leader="none" w:pos="375"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protection, preservation or restoration of the environment (including, without limitation, air, water vapor, surface water, groundwater, drinking water supply, surface land, subsurface land, plant and animal life or any other natural resource) or to human health or safety or (y) the exposure to, or the use, storage, recycling, treatment, generation, transportation, processing, handling, labeling, production, release or disposal of Hazardous Substances, in each case as amended and as in effect on the Closing Date. The term "Environmental Law" includes, without limitation, (i) the Federal Comprehensive Environmental Response Compensation and Liability Act of 1980, the Superfund Amendments and Reauthorization Act, the Federal Water Pollution Control Act of 1972, the Federal Clean Air Act, the Federal Clean Water Act, the Federal Resource Conservation and Recovery Act of 1976 (including the Hazardous and Solid Waste Amendments thereto), the Federal Solid Waste Disposal Act and the Federal Toxic Substances Control Act, the Federal Insecticide, Fungicide and Rodenticide Act, and the Federal Occupational Safety and Health Act of 1970, each as amended and as in effect on the Closing Date, and (ii) any common law or equitable doctrine (including, without limitation, injunctive relief and tort doctrines such as negligence, nuisance, trespass and strict liability) that may impose liability or obligations for injuries or damages due to, or threatened as a result of, the presence of, effects of or exposure to any Hazardous Substance.</w:t>
      </w:r>
    </w:p>
    <w:p>
      <w:pPr>
        <w:spacing w:after="0" w:line="186" w:lineRule="exact"/>
        <w:rPr>
          <w:rFonts w:ascii="Courier New" w:cs="Courier New" w:eastAsia="Courier New" w:hAnsi="Courier New"/>
          <w:sz w:val="15"/>
          <w:szCs w:val="15"/>
          <w:color w:val="auto"/>
        </w:rPr>
      </w:pPr>
    </w:p>
    <w:p>
      <w:pPr>
        <w:ind w:left="5" w:right="2839" w:firstLine="456"/>
        <w:spacing w:after="0" w:line="250" w:lineRule="auto"/>
        <w:tabs>
          <w:tab w:leader="none" w:pos="836"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"Hazardous Substance" means any substance presently or hereafter listed, defined, designated or classified as hazardous, toxic, radioactive, or dangerous, or otherwise regulated, under any Environmental Law. Hazardous Substance includes any substance to which exposure is regulated by any government authority or any Environmental Law including, without limitation, any toxic waste, pollutant, contaminant, hazardous substance, toxic substance, hazardous waste, special waste, industrial substance or petroleum or any derivative or by-product thereof, radon, radioactive material, asbestos, or asbestos containing material, urea formaldehyde foam insulation, lead or polychlorinated biphenyls.</w:t>
      </w:r>
    </w:p>
    <w:p>
      <w:pPr>
        <w:spacing w:after="0" w:line="182"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SECTION 4.16. NON-COMPETITION AGREEMENTS. Neither Parent nor any subsidiary of Parent is a party to any agreement which purports to restrict or prohibit in any material respect any of them from, directly or indirectly, engaging in any business involving the collection, interim storage, transfer, recovery, processing, recycling, marketing or disposal of rubbish, garbage, paper, textile wastes, chemical or hazardous wastes, liquid and other wastes or any other material business currently engaged in by Parent or the Company, or any corporations affiliated with either of them. None of Parent's officers, directors or key employees is a party to any agreement which, by virtue of such person's relationship with Parent, restricts in any material respect Parent or any subsidiary of Parent from, directly or indirectly, engaging in any of the businesses described above.</w:t>
      </w:r>
    </w:p>
    <w:p>
      <w:pPr>
        <w:spacing w:after="0" w:line="183"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SECTION 4.17. TITLE TO ASSETS. Parent and each of its subsidiaries has good and marketable title in fee simple to all its real property and good title to all its leasehold interests and other properties as reflected in the most recent balance sheet included in the Parent Financial Statements, except for such properties and assets that have been disposed of in the ordinary course of business since the date of such balance sheet, free and clear of all mortgages, liens, pledges, charges or encumbrances of any nature whatsoever, except (i) the lien for current taxes, payments of which are not yet delinquent, (ii) such imperfections in title and easements and encumbrances, if any, as are not substantial in character, amount or extent and do not materially detract from the value or interfere with the present use of the property subject thereto or affected thereby, or otherwise materially impair the Parent's business operations (in the manner presently carried on by the Parent), or (iii) as disclosed in the Parent SEC Reports, and except for such matters which, singly or in the aggregate, could not reasonably be expected to materially and adversely affect the business, operations, properties, assets, condition (financial or other) or results of operations of Parent and its subsidiaries, taken as a whole. All leases under which Parent leases any real or personal property are in good standing, valid and effective in accordance with their respective terms, and there is not, under any of such leases, any existing default or event which with notice or lapse of time or both would become a default other than failures to be in good standing, valid and effective and defaults under such leases which in the aggregate will not materially and adversely affect the</w:t>
      </w:r>
    </w:p>
    <w:p>
      <w:pPr>
        <w:spacing w:after="0" w:line="365"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Page A-12</w:t>
      </w:r>
    </w:p>
    <w:p>
      <w:pPr>
        <w:sectPr>
          <w:pgSz w:w="11900" w:h="16838" w:orient="portrait"/>
          <w:cols w:equalWidth="0" w:num="1">
            <w:col w:w="10225"/>
          </w:cols>
          <w:pgMar w:left="235" w:top="295" w:right="1440" w:bottom="1440" w:gutter="0" w:footer="0" w:header="0"/>
        </w:sectPr>
      </w:pPr>
    </w:p>
    <w:bookmarkStart w:id="102" w:name="page103"/>
    <w:bookmarkEnd w:id="102"/>
    <w:p>
      <w:pPr>
        <w:ind w:left="280"/>
        <w:spacing w:after="0"/>
        <w:rPr>
          <w:sz w:val="20"/>
          <w:szCs w:val="20"/>
          <w:color w:val="auto"/>
        </w:rPr>
      </w:pPr>
      <w:r>
        <w:rPr>
          <w:rFonts w:ascii="Courier New" w:cs="Courier New" w:eastAsia="Courier New" w:hAnsi="Courier New"/>
          <w:sz w:val="15"/>
          <w:szCs w:val="15"/>
          <w:color w:val="auto"/>
        </w:rPr>
        <w:t>101</w:t>
      </w:r>
    </w:p>
    <w:p>
      <w:pPr>
        <w:spacing w:after="0" w:line="18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5"/>
          <w:szCs w:val="15"/>
          <w:color w:val="auto"/>
        </w:rPr>
        <w:t>business, operations, properties, assets, condition (financial or other) or results of operations of Parent and its subsidiaries, taken as a whole.</w:t>
      </w:r>
    </w:p>
    <w:p>
      <w:pPr>
        <w:spacing w:after="0" w:line="174"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SECTION 4.18. REORGANIZATION AND POOLING OF INTERESTS. None of the Parent, Subsidiary or, to their knowledge, any of their affiliates has taken or agreed or intends to take any action or has any knowledge of any fact or circumstance that would prevent the Merger from (a) constituting a reorganization qualifying under the provisions of Section 368(a) of the Code or (b) being treated for financial accounting purposes as a "pooling of interests" in accordance with generally accepted accounting principles and the rules, regulations and interpretations of the SEC (a "Pooling Transaction").</w:t>
      </w:r>
    </w:p>
    <w:p>
      <w:pPr>
        <w:spacing w:after="0" w:line="17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SECTION 4.19. PARENT STOCKHOLDERS' APPROVAL. The affirmative vote of stockholders of Parent required for approval and adoption of this Agreement and the Merger is a majority of the shares of Parent Common Stock present in person or by proxy at a meeting of such stockholders and entitled to vote thereat.</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SECTION 4.20. BROKERS AND FINDERS. Except for the fees and expenses payable to Donaldson, Lufkin &amp; Jenrette Securities Corporation ("DLJ "), which fees are reflected in its agreement with Parent (a copy of which has been delivered to the Company), Parent has not entered into any contract, arrangement or understanding with any person or firm which may result in the obligation of Parent to pay any finder's fees, brokerage or agent commissions or other like payments in connection with the transactions contemplated hereby. Except for the fees and expenses paid or payable to DLJ, there is no claim for payment by Parent of any investment banking fees, finder's fees, brokerage or agent commissions or other like payments in connection with the negotiations leading to this Agreement or the consummation of the transactions contemplated hereby.</w:t>
      </w:r>
    </w:p>
    <w:p>
      <w:pPr>
        <w:spacing w:after="0" w:line="182"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SECTION 4.21. OPINION OF FINANCIAL ADVISOR. The financial advisor of Parent, DLJ, has rendered a written opinion to the Board of Directors of Parent to the effect that the Exchange Ratio is fair from a financial point of view to Parent.</w:t>
      </w:r>
    </w:p>
    <w:p>
      <w:pPr>
        <w:spacing w:after="0" w:line="176" w:lineRule="exact"/>
        <w:rPr>
          <w:sz w:val="20"/>
          <w:szCs w:val="20"/>
          <w:color w:val="auto"/>
        </w:rPr>
      </w:pPr>
    </w:p>
    <w:p>
      <w:pPr>
        <w:jc w:val="both"/>
        <w:ind w:right="2939" w:firstLine="461"/>
        <w:spacing w:after="0" w:line="252" w:lineRule="auto"/>
        <w:rPr>
          <w:sz w:val="20"/>
          <w:szCs w:val="20"/>
          <w:color w:val="auto"/>
        </w:rPr>
      </w:pPr>
      <w:r>
        <w:rPr>
          <w:rFonts w:ascii="Courier New" w:cs="Courier New" w:eastAsia="Courier New" w:hAnsi="Courier New"/>
          <w:sz w:val="15"/>
          <w:szCs w:val="15"/>
          <w:color w:val="auto"/>
        </w:rPr>
        <w:t>SECTION 4.22. OWNERSHIP OF COMPANY COMMON STOCK. Neither Parent nor any of its subsidiaries beneficially owns any shares of Company Common Stock as of the date hereof.</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SECTION 4.23. PARENT DISCLOSURE SCHEDULE. The information set forth in the Parent Disclosure Schedule does not contain any untrue statement of a material fact or omit to state a material fact required to be stated therein or necessary to make the statements therein, in the light of the circumstances under which they were made, not misleading.</w:t>
      </w:r>
    </w:p>
    <w:p>
      <w:pPr>
        <w:spacing w:after="0" w:line="176"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V</w:t>
      </w:r>
    </w:p>
    <w:p>
      <w:pPr>
        <w:spacing w:after="0" w:line="185"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REPRESENTATIONS AND WARRANTIES OF THE COMPANY</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 represents and warrants to Parent and Subsidiary that, except as set forth in the disclosure schedule dated as of the date hereof and signed by an authorized officer of the Company (the "Company Disclosure Schedule"), each of which exceptions shall specifically identify the relevant Section hereof to which it relates:</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SECTION 5.1. ORGANIZATION AND QUALIFICATION. The Company is a corporation duly organized, validly existing and in good standing under the laws of the State of Delaware and has the requisite corporate power and authority to own, lease and operate its assets and properties and to carry on its business as it is now being conducted. The Company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other such failures, have a material adverse effect on the business, operations, properties, assets, condition (financial or other) or results of operations of the Company and its subsidiaries, taken as a whole. True, accurate and complete copies of the Company's Articles of Incorporation and By-laws, in each case as in effect on the date hereof, including all amendments thereto, have heretofore been delivered to Parent.</w:t>
      </w:r>
    </w:p>
    <w:p>
      <w:pPr>
        <w:spacing w:after="0" w:line="18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A-13</w:t>
      </w:r>
    </w:p>
    <w:p>
      <w:pPr>
        <w:sectPr>
          <w:pgSz w:w="11900" w:h="16838" w:orient="portrait"/>
          <w:cols w:equalWidth="0" w:num="1">
            <w:col w:w="10219"/>
          </w:cols>
          <w:pgMar w:left="240" w:top="295" w:right="1440" w:bottom="1440" w:gutter="0" w:footer="0" w:header="0"/>
        </w:sectPr>
      </w:pPr>
    </w:p>
    <w:bookmarkStart w:id="103" w:name="page104"/>
    <w:bookmarkEnd w:id="103"/>
    <w:p>
      <w:pPr>
        <w:ind w:left="280"/>
        <w:spacing w:after="0"/>
        <w:rPr>
          <w:sz w:val="20"/>
          <w:szCs w:val="20"/>
          <w:color w:val="auto"/>
        </w:rPr>
      </w:pPr>
      <w:r>
        <w:rPr>
          <w:rFonts w:ascii="Courier New" w:cs="Courier New" w:eastAsia="Courier New" w:hAnsi="Courier New"/>
          <w:sz w:val="15"/>
          <w:szCs w:val="15"/>
          <w:color w:val="auto"/>
        </w:rPr>
        <w:t>102</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SECTION 5.2. CAPITALIZATION. (a) The authorized capital stock of the Company consists of 100,000,000 shares of Company Common Stock and 500,000 shares of preferred stock, par value $10.00 per share ("Company Preferred Stock"). As of June 15, 1996, (i) 25,030,471 shares of Company Common Stock were issued and outstanding, all of which were validly issued and are fully paid, nonassessable and free of preemptive rights, (ii) no shares of Company Common Stock and no shares of Company Preferred Stock were held in the treasury of the Company, (iii) 1,001,866 shares of Company Common Stock were reserved for issuance upon exercise of options issued and outstanding pursuant to the Company's 1989 Stock Option Plan, as amended, (iv) 1,461,360 shares of Company Common Stock were reserved for issuance upon exercise of options issued and outstanding pursuant to the Company's 1994 Long-Term Incentive Plan, (v) 607,266 shares of Company Common Stock were reserved for issuance pursuant to the Company's 1991 Employee Stock Purchase Plan, (vi) 2,389,610 shares of Company Common Stock were reserved for issuance upon conversion of outstanding convertible debentures of the Company, (vii) 103,264 shares of Company Common Stock were reserved for issuance upon exercise of outstanding warrants, (viii) no shares of Company Preferred Stock were issued and outstanding and (ix) 83,435 shares of Company Preferred Stock were reserved for issuance upon exercise of Rights ("Preferred Stock Purchase Rights") issued pursuant to that certain Rights Agreement dated as of December 1, 1991 between the Company and First City, Texas -- Houston, N.A., a national banking association, as amended by Amendment No. 1 thereto between the Company and Chemical Bank, a New York State banking corporation, (the "Preferred Stock Rights Agreement"). Except as set forth in the preceding sentence, no other Awards (as such term is defined in the Company's 1994 Long-Term Incentive Plan) were issued and outstanding as of June 15, 1996. A true and correct copy of the Preferred Stock Rights Agreement has been made available to Parent. Assuming conversion of all outstanding convertible debentures of the Company and the exercise of all outstanding options, warrants or rights (other than the Preferred Stock Purchase Rights issued under the Preferred Stock Rights Agreement) to purchase Company Common Stock, as of June 15, 1996, there would be 29,988,071 shares of Company Common Stock issued and outstanding.</w:t>
      </w:r>
    </w:p>
    <w:p>
      <w:pPr>
        <w:spacing w:after="0" w:line="369" w:lineRule="exact"/>
        <w:rPr>
          <w:sz w:val="20"/>
          <w:szCs w:val="20"/>
          <w:color w:val="auto"/>
        </w:rPr>
      </w:pPr>
    </w:p>
    <w:p>
      <w:pPr>
        <w:ind w:right="2839" w:firstLine="456"/>
        <w:spacing w:after="0" w:line="250" w:lineRule="auto"/>
        <w:tabs>
          <w:tab w:leader="none" w:pos="83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the Company SEC Reports (as defined in Section 5.5), as of the date hereof there were no outstanding subscriptions, options, calls, contracts, commitments, understandings, restrictions, arrangements, rights or warrants, including any right of conversion or exchange under any outstanding security, instrument or other agreement and also including any rights plan or other anti-takeover agreement, obligating the Company or any subsidiary of the Company to issue, deliver or sell, or cause to be issued, delivered or sold, additional shares of the capital stock of the Company or obligating the Company or any subsidiary of the Company to grant, extend or enter into any such agreement or commitment. There are no voting trusts, proxies or other agreements or understandings to which the Company or any subsidiary of the Company is a party or is bound with respect to the voting of any shares of capital stock of the Company other than voting agreements executed in connection with this Agreement.</w:t>
      </w:r>
    </w:p>
    <w:p>
      <w:pPr>
        <w:spacing w:after="0" w:line="184"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SECTION 5.3. SUBSIDIARIES. Each direct and indirect corporate subsidiary of the Company is duly organized, validly existing and in good standing under the laws of its jurisdiction of incorporation and has the requisite power and authority to own, lease and operate its assets and properties and to carry on its business as it is now being conducted. Each subsidiary of the Company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such other failures, have a material adverse effect on the business, operations, properties, assets, condition (financial or other) or results of operations of the Company and its subsidiaries, taken as a whole. All of the outstanding shares of capital stock of each corporate subsidiary of the Company are validly issued, fully paid, nonassessable and free of preemptive rights and are owned directly or indirectly by the Company free and clear of any liens, claims, encumbrances, security interests, equities, charges and options of any nature whatsoever. There are no subscriptions, options, warrants, rights, calls, contracts, voting trusts, proxies or other commitments, understandings, restrictions or arrangements relating to the issuance, sale, voting, transfer, ownership or other rights with respect to any shares of capital stock of any corporate subsidiary of the Company, including any right of conversion or exchange under any outstanding security, instrument or agreement.</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A-14</w:t>
      </w:r>
    </w:p>
    <w:p>
      <w:pPr>
        <w:sectPr>
          <w:pgSz w:w="11900" w:h="16838" w:orient="portrait"/>
          <w:cols w:equalWidth="0" w:num="1">
            <w:col w:w="10219"/>
          </w:cols>
          <w:pgMar w:left="240" w:top="295" w:right="1440" w:bottom="1440" w:gutter="0" w:footer="0" w:header="0"/>
        </w:sectPr>
      </w:pPr>
    </w:p>
    <w:bookmarkStart w:id="104" w:name="page105"/>
    <w:bookmarkEnd w:id="104"/>
    <w:p>
      <w:pPr>
        <w:ind w:left="280"/>
        <w:spacing w:after="0"/>
        <w:rPr>
          <w:sz w:val="20"/>
          <w:szCs w:val="20"/>
          <w:color w:val="auto"/>
        </w:rPr>
      </w:pPr>
      <w:r>
        <w:rPr>
          <w:rFonts w:ascii="Courier New" w:cs="Courier New" w:eastAsia="Courier New" w:hAnsi="Courier New"/>
          <w:sz w:val="15"/>
          <w:szCs w:val="15"/>
          <w:color w:val="auto"/>
        </w:rPr>
        <w:t>103</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SECTION 5.4. AUTHORITY; NON-CONTRAVENTION; APPROVALS. (a) The Company has full corporate power and authority to enter into this Agreement and, subject to the Company Stockholders' Approval (as defined in Section 7.3(a)) and the Company Required Statutory Approvals (as defined in Section 5.4(c)), to consummate the transactions contemplated hereby. The Board of Directors of the Company has at a meeting duly called and held and at which a quorum was present and acting throughout, by the requisite affirmative vote of the directors of the Company, (i) determined that the Merger is in the best interests of the Company and its stockholders, (ii) approved this Agreement and the Merger and (iii) determined that such approval satisfies the requirements of subparagraph A.2 of Article Eighth of the Company's Certificate of Incorporation and, as a result, renders inapplicable to the Merger and this Agreement the other provisions of paragraph A of Article Eighth. No other corporate proceedings on the part of the Company are necessary to authorize the execution and delivery of this Agreement or, except for the Company Stockholders' Approval, the consummation by the Company of the transactions contemplated hereby. This Agreement has been duly executed and delivered by the Company, and, assuming the due authorization, execution and delivery hereof by Parent and Subsidiary, constitutes a valid and legally binding agreement of the Company, enforceable against the Company in accordance with its terms, except that such enforcement may be subject to (a) bankruptcy, insolvency, reorganization, moratorium or other similar laws affecting or relating to enforcement of creditors' rights generally and (b) general equitable principles. Without limitation of the foregoing, each of the covenants and obligations of the Company set forth in Sections 6.1, 6.5, 7.1, 7.2, 7.3, 7.6, 7.7, 7.8, 7.10, 7.12 and 7.14 is valid, legally binding and enforceable (subject as aforesaid) notwithstanding the absence of the Company Stockholders' Approval.</w:t>
      </w:r>
    </w:p>
    <w:p>
      <w:pPr>
        <w:spacing w:after="0" w:line="366" w:lineRule="exact"/>
        <w:rPr>
          <w:sz w:val="20"/>
          <w:szCs w:val="20"/>
          <w:color w:val="auto"/>
        </w:rPr>
      </w:pPr>
    </w:p>
    <w:p>
      <w:pPr>
        <w:ind w:right="2839" w:firstLine="456"/>
        <w:spacing w:after="0" w:line="250" w:lineRule="auto"/>
        <w:tabs>
          <w:tab w:leader="none" w:pos="83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the Company do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the Company or any of its subsidiaries under any of the terms, conditions or provisions of (i) the respective charters or by-laws of the Company or any of its subsidiaries, (ii) any statute, law, ordinance, rule, regulation, judgment, decree, order, injunction, writ, permit or license of any court or governmental authority applicable to the Company or any of its subsidiaries or any of their respective properties or assets, or (iii) any note, bond, mortgage, indenture, deed of trust, license, franchise, permit, concession, contract, lease or other instrument, obligation or agreement of any kind to which the Company or any of its subsidiaries is now a party or by which the Company or any of its subsidiaries or any of their respective properties or assets may be bound or affected. The consummation by the Company of the transactions contemplated hereby will not result in any violation, conflict, breach, termination, acceleration or creation of liens under any of the terms, conditions or provisions described in clauses (i) through (iii) of the preceding sentence, subject (x) in the case of the terms, conditions or provisions described in clause (ii) above, to obtaining (prior to the Effective Time) the Company Required Statutory Approvals and the Company Stockholders' Approval and (y) in the case of the terms, conditions or provisions described in clause (iii) above, to obtaining (prior to the Effective Time) consents required from commercial lenders, lessors or other third parties as specified in the Company Disclosure Schedule. Excluded from the foregoing sentences of this paragraph (b), insofar as they apply to the terms, conditions or provisions described in clauses (ii) and (iii) of the first sentence of this paragraph (b), are such violations, conflicts, breaches, defaults, terminations, accelerations or creations of liens, security interests, charges or encumbrances that would not, in the aggregate, have a material adverse effect on the business, operations, properties, assets, condition (financial or other) or results of operations of the Company and its subsidiaries, taken as a whole.</w:t>
      </w:r>
    </w:p>
    <w:p>
      <w:pPr>
        <w:spacing w:after="0" w:line="369" w:lineRule="exact"/>
        <w:rPr>
          <w:rFonts w:ascii="Courier New" w:cs="Courier New" w:eastAsia="Courier New" w:hAnsi="Courier New"/>
          <w:sz w:val="15"/>
          <w:szCs w:val="15"/>
          <w:color w:val="auto"/>
        </w:rPr>
      </w:pPr>
    </w:p>
    <w:p>
      <w:pPr>
        <w:ind w:right="2839" w:firstLine="456"/>
        <w:spacing w:after="0" w:line="250" w:lineRule="auto"/>
        <w:tabs>
          <w:tab w:leader="none" w:pos="83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(i) the filings by the Company required by the HSR Act, (ii) the filing of the Joint Proxy Statement/Prospectus with the SEC pursuant to the Exchange Act, (iii) the making of the Merger Filing with the Secretary of State of the State of Delaware in connection with the Merger and (iv) any required filings with or approvals from applicable state environmental authorities, public service commissions and public utility commissions (the filings and approvals referred to in clauses (i) through (iv) are collectively referred to as the "Company Required Statutory Approvals"), no declaration, filing or registration with, or notice to, or authorization, consent or approval of, any governmental or regulatory body or authority is necessary for the execution and delivery of this Agreement by the Company or the consummation by the</w:t>
      </w:r>
    </w:p>
    <w:p>
      <w:pPr>
        <w:spacing w:after="0" w:line="18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A-15</w:t>
      </w:r>
    </w:p>
    <w:p>
      <w:pPr>
        <w:sectPr>
          <w:pgSz w:w="11900" w:h="16838" w:orient="portrait"/>
          <w:cols w:equalWidth="0" w:num="1">
            <w:col w:w="10219"/>
          </w:cols>
          <w:pgMar w:left="240" w:top="295" w:right="1440" w:bottom="1440" w:gutter="0" w:footer="0" w:header="0"/>
        </w:sectPr>
      </w:pPr>
    </w:p>
    <w:bookmarkStart w:id="105" w:name="page106"/>
    <w:bookmarkEnd w:id="105"/>
    <w:p>
      <w:pPr>
        <w:ind w:left="285"/>
        <w:spacing w:after="0"/>
        <w:rPr>
          <w:sz w:val="20"/>
          <w:szCs w:val="20"/>
          <w:color w:val="auto"/>
        </w:rPr>
      </w:pPr>
      <w:r>
        <w:rPr>
          <w:rFonts w:ascii="Courier New" w:cs="Courier New" w:eastAsia="Courier New" w:hAnsi="Courier New"/>
          <w:sz w:val="15"/>
          <w:szCs w:val="15"/>
          <w:color w:val="auto"/>
        </w:rPr>
        <w:t>104</w:t>
      </w:r>
    </w:p>
    <w:p>
      <w:pPr>
        <w:spacing w:after="0" w:line="185"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Company of the transactions contemplated hereby, other than such declarations, filings, registrations, notices, authorizations, consents or approvals which, if not made or obtained, as the case may be, would not, in the aggregate, have a material adverse effect on the business, operations, properties, assets, condition (financial or other) or results of operations of the Company and its subsidiaries, taken as a whole.</w:t>
      </w:r>
    </w:p>
    <w:p>
      <w:pPr>
        <w:spacing w:after="0" w:line="176"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SECTION 5.5. REPORTS AND FINANCIAL STATEMENTS. Since January 1, 1994, the Company has filed with the SEC all material forms, statements, reports and documents (including all exhibits, post-effective amendments and supplements thereto) required to be filed by it under each of the Securities Act, the Exchange Act and the respective rules and regulations thereunder, all of which, as amended if applicable, complied when filed in all material respects with all applicable requirements of the appropriate act and the rules and regulations thereunder. The Company has previously delivered to Parent copies (including all exhibits, post-effective amendments and supplements thereto) of its (a) Annual Reports on Form 10-K for the year ended December 31, 1995, and for the immediately preceding fiscal year, as filed with the SEC, (b) proxy and information statements relating to (i) all meetings of its stockholders (whether annual or special) and (ii) actions by written consent in lieu of a stockholders' meeting from January 1, 1994, until the date hereof, and (c) all other reports, including quarterly reports, and registration statements filed by the Company with the SEC since January 1, 1994 (other than registration statements filed on Form S-8) (the documents referred to in clauses (a), (b) and</w:t>
      </w:r>
    </w:p>
    <w:p>
      <w:pPr>
        <w:spacing w:after="0" w:line="7" w:lineRule="exact"/>
        <w:rPr>
          <w:sz w:val="20"/>
          <w:szCs w:val="20"/>
          <w:color w:val="auto"/>
        </w:rPr>
      </w:pPr>
    </w:p>
    <w:p>
      <w:pPr>
        <w:ind w:left="5" w:right="2939" w:hanging="5"/>
        <w:spacing w:after="0" w:line="250" w:lineRule="auto"/>
        <w:tabs>
          <w:tab w:leader="none" w:pos="375"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prior to the date hereof are collectively referred to as the "Company SEC Reports"). The Company SEC Reports are identified on the Company Disclosure Schedule. As of their respective dates, the Company SEC Reports did not contain any untrue statement of a material fact or omit to state a material fact required to be stated therein or necessary to make the statements therein, in the light of the circumstances under which they were made, not misleading. The audited consolidated financial statements and unaudited interim consolidated financial statements of the Company included in such reports (collectively, the "Company Financial Statements") have been prepared in accordance with generally accepted accounting principles applied on a consistent basis (except as may be indicated therein or in the notes thereto) and fairly present the financial position of the Company and its subsidiaries as of the dates thereof and the results of their operations and changes in financial position for the periods then ended, subject, in the case of the unaudited interim financial statements, to normal year-end and audit adjustments and any other adjustments described therein.</w:t>
      </w:r>
    </w:p>
    <w:p>
      <w:pPr>
        <w:spacing w:after="0" w:line="184"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SECTION 5.6. ABSENCE OF UNDISCLOSED LIABILITIES. Except as disclosed in the Company SEC Reports or as heretofore disclosed to Parent in writing with respect to acquisitions or potential transactions or commitments, neither the Company nor any of its subsidiaries had at December 31, 1995, or has incurred since that date, any liabilities or obligations (whether absolute, accrued, contingent or otherwise) of any nature, except (a) liabilities, obligations or contingencies</w:t>
      </w:r>
    </w:p>
    <w:p>
      <w:pPr>
        <w:spacing w:after="0" w:line="3" w:lineRule="exact"/>
        <w:rPr>
          <w:sz w:val="20"/>
          <w:szCs w:val="20"/>
          <w:color w:val="auto"/>
        </w:rPr>
      </w:pPr>
    </w:p>
    <w:p>
      <w:pPr>
        <w:ind w:left="5" w:right="2839" w:hanging="5"/>
        <w:spacing w:after="0" w:line="250" w:lineRule="auto"/>
        <w:tabs>
          <w:tab w:leader="none" w:pos="375"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are accrued or reserved against in the Company Financial Statements or reflected in the notes thereto or (ii) which were incurred after December 31, 1995, and were incurred in the ordinary course of business and consistent with past practices, (b) liabilities, obligations or contingencies which (i) would not, in the aggregate, have a material adverse effect on the business, operations, properties, assets, condition (financial or other) or results of operations of the Company and its subsidiaries, taken as a whole or (ii) have been discharged or paid in full prior to the date hereof, and (c) liabilities and obligations which are of a nature not required to be reflected in the consolidated financial statements of the Company and its subsidiaries prepared in accordance with generally accepted accounting principles consistently applied and which were incurred in the ordinary course of business.</w:t>
      </w:r>
    </w:p>
    <w:p>
      <w:pPr>
        <w:spacing w:after="0" w:line="183" w:lineRule="exact"/>
        <w:rPr>
          <w:sz w:val="20"/>
          <w:szCs w:val="20"/>
          <w:color w:val="auto"/>
        </w:rPr>
      </w:pPr>
    </w:p>
    <w:p>
      <w:pPr>
        <w:ind w:left="5" w:right="2939" w:firstLine="461"/>
        <w:spacing w:after="0" w:line="251" w:lineRule="auto"/>
        <w:rPr>
          <w:sz w:val="20"/>
          <w:szCs w:val="20"/>
          <w:color w:val="auto"/>
        </w:rPr>
      </w:pPr>
      <w:r>
        <w:rPr>
          <w:rFonts w:ascii="Courier New" w:cs="Courier New" w:eastAsia="Courier New" w:hAnsi="Courier New"/>
          <w:sz w:val="15"/>
          <w:szCs w:val="15"/>
          <w:color w:val="auto"/>
        </w:rPr>
        <w:t>SECTION 5.7. ABSENCE OF CERTAIN CHANGES OR EVENTS. Since the date of the most recent Company SEC Report that contains consolidated financial statements of the Company, there has not been any material adverse change in the business, operations, properties, assets, liabilities, condition (financial or other) or results of operations of the Company and its subsidiaries, taken as a whole, except for changes that affect the industries in which the Company and its subsidiaries operate generally.</w:t>
      </w:r>
    </w:p>
    <w:p>
      <w:pPr>
        <w:spacing w:after="0" w:line="176" w:lineRule="exact"/>
        <w:rPr>
          <w:sz w:val="20"/>
          <w:szCs w:val="20"/>
          <w:color w:val="auto"/>
        </w:rPr>
      </w:pPr>
    </w:p>
    <w:p>
      <w:pPr>
        <w:ind w:left="5" w:right="2939" w:firstLine="461"/>
        <w:spacing w:after="0" w:line="251" w:lineRule="auto"/>
        <w:rPr>
          <w:sz w:val="20"/>
          <w:szCs w:val="20"/>
          <w:color w:val="auto"/>
        </w:rPr>
      </w:pPr>
      <w:r>
        <w:rPr>
          <w:rFonts w:ascii="Courier New" w:cs="Courier New" w:eastAsia="Courier New" w:hAnsi="Courier New"/>
          <w:sz w:val="15"/>
          <w:szCs w:val="15"/>
          <w:color w:val="auto"/>
        </w:rPr>
        <w:t>SECTION 5.8. LITIGATION. Except as referred to in the Company SEC Reports, there are no claims, suits, actions or proceedings pending or, to the knowledge of the Company, threatened against, relating to or affecting the Company or any of its subsidiaries, before any court, governmental department, commission, agency, instrumentality or authority, or any arbitrator that seek to restrain the consummation of the Merger or which could reasonably be expected, either alone or in the aggregate with all such claims, actions or</w:t>
      </w:r>
    </w:p>
    <w:p>
      <w:pPr>
        <w:spacing w:after="0" w:line="176"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Page A-16</w:t>
      </w:r>
    </w:p>
    <w:p>
      <w:pPr>
        <w:sectPr>
          <w:pgSz w:w="11900" w:h="16838" w:orient="portrait"/>
          <w:cols w:equalWidth="0" w:num="1">
            <w:col w:w="10225"/>
          </w:cols>
          <w:pgMar w:left="235" w:top="295" w:right="1440" w:bottom="1440" w:gutter="0" w:footer="0" w:header="0"/>
        </w:sectPr>
      </w:pPr>
    </w:p>
    <w:bookmarkStart w:id="106" w:name="page107"/>
    <w:bookmarkEnd w:id="106"/>
    <w:p>
      <w:pPr>
        <w:ind w:left="285"/>
        <w:spacing w:after="0"/>
        <w:rPr>
          <w:sz w:val="20"/>
          <w:szCs w:val="20"/>
          <w:color w:val="auto"/>
        </w:rPr>
      </w:pPr>
      <w:r>
        <w:rPr>
          <w:rFonts w:ascii="Courier New" w:cs="Courier New" w:eastAsia="Courier New" w:hAnsi="Courier New"/>
          <w:sz w:val="15"/>
          <w:szCs w:val="15"/>
          <w:color w:val="auto"/>
        </w:rPr>
        <w:t>105</w:t>
      </w:r>
    </w:p>
    <w:p>
      <w:pPr>
        <w:spacing w:after="0" w:line="185"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rPr>
        <w:t>proceedings, to materially and adversely affect the business, operations, properties, assets, condition (financial or other) or results of operations of the Company and its subsidiaries, taken as a whole. Except as referred to in the Company SEC Reports, neither the Company nor any of its subsidiaries is subject to any judgment, decree, injunction, rule or order of any court, governmental department, commission, agency, instrumentality or authority, or any arbitrator which prohibits or restricts the consummation of the transactions contemplated hereby or would have any material adverse effect on the business, operations, properties, assets, condition (financial or other) or results of operations of the Company and its subsidiaries, taken as a whole.</w:t>
      </w:r>
    </w:p>
    <w:p>
      <w:pPr>
        <w:spacing w:after="0" w:line="182" w:lineRule="exact"/>
        <w:rPr>
          <w:sz w:val="20"/>
          <w:szCs w:val="20"/>
          <w:color w:val="auto"/>
        </w:rPr>
      </w:pPr>
    </w:p>
    <w:p>
      <w:pPr>
        <w:jc w:val="center"/>
        <w:ind w:right="3014"/>
        <w:spacing w:after="0"/>
        <w:rPr>
          <w:sz w:val="20"/>
          <w:szCs w:val="20"/>
          <w:color w:val="auto"/>
        </w:rPr>
      </w:pPr>
      <w:r>
        <w:rPr>
          <w:rFonts w:ascii="Courier New" w:cs="Courier New" w:eastAsia="Courier New" w:hAnsi="Courier New"/>
          <w:sz w:val="15"/>
          <w:szCs w:val="15"/>
          <w:color w:val="auto"/>
        </w:rPr>
        <w:t>SECTION 5.9. REGISTRATION STATEMENT AND PROXY STATEMENT. None of the</w:t>
      </w:r>
    </w:p>
    <w:p>
      <w:pPr>
        <w:spacing w:after="0" w:line="8" w:lineRule="exact"/>
        <w:rPr>
          <w:sz w:val="20"/>
          <w:szCs w:val="20"/>
          <w:color w:val="auto"/>
        </w:rPr>
      </w:pPr>
    </w:p>
    <w:p>
      <w:pPr>
        <w:jc w:val="center"/>
        <w:ind w:right="3014"/>
        <w:spacing w:after="0"/>
        <w:rPr>
          <w:sz w:val="20"/>
          <w:szCs w:val="20"/>
          <w:color w:val="auto"/>
        </w:rPr>
      </w:pPr>
      <w:r>
        <w:rPr>
          <w:rFonts w:ascii="Courier New" w:cs="Courier New" w:eastAsia="Courier New" w:hAnsi="Courier New"/>
          <w:sz w:val="15"/>
          <w:szCs w:val="15"/>
          <w:color w:val="auto"/>
        </w:rPr>
        <w:t>information to be supplied by the Company or its subsidiaries for inclusion in</w:t>
      </w:r>
    </w:p>
    <w:p>
      <w:pPr>
        <w:spacing w:after="0" w:line="8" w:lineRule="exact"/>
        <w:rPr>
          <w:sz w:val="20"/>
          <w:szCs w:val="20"/>
          <w:color w:val="auto"/>
        </w:rPr>
      </w:pPr>
    </w:p>
    <w:p>
      <w:pPr>
        <w:ind w:left="5" w:right="2839" w:hanging="5"/>
        <w:spacing w:after="0" w:line="250" w:lineRule="auto"/>
        <w:tabs>
          <w:tab w:leader="none" w:pos="375"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or (b) the Proxy Statement will, in the case of the Proxy Statement or any amendments thereof or supplements thereto, at the time of the mailing of the Proxy Statement and any amendments or supplements thereto, and at the time of the meetings of stockholders of the Company and Parent to be held in connection with the transactions contemplated by this Agreement or, in the case of the Registration Statement, as amended or supplemented, at the time it becomes effective and at the time of such meetings of the stockholders of the Company and Parent, contain any untrue statement of a material fact or omit to state any material fact required to be stated therein or necessary in order to make the statements therein, in the light of the circumstances under which they are made, not misleading. The Joint Proxy Statement/Prospectus will comply, as of its mailing date, as to form in all material respects with all applicable laws, including the provisions of the Securities Act and the Exchange Act and the rules and regulations promulgated thereunder, except that no representation is made by the Company with respect to information supplied by Parent, Subsidiary or any stockholder of Parent for inclusion therein.</w:t>
      </w:r>
    </w:p>
    <w:p>
      <w:pPr>
        <w:spacing w:after="0" w:line="362"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SECTION 5.10. NO VIOLATION OF LAW. Except as disclosed in the Company SEC Reports, neither the Company nor any of its subsidiaries is in violation of or has been given notice or been charged with any violation of, any law, statute, order, rule, regulation, ordinance or judgment (including, without limitation, any applicable environmental law, ordinance or regulation) of any governmental or regulatory body or authority, except for violations which, in the aggregate, could not reasonably be expected to have a material adverse effect on the business, operations, properties, assets, condition (financial or other) or results of operations of the Company and its subsidiaries, taken as a whole. Except as disclosed in the Company SEC Reports, as of the date of this Agreement, to the knowledge of the Company, no investigation or review by any governmental or regulatory body or authority is pending or threatened, nor has any governmental or regulatory body or authority indicated an intention to conduct the same, other than, in each case, those the outcome of which, as far as reasonably can be foreseen, will not have a material adverse effect on the business, operations, properties, assets, condition (financial or other) or results of operations of the Company and its subsidiaries, taken as a whole. The Company and its subsidiaries have all permits, licenses, franchises, variances, exemptions, orders and other governmental authorizations, consents and approvals necessary to conduct their businesses as presently conducted (collectively, the "Company Permits"), except for permits, licenses, franchises, variances, exemptions, orders, authorizations, consents and approvals the absence of which, alone or in the aggregate, would not have a material adverse effect on the business, operations, properties, assets, condition (financial or other) or results of operations of the Company and its subsidiaries, taken as a whole. The Company and its subsidiaries are not in violation of the terms of any Company Permit, except for delays in filing reports or violations which, alone or in the aggregate, would not have a material adverse effect on the business, operations, properties, assets, condition (financial or other), results of operations of the Company and its subsidiaries, taken as a whole.</w:t>
      </w:r>
    </w:p>
    <w:p>
      <w:pPr>
        <w:spacing w:after="0" w:line="191"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SECTION 5.11. COMPLIANCE WITH AGREEMENTS. Except as disclosed in the Company SEC Reports, the Company and each of its subsidiaries are not in breach or violation of or in default in the performance or observance of any term or provision of, and no event has occurred which, with lapse of time or action by a third party, could result in a default under, (a) the respective charter, by-laws or similar organizational instruments of the Company or any of its subsidiaries or (b) any contract, commitment, agreement, indenture, mortgage, loan agreement, note, lease, bond, license, approval or other instrument to which the Company or any of its subsidiaries is a party or by which any of them is bound or to which any of their property is subject, other than, in the case of clause (b) of this Section 5.11, breaches, violations and defaults which would not have, in the</w:t>
      </w:r>
    </w:p>
    <w:p>
      <w:pPr>
        <w:spacing w:after="0" w:line="360"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Page A-17</w:t>
      </w:r>
    </w:p>
    <w:p>
      <w:pPr>
        <w:sectPr>
          <w:pgSz w:w="11900" w:h="16838" w:orient="portrait"/>
          <w:cols w:equalWidth="0" w:num="1">
            <w:col w:w="10225"/>
          </w:cols>
          <w:pgMar w:left="235" w:top="295" w:right="1440" w:bottom="1440" w:gutter="0" w:footer="0" w:header="0"/>
        </w:sectPr>
      </w:pPr>
    </w:p>
    <w:bookmarkStart w:id="107" w:name="page108"/>
    <w:bookmarkEnd w:id="107"/>
    <w:p>
      <w:pPr>
        <w:ind w:left="280"/>
        <w:spacing w:after="0"/>
        <w:rPr>
          <w:sz w:val="20"/>
          <w:szCs w:val="20"/>
          <w:color w:val="auto"/>
        </w:rPr>
      </w:pPr>
      <w:r>
        <w:rPr>
          <w:rFonts w:ascii="Courier New" w:cs="Courier New" w:eastAsia="Courier New" w:hAnsi="Courier New"/>
          <w:sz w:val="15"/>
          <w:szCs w:val="15"/>
          <w:color w:val="auto"/>
        </w:rPr>
        <w:t>106</w:t>
      </w:r>
    </w:p>
    <w:p>
      <w:pPr>
        <w:spacing w:after="0" w:line="185" w:lineRule="exact"/>
        <w:rPr>
          <w:sz w:val="20"/>
          <w:szCs w:val="20"/>
          <w:color w:val="auto"/>
        </w:rPr>
      </w:pPr>
    </w:p>
    <w:p>
      <w:pPr>
        <w:jc w:val="both"/>
        <w:ind w:right="3019"/>
        <w:spacing w:after="0" w:line="252" w:lineRule="auto"/>
        <w:rPr>
          <w:sz w:val="20"/>
          <w:szCs w:val="20"/>
          <w:color w:val="auto"/>
        </w:rPr>
      </w:pPr>
      <w:r>
        <w:rPr>
          <w:rFonts w:ascii="Courier New" w:cs="Courier New" w:eastAsia="Courier New" w:hAnsi="Courier New"/>
          <w:sz w:val="15"/>
          <w:szCs w:val="15"/>
          <w:color w:val="auto"/>
        </w:rPr>
        <w:t>aggregate, a material adverse effect on the business, operations, properties, assets, condition (financial or other) or results of operations of the Company and its subsidiaries, taken as a whole.</w:t>
      </w:r>
    </w:p>
    <w:p>
      <w:pPr>
        <w:spacing w:after="0" w:line="17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SECTION 5.12. TAXES. The Company and its subsidiaries have (i) duly filed with the appropriate governmental authorities all Tax Returns required to be filed by them for all periods ending on or prior to the Effective Time, other than those Tax Returns the failure of which to file would not have a material adverse effect on the business, operations, properties, assets, condition (financial or other) or results of operations of the Company and its subsidiaries, taken as a whole, and such Tax Returns are true, correct and complete in all material respects, and (ii) duly paid in full or made adequate provision for the payment of all Taxes for all past and current periods. The liabilities and reserves for Taxes reflected in the Company balance sheet included in the latest Company SEC Report are adequate to cover all Taxes for all periods ending at or prior to the date of such balance sheet and there is no liability for Taxes for any period beginning after such date other than Taxes arising in the ordinary course of business. There are no material liens for Taxes upon any property or asset of the Company or any subsidiary thereof, except for liens for Taxes not yet due. There are no unresolved issues of law or fact arising out of a notice of deficiency, proposed deficiency or assessment from the IRS or any other governmental taxing authority with respect to Taxes of the Company or any of its subsidiaries which, if decided adversely, singly or in the aggregate, would have a material adverse effect on the business, operations, properties, assets, condition (financial or other) or results of operations of the Company and its subsidiaries, taken as a whole. Neither the Company nor its subsidiaries has waived any statute of limitations in respect of Taxes or agreed to any extension of time with respect to a Tax assessment or deficiency other than waivers and extensions which are no longer in effect. Neither the Company nor any of its subsidiaries is a party to any agreement providing for the allocation or sharing of Taxes with any entity that is not, directly or indirectly, a wholly-owned corporate subsidiary of Company other than agreements the consequences of which are fully and adequately reserved for in the Company Financial Statements. Neither the Company nor any of its corporate subsidiaries has, with regard to any assets or property held, acquired or to be acquired by any of them, filed a consent to the application of Section 341(f) of the Code.</w:t>
      </w:r>
    </w:p>
    <w:p>
      <w:pPr>
        <w:spacing w:after="0" w:line="192"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SECTION 5.13. EMPLOYEE BENEFIT PLANS; ERISA. (a) Except as disclosed in the Company SEC Reports, at the date hereof, the Company and its subsidiaries do not maintain or contribute to or have any obligation or liability to or with respect to any material employee benefit plans, programs, arrangements or practices (such plans, programs, arrangements or practices of the Company and its subsidiaries being referred to as the "Company Plans"), including employee benefit plans within the meaning set forth in Section 3(3) of the Employee Retirement Income Security Act of 1974, as amended ("ERISA"), or other similar material arrangements for the provision of benefits (excluding any "Multi-employer Plan" within the meaning of Section 3(37) of ERISA or a "Multiple Employer Plan" within the meaning of Section 413(c) of the Code). The Company Disclosure Schedule lists all Multi-employer Plans to which any of them makes contributions or has any obligation or liability to make contributions. Neither the Company nor any of its subsidiaries maintains or has any liability with respect to any Multiple Employer Plan. Neither the Company nor any of its subsidiaries has any obligation to create or contribute to any additional such plan, program, arrangement or practice or to amend any such plan, program, arrangement or practice so as to increase benefits or contributions thereunder, except as required under the terms of the Company Plans, under existing collective bargaining agreements or to comply with applicable law.</w:t>
      </w:r>
    </w:p>
    <w:p>
      <w:pPr>
        <w:spacing w:after="0" w:line="186" w:lineRule="exact"/>
        <w:rPr>
          <w:sz w:val="20"/>
          <w:szCs w:val="20"/>
          <w:color w:val="auto"/>
        </w:rPr>
      </w:pPr>
    </w:p>
    <w:p>
      <w:pPr>
        <w:ind w:right="2839" w:firstLine="456"/>
        <w:spacing w:after="0" w:line="250" w:lineRule="auto"/>
        <w:tabs>
          <w:tab w:leader="none" w:pos="83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the Company SEC Reports, (i) there have been no prohibited transactions within the meaning of Section 406 or 407 of ERISA or Section 4975 of the Code with respect to any of the Company Plans that could result in penalties, taxes or liabilities which, singly or in the aggregate, could have a material adverse effect on the business, operations, properties, assets, condition (financial or other) or results of operations of the Company and its subsidiaries, taken as a whole, (ii) except for premiums due, there is no outstanding material liability, whether measured alone or in the aggregate, under Title IV of ERISA with respect to any of the Company Plans, (iii) neither the Pension Benefit Guaranty Corporation nor any plan administrator has instituted proceedings to terminate any of the Company Plans subject to Title IV of ERISA other than in a "standard termination" described in Section 4041(b) of ERISA, (iv) none of the Company Plans has incurred any "accumulated funding deficiency" (as defined in Section 302 of ERISA and Section 412 of the Code), whether or not waived, as of the last day of the most recent fiscal year of each of the</w:t>
      </w:r>
    </w:p>
    <w:p>
      <w:pPr>
        <w:spacing w:after="0" w:line="361"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A-18</w:t>
      </w:r>
    </w:p>
    <w:p>
      <w:pPr>
        <w:sectPr>
          <w:pgSz w:w="11900" w:h="16838" w:orient="portrait"/>
          <w:cols w:equalWidth="0" w:num="1">
            <w:col w:w="10219"/>
          </w:cols>
          <w:pgMar w:left="240" w:top="295" w:right="1440" w:bottom="1440" w:gutter="0" w:footer="0" w:header="0"/>
        </w:sectPr>
      </w:pPr>
    </w:p>
    <w:bookmarkStart w:id="108" w:name="page109"/>
    <w:bookmarkEnd w:id="108"/>
    <w:p>
      <w:pPr>
        <w:ind w:left="280"/>
        <w:spacing w:after="0"/>
        <w:rPr>
          <w:sz w:val="20"/>
          <w:szCs w:val="20"/>
          <w:color w:val="auto"/>
        </w:rPr>
      </w:pPr>
      <w:r>
        <w:rPr>
          <w:rFonts w:ascii="Courier New" w:cs="Courier New" w:eastAsia="Courier New" w:hAnsi="Courier New"/>
          <w:sz w:val="15"/>
          <w:szCs w:val="15"/>
          <w:color w:val="auto"/>
        </w:rPr>
        <w:t>107</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Company Plans ended prior to the date of this Agreement, (v) the current present value of all projected benefit obligations under each of the Company Plans which is subject to Title IV of ERISA did not, as of its latest valuation date, exceed the then current value of the assets of such plan allocable to such benefit liabilities by more than the amount, if any, disclosed in the Company SEC Reports as of March 31, 1996, based upon reasonable actuarial assumptions currently utilized for such Company Plan, (vi) each of the Company Plans has been operated and administered in all material respects in accordance with applicable laws during the period of time covered by the applicable statute of limitations, (vii) each of the Company Plans which is intended to be "qualified" within the meaning of Section 401(a) of the Code has been determined by the Internal Revenue Service to be so qualified and such determination has not been modified, revoked or limited by failure to satisfy any condition thereof or by a subsequent amendment thereto or a failure to amend, except that it may be necessary to make additional amendments retroactively to maintain the "qualified" status of such Company Plans, and the period for making any such necessary retroactive amendments has not expired, (viii) with respect to Multi-employer Plans, neither the Company nor any of its subsidiaries has made or suffered a "complete withdrawal" or a "partial withdrawal," as such terms are respectively defined in Sections 4203, 4204 and 4205 of ERISA and, to the best knowledge of the Company and its subsidiaries, no event has occurred or is expected to occur which presents a material risk of a complete or partial withdrawal under said Sections 4203, 4204 and 4205, (ix) to the best knowledge of the Company and its subsidiaries, there are no material pending, threatened or anticipated claims involving any of the Company Plans other than claims for benefits in the ordinary course, (x) the Company and its subsidiaries have no current material liability under Title IV of ERISA, and the Company and its subsidiaries do not reasonably anticipate that any such liability will be asserted against the Company or any of its subsidiaries, and (xi) no act, omission or transaction (individually or in the aggregate) has occurred with respect to any Company Plan that has resulted or could result in any material liability (direct or indirect) of the Company or any subsidiary under Sections 409 or 502(c)(i) or (l) of ERISA or Chapter 43 of Subtitle (A) of the Code. None of the Company Controlled Group Plans has an "accumulated funding deficiency" (as defined in Section 302 of ERISA and Section 412 of the Code) or is required to provide security to a Company Plan pursuant to Section 401(a)(29) of the Code. Each Company Plan can be unilaterally terminated by the Company or a subsidiary at any time without material liability, other than for amounts previously reflected in the financial statements (or notes thereto) included in the Company SEC Reports.</w:t>
      </w:r>
    </w:p>
    <w:p>
      <w:pPr>
        <w:spacing w:after="0" w:line="372" w:lineRule="exact"/>
        <w:rPr>
          <w:sz w:val="20"/>
          <w:szCs w:val="20"/>
          <w:color w:val="auto"/>
        </w:rPr>
      </w:pPr>
    </w:p>
    <w:p>
      <w:pPr>
        <w:ind w:right="2939" w:firstLine="456"/>
        <w:spacing w:after="0" w:line="251" w:lineRule="auto"/>
        <w:tabs>
          <w:tab w:leader="none" w:pos="83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SEC Reports contain a true and complete summary or list of or otherwise describe all material employment contracts and other employee benefit arrangements with "change of control" or similar provisions and all severance agreements with executive officers.</w:t>
      </w:r>
    </w:p>
    <w:p>
      <w:pPr>
        <w:spacing w:after="0" w:line="176" w:lineRule="exact"/>
        <w:rPr>
          <w:rFonts w:ascii="Courier New" w:cs="Courier New" w:eastAsia="Courier New" w:hAnsi="Courier New"/>
          <w:sz w:val="15"/>
          <w:szCs w:val="15"/>
          <w:color w:val="auto"/>
        </w:rPr>
      </w:pPr>
    </w:p>
    <w:p>
      <w:pPr>
        <w:ind w:right="3019" w:firstLine="456"/>
        <w:spacing w:after="0" w:line="251" w:lineRule="auto"/>
        <w:tabs>
          <w:tab w:leader="none" w:pos="83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agreements which will or may provide payments to any officer, employee, stockholder, or highly compensated individual which will be "parachute payments" under Code Section 280G that are nondeductible to the Company or subject to tax under Code Section 4999 for which the Company or any ERISA Affiliate would have withholding liability.</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SECTION 5.14. LABOR CONTROVERSIES. Except as disclosed in the Company SEC Reports, (a) there are no significant controversies pending or, to the knowledge of the Company, threatened between the Company or its subsidiaries and any representatives of any of their employees and (b) to the knowledge of the Company, there are no material organizational efforts presently being made involving any of the presently unorganized employees of the Company or its subsidiaries, except for such controversies and organizational efforts, which, singly or in the aggregate, could not reasonably be expected to materially and adversely affect the business, operations, properties, assets, condition (financial or other) or results of operations of the Company and its subsidiaries, taken as a whole.</w:t>
      </w:r>
    </w:p>
    <w:p>
      <w:pPr>
        <w:spacing w:after="0" w:line="182"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SECTION 5.15. ENVIRONMENTAL MATTERS. Except as disclosed in the Company SEC Reports, (i) the Company and its subsidiaries have conducted their respective businesses in compliance with all applicable Environmental Laws, including, without limitation, having all permits, licenses and other approvals and authorizations necessary for the operation of their respective businesses as presently conducted, (ii) none of the properties owned by the Company or any of its subsidiaries contain any Hazardous Substance as a result of any activity of the Company or any of its subsidiaries in amounts exceeding the levels permitted by applicable Environmental Laws, (iii) neither the Company nor any of its subsidiaries has received any notices, demand</w:t>
      </w:r>
    </w:p>
    <w:p>
      <w:pPr>
        <w:spacing w:after="0" w:line="18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A-19</w:t>
      </w:r>
    </w:p>
    <w:p>
      <w:pPr>
        <w:sectPr>
          <w:pgSz w:w="11900" w:h="16838" w:orient="portrait"/>
          <w:cols w:equalWidth="0" w:num="1">
            <w:col w:w="10219"/>
          </w:cols>
          <w:pgMar w:left="240" w:top="295" w:right="1440" w:bottom="1440" w:gutter="0" w:footer="0" w:header="0"/>
        </w:sectPr>
      </w:pPr>
    </w:p>
    <w:bookmarkStart w:id="109" w:name="page110"/>
    <w:bookmarkEnd w:id="109"/>
    <w:p>
      <w:pPr>
        <w:ind w:left="280"/>
        <w:spacing w:after="0"/>
        <w:rPr>
          <w:sz w:val="20"/>
          <w:szCs w:val="20"/>
          <w:color w:val="auto"/>
        </w:rPr>
      </w:pPr>
      <w:r>
        <w:rPr>
          <w:rFonts w:ascii="Courier New" w:cs="Courier New" w:eastAsia="Courier New" w:hAnsi="Courier New"/>
          <w:sz w:val="15"/>
          <w:szCs w:val="15"/>
          <w:color w:val="auto"/>
        </w:rPr>
        <w:t>108</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letters or requests for information from any Federal, state, local or foreign governmental entity or third party indicating that the Company or any of its subsidiaries may be in violation of, or liable under, any Environmental Law in connection with the ownership or operation of their businesses, (iv) there are no civil, criminal or administrative actions, suits, demands, claims, hearings, investigations or proceedings pending or threatened, against the Company or any of its subsidiaries relating to any violation, or alleged violation, of any Environmental Law, (v) no reports have been filed, or are required to be filed, by the Company or any of its subsidiaries concerning the release of any Hazardous Substance or the threatened or actual violation of any Environmental Law, (vi) no Hazardous Substance has been disposed of, released or transported in violation of any applicable Environmental Law from any properties owned by the Company or any of its subsidiaries as a result of any activity of the Company or any of its subsidiaries during the time such properties were owned, leased or operated by the Company or any of its subsidiaries, (vii) no underground storage tanks have been installed, closed or removed from any properties owned by the Company or any of its subsidiaries during, in the case of the Company, the time such properties were owned, leased or operated by the Company and during, in the case of each subsidiary, the time such subsidiary has been owned by the Company, (viii) there is no asbestos or asbestos containing material present in any of the properties owned by the Company and its subsidiaries, and no asbestos has been removed from any of such properties during the time such properties were owned, leased or operated by the Company or any of its subsidiaries, and (ix) neither the Company, its subsidiaries nor any of their respective properties are subject to any material liabilities or expenditures (fixed or contingent) relating to any suit, settlement, court order, administrative order, regulatory requirement, judgment or claim asserted or arising under any Environmental Law, except for violations of the foregoing clauses (i) through (ix) that, singly or in the aggregate, would not reasonably be expected to have a material adverse effect on the business, operations, properties, assets, condition (financial or other) or results of operations of the Company and its subsidiaries, taken as a whole.</w:t>
      </w:r>
    </w:p>
    <w:p>
      <w:pPr>
        <w:spacing w:after="0" w:line="369"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SECTION 5.16. NON-COMPETITION AGREEMENTS. Except as disclosed in the Company SEC Reports, neither the Company nor any subsidiary of the Company is a party to any agreement which purports to restrict or prohibit in any material respect any of them or any corporation affiliated with any of them from, directly or indirectly, engaging in any business involving the collection, interim storage, transfer, recovery, processing, recycling, marketing or disposal of rubbish, garbage, paper, textile wastes, chemical or hazardous wastes, liquid and other wastes or any other material business currently engaged in by Parent or the Company, or any corporations affiliated with either of them. None of the Company's officers, directors or key employees is a party to any agreement which, by virtue of such person's relationship with the Company, restricts in any material respect the Company or any subsidiary or affiliate of the Company from, directly or indirectly, engaging in any of the businesses described above.</w:t>
      </w:r>
    </w:p>
    <w:p>
      <w:pPr>
        <w:spacing w:after="0" w:line="361"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SECTION 5.17. TITLE TO ASSETS. The Company and each of its subsidiaries has good and marketable title in fee simple to all its real property and good title to all its leasehold interests and other properties, as reflected in the most recent balance sheet included in the Company Financial Statements, except for properties and assets that have been disposed of in the ordinary course of business since the date of such balance sheet, free and clear of all mortgages, liens, pledges, charges or encumbrances of any nature whatsoever, except (i) the lien for current taxes, payments of which are not yet delinquent, (ii) such imperfections in title and easements and encumbrances, if any, as are not substantial in character, amount or extent and do not materially detract from the value, or interfere with the present use of the property subject thereto or affected thereby, or otherwise materially impair the Company's business operations (in the manner presently carried on by the Company) or (iii) as disclosed in the Company SEC Reports, and except for such matters which, singly or in the aggregate, could not reasonably be expected to materially and adversely affect the business, operations, properties, assets, condition (financial or other) or results of operations of the Company and its subsidiaries, taken as a whole. All leases under which the Company or any of its subsidiaries leases any real or personal property are in good standing, valid and effective in accordance with their respective terms, and there is not, under any of such leases, any existing default or event which with notice or lapse of time or both would become a default other than failures to be in good standing, valid and effective and defaults under such leases which in the aggregate will not materially and adversely affect the business, operations, properties, assets, condition (financial or other) or results of operations of the Company and its subsidiaries, taken as a whole.</w:t>
      </w:r>
    </w:p>
    <w:p>
      <w:pPr>
        <w:spacing w:after="0" w:line="189"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A-20</w:t>
      </w:r>
    </w:p>
    <w:p>
      <w:pPr>
        <w:sectPr>
          <w:pgSz w:w="11900" w:h="16838" w:orient="portrait"/>
          <w:cols w:equalWidth="0" w:num="1">
            <w:col w:w="10219"/>
          </w:cols>
          <w:pgMar w:left="240" w:top="295" w:right="1440" w:bottom="1440" w:gutter="0" w:footer="0" w:header="0"/>
        </w:sectPr>
      </w:pPr>
    </w:p>
    <w:bookmarkStart w:id="110" w:name="page111"/>
    <w:bookmarkEnd w:id="110"/>
    <w:p>
      <w:pPr>
        <w:ind w:left="280"/>
        <w:spacing w:after="0"/>
        <w:rPr>
          <w:sz w:val="20"/>
          <w:szCs w:val="20"/>
          <w:color w:val="auto"/>
        </w:rPr>
      </w:pPr>
      <w:r>
        <w:rPr>
          <w:rFonts w:ascii="Courier New" w:cs="Courier New" w:eastAsia="Courier New" w:hAnsi="Courier New"/>
          <w:sz w:val="15"/>
          <w:szCs w:val="15"/>
          <w:color w:val="auto"/>
        </w:rPr>
        <w:t>109</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SECTION 5.18. REORGANIZATION AND POOLING OF INTERESTS. Neither the Company nor, to the knowledge of the Company, any of its affiliates has taken or agreed or intends to take any action or has any knowledge of any fact or circumstance that would prevent the Merger from (a) constituting a reorganization qualifying under the provisions of Section 368(a) of the Code or (b) being treated for financial accounting purposes as a Pooling Transaction.</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SECTION 5.19. COMPANY STOCKHOLDERS' APPROVAL. The affirmative vote of stockholders of the Company required for approval and adoption of this Agreement and the Merger is a majority of the outstanding shares of Company Common Stock entitled to vote thereon.</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SECTION 5.20. BROKERS AND FINDERS. Except for the fees and expenses payable to Merrill Lynch, Pierce, Fenner &amp; Smith Incorporated ("Merrill"), which fees are reflected in its agreement with the Company (a copy of which has been delivered to Parent), the Company has not entered into any contract, arrangement or understanding with any person or firm which may result in the obligation of the Company to pay any finder's fees, brokerage or agent commissions or other like payments in connection with the transactions contemplated hereby. Except for the fees and expenses paid or payable to Merrill, there is no claim for payment by the Company of any investment banking fees, finder's fees, brokerage or agent commissions or other like payments in connection with the negotiations leading to this Agreement or the consummation of the transactions contemplated hereby.</w:t>
      </w:r>
    </w:p>
    <w:p>
      <w:pPr>
        <w:spacing w:after="0" w:line="360"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SECTION 5.21. OPINION OF FINANCIAL ADVISOR. The financial advisor of the Company, Merrill, has rendered a written opinion to the Board of Directors of the Company to the effect that the Exchange Ratio is fair from a financial point of view to the stockholders of the Company.</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SECTION 5.22. AMENDMENT TO PREFERRED STOCK RIGHTS AGREEMENT. (a) The Board of Directors of the Company has taken all necessary action to amend the Preferred Stock Rights Agreement so that none of the execution and delivery of this Agreement, the conversion of shares of Company Common Stock into the right to receive Parent Common Stock in accordance with Article III of this Agreement, and the consummation of the Merger or any other transaction contemplated hereby (but specifically not including any acquisition of beneficial ownership of Common Stock other than through the execution and delivery of this Agreement, the consummation of the Merger or the execution of the voting agreements described in the recitals to this Agreement) will cause (i) the Preferred Stock Purchase Rights issued pursuant to the Preferred Stock Rights Agreement to become exercisable under the Preferred Stock Rights Agreement, (ii) Parent or any of Parent's direct or indirect subsidiaries to be deemed an "Acquiring Person" (as such term is defined in the Preferred Stock Rights Agreement), (iii) any such event to be deemed a "Section 11(a)(ii) Event" or a "Section 13 Event" (as such terms are defined in the Preferred Stock Rights Agreement) or (iv) the "Stock Acquisition Date" (as such term is defined in the Preferred Stock Rights Agreement) to occur upon any such event.</w:t>
      </w:r>
    </w:p>
    <w:p>
      <w:pPr>
        <w:spacing w:after="0" w:line="185" w:lineRule="exact"/>
        <w:rPr>
          <w:sz w:val="20"/>
          <w:szCs w:val="20"/>
          <w:color w:val="auto"/>
        </w:rPr>
      </w:pPr>
    </w:p>
    <w:p>
      <w:pPr>
        <w:ind w:right="2939" w:firstLine="456"/>
        <w:spacing w:after="0" w:line="252" w:lineRule="auto"/>
        <w:tabs>
          <w:tab w:leader="none" w:pos="83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Date" (as such term is defined in the Preferred Stock Rights Agreement) of the Preferred Stock Purchase Rights will occur immediately prior to the Effective Time.</w:t>
      </w:r>
    </w:p>
    <w:p>
      <w:pPr>
        <w:spacing w:after="0" w:line="174" w:lineRule="exact"/>
        <w:rPr>
          <w:rFonts w:ascii="Courier New" w:cs="Courier New" w:eastAsia="Courier New" w:hAnsi="Courier New"/>
          <w:sz w:val="15"/>
          <w:szCs w:val="15"/>
          <w:color w:val="auto"/>
        </w:rPr>
      </w:pPr>
    </w:p>
    <w:p>
      <w:pPr>
        <w:ind w:right="2839" w:firstLine="456"/>
        <w:spacing w:after="0" w:line="253" w:lineRule="auto"/>
        <w:tabs>
          <w:tab w:leader="none" w:pos="83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Date" (as such term is defined in the Preferred Stock Rights Agreement) has not occurred.</w:t>
      </w:r>
    </w:p>
    <w:p>
      <w:pPr>
        <w:spacing w:after="0" w:line="174"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SECTION 5.23. COMPANY DISCLOSURE SCHEDULE. The information set forth in the Company Disclosure Schedule does not contain any untrue statement of a material fact or omit to state a material fact required to be stated therein or necessary to make the statements therein, in the light of the circumstances under which they were made, not misleading.</w:t>
      </w:r>
    </w:p>
    <w:p>
      <w:pPr>
        <w:spacing w:after="0" w:line="17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ARTICLE VI</w:t>
      </w:r>
    </w:p>
    <w:p>
      <w:pPr>
        <w:spacing w:after="0" w:line="18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CONDUCT OF BUSINESS PENDING THE MERGER</w:t>
      </w:r>
    </w:p>
    <w:p>
      <w:pPr>
        <w:spacing w:after="0" w:line="185" w:lineRule="exact"/>
        <w:rPr>
          <w:sz w:val="20"/>
          <w:szCs w:val="20"/>
          <w:color w:val="auto"/>
        </w:rPr>
      </w:pPr>
    </w:p>
    <w:p>
      <w:pPr>
        <w:ind w:right="2939" w:firstLine="461"/>
        <w:spacing w:after="0" w:line="252" w:lineRule="auto"/>
        <w:rPr>
          <w:sz w:val="20"/>
          <w:szCs w:val="20"/>
          <w:color w:val="auto"/>
        </w:rPr>
      </w:pPr>
      <w:r>
        <w:rPr>
          <w:rFonts w:ascii="Courier New" w:cs="Courier New" w:eastAsia="Courier New" w:hAnsi="Courier New"/>
          <w:sz w:val="15"/>
          <w:szCs w:val="15"/>
          <w:color w:val="auto"/>
        </w:rPr>
        <w:t>SECTION 6.1. CONDUCT OF BUSINESS BY THE COMPANY PENDING THE MERGER. Except as otherwise contemplated by this Agreement or disclosed in Section 6.1 of the Company Disclosure Schedule, after the</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A-21</w:t>
      </w:r>
    </w:p>
    <w:p>
      <w:pPr>
        <w:sectPr>
          <w:pgSz w:w="11900" w:h="16838" w:orient="portrait"/>
          <w:cols w:equalWidth="0" w:num="1">
            <w:col w:w="10219"/>
          </w:cols>
          <w:pgMar w:left="240" w:top="295" w:right="1440" w:bottom="1440" w:gutter="0" w:footer="0" w:header="0"/>
        </w:sectPr>
      </w:pPr>
    </w:p>
    <w:bookmarkStart w:id="111" w:name="page112"/>
    <w:bookmarkEnd w:id="111"/>
    <w:p>
      <w:pPr>
        <w:ind w:left="280"/>
        <w:spacing w:after="0"/>
        <w:rPr>
          <w:sz w:val="20"/>
          <w:szCs w:val="20"/>
          <w:color w:val="auto"/>
        </w:rPr>
      </w:pPr>
      <w:r>
        <w:rPr>
          <w:rFonts w:ascii="Courier New" w:cs="Courier New" w:eastAsia="Courier New" w:hAnsi="Courier New"/>
          <w:sz w:val="15"/>
          <w:szCs w:val="15"/>
          <w:color w:val="auto"/>
        </w:rPr>
        <w:t>110</w:t>
      </w:r>
    </w:p>
    <w:p>
      <w:pPr>
        <w:spacing w:after="0" w:line="185" w:lineRule="exact"/>
        <w:rPr>
          <w:sz w:val="20"/>
          <w:szCs w:val="20"/>
          <w:color w:val="auto"/>
        </w:rPr>
      </w:pPr>
    </w:p>
    <w:p>
      <w:pPr>
        <w:ind w:right="3119"/>
        <w:spacing w:after="0" w:line="252" w:lineRule="auto"/>
        <w:rPr>
          <w:sz w:val="20"/>
          <w:szCs w:val="20"/>
          <w:color w:val="auto"/>
        </w:rPr>
      </w:pPr>
      <w:r>
        <w:rPr>
          <w:rFonts w:ascii="Courier New" w:cs="Courier New" w:eastAsia="Courier New" w:hAnsi="Courier New"/>
          <w:sz w:val="15"/>
          <w:szCs w:val="15"/>
          <w:color w:val="auto"/>
        </w:rPr>
        <w:t>date hereof and prior to the Closing Date or earlier termination of this Agreement, unless Parent shall otherwise agree in writing, the Company shall, and shall cause its subsidiaries to:</w:t>
      </w:r>
    </w:p>
    <w:p>
      <w:pPr>
        <w:spacing w:after="0" w:line="175" w:lineRule="exact"/>
        <w:rPr>
          <w:sz w:val="20"/>
          <w:szCs w:val="20"/>
          <w:color w:val="auto"/>
        </w:rPr>
      </w:pPr>
    </w:p>
    <w:p>
      <w:pPr>
        <w:ind w:left="460" w:right="3299" w:firstLine="457"/>
        <w:spacing w:after="0" w:line="253" w:lineRule="auto"/>
        <w:tabs>
          <w:tab w:leader="none" w:pos="129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 their respective businesses in the ordinary and usual course of business and consistent with past practice;</w:t>
      </w:r>
    </w:p>
    <w:p>
      <w:pPr>
        <w:spacing w:after="0" w:line="174" w:lineRule="exact"/>
        <w:rPr>
          <w:rFonts w:ascii="Courier New" w:cs="Courier New" w:eastAsia="Courier New" w:hAnsi="Courier New"/>
          <w:sz w:val="15"/>
          <w:szCs w:val="15"/>
          <w:color w:val="auto"/>
        </w:rPr>
      </w:pPr>
    </w:p>
    <w:p>
      <w:pPr>
        <w:ind w:left="1280" w:hanging="363"/>
        <w:spacing w:after="0"/>
        <w:tabs>
          <w:tab w:leader="none" w:pos="12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 amend or propose to amend their respective charter or</w:t>
      </w:r>
    </w:p>
    <w:p>
      <w:pPr>
        <w:spacing w:after="0" w:line="8" w:lineRule="exact"/>
        <w:rPr>
          <w:sz w:val="20"/>
          <w:szCs w:val="20"/>
          <w:color w:val="auto"/>
        </w:rPr>
      </w:pPr>
    </w:p>
    <w:p>
      <w:pPr>
        <w:jc w:val="both"/>
        <w:ind w:left="460" w:right="2939"/>
        <w:spacing w:after="0" w:line="251" w:lineRule="auto"/>
        <w:rPr>
          <w:sz w:val="20"/>
          <w:szCs w:val="20"/>
          <w:color w:val="auto"/>
        </w:rPr>
      </w:pPr>
      <w:r>
        <w:rPr>
          <w:rFonts w:ascii="Courier New" w:cs="Courier New" w:eastAsia="Courier New" w:hAnsi="Courier New"/>
          <w:sz w:val="15"/>
          <w:szCs w:val="15"/>
          <w:color w:val="auto"/>
        </w:rPr>
        <w:t>by-laws, (ii) split, combine or reclassify their outstanding capital stock or (iii) declare, set aside or pay any dividend or distribution payable in cash, stock, property or otherwise, except for the payment of dividends or distributions by a wholly-owned subsidiary of the Company;</w:t>
      </w:r>
    </w:p>
    <w:p>
      <w:pPr>
        <w:spacing w:after="0" w:line="176" w:lineRule="exact"/>
        <w:rPr>
          <w:sz w:val="20"/>
          <w:szCs w:val="20"/>
          <w:color w:val="auto"/>
        </w:rPr>
      </w:pPr>
    </w:p>
    <w:p>
      <w:pPr>
        <w:ind w:left="460" w:right="2839" w:firstLine="457"/>
        <w:spacing w:after="0" w:line="251" w:lineRule="auto"/>
        <w:tabs>
          <w:tab w:leader="none" w:pos="129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(i) the Company may issue shares upon conversion of convertible securities and exercise of options and warrants outstanding on the date hereof and (ii) the Company may issue shares of Company Common Stock in connection with acquisitions of assets or businesses pursuant to the proviso of Section 6.1(d);</w:t>
      </w:r>
    </w:p>
    <w:p>
      <w:pPr>
        <w:spacing w:after="0" w:line="175" w:lineRule="exact"/>
        <w:rPr>
          <w:rFonts w:ascii="Courier New" w:cs="Courier New" w:eastAsia="Courier New" w:hAnsi="Courier New"/>
          <w:sz w:val="15"/>
          <w:szCs w:val="15"/>
          <w:color w:val="auto"/>
        </w:rPr>
      </w:pPr>
    </w:p>
    <w:p>
      <w:pPr>
        <w:ind w:left="460" w:right="2839" w:firstLine="457"/>
        <w:spacing w:after="0" w:line="250" w:lineRule="auto"/>
        <w:tabs>
          <w:tab w:leader="none" w:pos="129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 incur or become contingently liable with respect to any indebtedness for borrowed money other than (A) borrowings in the ordinary course of business or (B) borrowings to refinance existing indebtedness on terms which are reasonably acceptable to Parent or (C) as set forth in the proviso in this Section 6.1(d), (ii) redeem, purchase, acquire or offer to purchase or acquire any shares of its capital stock or any options, warrants or rights to acquire any of its capital stock or any security convertible into or exchangeable for its capital stock, (iii) take any action that would jeopardize the treatment of the Merger as a pooling of interests under Opinion No. 16 of the Accounting Principles Board ("APB No. 16"), (iv) take or fail to take any action which action or failure to take action would cause the Company or its stockholders (except to the extent that any stockholders receive cash in lieu of fractional shares and except to the extent of Stockholders in special circumstances) to recognize gain or loss for federal income tax purposes as a result of the consummation of the Merger or would otherwise cause the Merger not to qualify as a reorganization under Section 368 of the Code, (v) make any acquisition of any assets or businesses other than expenditures for current assets in the ordinary course of business and expenditures for fixed or capital assets in the ordinary course of business and consistent with the Company's capital budget disclosed in Section 6.1 of the Company Disclosure Schedule and other than as set forth in the proviso in this Section 6.1(d), (vi) sell, pledge, dispose of or encumber any material assets or businesses other than sales in the ordinary course of business or (vii) enter into any binding contract, agreement, commitment or arrangement with respect to any of the foregoing; provided, however, that notwithstanding the foregoing (other than subsections (iii) and (iv) of this Section 6.1(d)), the Company shall not be prohibited from acquiring any assets or businesses or issuing Company Common Stock or incurring or assuming indebtedness in connection with such acquisitions so long as (x) the aggregate value of consideration paid or payable in connection with all such acquisitions, including any funded indebtedness assumed and any Company Common Stock (valued for purposes of this limitation at a price per share equal to the price of the Company Common Stock on the date an agreement in respect of an acquisition is entered into) issued or issuable in connection with such acquisitions, does not exceed $80 million (excluding any acquisitions for which a letter of intent has been executed and which are identified on the Company Disclosure Schedule), (y) the aggregate value of consideration paid or payable for any one such acquisition, including any funded indebtedness assumed and any Company Common Stock (valued for purposes of this limitation at a price per share equal to the price of the Company Common Stock on the date an agreement in respect of an acquisition is entered into) issued or issuable in connection with such acquisition, does not exceed $20 million (excluding any acquisitions for which a letter of intent has been executed and which are identified on the Company Disclosure Schedule) and (z) the Company will not acquire or agree to acquire any assets or businesses if such acquisition or agreement may reasonably be expected to delay the consummation of the Merger;</w:t>
      </w:r>
    </w:p>
    <w:p>
      <w:pPr>
        <w:spacing w:after="0" w:line="198" w:lineRule="exact"/>
        <w:rPr>
          <w:rFonts w:ascii="Courier New" w:cs="Courier New" w:eastAsia="Courier New" w:hAnsi="Courier New"/>
          <w:sz w:val="15"/>
          <w:szCs w:val="15"/>
          <w:color w:val="auto"/>
        </w:rPr>
      </w:pPr>
    </w:p>
    <w:p>
      <w:pPr>
        <w:ind w:left="460" w:right="3019" w:firstLine="457"/>
        <w:spacing w:after="0" w:line="252" w:lineRule="auto"/>
        <w:tabs>
          <w:tab w:leader="none" w:pos="129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all reasonable efforts to preserve intact their respective business organizations and goodwill, keep available the services of their respective present officers and key employees, and preserve the</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A-22</w:t>
      </w:r>
    </w:p>
    <w:p>
      <w:pPr>
        <w:sectPr>
          <w:pgSz w:w="11900" w:h="16838" w:orient="portrait"/>
          <w:cols w:equalWidth="0" w:num="1">
            <w:col w:w="10219"/>
          </w:cols>
          <w:pgMar w:left="240" w:top="295" w:right="1440" w:bottom="1440" w:gutter="0" w:footer="0" w:header="0"/>
        </w:sectPr>
      </w:pPr>
    </w:p>
    <w:bookmarkStart w:id="112" w:name="page113"/>
    <w:bookmarkEnd w:id="112"/>
    <w:p>
      <w:pPr>
        <w:ind w:left="280"/>
        <w:spacing w:after="0"/>
        <w:rPr>
          <w:sz w:val="20"/>
          <w:szCs w:val="20"/>
          <w:color w:val="auto"/>
        </w:rPr>
      </w:pPr>
      <w:r>
        <w:rPr>
          <w:rFonts w:ascii="Courier New" w:cs="Courier New" w:eastAsia="Courier New" w:hAnsi="Courier New"/>
          <w:sz w:val="15"/>
          <w:szCs w:val="15"/>
          <w:color w:val="auto"/>
        </w:rPr>
        <w:t>111</w:t>
      </w:r>
    </w:p>
    <w:p>
      <w:pPr>
        <w:spacing w:after="0" w:line="185" w:lineRule="exact"/>
        <w:rPr>
          <w:sz w:val="20"/>
          <w:szCs w:val="20"/>
          <w:color w:val="auto"/>
        </w:rPr>
      </w:pPr>
    </w:p>
    <w:p>
      <w:pPr>
        <w:ind w:left="460" w:right="2939"/>
        <w:spacing w:after="0" w:line="251" w:lineRule="auto"/>
        <w:rPr>
          <w:sz w:val="20"/>
          <w:szCs w:val="20"/>
          <w:color w:val="auto"/>
        </w:rPr>
      </w:pPr>
      <w:r>
        <w:rPr>
          <w:rFonts w:ascii="Courier New" w:cs="Courier New" w:eastAsia="Courier New" w:hAnsi="Courier New"/>
          <w:sz w:val="15"/>
          <w:szCs w:val="15"/>
          <w:color w:val="auto"/>
        </w:rPr>
        <w:t>goodwill and business relationships with customers and others having business relationships with them and not engage in any action, directly or indirectly, with the intent to adversely impact the transactions contemplated by this Agreement;</w:t>
      </w:r>
    </w:p>
    <w:p>
      <w:pPr>
        <w:spacing w:after="0" w:line="176" w:lineRule="exact"/>
        <w:rPr>
          <w:sz w:val="20"/>
          <w:szCs w:val="20"/>
          <w:color w:val="auto"/>
        </w:rPr>
      </w:pPr>
    </w:p>
    <w:p>
      <w:pPr>
        <w:ind w:left="460" w:right="2839" w:firstLine="457"/>
        <w:spacing w:after="0" w:line="251" w:lineRule="auto"/>
        <w:tabs>
          <w:tab w:leader="none" w:pos="129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restrictions imposed by applicable law, confer on a regular and frequent basis with one or more representatives of Parent to report operational matters of materiality and the general status of ongoing operations;</w:t>
      </w:r>
    </w:p>
    <w:p>
      <w:pPr>
        <w:spacing w:after="0" w:line="176" w:lineRule="exact"/>
        <w:rPr>
          <w:rFonts w:ascii="Courier New" w:cs="Courier New" w:eastAsia="Courier New" w:hAnsi="Courier New"/>
          <w:sz w:val="15"/>
          <w:szCs w:val="15"/>
          <w:color w:val="auto"/>
        </w:rPr>
      </w:pPr>
    </w:p>
    <w:p>
      <w:pPr>
        <w:ind w:left="460" w:right="2839" w:firstLine="457"/>
        <w:spacing w:after="0" w:line="251" w:lineRule="auto"/>
        <w:tabs>
          <w:tab w:leader="none" w:pos="129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the Company and its subsidiaries shall in no event enter into any written employment agreement;</w:t>
      </w:r>
    </w:p>
    <w:p>
      <w:pPr>
        <w:spacing w:after="0" w:line="175" w:lineRule="exact"/>
        <w:rPr>
          <w:rFonts w:ascii="Courier New" w:cs="Courier New" w:eastAsia="Courier New" w:hAnsi="Courier New"/>
          <w:sz w:val="15"/>
          <w:szCs w:val="15"/>
          <w:color w:val="auto"/>
        </w:rPr>
      </w:pPr>
    </w:p>
    <w:p>
      <w:pPr>
        <w:ind w:left="460" w:right="2939" w:firstLine="457"/>
        <w:spacing w:after="0" w:line="251" w:lineRule="auto"/>
        <w:tabs>
          <w:tab w:leader="none" w:pos="129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adopt, enter into or amend any bonus, profit sharing, compensation, stock option, pension, retirement, deferred compensation, health care, employment or other employee benefit plan, agreement, trust, fund or arrangement for the benefit or welfare of any employee or retiree, except as required to comply with changes in applicable law;</w:t>
      </w:r>
    </w:p>
    <w:p>
      <w:pPr>
        <w:spacing w:after="0" w:line="176" w:lineRule="exact"/>
        <w:rPr>
          <w:rFonts w:ascii="Courier New" w:cs="Courier New" w:eastAsia="Courier New" w:hAnsi="Courier New"/>
          <w:sz w:val="15"/>
          <w:szCs w:val="15"/>
          <w:color w:val="auto"/>
        </w:rPr>
      </w:pPr>
    </w:p>
    <w:p>
      <w:pPr>
        <w:ind w:left="460" w:right="3019" w:firstLine="457"/>
        <w:spacing w:after="0" w:line="251" w:lineRule="auto"/>
        <w:tabs>
          <w:tab w:leader="none" w:pos="129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commercially reasonable efforts to maintain with financially responsible insurance companies insurance on its tangible assets and its businesses in such amounts and against such risks and losses as are consistent with past practice; and</w:t>
      </w:r>
    </w:p>
    <w:p>
      <w:pPr>
        <w:spacing w:after="0" w:line="176" w:lineRule="exact"/>
        <w:rPr>
          <w:rFonts w:ascii="Courier New" w:cs="Courier New" w:eastAsia="Courier New" w:hAnsi="Courier New"/>
          <w:sz w:val="15"/>
          <w:szCs w:val="15"/>
          <w:color w:val="auto"/>
        </w:rPr>
      </w:pPr>
    </w:p>
    <w:p>
      <w:pPr>
        <w:ind w:left="460" w:right="2839" w:firstLine="457"/>
        <w:spacing w:after="0" w:line="253" w:lineRule="auto"/>
        <w:tabs>
          <w:tab w:leader="none" w:pos="129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make, change or revoke any material Tax election or make any material agreement or settlement regarding Taxes with any taxing authority.</w:t>
      </w:r>
    </w:p>
    <w:p>
      <w:pPr>
        <w:spacing w:after="0" w:line="174"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SECTION 6.2. CONDUCT OF BUSINESS BY PARENT AND SUBSIDIARY PENDING THE MERGER. Except as otherwise contemplated by this Agreement, after the date hereof and prior to the Closing Date or earlier termination of this Agreement, unless the Company shall otherwise agree in writing, Parent shall, and shall cause its subsidiaries to:</w:t>
      </w:r>
    </w:p>
    <w:p>
      <w:pPr>
        <w:spacing w:after="0" w:line="176" w:lineRule="exact"/>
        <w:rPr>
          <w:sz w:val="20"/>
          <w:szCs w:val="20"/>
          <w:color w:val="auto"/>
        </w:rPr>
      </w:pPr>
    </w:p>
    <w:p>
      <w:pPr>
        <w:ind w:left="460" w:right="3299" w:firstLine="457"/>
        <w:spacing w:after="0" w:line="253" w:lineRule="auto"/>
        <w:tabs>
          <w:tab w:leader="none" w:pos="129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 their respective businesses in the ordinary and usual course of business and consistent with past practice;</w:t>
      </w:r>
    </w:p>
    <w:p>
      <w:pPr>
        <w:spacing w:after="0" w:line="174" w:lineRule="exact"/>
        <w:rPr>
          <w:rFonts w:ascii="Courier New" w:cs="Courier New" w:eastAsia="Courier New" w:hAnsi="Courier New"/>
          <w:sz w:val="15"/>
          <w:szCs w:val="15"/>
          <w:color w:val="auto"/>
        </w:rPr>
      </w:pPr>
    </w:p>
    <w:p>
      <w:pPr>
        <w:ind w:left="460" w:right="2839" w:firstLine="457"/>
        <w:spacing w:after="0" w:line="251" w:lineRule="auto"/>
        <w:tabs>
          <w:tab w:leader="none" w:pos="129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 amend or propose to amend their respective charter (except for the amendment by Parent of its Certificate of Incorporation to increase the number of authorized shares of Parent Common Stock) or by-laws, (ii) split, combine or reclassify (whether by stock dividend or otherwise) their outstanding capital stock, or (iii) declare, set aside or pay any dividend or distribution payable in cash, stock, property or otherwise, except for the payment of dividends or distributions by a wholly-owned subsidiary of Parent;</w:t>
      </w:r>
    </w:p>
    <w:p>
      <w:pPr>
        <w:spacing w:after="0" w:line="175" w:lineRule="exact"/>
        <w:rPr>
          <w:rFonts w:ascii="Courier New" w:cs="Courier New" w:eastAsia="Courier New" w:hAnsi="Courier New"/>
          <w:sz w:val="15"/>
          <w:szCs w:val="15"/>
          <w:color w:val="auto"/>
        </w:rPr>
      </w:pPr>
    </w:p>
    <w:p>
      <w:pPr>
        <w:ind w:left="460" w:right="2839" w:firstLine="457"/>
        <w:spacing w:after="0" w:line="250" w:lineRule="auto"/>
        <w:tabs>
          <w:tab w:leader="none" w:pos="129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(i) Parent may issue shares upon conversion of convertible securities and exercise of options outstanding on the date hereof, (ii) Parent may issue options (and shares upon exercise of such options) pursuant to its employee stock option plans in effect on the date hereof in the ordinary course of business and consistent with past practices and (iii) Parent may issue shares of capital stock (or warrants or options to acquire capital stock) in connection with acquisitions of assets or businesses pursuant to the proviso of Section 6.2(d);</w:t>
      </w:r>
    </w:p>
    <w:p>
      <w:pPr>
        <w:spacing w:after="0" w:line="182" w:lineRule="exact"/>
        <w:rPr>
          <w:rFonts w:ascii="Courier New" w:cs="Courier New" w:eastAsia="Courier New" w:hAnsi="Courier New"/>
          <w:sz w:val="15"/>
          <w:szCs w:val="15"/>
          <w:color w:val="auto"/>
        </w:rPr>
      </w:pPr>
    </w:p>
    <w:p>
      <w:pPr>
        <w:ind w:left="460" w:right="2839" w:firstLine="457"/>
        <w:spacing w:after="0" w:line="250" w:lineRule="auto"/>
        <w:tabs>
          <w:tab w:leader="none" w:pos="129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 incur or become contingently liable with respect to any indebtedness for borrowed money other than (A) borrowings in the ordinary course of business, (B) borrowings to refinance existing indebtedness on terms which are reasonably acceptable to the Company, or (C) as set forth in the proviso in this Section 6.2(d), (ii) redeem, purchase, acquire or offer to purchase or acquire any shares of its capital stock or any options, warrants or rights to acquire any of its capital stock or any security convertible into or exchangeable for its capital stock, (iii) take any action that would jeopardize the treatment of the Merger as a pooling of interests under APB No. 16, (iv) take or fail to take any action</w:t>
      </w:r>
    </w:p>
    <w:p>
      <w:pPr>
        <w:spacing w:after="0" w:line="18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A-23</w:t>
      </w:r>
    </w:p>
    <w:p>
      <w:pPr>
        <w:sectPr>
          <w:pgSz w:w="11900" w:h="16838" w:orient="portrait"/>
          <w:cols w:equalWidth="0" w:num="1">
            <w:col w:w="10219"/>
          </w:cols>
          <w:pgMar w:left="240" w:top="295" w:right="1440" w:bottom="1440" w:gutter="0" w:footer="0" w:header="0"/>
        </w:sectPr>
      </w:pPr>
    </w:p>
    <w:bookmarkStart w:id="113" w:name="page114"/>
    <w:bookmarkEnd w:id="113"/>
    <w:p>
      <w:pPr>
        <w:ind w:left="280"/>
        <w:spacing w:after="0"/>
        <w:rPr>
          <w:sz w:val="20"/>
          <w:szCs w:val="20"/>
          <w:color w:val="auto"/>
        </w:rPr>
      </w:pPr>
      <w:r>
        <w:rPr>
          <w:rFonts w:ascii="Courier New" w:cs="Courier New" w:eastAsia="Courier New" w:hAnsi="Courier New"/>
          <w:sz w:val="15"/>
          <w:szCs w:val="15"/>
          <w:color w:val="auto"/>
        </w:rPr>
        <w:t>112</w:t>
      </w:r>
    </w:p>
    <w:p>
      <w:pPr>
        <w:spacing w:after="0" w:line="185" w:lineRule="exact"/>
        <w:rPr>
          <w:sz w:val="20"/>
          <w:szCs w:val="20"/>
          <w:color w:val="auto"/>
        </w:rPr>
      </w:pPr>
    </w:p>
    <w:p>
      <w:pPr>
        <w:ind w:left="460" w:right="2839"/>
        <w:spacing w:after="0" w:line="250" w:lineRule="auto"/>
        <w:rPr>
          <w:sz w:val="20"/>
          <w:szCs w:val="20"/>
          <w:color w:val="auto"/>
        </w:rPr>
      </w:pPr>
      <w:r>
        <w:rPr>
          <w:rFonts w:ascii="Courier New" w:cs="Courier New" w:eastAsia="Courier New" w:hAnsi="Courier New"/>
          <w:sz w:val="15"/>
          <w:szCs w:val="15"/>
          <w:color w:val="auto"/>
        </w:rPr>
        <w:t>which action or failure to take action would cause Parent or its stockholders to recognize gain or loss for federal income tax purposes as a result of the consummation of the Merger or would otherwise cause the Merger not to qualify as a reorganization under Section 368 of the Code,</w:t>
      </w:r>
    </w:p>
    <w:p>
      <w:pPr>
        <w:spacing w:after="0" w:line="2" w:lineRule="exact"/>
        <w:rPr>
          <w:sz w:val="20"/>
          <w:szCs w:val="20"/>
          <w:color w:val="auto"/>
        </w:rPr>
      </w:pPr>
    </w:p>
    <w:p>
      <w:pPr>
        <w:ind w:left="460" w:right="2839" w:hanging="4"/>
        <w:spacing w:after="0" w:line="250" w:lineRule="auto"/>
        <w:tabs>
          <w:tab w:leader="none" w:pos="829"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pledge, dispose of or encumber any material assets or businesses other than sales in the ordinary course of business, (vi) make any acquisition of any assets or businesses other than expenditures for current assets in the ordinary course of business and expenditures for fixed or capital assets in the ordinary course of business and other than as set forth in the proviso of this Section 6.2(d) or (vii) enter into any binding contract, agreement, commitment or arrangement with respect to any of the foregoing; provided, however, that notwithstanding the foregoing (other than subsections (iii) and (iv) of this Section 6.2(d)), Parent shall not be prohibited from acquiring any assets or businesses or issuing capital stock (or warrants or options to acquire capital stock) or incurring or assuming indebtedness in connection with such acquisitions so long as (x) the aggregate value of consideration paid or payable in connection with all such acquisitions, including any funded indebtedness assumed and any Parent Common Stock (valued for purposes of this limitation at a price per share equal to the price of Parent Common Stock on the date an agreement in respect of an acquisition is entered into) issued or issuable in connection with such acquisitions, does not exceed $160 million (excluding any acquisitions for which a letter of intent has been executed and which are identified on the Parent Disclosure Schedule), (y) the aggregate value of consideration paid or payable for any one such acquisition, including any funded indebtedness assumed and any Parent Common Stock (valued for purposes of this limitation at a price per share equal to the price of Parent Common Stock on the date an agreement in respect of an acquisition is entered into) issued or issuable in connection with such acquisition, does not exceed $40 million (excluding any acquisitions for which a letter of intent has been executed and which are identified on the Parent Disclosure Schedule) and (z) Parent will not acquire or agree to acquire any assets or businesses if such acquisition or agreement may reasonably be expected to delay the consummation of the Merger;</w:t>
      </w:r>
    </w:p>
    <w:p>
      <w:pPr>
        <w:spacing w:after="0" w:line="190" w:lineRule="exact"/>
        <w:rPr>
          <w:rFonts w:ascii="Courier New" w:cs="Courier New" w:eastAsia="Courier New" w:hAnsi="Courier New"/>
          <w:sz w:val="15"/>
          <w:szCs w:val="15"/>
          <w:color w:val="auto"/>
        </w:rPr>
      </w:pPr>
    </w:p>
    <w:p>
      <w:pPr>
        <w:ind w:left="460" w:right="3019" w:firstLine="457"/>
        <w:spacing w:after="0" w:line="251" w:lineRule="auto"/>
        <w:tabs>
          <w:tab w:leader="none" w:pos="129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 and not engage in any action, directly or indirectly, with the intent to adversely impact the transactions contemplated by this Agreement.</w:t>
      </w:r>
    </w:p>
    <w:p>
      <w:pPr>
        <w:spacing w:after="0" w:line="175" w:lineRule="exact"/>
        <w:rPr>
          <w:rFonts w:ascii="Courier New" w:cs="Courier New" w:eastAsia="Courier New" w:hAnsi="Courier New"/>
          <w:sz w:val="15"/>
          <w:szCs w:val="15"/>
          <w:color w:val="auto"/>
        </w:rPr>
      </w:pPr>
    </w:p>
    <w:p>
      <w:pPr>
        <w:ind w:left="460" w:right="2939" w:firstLine="457"/>
        <w:spacing w:after="0" w:line="251" w:lineRule="auto"/>
        <w:tabs>
          <w:tab w:leader="none" w:pos="129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restrictions imposed by applicable law, confer on a regular and frequent basis with one or more representatives of the Company to report operational matters of materiality and the general status of ongoing operations; and</w:t>
      </w:r>
    </w:p>
    <w:p>
      <w:pPr>
        <w:spacing w:after="0" w:line="176" w:lineRule="exact"/>
        <w:rPr>
          <w:rFonts w:ascii="Courier New" w:cs="Courier New" w:eastAsia="Courier New" w:hAnsi="Courier New"/>
          <w:sz w:val="15"/>
          <w:szCs w:val="15"/>
          <w:color w:val="auto"/>
        </w:rPr>
      </w:pPr>
    </w:p>
    <w:p>
      <w:pPr>
        <w:ind w:left="460" w:right="3019" w:firstLine="457"/>
        <w:spacing w:after="0" w:line="251" w:lineRule="auto"/>
        <w:tabs>
          <w:tab w:leader="none" w:pos="129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commercially reasonable efforts to maintain with financially responsible insurance companies insurance on its tangible assets and its businesses in such amounts and against such risks and losses as are consistent with past practice.</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SECTION 6.3. CONTROL OF THE COMPANY'S OPERATIONS. Nothing contained in this Agreement shall give to Parent, directly or indirectly, rights to control or direct the Company's operations prior to the Effective Time. Prior to the Effective Time, the Company shall exercise, consistent with the terms and conditions of this Agreement, complete control and supervision of its operations.</w:t>
      </w:r>
    </w:p>
    <w:p>
      <w:pPr>
        <w:spacing w:after="0" w:line="354"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SECTION 6.4. CONTROL OF PARENT'S OPERATIONS. Nothing contained in this Agreement shall give to the Company, directly or indirectly, rights to control or direct Parent's operations prior to the Effective Time. Prior to the Effective Time, Parent shall exercise, consistent with the terms and conditions of this Agreement, complete control and supervision of its operations.</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SECTION 6.5. ACQUISITION TRANSACTIONS. (a) After the date hereof and prior to the Effective Time or earlier termination of this Agreement, the Company shall not, and shall not permit any of its subsidiaries to, initiate, solicit, negotiate, encourage or provide confidential information to facilitate, and the Company shall, and shall cause each of its subsidiaries to, cause any officer, director or employee of, or any attorney, accountant, investment banker, financial advisor or other agent retained by it, not to initiate, solicit, negotiate, encourage or provide non-public or confidential information to facilitate, any proposal or offer to acquire all or</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A-24</w:t>
      </w:r>
    </w:p>
    <w:p>
      <w:pPr>
        <w:sectPr>
          <w:pgSz w:w="11900" w:h="16838" w:orient="portrait"/>
          <w:cols w:equalWidth="0" w:num="1">
            <w:col w:w="10219"/>
          </w:cols>
          <w:pgMar w:left="240" w:top="295"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5"/>
          <w:szCs w:val="15"/>
          <w:color w:val="auto"/>
        </w:rPr>
        <w:t>113</w:t>
      </w:r>
    </w:p>
    <w:p>
      <w:pPr>
        <w:spacing w:after="0" w:line="185"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any substantial part of the business and properties of the Company or any capital stock of the Company, whether by merger, purchase of assets, tender offer or otherwise, whether for cash, securities or any other consideration or combination thereof (any such transactions being referred to herein as an "Acquisition Transaction").</w:t>
      </w:r>
    </w:p>
    <w:p>
      <w:pPr>
        <w:spacing w:after="0" w:line="176" w:lineRule="exact"/>
        <w:rPr>
          <w:sz w:val="20"/>
          <w:szCs w:val="20"/>
          <w:color w:val="auto"/>
        </w:rPr>
      </w:pPr>
    </w:p>
    <w:p>
      <w:pPr>
        <w:ind w:right="2839" w:firstLine="456"/>
        <w:spacing w:after="0" w:line="250" w:lineRule="auto"/>
        <w:tabs>
          <w:tab w:leader="none" w:pos="83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paragraph (a) above, (i) the Company may, in response to an unsolicited written proposal or indication of interest with respect to a potential or proposed Acquisition Transaction ("Acquisition Proposal"), furnish (subject to the execution of a confidentiality agreement and standstill agreement containing provisions substantially similar to the confidentiality and standstill provisions of the Confidentiality Agreements, as defined in Section 10.4) confidential or non-public information to a financially capable corporation, partnership, person or other entity or group (a "Potential Acquirer") and negotiate with such Potential Acquirer if the Board of Directors of the Company after consulting with its outside legal counsel, determines in good faith that the failure to provide such confidential or non-public information to or negotiate with such Potential Acquirer would constitute a breach of its fiduciary duty to the Company's stockholders and (ii) the Company's Board of Directors may take and disclose to the Company's stockholders a position contemplated by Rule 14e-2 under the Exchange Act. It is understood and agreed that negotiations conducted in accordance with this paragraph (b) shall not constitute a violation of paragraph (a) of this Section 6.5.</w:t>
      </w:r>
    </w:p>
    <w:p>
      <w:pPr>
        <w:spacing w:after="0" w:line="184" w:lineRule="exact"/>
        <w:rPr>
          <w:rFonts w:ascii="Courier New" w:cs="Courier New" w:eastAsia="Courier New" w:hAnsi="Courier New"/>
          <w:sz w:val="15"/>
          <w:szCs w:val="15"/>
          <w:color w:val="auto"/>
        </w:rPr>
      </w:pPr>
    </w:p>
    <w:p>
      <w:pPr>
        <w:ind w:right="2939" w:firstLine="456"/>
        <w:spacing w:after="0" w:line="251" w:lineRule="auto"/>
        <w:tabs>
          <w:tab w:leader="none" w:pos="83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immediately notify Parent after receipt of any Acquisition Proposal or any request for nonpublic information relating to the Company or its subsidiaries in connection with an Acquisition Proposal or for access to the properties, books or records of the Company or any subsidiary by any person or entity that informs the Board of Directors of the Company or such subsidiary that it is considering making, or has made, an Acquisition Proposal. Such notice to Parent shall be made orally and in writing and shall indicate in reasonable detail the identity of the offeror and the terms and conditions of such proposal, inquiry or contact.</w:t>
      </w:r>
    </w:p>
    <w:p>
      <w:pPr>
        <w:spacing w:after="0" w:line="17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VII</w:t>
      </w:r>
    </w:p>
    <w:p>
      <w:pPr>
        <w:spacing w:after="0" w:line="18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ADDITIONAL AGREEMENTS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SECTION 7.1. ACCESS TO INFORMATION. (a) The Company and its subsidiaries shall afford to Parent and Subsidiary and their respective accountants, counsel, financial advisors and other representatives (the "Parent Representatives") and Parent and its subsidiaries shall afford to the Company and its accountants, counsel, financial advisors and other representatives (the "Company Representatives") full access during normal business hours throughout the period prior to the Effective Time to all of their respective properties, books, contracts, commitments and records (including, but not limited to, Tax Returns) and, during such period, shall furnish promptly to one another (i) a copy of each report, schedule and other document filed or received by any of them pursuant to the requirements of federal or state securities laws or filed by any of them with the SEC in connection with the transactions contemplated by this Agreement and (ii) such other information concerning their respective businesses, properties and personnel as Parent or Subsidiary or the Company, as the case may be, shall reasonably request; provided, however, that no investigation pursuant to this Section 7.1 shall amend or modify any representations or warranties made herein or the conditions to the obligations of the respective parties to consummate the Merger. Parent and its subsidiaries shall hold and shall use their reasonable best efforts to cause the Parent Representatives to hold, and the Company and its subsidiaries shall hold and shall use their reasonable best efforts to cause the Company Representatives to hold, in strict confidence all non-public documents and information furnished to Parent and Subsidiary or to the Company, as the case may be, in connection with the transactions contemplated by this Agreement, except that (i) Parent, Subsidiary and the Company may disclose such information as may be necessary in connection with seeking the Parent Required Statutory Approvals and Parent Stockholders' Approval, the Company Required Statutory Approvals and the Company Stockholders' Approval and (ii) each of Parent, Subsidiary and the Company may disclose any information that it is required by law or judicial or administrative order to disclose.</w:t>
      </w:r>
    </w:p>
    <w:p>
      <w:pPr>
        <w:spacing w:after="0" w:line="36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A-25</w:t>
      </w:r>
    </w:p>
    <w:p>
      <w:pPr>
        <w:sectPr>
          <w:pgSz w:w="11900" w:h="16838" w:orient="portrait"/>
          <w:cols w:equalWidth="0" w:num="1">
            <w:col w:w="10219"/>
          </w:cols>
          <w:pgMar w:left="240" w:top="295" w:right="1440" w:bottom="1440" w:gutter="0" w:footer="0" w:header="0"/>
        </w:sectPr>
      </w:pPr>
    </w:p>
    <w:bookmarkStart w:id="115" w:name="page116"/>
    <w:bookmarkEnd w:id="115"/>
    <w:p>
      <w:pPr>
        <w:ind w:left="280"/>
        <w:spacing w:after="0"/>
        <w:rPr>
          <w:sz w:val="20"/>
          <w:szCs w:val="20"/>
          <w:color w:val="auto"/>
        </w:rPr>
      </w:pPr>
      <w:r>
        <w:rPr>
          <w:rFonts w:ascii="Courier New" w:cs="Courier New" w:eastAsia="Courier New" w:hAnsi="Courier New"/>
          <w:sz w:val="15"/>
          <w:szCs w:val="15"/>
          <w:color w:val="auto"/>
        </w:rPr>
        <w:t>114</w:t>
      </w:r>
    </w:p>
    <w:p>
      <w:pPr>
        <w:spacing w:after="0" w:line="185" w:lineRule="exact"/>
        <w:rPr>
          <w:sz w:val="20"/>
          <w:szCs w:val="20"/>
          <w:color w:val="auto"/>
        </w:rPr>
      </w:pPr>
    </w:p>
    <w:p>
      <w:pPr>
        <w:ind w:right="2839" w:firstLine="456"/>
        <w:spacing w:after="0" w:line="251" w:lineRule="auto"/>
        <w:tabs>
          <w:tab w:leader="none" w:pos="83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this Agreement is terminated in accordance with its terms, each party shall promptly redeliver to the other all non-public written material provided pursuant to this Section 7.1 and shall not retain any copies, extracts or other reproductions in whole or in part of such written material. In such event, all documents, memoranda, notes and other writings prepared by Parent or the Company based on the information in such material shall be destroyed (and Parent and the Company shall use their respective reasonable best efforts to cause their advisors and representatives to similarly destroy their documents, memoranda and notes), and such destruction (and reasonable best efforts) shall be certified in writing by an authorized officer supervising such destruction.</w:t>
      </w:r>
    </w:p>
    <w:p>
      <w:pPr>
        <w:spacing w:after="0" w:line="352" w:lineRule="exact"/>
        <w:rPr>
          <w:rFonts w:ascii="Courier New" w:cs="Courier New" w:eastAsia="Courier New" w:hAnsi="Courier New"/>
          <w:sz w:val="15"/>
          <w:szCs w:val="15"/>
          <w:color w:val="auto"/>
        </w:rPr>
      </w:pPr>
    </w:p>
    <w:p>
      <w:pPr>
        <w:ind w:right="2839" w:firstLine="456"/>
        <w:spacing w:after="0" w:line="251" w:lineRule="auto"/>
        <w:tabs>
          <w:tab w:leader="none" w:pos="83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promptly advise Parent and Parent shall promptly advise the Company in writing of any change or the occurrence of any event after the date of this Agreement having, or which, insofar as can reasonably be foreseen, in the future may have, any material adverse effect on the business, operations, properties, assets, condition (financial or other) or results of operations of the Company and its subsidiaries or Parent and its subsidiaries, as the case may be, taken as a whole.</w:t>
      </w:r>
    </w:p>
    <w:p>
      <w:pPr>
        <w:spacing w:after="0" w:line="176"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SECTION 7.2. REGISTRATION STATEMENT AND PROXY STATEMENT. Parent and the Company shall file with the SEC as soon as is reasonably practicable after the date hereof the Joint Proxy Statement/Prospectus and shall use all reasonable efforts to have the Registration Statement declared effective by the SEC as promptly as practicable. Parent shall also take any action required to be taken under applicable state blue sky or securities laws in connection with the issuance of Parent Common Stock pursuant hereto. Parent and the Company shall promptly furnish to each other all information, and take such other actions, as may reasonably be requested in connection with any action by any of them in connection with the preceding sentence. The information provided and to be provided by Parent and the Company, respectively, for use in the Joint Proxy Statement/Prospectus shall not contain any untrue statement of a material fact or omit to state a material fact required to be stated therein or necessary to make the statements therein, in the light of the circumstances under which they were made, not misleading.</w:t>
      </w:r>
    </w:p>
    <w:p>
      <w:pPr>
        <w:spacing w:after="0" w:line="184"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SECTION 7.3. STOCKHOLDERS' APPROVALS. (a) The Company shall, as promptly as practicable, submit this Agreement and the transactions contemplated hereby for the approval of its stockholders at a meeting of stockholders and, subject to the fiduciary duties of the Board of Directors of the Company under applicable law, shall use its reasonable best efforts to obtain stockholder approval and adoption (the "Company Stockholders' Approval") of this Agreement and the transactions contemplated hereby. Such meeting of stockholders shall be held as soon as practicable following the date upon which the Registration Statement becomes effective. Subject to the fiduciary duties of the Board of Directors of the Company under applicable law, the Company shall, through its Board of Directors, recommend to its stockholders approval of the transactions contemplated by this Agreement.</w:t>
      </w:r>
    </w:p>
    <w:p>
      <w:pPr>
        <w:spacing w:after="0" w:line="183" w:lineRule="exact"/>
        <w:rPr>
          <w:sz w:val="20"/>
          <w:szCs w:val="20"/>
          <w:color w:val="auto"/>
        </w:rPr>
      </w:pPr>
    </w:p>
    <w:p>
      <w:pPr>
        <w:ind w:right="2839" w:firstLine="456"/>
        <w:spacing w:after="0" w:line="250" w:lineRule="auto"/>
        <w:tabs>
          <w:tab w:leader="none" w:pos="83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as promptly as practicable, submit this Agreement and the transactions contemplated hereby for the approval of its stockholders at a meeting of stockholders and, subject to the fiduciary duties of the Board of Directors of Parent under applicable law, shall use its reasonable best efforts to obtain stockholder approval and adoption (the "Parent Stockholders' Approval") of this Agreement and the transactions contemplated hereby. Such meeting of stockholders shall be held as soon as practicable following the date on which the Registration Statement becomes effective. Parent shall, through its Board of Directors, subject to the fiduciary duties of the members thereof, (i) recommend to its stockholders approval of the transactions contemplated by this Agreement and (ii) authorize and cause an officer of Parent to vote Parent's shares of Subsidiary Common Stock for adoption and approval of this Agreement and the transactions contemplated hereby and shall take all additional actions as the sole stockholder of Subsidiary necessary to adopt and approve this Agreement and the transactions contemplated hereby.</w:t>
      </w:r>
    </w:p>
    <w:p>
      <w:pPr>
        <w:spacing w:after="0" w:line="184"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SECTION 7.4. COMPLIANCE WITH THE SECURITIES ACT. Parent and the Company shall each use its reasonable best efforts to cause each principal executive officer, each director and each other person who is an "affiliate," as that term is used in paragraphs (c) and (d) of Rule 145 under the Securities Act, of Parent or the Company, as the case may be, to deliver to Parent and the Company on or prior to the Effective Time a written agreement (an "Affiliate Agreement") to the effect that such person will not offer to sell, sell or otherwise dispose of any shares of Parent Common Stock issued in the Merger, except, in each case, pursuant</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A-26</w:t>
      </w:r>
    </w:p>
    <w:p>
      <w:pPr>
        <w:sectPr>
          <w:pgSz w:w="11900" w:h="16838" w:orient="portrait"/>
          <w:cols w:equalWidth="0" w:num="1">
            <w:col w:w="10219"/>
          </w:cols>
          <w:pgMar w:left="240" w:top="295" w:right="1440" w:bottom="1440" w:gutter="0" w:footer="0" w:header="0"/>
        </w:sectPr>
      </w:pPr>
    </w:p>
    <w:bookmarkStart w:id="116" w:name="page117"/>
    <w:bookmarkEnd w:id="116"/>
    <w:p>
      <w:pPr>
        <w:ind w:left="280"/>
        <w:spacing w:after="0"/>
        <w:rPr>
          <w:sz w:val="20"/>
          <w:szCs w:val="20"/>
          <w:color w:val="auto"/>
        </w:rPr>
      </w:pPr>
      <w:r>
        <w:rPr>
          <w:rFonts w:ascii="Courier New" w:cs="Courier New" w:eastAsia="Courier New" w:hAnsi="Courier New"/>
          <w:sz w:val="15"/>
          <w:szCs w:val="15"/>
          <w:color w:val="auto"/>
        </w:rPr>
        <w:t>115</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to an effective registration statement or in compliance with Rule 145, as amended from time to time, or in a transaction which, in the opinion of legal counsel satisfactory to Parent, is exempt from the registration requirements of the Securities Act and, in any case, until after the results covering 30 days of post-Merger combined operations of Parent and the Company have been filed with the SEC, sent to stockholders of Parent or otherwise publicly issued.</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SECTION 7.5. EXCHANGE LISTING. Parent shall use its reasonable best efforts to effect, at or before the Effective Time, authorization for listing on the New York Stock Exchange Inc. (the "NYSE"), upon official notice of issuance, of the shares of Parent Common Stock to be issued pursuant to the Merger or to be reserved for issuance upon exercise of stock options or warrants or the conversion of convertible securities.</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SECTION 7.6. EXPENSES AND FEES. (a) All costs and expenses incurred in connection with this Agreement and the transactions contemplated hereby shall be paid by the party incurring such expenses, except that those expenses incurred in connection with printing and filing the Joint Proxy Statement/Prospectus shall be shared equally by Parent and the Company.</w:t>
      </w:r>
    </w:p>
    <w:p>
      <w:pPr>
        <w:spacing w:after="0" w:line="176" w:lineRule="exact"/>
        <w:rPr>
          <w:sz w:val="20"/>
          <w:szCs w:val="20"/>
          <w:color w:val="auto"/>
        </w:rPr>
      </w:pPr>
    </w:p>
    <w:p>
      <w:pPr>
        <w:ind w:left="820" w:hanging="364"/>
        <w:spacing w:after="0"/>
        <w:tabs>
          <w:tab w:leader="none" w:pos="8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to pay to Parent a fee equal to $39,000,000 if:</w:t>
      </w:r>
    </w:p>
    <w:p>
      <w:pPr>
        <w:spacing w:after="0" w:line="184" w:lineRule="exact"/>
        <w:rPr>
          <w:rFonts w:ascii="Courier New" w:cs="Courier New" w:eastAsia="Courier New" w:hAnsi="Courier New"/>
          <w:sz w:val="15"/>
          <w:szCs w:val="15"/>
          <w:color w:val="auto"/>
        </w:rPr>
      </w:pPr>
    </w:p>
    <w:p>
      <w:pPr>
        <w:ind w:left="1280" w:hanging="363"/>
        <w:spacing w:after="0"/>
        <w:tabs>
          <w:tab w:leader="none" w:pos="1280"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terminates this Agreement pursuant to clause (iv) or</w:t>
      </w:r>
    </w:p>
    <w:p>
      <w:pPr>
        <w:spacing w:after="0" w:line="7" w:lineRule="exact"/>
        <w:rPr>
          <w:rFonts w:ascii="Courier New" w:cs="Courier New" w:eastAsia="Courier New" w:hAnsi="Courier New"/>
          <w:sz w:val="15"/>
          <w:szCs w:val="15"/>
          <w:color w:val="auto"/>
        </w:rPr>
      </w:pPr>
    </w:p>
    <w:p>
      <w:pPr>
        <w:ind w:left="820" w:hanging="364"/>
        <w:spacing w:after="0"/>
        <w:tabs>
          <w:tab w:leader="none" w:pos="82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Section 9.1(a); or</w:t>
      </w:r>
    </w:p>
    <w:p>
      <w:pPr>
        <w:spacing w:after="0" w:line="184" w:lineRule="exact"/>
        <w:rPr>
          <w:rFonts w:ascii="Courier New" w:cs="Courier New" w:eastAsia="Courier New" w:hAnsi="Courier New"/>
          <w:sz w:val="15"/>
          <w:szCs w:val="15"/>
          <w:color w:val="auto"/>
        </w:rPr>
      </w:pPr>
    </w:p>
    <w:p>
      <w:pPr>
        <w:ind w:left="460" w:right="3479" w:firstLine="457"/>
        <w:spacing w:after="0" w:line="253" w:lineRule="auto"/>
        <w:tabs>
          <w:tab w:leader="none" w:pos="1383"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terminates this Agreement pursuant to clause (v) of Section 9.1(b);</w:t>
      </w:r>
    </w:p>
    <w:p>
      <w:pPr>
        <w:spacing w:after="0" w:line="174"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provided, however, that if the provisions of paragraph 5 of the Confidentiality Agreement between Parent as Recipient and the Company as Protected Party have lapsed and are no longer in force and effect as a result of the proviso set forth in paragraph 5 of such Confidentiality Agreement and Parent has taken actions that would otherwise be prohibited by paragraph 5 of such Confidentiality Agreement prior to the time that Parent is entitled to receive the payment required by this Section 7.6(b), Parent shall not be entitled to receive such payment if such payment shall later become payable pursuant to the terms of this Section 7.6(b); and, provided, further, that if Parent has received the payment required by this Section 7.6(b), the proviso set forth in paragraph 5 of such Confidentiality Agreement shall no longer be effective.</w:t>
      </w:r>
    </w:p>
    <w:p>
      <w:pPr>
        <w:spacing w:after="0" w:line="182" w:lineRule="exact"/>
        <w:rPr>
          <w:sz w:val="20"/>
          <w:szCs w:val="20"/>
          <w:color w:val="auto"/>
        </w:rPr>
      </w:pPr>
    </w:p>
    <w:p>
      <w:pPr>
        <w:ind w:right="3019" w:firstLine="456"/>
        <w:spacing w:after="0" w:line="253" w:lineRule="auto"/>
        <w:tabs>
          <w:tab w:leader="none" w:pos="83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agrees to pay to the Company a fee equal to $39,000,000 if the Company terminates this Agreement pursuant to clause (vi) of Section 9.1(a).</w:t>
      </w:r>
    </w:p>
    <w:p>
      <w:pPr>
        <w:spacing w:after="0" w:line="174"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SECTION 7.7. AGREEMENT TO COOPERATE. (a) Subject to the terms and conditions herein provided and subject to the fiduciary duties of the respective boards of directors of the Company and Parent, each of the parties hereto shall use all reasonable efforts to take, or cause to be taken, all action and to do, or cause to be done, all things necessary, proper or advisable under applicable laws and regulations to consummate and make effective the transactions contemplated by this Agreement, including using its reasonable efforts to obtain all necessary or appropriate waivers, consents or approvals of third parties required in order to preserve material contractual relationships of the Company and its subsidiaries, all necessary or appropriate waivers, consents and approvals and SEC "no-action" letters to effect all necessary registrations, filings and submissions and to lift any injunction or other legal bar to the Merger (and, in such case, to proceed with the Merger as expeditiously as possible).</w:t>
      </w:r>
    </w:p>
    <w:p>
      <w:pPr>
        <w:spacing w:after="0" w:line="361" w:lineRule="exact"/>
        <w:rPr>
          <w:sz w:val="20"/>
          <w:szCs w:val="20"/>
          <w:color w:val="auto"/>
        </w:rPr>
      </w:pPr>
    </w:p>
    <w:p>
      <w:pPr>
        <w:ind w:right="2839" w:firstLine="456"/>
        <w:spacing w:after="0" w:line="250" w:lineRule="auto"/>
        <w:tabs>
          <w:tab w:leader="none" w:pos="83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limitation of the foregoing, each of Parent and the Company undertakes and agrees to file as soon as practicable after the date hereof a Notification and Report Form under the HSR Act with the Federal Trade Commission (the "FTC ") and the Antitrust Division of the Department of Justice (the "Antitrust Division"). Each of Parent and the Company shall (i) use its reasonable efforts to comply as expeditiously as possible with all lawful requests of the FTC or the Antitrust Division for additional information and documents and (ii) not extend any waiting period under the HSR Act or enter into any agreement with the FTC or the Antitrust Division not to consummate the transactions contemplated by this Agreement, except with the prior written consent of the other parties hereto.</w:t>
      </w:r>
    </w:p>
    <w:p>
      <w:pPr>
        <w:spacing w:after="0" w:line="182" w:lineRule="exact"/>
        <w:rPr>
          <w:rFonts w:ascii="Courier New" w:cs="Courier New" w:eastAsia="Courier New" w:hAnsi="Courier New"/>
          <w:sz w:val="15"/>
          <w:szCs w:val="15"/>
          <w:color w:val="auto"/>
        </w:rPr>
      </w:pPr>
    </w:p>
    <w:p>
      <w:pPr>
        <w:ind w:right="3399" w:firstLine="456"/>
        <w:spacing w:after="0" w:line="252" w:lineRule="auto"/>
        <w:tabs>
          <w:tab w:leader="none" w:pos="83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any litigation is commenced by any person or entity relating to the transactions contemplated by this Agreement, including any Acquisition Transaction, Parent shall have the right, at its own</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A-27</w:t>
      </w:r>
    </w:p>
    <w:p>
      <w:pPr>
        <w:sectPr>
          <w:pgSz w:w="11900" w:h="16838" w:orient="portrait"/>
          <w:cols w:equalWidth="0" w:num="1">
            <w:col w:w="10219"/>
          </w:cols>
          <w:pgMar w:left="240" w:top="295" w:right="1440" w:bottom="1440" w:gutter="0" w:footer="0" w:header="0"/>
        </w:sectPr>
      </w:pPr>
    </w:p>
    <w:bookmarkStart w:id="117" w:name="page118"/>
    <w:bookmarkEnd w:id="117"/>
    <w:p>
      <w:pPr>
        <w:ind w:left="280"/>
        <w:spacing w:after="0"/>
        <w:rPr>
          <w:sz w:val="20"/>
          <w:szCs w:val="20"/>
          <w:color w:val="auto"/>
        </w:rPr>
      </w:pPr>
      <w:r>
        <w:rPr>
          <w:rFonts w:ascii="Courier New" w:cs="Courier New" w:eastAsia="Courier New" w:hAnsi="Courier New"/>
          <w:sz w:val="15"/>
          <w:szCs w:val="15"/>
          <w:color w:val="auto"/>
        </w:rPr>
        <w:t>116</w:t>
      </w:r>
    </w:p>
    <w:p>
      <w:pPr>
        <w:spacing w:after="0" w:line="185" w:lineRule="exact"/>
        <w:rPr>
          <w:sz w:val="20"/>
          <w:szCs w:val="20"/>
          <w:color w:val="auto"/>
        </w:rPr>
      </w:pPr>
    </w:p>
    <w:p>
      <w:pPr>
        <w:ind w:right="2839"/>
        <w:spacing w:after="0" w:line="252" w:lineRule="auto"/>
        <w:rPr>
          <w:sz w:val="20"/>
          <w:szCs w:val="20"/>
          <w:color w:val="auto"/>
        </w:rPr>
      </w:pPr>
      <w:r>
        <w:rPr>
          <w:rFonts w:ascii="Courier New" w:cs="Courier New" w:eastAsia="Courier New" w:hAnsi="Courier New"/>
          <w:sz w:val="15"/>
          <w:szCs w:val="15"/>
          <w:color w:val="auto"/>
        </w:rPr>
        <w:t>expense, to participate therein, and the Company will not settle any such litigation without the consent of Parent, which consent will not be unreasonably withheld.</w:t>
      </w:r>
    </w:p>
    <w:p>
      <w:pPr>
        <w:spacing w:after="0" w:line="17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SECTION 7.8. PUBLIC STATEMENTS. The parties shall consult with each other prior to issuing any press release or any written public statement with respect to this Agreement or the transactions contemplated hereby and shall not issue any such press release or written public statement prior to such consultation.</w:t>
      </w:r>
    </w:p>
    <w:p>
      <w:pPr>
        <w:spacing w:after="0" w:line="176"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SECTION 7.9. OPTION PLANS. Prior to the Effective Time, the Company and Parent shall take such action as may be necessary to cause each unexpired and unexercised option to purchase shares of Company Common Stock (each a "Company Option") to be automatically converted at the Effective Time into an option (each a "Parent Option") to purchase a number of shares of Parent Common Stock equal to the number of shares of Company Common Stock that could have been purchased under the Company Option multiplied by the Exchange Ratio, at a price per share of Parent Common Stock equal to the option exercise price determined pursuant to the Company Option divided by the Exchange Ratio and subject to the same terms and conditions as the Company Option. The date of grant of a substituted Parent Option shall be the date on which the corresponding Company Option was granted. At the Effective Time, all references in the stock option agreements to the Company shall be deemed to refer to Parent. Parent shall assume all of the Company's obligations with respect to Company Options as so amended and shall, from and after the Effective Time, make available for issuance upon exercise of the Parent Options all shares of Parent Common Stock covered thereby and amend its Registration Statement on Form S-8 or file a new registration statement to cover the additional shares of Parent Common Stock subject to Parent Options granted in replacement of Company Options.</w:t>
      </w:r>
    </w:p>
    <w:p>
      <w:pPr>
        <w:spacing w:after="0" w:line="18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SECTION 7.10. NOTIFICATION OF CERTAIN MATTERS. Each of the Company, Parent and Subsidiary agrees to give prompt notice to each other of, and to use their respective reasonable best efforts to prevent or promptly remedy, (i) the occurrence or failure to occur or the impending or threatened occurrence or failure to occur, of any event which occurrence or failure to occur would be likely to cause any of its representations or warranties in this Agreement to be untrue or inaccurate in any material respect at any time from the date hereof to the Effective Time and (ii) any material failure on its part to comply with or satisfy any covenant, condition or agreement to be complied with or satisfied by it hereunder; provided, however, that the delivery of any notice pursuant to this Section 7.10 shall not limit or otherwise affect the remedies available hereunder to the party receiving such notice.</w:t>
      </w:r>
    </w:p>
    <w:p>
      <w:pPr>
        <w:spacing w:after="0" w:line="183"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SECTION 7.11. DIRECTORS' AND OFFICERS' INDEMNIFICATION. (a) The indemnification provisions of the Certificate of Incorporation of the Surviving Corporation as in effect at the Effective Time shall not be amended, repealed or otherwise modified for a period of six years from the Effective Time in any manner that would adversely affect the rights thereunder of individuals who at the Effective Time were directors, officers, employees or agents of the Company, unless such modification is required by law.</w:t>
      </w:r>
    </w:p>
    <w:p>
      <w:pPr>
        <w:spacing w:after="0" w:line="176" w:lineRule="exact"/>
        <w:rPr>
          <w:sz w:val="20"/>
          <w:szCs w:val="20"/>
          <w:color w:val="auto"/>
        </w:rPr>
      </w:pPr>
    </w:p>
    <w:p>
      <w:pPr>
        <w:ind w:right="2839" w:firstLine="456"/>
        <w:spacing w:after="0" w:line="250" w:lineRule="auto"/>
        <w:tabs>
          <w:tab w:leader="none" w:pos="83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Effective Time, each of Parent and the Surviving Corporation shall, to the fullest extent permitted under applicable law, indemnify and hold harmless, each present and former director, officer, employee and agent of the Company or any of its subsidiaries (each, together with such person's heirs, executors or administrators, an "indemnified Party" and collectively, the "indemnified Parties") against any costs or expenses (including attorneys fees), judgments, fines, losses, claims, damages, liabilities and amounts paid in settlement in connection with any actual or threatened claim, action, suit, proceeding or investigation, whether civil, criminal, administrative or investigative, arising out of, relating to or in connection with any action or omission occurring prior to the Effective Time (including, without limitation, acts or omissions in connection with such persons serving as an officer, director or other fiduciary in any entity if such service was at the request or for the benefit of the Company) or arising out of or pertaining to the transactions contemplated by this Agreement. In the event of any such actual or threatened claim, action, suit, proceeding or investigation (whether arising before or after the Effective Time), (i) the Company or Parent and the Surviving Corporation, as the case may be, shall pay the reasonable fees and expenses of counsel selected by the indemnified Parties, which counsel shall be reasonably satisfactory to the Parent and the Surviving Corporation, promptly after statements therefor are received and shall pay all other reasonable expenses in advance of the final disposition of such action, (ii) the Parent and the Surviving Corporation will cooperate</w:t>
      </w:r>
    </w:p>
    <w:p>
      <w:pPr>
        <w:spacing w:after="0" w:line="18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A-28</w:t>
      </w:r>
    </w:p>
    <w:p>
      <w:pPr>
        <w:sectPr>
          <w:pgSz w:w="11900" w:h="16838" w:orient="portrait"/>
          <w:cols w:equalWidth="0" w:num="1">
            <w:col w:w="10219"/>
          </w:cols>
          <w:pgMar w:left="240" w:top="295" w:right="1440" w:bottom="1440" w:gutter="0" w:footer="0" w:header="0"/>
        </w:sectPr>
      </w:pPr>
    </w:p>
    <w:bookmarkStart w:id="118" w:name="page119"/>
    <w:bookmarkEnd w:id="118"/>
    <w:p>
      <w:pPr>
        <w:ind w:left="280"/>
        <w:spacing w:after="0"/>
        <w:rPr>
          <w:sz w:val="20"/>
          <w:szCs w:val="20"/>
          <w:color w:val="auto"/>
        </w:rPr>
      </w:pPr>
      <w:r>
        <w:rPr>
          <w:rFonts w:ascii="Courier New" w:cs="Courier New" w:eastAsia="Courier New" w:hAnsi="Courier New"/>
          <w:sz w:val="15"/>
          <w:szCs w:val="15"/>
          <w:color w:val="auto"/>
        </w:rPr>
        <w:t>117</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and use all reasonable efforts to assist in the vigorous defense of any such matter, and (iii) to the extent any determination is required to be made with respect to whether an indemnified Party's conduct complies with the standards set forth under the DGCL and the Parent's or the Surviving Corporation's respective charters or By-Laws such determination shall be made by independent legal counsel acceptable to the Parent or the Surviving Corporation, as the case may be, and the indemnified Party; provided, however, that neither Parent nor the Surviving Corporation shall be liable for any settlement effected without its written consent (which consent shall not be unreasonably withheld) and, provided, further, that if Parent or the Surviving Corporation advances or pays any amount to any person under this paragraph (b) and if it shall thereafter be finally determined by a court of competent jurisdiction that such person was not entitled to be indemnified hereunder for all or any portion of such amount, such person shall repay such amount or such portion thereof, as the case may be, to Parent or the Surviving Corporation, as the case may be. The indemnified Parties as a group may not retain more than one law firm to represent them with respect to each matter unless there is, under applicable standards of professional conduct, a conflict on any significant issue between the positions of any two or more indemnified Parties.</w:t>
      </w:r>
    </w:p>
    <w:p>
      <w:pPr>
        <w:spacing w:after="0" w:line="186" w:lineRule="exact"/>
        <w:rPr>
          <w:sz w:val="20"/>
          <w:szCs w:val="20"/>
          <w:color w:val="auto"/>
        </w:rPr>
      </w:pPr>
    </w:p>
    <w:p>
      <w:pPr>
        <w:ind w:right="2939" w:firstLine="456"/>
        <w:spacing w:after="0" w:line="251" w:lineRule="auto"/>
        <w:tabs>
          <w:tab w:leader="none" w:pos="83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Surviving Corporation or Parent or any of their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provisions shall be made so that the successors and assigns of the Surviving Corporation or Parent shall assume the obligations set forth in this Section 7.11.</w:t>
      </w:r>
    </w:p>
    <w:p>
      <w:pPr>
        <w:spacing w:after="0" w:line="175" w:lineRule="exact"/>
        <w:rPr>
          <w:rFonts w:ascii="Courier New" w:cs="Courier New" w:eastAsia="Courier New" w:hAnsi="Courier New"/>
          <w:sz w:val="15"/>
          <w:szCs w:val="15"/>
          <w:color w:val="auto"/>
        </w:rPr>
      </w:pPr>
    </w:p>
    <w:p>
      <w:pPr>
        <w:ind w:right="2839" w:firstLine="456"/>
        <w:spacing w:after="0" w:line="250" w:lineRule="auto"/>
        <w:tabs>
          <w:tab w:leader="none" w:pos="83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period of six years after the Effective Time, Parent shall cause to be maintained in effect the current policies of directors' and officers' liability insurance maintained by the Company and its subsidiaries (provided that Parent may substitute therefor policies of at least the same coverage and amounts containing terms and conditions that are no less advantageous in any material respect to the indemnified Parties and which coverages and amounts shall be no less than the coverages and amounts provided at that time for Parent's directors and officers) with respect to matters rising before the Effective Time, provided that Parent shall not be required to pay an annual premium for such insurance in excess of two times the current annual premium paid by the Company for its existing coverage (the "Cap"); and provided, further, that if equivalent coverage cannot be obtained, or can be obtained only by paying an annual premium in excess of the Cap, Parent shall only be required to obtain as much coverage as can be obtained by paying an annual premium equal to the Cap.</w:t>
      </w:r>
    </w:p>
    <w:p>
      <w:pPr>
        <w:spacing w:after="0" w:line="361" w:lineRule="exact"/>
        <w:rPr>
          <w:rFonts w:ascii="Courier New" w:cs="Courier New" w:eastAsia="Courier New" w:hAnsi="Courier New"/>
          <w:sz w:val="15"/>
          <w:szCs w:val="15"/>
          <w:color w:val="auto"/>
        </w:rPr>
      </w:pPr>
    </w:p>
    <w:p>
      <w:pPr>
        <w:ind w:left="820" w:hanging="364"/>
        <w:spacing w:after="0"/>
        <w:tabs>
          <w:tab w:leader="none" w:pos="8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pay all reasonable expenses, including reasonable</w:t>
      </w:r>
    </w:p>
    <w:p>
      <w:pPr>
        <w:spacing w:after="0" w:line="7" w:lineRule="exact"/>
        <w:rPr>
          <w:rFonts w:ascii="Courier New" w:cs="Courier New" w:eastAsia="Courier New" w:hAnsi="Courier New"/>
          <w:sz w:val="15"/>
          <w:szCs w:val="15"/>
          <w:color w:val="auto"/>
        </w:rPr>
      </w:pPr>
    </w:p>
    <w:p>
      <w:pPr>
        <w:ind w:right="283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attorneys' fees, that may be incurred by any indemnified Person in enforcing the indemnity and other obligations provided in this Section 7.11.</w:t>
      </w:r>
    </w:p>
    <w:p>
      <w:pPr>
        <w:spacing w:after="0" w:line="174" w:lineRule="exact"/>
        <w:rPr>
          <w:rFonts w:ascii="Courier New" w:cs="Courier New" w:eastAsia="Courier New" w:hAnsi="Courier New"/>
          <w:sz w:val="15"/>
          <w:szCs w:val="15"/>
          <w:color w:val="auto"/>
        </w:rPr>
      </w:pPr>
    </w:p>
    <w:p>
      <w:pPr>
        <w:ind w:right="2939" w:firstLine="456"/>
        <w:spacing w:after="0" w:line="251" w:lineRule="auto"/>
        <w:tabs>
          <w:tab w:leader="none" w:pos="83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of each indemnified Party hereunder shall be in addition to any other rights such indemnified Party may have under the charter or bylaws of the Company, under the DGCL or otherwise. The provisions of this Section 7.11 shall survive the consummation of the Merger and expressly are intended to benefit each of the indemnified Parties.</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SECTION 7.12. CORRECTIONS TO THE JOINT PROXY STATEMENT/PROSPECTUS AND REGISTRATION STATEMENT. Prior to the date of approval of the Merger by their respective stockholders, each of the Company, Parent and Subsidiary shall correct promptly any information provided by it to be used specifically in the Joint Proxy Statement/Prospectus and Registration Statement that shall have become false or misleading in any material respect and shall take all steps necessary to file with the SEC and have declared effective or cleared by the SEC any amendment or supplement to the Joint Proxy Statement/Prospectus or the Registration Statement so as to correct the same and to cause the Joint Proxy Statement/Prospectus as so corrected to be disseminated to the stockholders of the Company and Parent, in each case to the extent required by applicable law.</w:t>
      </w:r>
    </w:p>
    <w:p>
      <w:pPr>
        <w:spacing w:after="0" w:line="182"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SECTION 7.13. EFFECT ON ACCOUNTING TREATMENT. Each of the parties hereto agrees that, notwithstanding anything to the contrary contained in the Agreement, nothing contained in or contemplated by this Agreement shall require any of the parties hereto to take any action which would jeopardize the treatment of the Merger as a pooling of interests under APB No. 16.</w:t>
      </w:r>
    </w:p>
    <w:p>
      <w:pPr>
        <w:spacing w:after="0" w:line="17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A-29</w:t>
      </w:r>
    </w:p>
    <w:p>
      <w:pPr>
        <w:sectPr>
          <w:pgSz w:w="11900" w:h="16838" w:orient="portrait"/>
          <w:cols w:equalWidth="0" w:num="1">
            <w:col w:w="10219"/>
          </w:cols>
          <w:pgMar w:left="240" w:top="295" w:right="1440" w:bottom="1440" w:gutter="0" w:footer="0" w:header="0"/>
        </w:sectPr>
      </w:pPr>
    </w:p>
    <w:bookmarkStart w:id="119" w:name="page120"/>
    <w:bookmarkEnd w:id="119"/>
    <w:p>
      <w:pPr>
        <w:ind w:left="280"/>
        <w:spacing w:after="0"/>
        <w:rPr>
          <w:sz w:val="20"/>
          <w:szCs w:val="20"/>
          <w:color w:val="auto"/>
        </w:rPr>
      </w:pPr>
      <w:r>
        <w:rPr>
          <w:rFonts w:ascii="Courier New" w:cs="Courier New" w:eastAsia="Courier New" w:hAnsi="Courier New"/>
          <w:sz w:val="15"/>
          <w:szCs w:val="15"/>
          <w:color w:val="auto"/>
        </w:rPr>
        <w:t>118</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SECTION 7.14. AMENDMENT OF CERTAIN ACQUISITION AGREEMENTS. The Company shall use its reasonable best efforts to amend the agreements listed on Schedule 5.2 of the Company Disclosure Schedule to eliminate the rights of the other parties to such agreements to receive Company Common Stock, such amendments to be on terms that are reasonably acceptable to Parent.</w:t>
      </w:r>
    </w:p>
    <w:p>
      <w:pPr>
        <w:spacing w:after="0" w:line="17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ARTICLE VIII</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CONDITIONS</w:t>
      </w:r>
    </w:p>
    <w:p>
      <w:pPr>
        <w:spacing w:after="0" w:line="185" w:lineRule="exact"/>
        <w:rPr>
          <w:sz w:val="20"/>
          <w:szCs w:val="20"/>
          <w:color w:val="auto"/>
        </w:rPr>
      </w:pPr>
    </w:p>
    <w:p>
      <w:pPr>
        <w:ind w:right="2939" w:firstLine="461"/>
        <w:spacing w:after="0" w:line="252" w:lineRule="auto"/>
        <w:rPr>
          <w:sz w:val="20"/>
          <w:szCs w:val="20"/>
          <w:color w:val="auto"/>
        </w:rPr>
      </w:pPr>
      <w:r>
        <w:rPr>
          <w:rFonts w:ascii="Courier New" w:cs="Courier New" w:eastAsia="Courier New" w:hAnsi="Courier New"/>
          <w:sz w:val="15"/>
          <w:szCs w:val="15"/>
          <w:color w:val="auto"/>
        </w:rPr>
        <w:t>SECTION 8.1. CONDITIONS TO EACH PARTY'S OBLIGATION TO EFFECT THE MERGER. The respective obligations of each party to effect the Merger shall be subject to the fulfillment at or prior to the Closing Date of the following conditions:</w:t>
      </w:r>
    </w:p>
    <w:p>
      <w:pPr>
        <w:spacing w:after="0" w:line="175" w:lineRule="exact"/>
        <w:rPr>
          <w:sz w:val="20"/>
          <w:szCs w:val="20"/>
          <w:color w:val="auto"/>
        </w:rPr>
      </w:pPr>
    </w:p>
    <w:p>
      <w:pPr>
        <w:ind w:left="460" w:right="2839" w:firstLine="457"/>
        <w:spacing w:after="0" w:line="253" w:lineRule="auto"/>
        <w:tabs>
          <w:tab w:leader="none" w:pos="129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the transactions contemplated hereby shall have been approved and adopted by the requisite vote of the stockholders of the Company and Parent under applicable law and applicable listing requirements;</w:t>
      </w:r>
    </w:p>
    <w:p>
      <w:pPr>
        <w:spacing w:after="0" w:line="349" w:lineRule="exact"/>
        <w:rPr>
          <w:rFonts w:ascii="Courier New" w:cs="Courier New" w:eastAsia="Courier New" w:hAnsi="Courier New"/>
          <w:sz w:val="15"/>
          <w:szCs w:val="15"/>
          <w:color w:val="auto"/>
        </w:rPr>
      </w:pPr>
    </w:p>
    <w:p>
      <w:pPr>
        <w:ind w:left="460" w:right="2839" w:firstLine="457"/>
        <w:spacing w:after="0" w:line="251" w:lineRule="auto"/>
        <w:tabs>
          <w:tab w:leader="none" w:pos="129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Parent Common Stock issuable in the Merger and those to be reserved for issuance upon exercise of stock options or warrants or the conversion of convertible securities shall have been authorized for listing on the NYSE upon official notice of issuance;</w:t>
      </w:r>
    </w:p>
    <w:p>
      <w:pPr>
        <w:spacing w:after="0" w:line="176" w:lineRule="exact"/>
        <w:rPr>
          <w:rFonts w:ascii="Courier New" w:cs="Courier New" w:eastAsia="Courier New" w:hAnsi="Courier New"/>
          <w:sz w:val="15"/>
          <w:szCs w:val="15"/>
          <w:color w:val="auto"/>
        </w:rPr>
      </w:pPr>
    </w:p>
    <w:p>
      <w:pPr>
        <w:ind w:left="460" w:right="3119" w:firstLine="457"/>
        <w:spacing w:after="0" w:line="253" w:lineRule="auto"/>
        <w:tabs>
          <w:tab w:leader="none" w:pos="129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waiting period applicable to the consummation of the Merger under the HSR Act shall have expired or been terminated;</w:t>
      </w:r>
    </w:p>
    <w:p>
      <w:pPr>
        <w:spacing w:after="0" w:line="174" w:lineRule="exact"/>
        <w:rPr>
          <w:rFonts w:ascii="Courier New" w:cs="Courier New" w:eastAsia="Courier New" w:hAnsi="Courier New"/>
          <w:sz w:val="15"/>
          <w:szCs w:val="15"/>
          <w:color w:val="auto"/>
        </w:rPr>
      </w:pPr>
    </w:p>
    <w:p>
      <w:pPr>
        <w:ind w:left="460" w:right="2839" w:firstLine="457"/>
        <w:spacing w:after="0" w:line="251" w:lineRule="auto"/>
        <w:tabs>
          <w:tab w:leader="none" w:pos="129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shall have become effective in accordance with the provisions of the Securities Act, and no stop order suspending such effectiveness shall have been issued and remain in effect and no proceeding for that purpose shall have been instituted by the SEC or any state regulatory authorities;</w:t>
      </w:r>
    </w:p>
    <w:p>
      <w:pPr>
        <w:spacing w:after="0" w:line="176" w:lineRule="exact"/>
        <w:rPr>
          <w:rFonts w:ascii="Courier New" w:cs="Courier New" w:eastAsia="Courier New" w:hAnsi="Courier New"/>
          <w:sz w:val="15"/>
          <w:szCs w:val="15"/>
          <w:color w:val="auto"/>
        </w:rPr>
      </w:pPr>
    </w:p>
    <w:p>
      <w:pPr>
        <w:ind w:left="460" w:right="2839" w:firstLine="457"/>
        <w:spacing w:after="0" w:line="251" w:lineRule="auto"/>
        <w:tabs>
          <w:tab w:leader="none" w:pos="129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preliminary or permanent injunction or other order or decree by any federal or state court which prevents the consummation of the Merger shall have been issued and remain in effect (each party agreeing to use its reasonable efforts to have any such injunction, order or decree lifted);</w:t>
      </w:r>
    </w:p>
    <w:p>
      <w:pPr>
        <w:spacing w:after="0" w:line="176" w:lineRule="exact"/>
        <w:rPr>
          <w:rFonts w:ascii="Courier New" w:cs="Courier New" w:eastAsia="Courier New" w:hAnsi="Courier New"/>
          <w:sz w:val="15"/>
          <w:szCs w:val="15"/>
          <w:color w:val="auto"/>
        </w:rPr>
      </w:pPr>
    </w:p>
    <w:p>
      <w:pPr>
        <w:ind w:left="460" w:right="2939" w:firstLine="457"/>
        <w:spacing w:after="0" w:line="251" w:lineRule="auto"/>
        <w:tabs>
          <w:tab w:leader="none" w:pos="129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action shall have been taken, and no statute, rule or regulation shall have been enacted, by any state or federal government or governmental agency in the United States which would prevent the consummation of the Merger or make the consummation of the Merger illegal;</w:t>
      </w:r>
    </w:p>
    <w:p>
      <w:pPr>
        <w:spacing w:after="0" w:line="176" w:lineRule="exact"/>
        <w:rPr>
          <w:rFonts w:ascii="Courier New" w:cs="Courier New" w:eastAsia="Courier New" w:hAnsi="Courier New"/>
          <w:sz w:val="15"/>
          <w:szCs w:val="15"/>
          <w:color w:val="auto"/>
        </w:rPr>
      </w:pPr>
    </w:p>
    <w:p>
      <w:pPr>
        <w:ind w:left="460" w:right="2939" w:firstLine="457"/>
        <w:spacing w:after="0" w:line="251" w:lineRule="auto"/>
        <w:tabs>
          <w:tab w:leader="none" w:pos="129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governmental waivers, consents, orders and approvals legally required for the consummation of the Merger and the transactions contemplated hereby, and all consents from lenders required to consummate the Merger, shall have been obtained and be in effect at the Effective Time, except where the failure to obtain the same would not be reasonably likely to have a material adverse effect on the business, operations, properties, assets, liabilities, condition (financial or other) or results of operations of the Company and its subsidiaries, taken as a whole, following the Effective Time;</w:t>
      </w:r>
    </w:p>
    <w:p>
      <w:pPr>
        <w:spacing w:after="0" w:line="175" w:lineRule="exact"/>
        <w:rPr>
          <w:rFonts w:ascii="Courier New" w:cs="Courier New" w:eastAsia="Courier New" w:hAnsi="Courier New"/>
          <w:sz w:val="15"/>
          <w:szCs w:val="15"/>
          <w:color w:val="auto"/>
        </w:rPr>
      </w:pPr>
    </w:p>
    <w:p>
      <w:pPr>
        <w:ind w:left="460" w:right="2839" w:firstLine="457"/>
        <w:spacing w:after="0" w:line="251" w:lineRule="auto"/>
        <w:tabs>
          <w:tab w:leader="none" w:pos="129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Coopers &amp; Lybrand L.L.P., certified public accountants for Parent, shall have delivered a letter, dated the Closing Date, addressed to Parent, in form and substance reasonably satisfactory to Parent, to the effect that the Merger will qualify for a pooling of interests accounting treatment if consummated in accordance with this Agreement; and</w:t>
      </w:r>
    </w:p>
    <w:p>
      <w:pPr>
        <w:spacing w:after="0" w:line="176" w:lineRule="exact"/>
        <w:rPr>
          <w:rFonts w:ascii="Courier New" w:cs="Courier New" w:eastAsia="Courier New" w:hAnsi="Courier New"/>
          <w:sz w:val="15"/>
          <w:szCs w:val="15"/>
          <w:color w:val="auto"/>
        </w:rPr>
      </w:pPr>
    </w:p>
    <w:p>
      <w:pPr>
        <w:ind w:left="460" w:right="2839" w:firstLine="457"/>
        <w:spacing w:after="0" w:line="251" w:lineRule="auto"/>
        <w:tabs>
          <w:tab w:leader="none" w:pos="129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Arthur Andersen LLP, certified public accountants for the Company, shall have delivered a memorandum dated the Closing Date, addressed to the Company, in form and substance reasonably satisfactory to the Company, stating that the Merger will qualify for a pooling of interests accounting treatment if consummated in accordance with this Agreement.</w:t>
      </w:r>
    </w:p>
    <w:p>
      <w:pPr>
        <w:spacing w:after="0" w:line="17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A-30</w:t>
      </w:r>
    </w:p>
    <w:p>
      <w:pPr>
        <w:sectPr>
          <w:pgSz w:w="11900" w:h="16838" w:orient="portrait"/>
          <w:cols w:equalWidth="0" w:num="1">
            <w:col w:w="10219"/>
          </w:cols>
          <w:pgMar w:left="240" w:top="295" w:right="1440" w:bottom="1440" w:gutter="0" w:footer="0" w:header="0"/>
        </w:sectPr>
      </w:pPr>
    </w:p>
    <w:bookmarkStart w:id="120" w:name="page121"/>
    <w:bookmarkEnd w:id="120"/>
    <w:p>
      <w:pPr>
        <w:ind w:left="280"/>
        <w:spacing w:after="0"/>
        <w:rPr>
          <w:sz w:val="20"/>
          <w:szCs w:val="20"/>
          <w:color w:val="auto"/>
        </w:rPr>
      </w:pPr>
      <w:r>
        <w:rPr>
          <w:rFonts w:ascii="Courier New" w:cs="Courier New" w:eastAsia="Courier New" w:hAnsi="Courier New"/>
          <w:sz w:val="15"/>
          <w:szCs w:val="15"/>
          <w:color w:val="auto"/>
        </w:rPr>
        <w:t>119</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SECTION 8.2. CONDITIONS TO OBLIGATION OF THE COMPANY TO EFFECT THE MERGER. Unless waived by the Company, the obligation of the Company to effect the Merger shall be subject to the fulfillment at or prior to the Closing Date of the following additional conditions:</w:t>
      </w:r>
    </w:p>
    <w:p>
      <w:pPr>
        <w:spacing w:after="0" w:line="176" w:lineRule="exact"/>
        <w:rPr>
          <w:sz w:val="20"/>
          <w:szCs w:val="20"/>
          <w:color w:val="auto"/>
        </w:rPr>
      </w:pPr>
    </w:p>
    <w:p>
      <w:pPr>
        <w:ind w:left="460" w:right="2839" w:firstLine="457"/>
        <w:spacing w:after="0" w:line="250" w:lineRule="auto"/>
        <w:tabs>
          <w:tab w:leader="none" w:pos="129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and Subsidiary shall have performed in all material respects their agreements contained in this Agreement required to be performed on or prior to the Closing Date and the representations and warranties of Parent and Subsidiary contained in this Agreement shall be true and correct in all material respects on and as of the date made and (except to the extent that such representations and warranties speak as of an earlier date) on and as of the Closing Date as if made at and as of such date, and the Company shall have received a certificate of the Chairman of the Board and Chief Executive Officer, the President or a Vice President of Parent and of the President and Chief Executive Officer or a Vice President of Subsidiary to that effect;</w:t>
      </w:r>
    </w:p>
    <w:p>
      <w:pPr>
        <w:spacing w:after="0" w:line="182" w:lineRule="exact"/>
        <w:rPr>
          <w:rFonts w:ascii="Courier New" w:cs="Courier New" w:eastAsia="Courier New" w:hAnsi="Courier New"/>
          <w:sz w:val="15"/>
          <w:szCs w:val="15"/>
          <w:color w:val="auto"/>
        </w:rPr>
      </w:pPr>
    </w:p>
    <w:p>
      <w:pPr>
        <w:ind w:left="460" w:right="2839" w:firstLine="457"/>
        <w:spacing w:after="0" w:line="251" w:lineRule="auto"/>
        <w:tabs>
          <w:tab w:leader="none" w:pos="129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received an opinion of Baker &amp; Botts, L.L.P., in form and substance reasonably satisfactory to the Company, dated the Closing Date, to the effect that the Company and holders of Company Common Stock (except to the extent any stockholders receive cash in lieu of fractional shares) will recognize no gain or loss for federal income tax purposes as a result of consummation of the Merger;</w:t>
      </w:r>
    </w:p>
    <w:p>
      <w:pPr>
        <w:spacing w:after="0" w:line="175" w:lineRule="exact"/>
        <w:rPr>
          <w:rFonts w:ascii="Courier New" w:cs="Courier New" w:eastAsia="Courier New" w:hAnsi="Courier New"/>
          <w:sz w:val="15"/>
          <w:szCs w:val="15"/>
          <w:color w:val="auto"/>
        </w:rPr>
      </w:pPr>
    </w:p>
    <w:p>
      <w:pPr>
        <w:ind w:left="460" w:right="2839" w:firstLine="457"/>
        <w:spacing w:after="0" w:line="251" w:lineRule="auto"/>
        <w:tabs>
          <w:tab w:leader="none" w:pos="129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date hereof, there shall have been no changes that constitute, and no event or events (including, without limitation, litigation developments) shall have occurred which have resulted in or constitute, a material adverse change in the business, operations, properties, assets, condition (financial or other) or results of operations of Parent and its subsidiaries, taken as a whole, except for changes that affect the industries in which Parent and its subsidiaries operate generally; and</w:t>
      </w:r>
    </w:p>
    <w:p>
      <w:pPr>
        <w:spacing w:after="0" w:line="175" w:lineRule="exact"/>
        <w:rPr>
          <w:rFonts w:ascii="Courier New" w:cs="Courier New" w:eastAsia="Courier New" w:hAnsi="Courier New"/>
          <w:sz w:val="15"/>
          <w:szCs w:val="15"/>
          <w:color w:val="auto"/>
        </w:rPr>
      </w:pPr>
    </w:p>
    <w:p>
      <w:pPr>
        <w:ind w:left="460" w:right="2939" w:firstLine="457"/>
        <w:spacing w:after="0" w:line="250" w:lineRule="auto"/>
        <w:tabs>
          <w:tab w:leader="none" w:pos="129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governmental waivers, consents, orders, and approvals legally required for the consummation of the Merger and the transactions contemplated hereby shall have been obtained and be in effect at the Closing Date except for such waivers, consents, orders and approvals the failure of which to have been obtained would not have a material adverse effect on the business, operations, properties, assets, condition (financial or other) or results of operations of Parent and its subsidiaries, taken as a whole, following the Effective Time, and no governmental authority shall have promulgated after the date hereof any statute, rule or regulation which, when taken together with all such promulgations, would materially impair the value to Parent of the Merger.</w:t>
      </w:r>
    </w:p>
    <w:p>
      <w:pPr>
        <w:spacing w:after="0" w:line="182" w:lineRule="exact"/>
        <w:rPr>
          <w:sz w:val="20"/>
          <w:szCs w:val="20"/>
          <w:color w:val="auto"/>
        </w:rPr>
      </w:pPr>
    </w:p>
    <w:p>
      <w:pPr>
        <w:jc w:val="both"/>
        <w:ind w:right="3019" w:firstLine="461"/>
        <w:spacing w:after="0" w:line="251" w:lineRule="auto"/>
        <w:rPr>
          <w:sz w:val="20"/>
          <w:szCs w:val="20"/>
          <w:color w:val="auto"/>
        </w:rPr>
      </w:pPr>
      <w:r>
        <w:rPr>
          <w:rFonts w:ascii="Courier New" w:cs="Courier New" w:eastAsia="Courier New" w:hAnsi="Courier New"/>
          <w:sz w:val="15"/>
          <w:szCs w:val="15"/>
          <w:color w:val="auto"/>
        </w:rPr>
        <w:t>SECTION 8.3. CONDITIONS TO OBLIGATIONS OF PARENT AND SUBSIDIARY TO EFFECT THE MERGER. Unless waived by Parent and Subsidiary, the obligations of Parent and Subsidiary to effect the Merger shall be subject to the fulfillment at or prior to the Effective Time of the additional following conditions:</w:t>
      </w:r>
    </w:p>
    <w:p>
      <w:pPr>
        <w:spacing w:after="0" w:line="176" w:lineRule="exact"/>
        <w:rPr>
          <w:sz w:val="20"/>
          <w:szCs w:val="20"/>
          <w:color w:val="auto"/>
        </w:rPr>
      </w:pPr>
    </w:p>
    <w:p>
      <w:pPr>
        <w:ind w:left="460" w:right="2839" w:firstLine="457"/>
        <w:spacing w:after="0" w:line="251" w:lineRule="auto"/>
        <w:tabs>
          <w:tab w:leader="none" w:pos="129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performed in all material respects its agreements contained in this Agreement required to be performed on or prior to the Closing Date and the representations and warranties of the Company contained in this Agreement shall be true and correct in all material respects on and as of the date made and on and as of the Closing Date as if made at and as of such date, and Parent shall have received a Certificate of the President and Chief Executive Officer or of a Vice President of the Company to that effect;</w:t>
      </w:r>
    </w:p>
    <w:p>
      <w:pPr>
        <w:spacing w:after="0" w:line="175" w:lineRule="exact"/>
        <w:rPr>
          <w:rFonts w:ascii="Courier New" w:cs="Courier New" w:eastAsia="Courier New" w:hAnsi="Courier New"/>
          <w:sz w:val="15"/>
          <w:szCs w:val="15"/>
          <w:color w:val="auto"/>
        </w:rPr>
      </w:pPr>
    </w:p>
    <w:p>
      <w:pPr>
        <w:ind w:left="460" w:right="2939" w:firstLine="457"/>
        <w:spacing w:after="0" w:line="251" w:lineRule="auto"/>
        <w:tabs>
          <w:tab w:leader="none" w:pos="129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have received an opinion of Andrews &amp; Kurth L.L.P., in form and substance reasonably satisfactory to Parent, dated the Closing Date, to the effect that Parent and Subsidiary will recognize no gain or loss for federal income tax purposes as a result of consummation of the Merger;</w:t>
      </w:r>
    </w:p>
    <w:p>
      <w:pPr>
        <w:spacing w:after="0" w:line="176" w:lineRule="exact"/>
        <w:rPr>
          <w:rFonts w:ascii="Courier New" w:cs="Courier New" w:eastAsia="Courier New" w:hAnsi="Courier New"/>
          <w:sz w:val="15"/>
          <w:szCs w:val="15"/>
          <w:color w:val="auto"/>
        </w:rPr>
      </w:pPr>
    </w:p>
    <w:p>
      <w:pPr>
        <w:ind w:left="460" w:right="3119" w:firstLine="457"/>
        <w:spacing w:after="0" w:line="252" w:lineRule="auto"/>
        <w:tabs>
          <w:tab w:leader="none" w:pos="129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Affiliate Agreements required to be delivered to Parent pursuant to Section 7.4 shall have been furnished as required by Section 7.4;</w:t>
      </w:r>
    </w:p>
    <w:p>
      <w:pPr>
        <w:spacing w:after="0" w:line="174" w:lineRule="exact"/>
        <w:rPr>
          <w:rFonts w:ascii="Courier New" w:cs="Courier New" w:eastAsia="Courier New" w:hAnsi="Courier New"/>
          <w:sz w:val="15"/>
          <w:szCs w:val="15"/>
          <w:color w:val="auto"/>
        </w:rPr>
      </w:pPr>
    </w:p>
    <w:p>
      <w:pPr>
        <w:ind w:left="460" w:right="2839" w:firstLine="457"/>
        <w:spacing w:after="0" w:line="251" w:lineRule="auto"/>
        <w:tabs>
          <w:tab w:leader="none" w:pos="129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date hereof, there shall have been no changes that constitute, and no event or events (including, without limitation, litigation developments) shall have occurred which have resulted in or constitute, a material adverse change in the business, operations, properties, assets, condition (financial or other) or results of operations of the Company and its subsidiaries, taken as a whole, except for changes that affect the industries in which the Company and its subsidiaries operate generally; and</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A-31</w:t>
      </w:r>
    </w:p>
    <w:p>
      <w:pPr>
        <w:sectPr>
          <w:pgSz w:w="11900" w:h="16838" w:orient="portrait"/>
          <w:cols w:equalWidth="0" w:num="1">
            <w:col w:w="10219"/>
          </w:cols>
          <w:pgMar w:left="240" w:top="295" w:right="1440" w:bottom="1440" w:gutter="0" w:footer="0" w:header="0"/>
        </w:sectPr>
      </w:pPr>
    </w:p>
    <w:bookmarkStart w:id="121" w:name="page122"/>
    <w:bookmarkEnd w:id="121"/>
    <w:p>
      <w:pPr>
        <w:ind w:left="280"/>
        <w:spacing w:after="0"/>
        <w:rPr>
          <w:sz w:val="20"/>
          <w:szCs w:val="20"/>
          <w:color w:val="auto"/>
        </w:rPr>
      </w:pPr>
      <w:r>
        <w:rPr>
          <w:rFonts w:ascii="Courier New" w:cs="Courier New" w:eastAsia="Courier New" w:hAnsi="Courier New"/>
          <w:sz w:val="15"/>
          <w:szCs w:val="15"/>
          <w:color w:val="auto"/>
        </w:rPr>
        <w:t>120</w:t>
      </w:r>
    </w:p>
    <w:p>
      <w:pPr>
        <w:spacing w:after="0" w:line="185" w:lineRule="exact"/>
        <w:rPr>
          <w:sz w:val="20"/>
          <w:szCs w:val="20"/>
          <w:color w:val="auto"/>
        </w:rPr>
      </w:pPr>
    </w:p>
    <w:p>
      <w:pPr>
        <w:ind w:left="460" w:right="3019" w:firstLine="457"/>
        <w:spacing w:after="0" w:line="250" w:lineRule="auto"/>
        <w:tabs>
          <w:tab w:leader="none" w:pos="129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governmental waivers, consents, orders and approvals legally required for the consummation of the Merger and the transactions contemplated hereby shall have been obtained and be in effect at the Closing Date except for such waivers, consents, orders and approvals the failure of which to have been obtained would not have a material adverse effect on the business, operations, properties, assets, condition (financial or other) or results of operations of the Company and its subsidiaries, taken as a whole, following the Effective Time, and no governmental authority shall have promulgated after the date hereof any statute, rule or regulation which, when taken together with all such promulgations, would materially impair the value to Parent of the Merger.</w:t>
      </w:r>
    </w:p>
    <w:p>
      <w:pPr>
        <w:spacing w:after="0" w:line="18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ARTICLE IX</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TERMINATION, AMENDMENT AND WAIVER</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SECTION 9.1. TERMINATION. This Agreement may be terminated at any time prior to the Closing Date, whether before or after approval by the stockholders of the Company or Parent, by the mutual written consent of the Company and Parent or as follows:</w:t>
      </w:r>
    </w:p>
    <w:p>
      <w:pPr>
        <w:spacing w:after="0" w:line="176" w:lineRule="exact"/>
        <w:rPr>
          <w:sz w:val="20"/>
          <w:szCs w:val="20"/>
          <w:color w:val="auto"/>
        </w:rPr>
      </w:pPr>
    </w:p>
    <w:p>
      <w:pPr>
        <w:ind w:left="1280" w:hanging="363"/>
        <w:spacing w:after="0"/>
        <w:tabs>
          <w:tab w:leader="none" w:pos="128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the right to terminate this Agreement:</w:t>
      </w:r>
    </w:p>
    <w:p>
      <w:pPr>
        <w:spacing w:after="0" w:line="184" w:lineRule="exact"/>
        <w:rPr>
          <w:rFonts w:ascii="Courier New" w:cs="Courier New" w:eastAsia="Courier New" w:hAnsi="Courier New"/>
          <w:sz w:val="15"/>
          <w:szCs w:val="15"/>
          <w:color w:val="auto"/>
        </w:rPr>
      </w:pPr>
    </w:p>
    <w:p>
      <w:pPr>
        <w:ind w:left="740" w:right="2839" w:firstLine="454"/>
        <w:spacing w:after="0" w:line="251" w:lineRule="auto"/>
        <w:tabs>
          <w:tab w:leader="none" w:pos="1570"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representations and warranties of Parent and Subsidiary shall fail to be true and correct in all material respects on and as of the date made or, except in the case of any such representations and warranties made as of a specified date, on and as of any subsequent date as if made at and as of such subsequent date and such failure shall not have been cured in all material respects within 30 days after written notice of such failure is given to Parent by the Company;</w:t>
      </w:r>
    </w:p>
    <w:p>
      <w:pPr>
        <w:spacing w:after="0" w:line="175" w:lineRule="exact"/>
        <w:rPr>
          <w:rFonts w:ascii="Courier New" w:cs="Courier New" w:eastAsia="Courier New" w:hAnsi="Courier New"/>
          <w:sz w:val="15"/>
          <w:szCs w:val="15"/>
          <w:color w:val="auto"/>
        </w:rPr>
      </w:pPr>
    </w:p>
    <w:p>
      <w:pPr>
        <w:ind w:left="740" w:right="3119" w:firstLine="454"/>
        <w:spacing w:after="0" w:line="253" w:lineRule="auto"/>
        <w:tabs>
          <w:tab w:leader="none" w:pos="1663"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is not completed by December 31, 1996 (unless due to a delay or default on the part of the Company);</w:t>
      </w:r>
    </w:p>
    <w:p>
      <w:pPr>
        <w:spacing w:after="0" w:line="174" w:lineRule="exact"/>
        <w:rPr>
          <w:rFonts w:ascii="Courier New" w:cs="Courier New" w:eastAsia="Courier New" w:hAnsi="Courier New"/>
          <w:sz w:val="15"/>
          <w:szCs w:val="15"/>
          <w:color w:val="auto"/>
        </w:rPr>
      </w:pPr>
    </w:p>
    <w:p>
      <w:pPr>
        <w:ind w:left="740" w:right="2939" w:firstLine="454"/>
        <w:spacing w:after="0" w:line="251" w:lineRule="auto"/>
        <w:tabs>
          <w:tab w:leader="none" w:pos="1755"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is enjoined by a final, unappealable court order not entered at the request or with the support of the Company and if the Company shall have used reasonable efforts to prevent the entry of such order;</w:t>
      </w:r>
    </w:p>
    <w:p>
      <w:pPr>
        <w:spacing w:after="0" w:line="176" w:lineRule="exact"/>
        <w:rPr>
          <w:rFonts w:ascii="Courier New" w:cs="Courier New" w:eastAsia="Courier New" w:hAnsi="Courier New"/>
          <w:sz w:val="15"/>
          <w:szCs w:val="15"/>
          <w:color w:val="auto"/>
        </w:rPr>
      </w:pPr>
    </w:p>
    <w:p>
      <w:pPr>
        <w:ind w:left="740" w:right="2839" w:firstLine="454"/>
        <w:spacing w:after="0" w:line="250" w:lineRule="auto"/>
        <w:tabs>
          <w:tab w:leader="none" w:pos="1663"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the Company receives an offer or proposal from any Potential Acquirer (excluding any affiliate of the Company or any group of which any affiliate of the Company is a member) with respect to a merger, sale of substantial assets or other business combination involving the Company, (B) the Company's Board of Directors determines, in good faith and after consultation with an independent financial advisor, that such offer or proposal (if consummated pursuant to its terms) would result in an Acquisition Transaction more favorable to the Company's stockholders than the Merger (any such offer or proposal being referred to as a "Superior Proposal") and resolves to accept such Superior Proposal and (C) the Company shall have given Parent two days' prior written notice of its intention to terminate pursuant to this provision; provided, however, that such termination shall not be effective until such time as the payment required by Section 7.6(b) shall have been received by Parent;</w:t>
      </w:r>
    </w:p>
    <w:p>
      <w:pPr>
        <w:spacing w:after="0" w:line="184" w:lineRule="exact"/>
        <w:rPr>
          <w:rFonts w:ascii="Courier New" w:cs="Courier New" w:eastAsia="Courier New" w:hAnsi="Courier New"/>
          <w:sz w:val="15"/>
          <w:szCs w:val="15"/>
          <w:color w:val="auto"/>
        </w:rPr>
      </w:pPr>
    </w:p>
    <w:p>
      <w:pPr>
        <w:ind w:left="740" w:right="2839" w:firstLine="454"/>
        <w:spacing w:after="0" w:line="250" w:lineRule="auto"/>
        <w:tabs>
          <w:tab w:leader="none" w:pos="1570"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a tender or exchange offer is commenced by a Potential Acquirer (excluding any affiliate of the Company or any group of which any affiliate of the Company is a member) for all outstanding shares of Company Common Stock, (B) the Company's Board of Directors determines, in good faith and after consultation with an independent financial advisor, that such offer constitutes a Superior Proposal and resolves to accept such Superior Proposal or recommend to the stockholders that they tender their shares in such tender or exchange offer and (C) the Company shall have given Parent two days' prior written notice of its intention to terminate pursuant to this provision; provided, however, that such termination shall not be effective until such time as the payment required by Section 7.6(b) shall have been received by Parent;</w:t>
      </w:r>
    </w:p>
    <w:p>
      <w:pPr>
        <w:spacing w:after="0" w:line="182" w:lineRule="exact"/>
        <w:rPr>
          <w:rFonts w:ascii="Courier New" w:cs="Courier New" w:eastAsia="Courier New" w:hAnsi="Courier New"/>
          <w:sz w:val="15"/>
          <w:szCs w:val="15"/>
          <w:color w:val="auto"/>
        </w:rPr>
      </w:pPr>
    </w:p>
    <w:p>
      <w:pPr>
        <w:ind w:left="740" w:right="2939" w:firstLine="454"/>
        <w:spacing w:after="0" w:line="251" w:lineRule="auto"/>
        <w:tabs>
          <w:tab w:leader="none" w:pos="1663"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Parent (A) fails to perform in any material respect any of its material covenants in this Agreement and (B) does not cure such default in all material respects within 30 days after notice of such default is given to Parent by the Company; or</w:t>
      </w:r>
    </w:p>
    <w:p>
      <w:pPr>
        <w:spacing w:after="0" w:line="17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A-32</w:t>
      </w:r>
    </w:p>
    <w:p>
      <w:pPr>
        <w:sectPr>
          <w:pgSz w:w="11900" w:h="16838" w:orient="portrait"/>
          <w:cols w:equalWidth="0" w:num="1">
            <w:col w:w="10219"/>
          </w:cols>
          <w:pgMar w:left="240" w:top="295" w:right="1440" w:bottom="1440" w:gutter="0" w:footer="0" w:header="0"/>
        </w:sectPr>
      </w:pPr>
    </w:p>
    <w:bookmarkStart w:id="122" w:name="page123"/>
    <w:bookmarkEnd w:id="122"/>
    <w:p>
      <w:pPr>
        <w:ind w:left="280"/>
        <w:spacing w:after="0"/>
        <w:rPr>
          <w:sz w:val="20"/>
          <w:szCs w:val="20"/>
          <w:color w:val="auto"/>
        </w:rPr>
      </w:pPr>
      <w:r>
        <w:rPr>
          <w:rFonts w:ascii="Courier New" w:cs="Courier New" w:eastAsia="Courier New" w:hAnsi="Courier New"/>
          <w:sz w:val="15"/>
          <w:szCs w:val="15"/>
          <w:color w:val="auto"/>
        </w:rPr>
        <w:t>121</w:t>
      </w:r>
    </w:p>
    <w:p>
      <w:pPr>
        <w:spacing w:after="0" w:line="185" w:lineRule="exact"/>
        <w:rPr>
          <w:sz w:val="20"/>
          <w:szCs w:val="20"/>
          <w:color w:val="auto"/>
        </w:rPr>
      </w:pPr>
    </w:p>
    <w:p>
      <w:pPr>
        <w:ind w:left="740" w:right="2839" w:firstLine="454"/>
        <w:spacing w:after="0" w:line="252" w:lineRule="auto"/>
        <w:tabs>
          <w:tab w:leader="none" w:pos="1755"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stockholders of Parent fail to approve the Merger at a duly held meeting of stockholders called for such purpose or any adjournment thereof.</w:t>
      </w:r>
    </w:p>
    <w:p>
      <w:pPr>
        <w:spacing w:after="0" w:line="174" w:lineRule="exact"/>
        <w:rPr>
          <w:rFonts w:ascii="Courier New" w:cs="Courier New" w:eastAsia="Courier New" w:hAnsi="Courier New"/>
          <w:sz w:val="15"/>
          <w:szCs w:val="15"/>
          <w:color w:val="auto"/>
        </w:rPr>
      </w:pPr>
    </w:p>
    <w:p>
      <w:pPr>
        <w:ind w:left="1280" w:hanging="363"/>
        <w:spacing w:after="0"/>
        <w:tabs>
          <w:tab w:leader="none" w:pos="128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have the right to terminate this Agreement:</w:t>
      </w:r>
    </w:p>
    <w:p>
      <w:pPr>
        <w:spacing w:after="0" w:line="184" w:lineRule="exact"/>
        <w:rPr>
          <w:rFonts w:ascii="Courier New" w:cs="Courier New" w:eastAsia="Courier New" w:hAnsi="Courier New"/>
          <w:sz w:val="15"/>
          <w:szCs w:val="15"/>
          <w:color w:val="auto"/>
        </w:rPr>
      </w:pPr>
    </w:p>
    <w:p>
      <w:pPr>
        <w:ind w:left="740" w:right="2839" w:firstLine="454"/>
        <w:spacing w:after="0" w:line="251" w:lineRule="auto"/>
        <w:tabs>
          <w:tab w:leader="none" w:pos="1570"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representations and warranties of the Company shall fail to be true and correct in all material respects on and as of the date made or, except in the case of any such representations and warranties made as of a specified date, on and as of any subsequent date as if made at and as of such subsequent date and such failure shall not have been cured in all material respects within 30 days after written notice of such failure is given to the Company by Parent;</w:t>
      </w:r>
    </w:p>
    <w:p>
      <w:pPr>
        <w:spacing w:after="0" w:line="175" w:lineRule="exact"/>
        <w:rPr>
          <w:rFonts w:ascii="Courier New" w:cs="Courier New" w:eastAsia="Courier New" w:hAnsi="Courier New"/>
          <w:sz w:val="15"/>
          <w:szCs w:val="15"/>
          <w:color w:val="auto"/>
        </w:rPr>
      </w:pPr>
    </w:p>
    <w:p>
      <w:pPr>
        <w:ind w:left="740" w:right="3119" w:firstLine="454"/>
        <w:spacing w:after="0" w:line="253" w:lineRule="auto"/>
        <w:tabs>
          <w:tab w:leader="none" w:pos="1663"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is not completed by December 31, 1996 (unless due to a delay or default on the part of Parent);</w:t>
      </w:r>
    </w:p>
    <w:p>
      <w:pPr>
        <w:spacing w:after="0" w:line="174" w:lineRule="exact"/>
        <w:rPr>
          <w:rFonts w:ascii="Courier New" w:cs="Courier New" w:eastAsia="Courier New" w:hAnsi="Courier New"/>
          <w:sz w:val="15"/>
          <w:szCs w:val="15"/>
          <w:color w:val="auto"/>
        </w:rPr>
      </w:pPr>
    </w:p>
    <w:p>
      <w:pPr>
        <w:ind w:left="740" w:right="3019" w:firstLine="454"/>
        <w:spacing w:after="0" w:line="251" w:lineRule="auto"/>
        <w:tabs>
          <w:tab w:leader="none" w:pos="1755"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is enjoined by a final, unappealable court order not entered at the request or with the support of Parent and if Parent shall have used reasonable efforts to prevent the entry of such order;</w:t>
      </w:r>
    </w:p>
    <w:p>
      <w:pPr>
        <w:spacing w:after="0" w:line="176" w:lineRule="exact"/>
        <w:rPr>
          <w:rFonts w:ascii="Courier New" w:cs="Courier New" w:eastAsia="Courier New" w:hAnsi="Courier New"/>
          <w:sz w:val="15"/>
          <w:szCs w:val="15"/>
          <w:color w:val="auto"/>
        </w:rPr>
      </w:pPr>
    </w:p>
    <w:p>
      <w:pPr>
        <w:ind w:left="740" w:right="2839" w:firstLine="454"/>
        <w:spacing w:after="0" w:line="251" w:lineRule="auto"/>
        <w:tabs>
          <w:tab w:leader="none" w:pos="1663"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Board of Directors of the Company shall have resolved to accept a Superior Proposal or shall have recommended to the stockholders of the Company that they tender their shares in a tender or an exchange offer commenced by a third party (excluding any affiliate of Parent or any group of which any affiliate of Parent is a member);</w:t>
      </w:r>
    </w:p>
    <w:p>
      <w:pPr>
        <w:spacing w:after="0" w:line="176" w:lineRule="exact"/>
        <w:rPr>
          <w:rFonts w:ascii="Courier New" w:cs="Courier New" w:eastAsia="Courier New" w:hAnsi="Courier New"/>
          <w:sz w:val="15"/>
          <w:szCs w:val="15"/>
          <w:color w:val="auto"/>
        </w:rPr>
      </w:pPr>
    </w:p>
    <w:p>
      <w:pPr>
        <w:ind w:left="740" w:right="2839" w:firstLine="454"/>
        <w:spacing w:after="0" w:line="251" w:lineRule="auto"/>
        <w:tabs>
          <w:tab w:leader="none" w:pos="1570"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(A) fails to perform in any material respect any of its material covenants in this Agreement and (B) does not cure such default in all material respects within 30 days after notice of such default is given to the Company by Parent; or</w:t>
      </w:r>
    </w:p>
    <w:p>
      <w:pPr>
        <w:spacing w:after="0" w:line="176" w:lineRule="exact"/>
        <w:rPr>
          <w:rFonts w:ascii="Courier New" w:cs="Courier New" w:eastAsia="Courier New" w:hAnsi="Courier New"/>
          <w:sz w:val="15"/>
          <w:szCs w:val="15"/>
          <w:color w:val="auto"/>
        </w:rPr>
      </w:pPr>
    </w:p>
    <w:p>
      <w:pPr>
        <w:ind w:left="740" w:right="2939" w:firstLine="454"/>
        <w:spacing w:after="0" w:line="252" w:lineRule="auto"/>
        <w:tabs>
          <w:tab w:leader="none" w:pos="1663"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stockholders of the Company fail to approve the Merger at a duly held meeting of stockholders called for such purpose or any adjournment thereof.</w:t>
      </w:r>
    </w:p>
    <w:p>
      <w:pPr>
        <w:spacing w:after="0" w:line="174" w:lineRule="exact"/>
        <w:rPr>
          <w:rFonts w:ascii="Courier New" w:cs="Courier New" w:eastAsia="Courier New" w:hAnsi="Courier New"/>
          <w:sz w:val="15"/>
          <w:szCs w:val="15"/>
          <w:color w:val="auto"/>
        </w:rPr>
      </w:pPr>
    </w:p>
    <w:p>
      <w:pPr>
        <w:ind w:left="460" w:right="2839" w:firstLine="457"/>
        <w:spacing w:after="0" w:line="252" w:lineRule="auto"/>
        <w:tabs>
          <w:tab w:leader="none" w:pos="129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Section 9.1, (i) "affiliate" has the meaning assigned to it in Section 7.4 and (ii) "group" has the meaning set forth in Section 13(d) of the Exchange Act and the rules and regulations thereunder.</w:t>
      </w:r>
    </w:p>
    <w:p>
      <w:pPr>
        <w:spacing w:after="0" w:line="17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SECTION 9.2. EFFECT OF TERMINATION. In the event of termination of this Agreement by either Parent or the Company pursuant to the provisions of Section 9.1, this Agreement shall forthwith become void and there shall be no further obligation on the part of the Company, Parent, Subsidiary or their respective officers or directors (except as set forth in this Section 9.2, in the second sentence of Section 7.1(a) and in Sections 7.1(b) and 7.6, all of which shall survive the termination). Nothing in this Section 9.2 shall relieve any party from liability for any willful or intentional breach of this Agreement.</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SECTION 9.3. AMENDMENT. This Agreement may not be amended except by action taken by the parties' respective Boards of Directors or duly authorized committees thereof and then only by an instrument in writing signed on behalf of each of the parties hereto and in compliance with applicable law. Such amendment may take place at any time prior to the Closing Date, whether before or after approval by the stockholders of the Company, Parent or Subsidiary.</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SECTION 9.4. WAIVER. At any time prior to the Effective Time, the parties hereto may (a) extend the time for the performance of any of the obligations or other acts of the other parties hereto, (b) waive any inaccuracies in the representations and warranties contained herein or in any document delivered pursuant thereto and (c) waive compliance with any of the agreements or conditions contained herein. Any agreement on the part of a party hereto to any such extension or waiver shall be valid if set forth in an instrument in writing signed on behalf of such party.</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A-33</w:t>
      </w:r>
    </w:p>
    <w:p>
      <w:pPr>
        <w:sectPr>
          <w:pgSz w:w="11900" w:h="16838" w:orient="portrait"/>
          <w:cols w:equalWidth="0" w:num="1">
            <w:col w:w="10219"/>
          </w:cols>
          <w:pgMar w:left="240" w:top="295" w:right="1440" w:bottom="1440" w:gutter="0" w:footer="0" w:header="0"/>
        </w:sectPr>
      </w:pPr>
    </w:p>
    <w:bookmarkStart w:id="123" w:name="page124"/>
    <w:bookmarkEnd w:id="123"/>
    <w:p>
      <w:pPr>
        <w:ind w:left="280"/>
        <w:spacing w:after="0"/>
        <w:rPr>
          <w:sz w:val="20"/>
          <w:szCs w:val="20"/>
          <w:color w:val="auto"/>
        </w:rPr>
      </w:pPr>
      <w:r>
        <w:rPr>
          <w:rFonts w:ascii="Courier New" w:cs="Courier New" w:eastAsia="Courier New" w:hAnsi="Courier New"/>
          <w:sz w:val="15"/>
          <w:szCs w:val="15"/>
          <w:color w:val="auto"/>
        </w:rPr>
        <w:t>122</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ARTICLE X</w:t>
      </w:r>
    </w:p>
    <w:p>
      <w:pPr>
        <w:spacing w:after="0" w:line="185"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GENERAL PROVISIONS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SECTION 10.1. NON-SURVIVAL OF REPRESENTATIONS AND WARRANTIES. No representations, warranties or agreements in this Agreement or in any instrument delivered pursuant to this Agreement shall survive the Merger, and after effectiveness of the Merger neither the Company, Parent, Subsidiary or their respective officers or directors shall have any further obligation with respect thereto except for the representations, warranties and agreements contained in Articles II, III and X, the last sentence of Section 7.9, and Section 7.11.</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SECTION 10.2. NOTICES. All notices and other communications hereunder shall be in writing and shall be deemed given if delivered personally, mailed by registered or certified mail (return receipt requested) or sent via facsimile to the parties at the following addresses (or at such other address for a party as shall be specified by like notice):</w:t>
      </w:r>
    </w:p>
    <w:p>
      <w:pPr>
        <w:spacing w:after="0" w:line="176" w:lineRule="exact"/>
        <w:rPr>
          <w:sz w:val="20"/>
          <w:szCs w:val="20"/>
          <w:color w:val="auto"/>
        </w:rPr>
      </w:pPr>
    </w:p>
    <w:p>
      <w:pPr>
        <w:ind w:left="740" w:hanging="376"/>
        <w:spacing w:after="0"/>
        <w:tabs>
          <w:tab w:leader="none" w:pos="74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Parent or Subsidiary to:</w:t>
      </w:r>
    </w:p>
    <w:p>
      <w:pPr>
        <w:spacing w:after="0" w:line="184" w:lineRule="exact"/>
        <w:rPr>
          <w:rFonts w:ascii="Courier New" w:cs="Courier New" w:eastAsia="Courier New" w:hAnsi="Courier New"/>
          <w:sz w:val="15"/>
          <w:szCs w:val="15"/>
          <w:color w:val="auto"/>
        </w:rPr>
      </w:pPr>
    </w:p>
    <w:p>
      <w:pPr>
        <w:ind w:left="7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USA Waste Services, Inc.</w:t>
      </w:r>
    </w:p>
    <w:p>
      <w:pPr>
        <w:spacing w:after="0" w:line="7" w:lineRule="exact"/>
        <w:rPr>
          <w:rFonts w:ascii="Courier New" w:cs="Courier New" w:eastAsia="Courier New" w:hAnsi="Courier New"/>
          <w:sz w:val="15"/>
          <w:szCs w:val="15"/>
          <w:color w:val="auto"/>
        </w:rPr>
      </w:pPr>
    </w:p>
    <w:p>
      <w:pPr>
        <w:ind w:left="740" w:right="745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5400 LBJ Freeway Suite 300 -- Tower One Dallas, Texas 75240</w:t>
      </w:r>
    </w:p>
    <w:p>
      <w:pPr>
        <w:spacing w:after="0" w:line="1" w:lineRule="exact"/>
        <w:rPr>
          <w:rFonts w:ascii="Courier New" w:cs="Courier New" w:eastAsia="Courier New" w:hAnsi="Courier New"/>
          <w:sz w:val="15"/>
          <w:szCs w:val="15"/>
          <w:color w:val="auto"/>
        </w:rPr>
      </w:pPr>
    </w:p>
    <w:p>
      <w:pPr>
        <w:ind w:left="7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Chief Executive Officer</w:t>
      </w:r>
    </w:p>
    <w:p>
      <w:pPr>
        <w:spacing w:after="0" w:line="7" w:lineRule="exact"/>
        <w:rPr>
          <w:rFonts w:ascii="Courier New" w:cs="Courier New" w:eastAsia="Courier New" w:hAnsi="Courier New"/>
          <w:sz w:val="15"/>
          <w:szCs w:val="15"/>
          <w:color w:val="auto"/>
        </w:rPr>
      </w:pPr>
    </w:p>
    <w:p>
      <w:pPr>
        <w:ind w:left="7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Telecopy: 214-383-7919</w:t>
      </w:r>
    </w:p>
    <w:p>
      <w:pPr>
        <w:spacing w:after="0" w:line="18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with a copy to:</w:t>
      </w:r>
    </w:p>
    <w:p>
      <w:pPr>
        <w:spacing w:after="0" w:line="185"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Gregory T. Sangalis</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5400 LBJ Freeway</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Suite 300 -- Tower One</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Dallas, Texas 75240</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Telecopy: 214-383-7919</w:t>
      </w:r>
    </w:p>
    <w:p>
      <w:pPr>
        <w:spacing w:after="0" w:line="185" w:lineRule="exact"/>
        <w:rPr>
          <w:sz w:val="20"/>
          <w:szCs w:val="20"/>
          <w:color w:val="auto"/>
        </w:rPr>
      </w:pPr>
    </w:p>
    <w:p>
      <w:pPr>
        <w:ind w:left="740" w:hanging="376"/>
        <w:spacing w:after="0"/>
        <w:tabs>
          <w:tab w:leader="none" w:pos="74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Company, to:</w:t>
      </w:r>
    </w:p>
    <w:p>
      <w:pPr>
        <w:spacing w:after="0" w:line="184" w:lineRule="exact"/>
        <w:rPr>
          <w:rFonts w:ascii="Courier New" w:cs="Courier New" w:eastAsia="Courier New" w:hAnsi="Courier New"/>
          <w:sz w:val="15"/>
          <w:szCs w:val="15"/>
          <w:color w:val="auto"/>
        </w:rPr>
      </w:pPr>
    </w:p>
    <w:p>
      <w:pPr>
        <w:ind w:left="740" w:right="819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Sanifill, Inc. Suite 700</w:t>
      </w:r>
    </w:p>
    <w:p>
      <w:pPr>
        <w:ind w:left="740" w:right="76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2777 Allen Parkway Houston, Texas 77019</w:t>
      </w:r>
    </w:p>
    <w:p>
      <w:pPr>
        <w:ind w:left="7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Chief Executive Officer</w:t>
      </w:r>
    </w:p>
    <w:p>
      <w:pPr>
        <w:spacing w:after="0" w:line="7" w:lineRule="exact"/>
        <w:rPr>
          <w:rFonts w:ascii="Courier New" w:cs="Courier New" w:eastAsia="Courier New" w:hAnsi="Courier New"/>
          <w:sz w:val="15"/>
          <w:szCs w:val="15"/>
          <w:color w:val="auto"/>
        </w:rPr>
      </w:pPr>
    </w:p>
    <w:p>
      <w:pPr>
        <w:ind w:left="7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Telecopy: 713-942-6277</w:t>
      </w:r>
    </w:p>
    <w:p>
      <w:pPr>
        <w:spacing w:after="0" w:line="18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with a copy to:</w:t>
      </w:r>
    </w:p>
    <w:p>
      <w:pPr>
        <w:spacing w:after="0" w:line="185"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Steve Walton</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Suite 700</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2777 Allen Parkway</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Houston, Texas 77019</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Telecopy: 713-942-6277</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SECTION 10.3. INTERPRETATION. The headings contained in this Agreement are for reference purposes only and shall not affect in any way the meaning or interpretation of this Agreement. In this Agreement, unless a contrary intention appears, (i) the words "herein", "hereof" and "hereunder" and other words of similar import refer to this Agreement as a whole and not to any particular Article, Section or other subdivision and (ii) reference to any Article or Section means such Article or Section hereof. No provision of this Agreement shall be interpreted or construed against any party hereto solely because such party or its legal representative drafted such provision.</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A-34</w:t>
      </w:r>
    </w:p>
    <w:p>
      <w:pPr>
        <w:sectPr>
          <w:pgSz w:w="11900" w:h="16838" w:orient="portrait"/>
          <w:cols w:equalWidth="0" w:num="1">
            <w:col w:w="10219"/>
          </w:cols>
          <w:pgMar w:left="240" w:top="295" w:right="1440" w:bottom="1440" w:gutter="0" w:footer="0" w:header="0"/>
        </w:sectPr>
      </w:pPr>
    </w:p>
    <w:bookmarkStart w:id="124" w:name="page125"/>
    <w:bookmarkEnd w:id="124"/>
    <w:p>
      <w:pPr>
        <w:ind w:left="280"/>
        <w:spacing w:after="0"/>
        <w:rPr>
          <w:sz w:val="20"/>
          <w:szCs w:val="20"/>
          <w:color w:val="auto"/>
        </w:rPr>
      </w:pPr>
      <w:r>
        <w:rPr>
          <w:rFonts w:ascii="Courier New" w:cs="Courier New" w:eastAsia="Courier New" w:hAnsi="Courier New"/>
          <w:sz w:val="15"/>
          <w:szCs w:val="15"/>
          <w:color w:val="auto"/>
        </w:rPr>
        <w:t>123</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SECTION 10.4. MISCELLANEOUS. This Agreement (including the documents and instruments referred to herein) (a) constitutes the entire agreement and supersedes all other prior agreements and understandings, both written and oral, among the parties, or any of them, with respect to the subject matter hereof (provided, that the provisions of those two certain agreements dated June 17, 1996 by and between the Company and Parent concerning confidentiality and related matters (the "Confidentiality Agreements"), shall remain in effect), (b) is not intended to confer upon any other person any rights or remedies hereunder, except for rights of indemnified Parties under Section 7.11 and (c) shall not be assigned by operation of law or otherwise, except that Subsidiary may assign this Agreement to any other wholly-owned subsidiary of Parent. THIS AGREEMENT SHALL BE GOVERNED IN ALL RESPECTS, INCLUDING VALIDITY, INTERPRETATION AND EFFECT, BY THE LAWS OF THE STATE OF DELAWARE APPLICABLE TO CONTRACTS EXECUTED AND TO BE PERFORMED WHOLLY WITHIN SUCH STATE.</w:t>
      </w:r>
    </w:p>
    <w:p>
      <w:pPr>
        <w:spacing w:after="0" w:line="184" w:lineRule="exact"/>
        <w:rPr>
          <w:sz w:val="20"/>
          <w:szCs w:val="20"/>
          <w:color w:val="auto"/>
        </w:rPr>
      </w:pPr>
    </w:p>
    <w:p>
      <w:pPr>
        <w:ind w:right="2939" w:firstLine="461"/>
        <w:spacing w:after="0" w:line="252" w:lineRule="auto"/>
        <w:rPr>
          <w:sz w:val="20"/>
          <w:szCs w:val="20"/>
          <w:color w:val="auto"/>
        </w:rPr>
      </w:pPr>
      <w:r>
        <w:rPr>
          <w:rFonts w:ascii="Courier New" w:cs="Courier New" w:eastAsia="Courier New" w:hAnsi="Courier New"/>
          <w:sz w:val="15"/>
          <w:szCs w:val="15"/>
          <w:color w:val="auto"/>
        </w:rPr>
        <w:t>SECTION 10.5. COUNTERPARTS. This Agreement may be executed in two or more counterparts, each of which shall be deemed to be an original, but all of which shall constitute one and the same agreement.</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SECTION 10.6. PARTIES IN INTEREST. This Agreement shall be binding upon and inure solely to the benefit of each party hereto, and except as set forth in Sections 7.9 and 7.11, nothing in this Agreement, express or implied, is intended to confer upon any other person any rights or remedies of any nature whatsoever under or by reason of this Agreement.</w:t>
      </w:r>
    </w:p>
    <w:p>
      <w:pPr>
        <w:spacing w:after="0" w:line="176" w:lineRule="exact"/>
        <w:rPr>
          <w:sz w:val="20"/>
          <w:szCs w:val="20"/>
          <w:color w:val="auto"/>
        </w:rPr>
      </w:pPr>
    </w:p>
    <w:p>
      <w:pPr>
        <w:jc w:val="both"/>
        <w:ind w:right="3119" w:firstLine="461"/>
        <w:spacing w:after="0" w:line="252" w:lineRule="auto"/>
        <w:rPr>
          <w:sz w:val="20"/>
          <w:szCs w:val="20"/>
          <w:color w:val="auto"/>
        </w:rPr>
      </w:pPr>
      <w:r>
        <w:rPr>
          <w:rFonts w:ascii="Courier New" w:cs="Courier New" w:eastAsia="Courier New" w:hAnsi="Courier New"/>
          <w:sz w:val="15"/>
          <w:szCs w:val="15"/>
          <w:color w:val="auto"/>
        </w:rPr>
        <w:t>IN WITNESS WHEREOF, Parent, Subsidiary and the Company have caused this Agreement to be signed by their respective officers and attested to as of the date first written above.</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880" w:type="dxa"/>
            <w:vAlign w:val="bottom"/>
            <w:gridSpan w:val="3"/>
          </w:tcPr>
          <w:p>
            <w:pPr>
              <w:ind w:left="640"/>
              <w:spacing w:after="0"/>
              <w:rPr>
                <w:sz w:val="20"/>
                <w:szCs w:val="20"/>
                <w:color w:val="auto"/>
              </w:rPr>
            </w:pPr>
            <w:r>
              <w:rPr>
                <w:rFonts w:ascii="Courier New" w:cs="Courier New" w:eastAsia="Courier New" w:hAnsi="Courier New"/>
                <w:sz w:val="15"/>
                <w:szCs w:val="15"/>
                <w:color w:val="auto"/>
              </w:rPr>
              <w:t>USA WASTE SERVICES, INC.</w:t>
            </w:r>
          </w:p>
        </w:tc>
      </w:tr>
      <w:tr>
        <w:trPr>
          <w:trHeight w:val="177"/>
        </w:trPr>
        <w:tc>
          <w:tcPr>
            <w:tcW w:w="920" w:type="dxa"/>
            <w:vAlign w:val="bottom"/>
          </w:tcPr>
          <w:p>
            <w:pPr>
              <w:spacing w:after="0"/>
              <w:rPr>
                <w:sz w:val="20"/>
                <w:szCs w:val="20"/>
                <w:color w:val="auto"/>
              </w:rPr>
            </w:pPr>
            <w:r>
              <w:rPr>
                <w:rFonts w:ascii="Courier New" w:cs="Courier New" w:eastAsia="Courier New" w:hAnsi="Courier New"/>
                <w:sz w:val="15"/>
                <w:szCs w:val="15"/>
                <w:color w:val="auto"/>
              </w:rPr>
              <w:t>Attest:</w:t>
            </w:r>
          </w:p>
        </w:tc>
        <w:tc>
          <w:tcPr>
            <w:tcW w:w="2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77"/>
        </w:trPr>
        <w:tc>
          <w:tcPr>
            <w:tcW w:w="920" w:type="dxa"/>
            <w:vAlign w:val="bottom"/>
          </w:tcPr>
          <w:p>
            <w:pPr>
              <w:ind w:left="460"/>
              <w:spacing w:after="0"/>
              <w:rPr>
                <w:sz w:val="20"/>
                <w:szCs w:val="20"/>
                <w:color w:val="auto"/>
              </w:rPr>
            </w:pPr>
            <w:r>
              <w:rPr>
                <w:rFonts w:ascii="Courier New" w:cs="Courier New" w:eastAsia="Courier New" w:hAnsi="Courier New"/>
                <w:sz w:val="15"/>
                <w:szCs w:val="15"/>
                <w:color w:val="auto"/>
              </w:rPr>
              <w:t>/s/</w:t>
            </w:r>
          </w:p>
        </w:tc>
        <w:tc>
          <w:tcPr>
            <w:tcW w:w="2400" w:type="dxa"/>
            <w:vAlign w:val="bottom"/>
          </w:tcPr>
          <w:p>
            <w:pPr>
              <w:spacing w:after="0"/>
              <w:rPr>
                <w:sz w:val="20"/>
                <w:szCs w:val="20"/>
                <w:color w:val="auto"/>
              </w:rPr>
            </w:pPr>
            <w:r>
              <w:rPr>
                <w:rFonts w:ascii="Courier New" w:cs="Courier New" w:eastAsia="Courier New" w:hAnsi="Courier New"/>
                <w:sz w:val="15"/>
                <w:szCs w:val="15"/>
                <w:color w:val="auto"/>
              </w:rPr>
              <w:t>GREGORY T. SANGALIS</w:t>
            </w:r>
          </w:p>
        </w:tc>
        <w:tc>
          <w:tcPr>
            <w:tcW w:w="1280" w:type="dxa"/>
            <w:vAlign w:val="bottom"/>
          </w:tcPr>
          <w:p>
            <w:pPr>
              <w:ind w:left="640"/>
              <w:spacing w:after="0"/>
              <w:rPr>
                <w:sz w:val="20"/>
                <w:szCs w:val="20"/>
                <w:color w:val="auto"/>
              </w:rPr>
            </w:pPr>
            <w:r>
              <w:rPr>
                <w:rFonts w:ascii="Courier New" w:cs="Courier New" w:eastAsia="Courier New" w:hAnsi="Courier New"/>
                <w:sz w:val="15"/>
                <w:szCs w:val="15"/>
                <w:color w:val="auto"/>
              </w:rPr>
              <w:t>By:</w:t>
            </w:r>
          </w:p>
        </w:tc>
        <w:tc>
          <w:tcPr>
            <w:tcW w:w="700" w:type="dxa"/>
            <w:vAlign w:val="bottom"/>
          </w:tcPr>
          <w:p>
            <w:pPr>
              <w:ind w:left="280"/>
              <w:spacing w:after="0"/>
              <w:rPr>
                <w:sz w:val="20"/>
                <w:szCs w:val="20"/>
                <w:color w:val="auto"/>
              </w:rPr>
            </w:pPr>
            <w:r>
              <w:rPr>
                <w:rFonts w:ascii="Courier New" w:cs="Courier New" w:eastAsia="Courier New" w:hAnsi="Courier New"/>
                <w:sz w:val="15"/>
                <w:szCs w:val="15"/>
                <w:color w:val="auto"/>
              </w:rPr>
              <w:t>/s/</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JOHN E. DRURY</w:t>
            </w:r>
          </w:p>
        </w:tc>
      </w:tr>
      <w:tr>
        <w:trPr>
          <w:trHeight w:val="177"/>
        </w:trPr>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880" w:type="dxa"/>
            <w:vAlign w:val="bottom"/>
            <w:gridSpan w:val="3"/>
          </w:tcPr>
          <w:p>
            <w:pPr>
              <w:ind w:left="820"/>
              <w:spacing w:after="0"/>
              <w:rPr>
                <w:sz w:val="20"/>
                <w:szCs w:val="20"/>
                <w:color w:val="auto"/>
              </w:rPr>
            </w:pPr>
            <w:r>
              <w:rPr>
                <w:rFonts w:ascii="Courier New" w:cs="Courier New" w:eastAsia="Courier New" w:hAnsi="Courier New"/>
                <w:sz w:val="15"/>
                <w:szCs w:val="15"/>
                <w:color w:val="auto"/>
              </w:rPr>
              <w:t>---------------------------------</w:t>
            </w:r>
          </w:p>
        </w:tc>
      </w:tr>
      <w:tr>
        <w:trPr>
          <w:trHeight w:val="177"/>
        </w:trPr>
        <w:tc>
          <w:tcPr>
            <w:tcW w:w="920" w:type="dxa"/>
            <w:vAlign w:val="bottom"/>
          </w:tcPr>
          <w:p>
            <w:pPr>
              <w:spacing w:after="0"/>
              <w:rPr>
                <w:sz w:val="20"/>
                <w:szCs w:val="20"/>
                <w:color w:val="auto"/>
              </w:rPr>
            </w:pPr>
            <w:r>
              <w:rPr>
                <w:rFonts w:ascii="Courier New" w:cs="Courier New" w:eastAsia="Courier New" w:hAnsi="Courier New"/>
                <w:sz w:val="15"/>
                <w:szCs w:val="15"/>
                <w:color w:val="auto"/>
              </w:rPr>
              <w:t>Secretary</w:t>
            </w:r>
          </w:p>
        </w:tc>
        <w:tc>
          <w:tcPr>
            <w:tcW w:w="2400" w:type="dxa"/>
            <w:vAlign w:val="bottom"/>
          </w:tcPr>
          <w:p>
            <w:pPr>
              <w:spacing w:after="0"/>
              <w:rPr>
                <w:sz w:val="15"/>
                <w:szCs w:val="15"/>
                <w:color w:val="auto"/>
              </w:rPr>
            </w:pPr>
          </w:p>
        </w:tc>
        <w:tc>
          <w:tcPr>
            <w:tcW w:w="3880" w:type="dxa"/>
            <w:vAlign w:val="bottom"/>
            <w:gridSpan w:val="3"/>
          </w:tcPr>
          <w:p>
            <w:pPr>
              <w:ind w:left="640"/>
              <w:spacing w:after="0"/>
              <w:rPr>
                <w:sz w:val="20"/>
                <w:szCs w:val="20"/>
                <w:color w:val="auto"/>
              </w:rPr>
            </w:pPr>
            <w:r>
              <w:rPr>
                <w:rFonts w:ascii="Courier New" w:cs="Courier New" w:eastAsia="Courier New" w:hAnsi="Courier New"/>
                <w:sz w:val="15"/>
                <w:szCs w:val="15"/>
                <w:color w:val="auto"/>
              </w:rPr>
              <w:t>Name: John E. Drury</w:t>
            </w:r>
          </w:p>
        </w:tc>
      </w:tr>
      <w:tr>
        <w:trPr>
          <w:trHeight w:val="177"/>
        </w:trPr>
        <w:tc>
          <w:tcPr>
            <w:tcW w:w="9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80" w:type="dxa"/>
            <w:vAlign w:val="bottom"/>
          </w:tcPr>
          <w:p>
            <w:pPr>
              <w:ind w:left="640"/>
              <w:spacing w:after="0"/>
              <w:rPr>
                <w:sz w:val="20"/>
                <w:szCs w:val="20"/>
                <w:color w:val="auto"/>
              </w:rPr>
            </w:pPr>
            <w:r>
              <w:rPr>
                <w:rFonts w:ascii="Courier New" w:cs="Courier New" w:eastAsia="Courier New" w:hAnsi="Courier New"/>
                <w:sz w:val="15"/>
                <w:szCs w:val="15"/>
                <w:color w:val="auto"/>
              </w:rPr>
              <w:t>Title:</w:t>
            </w:r>
          </w:p>
        </w:tc>
        <w:tc>
          <w:tcPr>
            <w:tcW w:w="26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Chief Executive Officer</w:t>
            </w:r>
          </w:p>
        </w:tc>
      </w:tr>
      <w:tr>
        <w:trPr>
          <w:trHeight w:val="355"/>
        </w:trPr>
        <w:tc>
          <w:tcPr>
            <w:tcW w:w="9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880" w:type="dxa"/>
            <w:vAlign w:val="bottom"/>
            <w:gridSpan w:val="3"/>
          </w:tcPr>
          <w:p>
            <w:pPr>
              <w:ind w:left="640"/>
              <w:spacing w:after="0"/>
              <w:rPr>
                <w:sz w:val="20"/>
                <w:szCs w:val="20"/>
                <w:color w:val="auto"/>
              </w:rPr>
            </w:pPr>
            <w:r>
              <w:rPr>
                <w:rFonts w:ascii="Courier New" w:cs="Courier New" w:eastAsia="Courier New" w:hAnsi="Courier New"/>
                <w:sz w:val="15"/>
                <w:szCs w:val="15"/>
                <w:color w:val="auto"/>
              </w:rPr>
              <w:t>QUATRO ACQUISITION CORP.</w:t>
            </w:r>
          </w:p>
        </w:tc>
      </w:tr>
      <w:tr>
        <w:trPr>
          <w:trHeight w:val="355"/>
        </w:trPr>
        <w:tc>
          <w:tcPr>
            <w:tcW w:w="920" w:type="dxa"/>
            <w:vAlign w:val="bottom"/>
          </w:tcPr>
          <w:p>
            <w:pPr>
              <w:spacing w:after="0"/>
              <w:rPr>
                <w:sz w:val="20"/>
                <w:szCs w:val="20"/>
                <w:color w:val="auto"/>
              </w:rPr>
            </w:pPr>
            <w:r>
              <w:rPr>
                <w:rFonts w:ascii="Courier New" w:cs="Courier New" w:eastAsia="Courier New" w:hAnsi="Courier New"/>
                <w:sz w:val="15"/>
                <w:szCs w:val="15"/>
                <w:color w:val="auto"/>
              </w:rPr>
              <w:t>Attest:</w:t>
            </w:r>
          </w:p>
        </w:tc>
        <w:tc>
          <w:tcPr>
            <w:tcW w:w="2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77"/>
        </w:trPr>
        <w:tc>
          <w:tcPr>
            <w:tcW w:w="920" w:type="dxa"/>
            <w:vAlign w:val="bottom"/>
          </w:tcPr>
          <w:p>
            <w:pPr>
              <w:ind w:left="460"/>
              <w:spacing w:after="0"/>
              <w:rPr>
                <w:sz w:val="20"/>
                <w:szCs w:val="20"/>
                <w:color w:val="auto"/>
              </w:rPr>
            </w:pPr>
            <w:r>
              <w:rPr>
                <w:rFonts w:ascii="Courier New" w:cs="Courier New" w:eastAsia="Courier New" w:hAnsi="Courier New"/>
                <w:sz w:val="15"/>
                <w:szCs w:val="15"/>
                <w:color w:val="auto"/>
              </w:rPr>
              <w:t>/s/</w:t>
            </w:r>
          </w:p>
        </w:tc>
        <w:tc>
          <w:tcPr>
            <w:tcW w:w="2400" w:type="dxa"/>
            <w:vAlign w:val="bottom"/>
          </w:tcPr>
          <w:p>
            <w:pPr>
              <w:spacing w:after="0"/>
              <w:rPr>
                <w:sz w:val="20"/>
                <w:szCs w:val="20"/>
                <w:color w:val="auto"/>
              </w:rPr>
            </w:pPr>
            <w:r>
              <w:rPr>
                <w:rFonts w:ascii="Courier New" w:cs="Courier New" w:eastAsia="Courier New" w:hAnsi="Courier New"/>
                <w:sz w:val="15"/>
                <w:szCs w:val="15"/>
                <w:color w:val="auto"/>
              </w:rPr>
              <w:t>GREGORY T. SANGALIS</w:t>
            </w:r>
          </w:p>
        </w:tc>
        <w:tc>
          <w:tcPr>
            <w:tcW w:w="1280" w:type="dxa"/>
            <w:vAlign w:val="bottom"/>
          </w:tcPr>
          <w:p>
            <w:pPr>
              <w:ind w:left="640"/>
              <w:spacing w:after="0"/>
              <w:rPr>
                <w:sz w:val="20"/>
                <w:szCs w:val="20"/>
                <w:color w:val="auto"/>
              </w:rPr>
            </w:pPr>
            <w:r>
              <w:rPr>
                <w:rFonts w:ascii="Courier New" w:cs="Courier New" w:eastAsia="Courier New" w:hAnsi="Courier New"/>
                <w:sz w:val="15"/>
                <w:szCs w:val="15"/>
                <w:color w:val="auto"/>
              </w:rPr>
              <w:t>By:</w:t>
            </w:r>
          </w:p>
        </w:tc>
        <w:tc>
          <w:tcPr>
            <w:tcW w:w="700" w:type="dxa"/>
            <w:vAlign w:val="bottom"/>
          </w:tcPr>
          <w:p>
            <w:pPr>
              <w:ind w:left="280"/>
              <w:spacing w:after="0"/>
              <w:rPr>
                <w:sz w:val="20"/>
                <w:szCs w:val="20"/>
                <w:color w:val="auto"/>
              </w:rPr>
            </w:pPr>
            <w:r>
              <w:rPr>
                <w:rFonts w:ascii="Courier New" w:cs="Courier New" w:eastAsia="Courier New" w:hAnsi="Courier New"/>
                <w:sz w:val="15"/>
                <w:szCs w:val="15"/>
                <w:color w:val="auto"/>
              </w:rPr>
              <w:t>/s/</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JOHN E. DRURY</w:t>
            </w:r>
          </w:p>
        </w:tc>
      </w:tr>
      <w:tr>
        <w:trPr>
          <w:trHeight w:val="177"/>
        </w:trPr>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880" w:type="dxa"/>
            <w:vAlign w:val="bottom"/>
            <w:gridSpan w:val="3"/>
          </w:tcPr>
          <w:p>
            <w:pPr>
              <w:ind w:left="820"/>
              <w:spacing w:after="0"/>
              <w:rPr>
                <w:sz w:val="20"/>
                <w:szCs w:val="20"/>
                <w:color w:val="auto"/>
              </w:rPr>
            </w:pPr>
            <w:r>
              <w:rPr>
                <w:rFonts w:ascii="Courier New" w:cs="Courier New" w:eastAsia="Courier New" w:hAnsi="Courier New"/>
                <w:sz w:val="15"/>
                <w:szCs w:val="15"/>
                <w:color w:val="auto"/>
              </w:rPr>
              <w:t>---------------------------------</w:t>
            </w:r>
          </w:p>
        </w:tc>
      </w:tr>
      <w:tr>
        <w:trPr>
          <w:trHeight w:val="177"/>
        </w:trPr>
        <w:tc>
          <w:tcPr>
            <w:tcW w:w="920" w:type="dxa"/>
            <w:vAlign w:val="bottom"/>
          </w:tcPr>
          <w:p>
            <w:pPr>
              <w:spacing w:after="0"/>
              <w:rPr>
                <w:sz w:val="20"/>
                <w:szCs w:val="20"/>
                <w:color w:val="auto"/>
              </w:rPr>
            </w:pPr>
            <w:r>
              <w:rPr>
                <w:rFonts w:ascii="Courier New" w:cs="Courier New" w:eastAsia="Courier New" w:hAnsi="Courier New"/>
                <w:sz w:val="15"/>
                <w:szCs w:val="15"/>
                <w:color w:val="auto"/>
              </w:rPr>
              <w:t>Secretary</w:t>
            </w:r>
          </w:p>
        </w:tc>
        <w:tc>
          <w:tcPr>
            <w:tcW w:w="2400" w:type="dxa"/>
            <w:vAlign w:val="bottom"/>
          </w:tcPr>
          <w:p>
            <w:pPr>
              <w:spacing w:after="0"/>
              <w:rPr>
                <w:sz w:val="15"/>
                <w:szCs w:val="15"/>
                <w:color w:val="auto"/>
              </w:rPr>
            </w:pPr>
          </w:p>
        </w:tc>
        <w:tc>
          <w:tcPr>
            <w:tcW w:w="3880" w:type="dxa"/>
            <w:vAlign w:val="bottom"/>
            <w:gridSpan w:val="3"/>
          </w:tcPr>
          <w:p>
            <w:pPr>
              <w:ind w:left="640"/>
              <w:spacing w:after="0"/>
              <w:rPr>
                <w:sz w:val="20"/>
                <w:szCs w:val="20"/>
                <w:color w:val="auto"/>
              </w:rPr>
            </w:pPr>
            <w:r>
              <w:rPr>
                <w:rFonts w:ascii="Courier New" w:cs="Courier New" w:eastAsia="Courier New" w:hAnsi="Courier New"/>
                <w:sz w:val="15"/>
                <w:szCs w:val="15"/>
                <w:color w:val="auto"/>
              </w:rPr>
              <w:t>Name: John E. Drury</w:t>
            </w:r>
          </w:p>
        </w:tc>
      </w:tr>
      <w:tr>
        <w:trPr>
          <w:trHeight w:val="177"/>
        </w:trPr>
        <w:tc>
          <w:tcPr>
            <w:tcW w:w="9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80" w:type="dxa"/>
            <w:vAlign w:val="bottom"/>
          </w:tcPr>
          <w:p>
            <w:pPr>
              <w:ind w:left="640"/>
              <w:spacing w:after="0"/>
              <w:rPr>
                <w:sz w:val="20"/>
                <w:szCs w:val="20"/>
                <w:color w:val="auto"/>
              </w:rPr>
            </w:pPr>
            <w:r>
              <w:rPr>
                <w:rFonts w:ascii="Courier New" w:cs="Courier New" w:eastAsia="Courier New" w:hAnsi="Courier New"/>
                <w:sz w:val="15"/>
                <w:szCs w:val="15"/>
                <w:color w:val="auto"/>
              </w:rPr>
              <w:t>Title:</w:t>
            </w:r>
          </w:p>
        </w:tc>
        <w:tc>
          <w:tcPr>
            <w:tcW w:w="26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Chief Executive Officer</w:t>
            </w:r>
          </w:p>
        </w:tc>
      </w:tr>
      <w:tr>
        <w:trPr>
          <w:trHeight w:val="355"/>
        </w:trPr>
        <w:tc>
          <w:tcPr>
            <w:tcW w:w="9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98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SANIFILL, INC.</w:t>
            </w:r>
          </w:p>
        </w:tc>
        <w:tc>
          <w:tcPr>
            <w:tcW w:w="1900" w:type="dxa"/>
            <w:vAlign w:val="bottom"/>
          </w:tcPr>
          <w:p>
            <w:pPr>
              <w:spacing w:after="0"/>
              <w:rPr>
                <w:sz w:val="24"/>
                <w:szCs w:val="24"/>
                <w:color w:val="auto"/>
              </w:rPr>
            </w:pPr>
          </w:p>
        </w:tc>
      </w:tr>
      <w:tr>
        <w:trPr>
          <w:trHeight w:val="355"/>
        </w:trPr>
        <w:tc>
          <w:tcPr>
            <w:tcW w:w="920" w:type="dxa"/>
            <w:vAlign w:val="bottom"/>
          </w:tcPr>
          <w:p>
            <w:pPr>
              <w:spacing w:after="0"/>
              <w:rPr>
                <w:sz w:val="20"/>
                <w:szCs w:val="20"/>
                <w:color w:val="auto"/>
              </w:rPr>
            </w:pPr>
            <w:r>
              <w:rPr>
                <w:rFonts w:ascii="Courier New" w:cs="Courier New" w:eastAsia="Courier New" w:hAnsi="Courier New"/>
                <w:sz w:val="15"/>
                <w:szCs w:val="15"/>
                <w:color w:val="auto"/>
              </w:rPr>
              <w:t>Attest:</w:t>
            </w:r>
          </w:p>
        </w:tc>
        <w:tc>
          <w:tcPr>
            <w:tcW w:w="2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77"/>
        </w:trPr>
        <w:tc>
          <w:tcPr>
            <w:tcW w:w="920" w:type="dxa"/>
            <w:vAlign w:val="bottom"/>
          </w:tcPr>
          <w:p>
            <w:pPr>
              <w:ind w:left="460"/>
              <w:spacing w:after="0"/>
              <w:rPr>
                <w:sz w:val="20"/>
                <w:szCs w:val="20"/>
                <w:color w:val="auto"/>
              </w:rPr>
            </w:pPr>
            <w:r>
              <w:rPr>
                <w:rFonts w:ascii="Courier New" w:cs="Courier New" w:eastAsia="Courier New" w:hAnsi="Courier New"/>
                <w:sz w:val="15"/>
                <w:szCs w:val="15"/>
                <w:color w:val="auto"/>
              </w:rPr>
              <w:t>/s/</w:t>
            </w:r>
          </w:p>
        </w:tc>
        <w:tc>
          <w:tcPr>
            <w:tcW w:w="2400" w:type="dxa"/>
            <w:vAlign w:val="bottom"/>
          </w:tcPr>
          <w:p>
            <w:pPr>
              <w:spacing w:after="0"/>
              <w:rPr>
                <w:sz w:val="20"/>
                <w:szCs w:val="20"/>
                <w:color w:val="auto"/>
              </w:rPr>
            </w:pPr>
            <w:r>
              <w:rPr>
                <w:rFonts w:ascii="Courier New" w:cs="Courier New" w:eastAsia="Courier New" w:hAnsi="Courier New"/>
                <w:sz w:val="15"/>
                <w:szCs w:val="15"/>
                <w:color w:val="auto"/>
              </w:rPr>
              <w:t>H. STEVEN WALTON</w:t>
            </w:r>
          </w:p>
        </w:tc>
        <w:tc>
          <w:tcPr>
            <w:tcW w:w="1280" w:type="dxa"/>
            <w:vAlign w:val="bottom"/>
          </w:tcPr>
          <w:p>
            <w:pPr>
              <w:ind w:left="640"/>
              <w:spacing w:after="0"/>
              <w:rPr>
                <w:sz w:val="20"/>
                <w:szCs w:val="20"/>
                <w:color w:val="auto"/>
              </w:rPr>
            </w:pPr>
            <w:r>
              <w:rPr>
                <w:rFonts w:ascii="Courier New" w:cs="Courier New" w:eastAsia="Courier New" w:hAnsi="Courier New"/>
                <w:sz w:val="15"/>
                <w:szCs w:val="15"/>
                <w:color w:val="auto"/>
              </w:rPr>
              <w:t>By:</w:t>
            </w:r>
          </w:p>
        </w:tc>
        <w:tc>
          <w:tcPr>
            <w:tcW w:w="700" w:type="dxa"/>
            <w:vAlign w:val="bottom"/>
          </w:tcPr>
          <w:p>
            <w:pPr>
              <w:ind w:left="280"/>
              <w:spacing w:after="0"/>
              <w:rPr>
                <w:sz w:val="20"/>
                <w:szCs w:val="20"/>
                <w:color w:val="auto"/>
              </w:rPr>
            </w:pPr>
            <w:r>
              <w:rPr>
                <w:rFonts w:ascii="Courier New" w:cs="Courier New" w:eastAsia="Courier New" w:hAnsi="Courier New"/>
                <w:sz w:val="15"/>
                <w:szCs w:val="15"/>
                <w:color w:val="auto"/>
              </w:rPr>
              <w:t>/s/</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LORNE D. BAIN</w:t>
            </w:r>
          </w:p>
        </w:tc>
      </w:tr>
      <w:tr>
        <w:trPr>
          <w:trHeight w:val="177"/>
        </w:trPr>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880" w:type="dxa"/>
            <w:vAlign w:val="bottom"/>
            <w:gridSpan w:val="3"/>
          </w:tcPr>
          <w:p>
            <w:pPr>
              <w:ind w:left="820"/>
              <w:spacing w:after="0"/>
              <w:rPr>
                <w:sz w:val="20"/>
                <w:szCs w:val="20"/>
                <w:color w:val="auto"/>
              </w:rPr>
            </w:pPr>
            <w:r>
              <w:rPr>
                <w:rFonts w:ascii="Courier New" w:cs="Courier New" w:eastAsia="Courier New" w:hAnsi="Courier New"/>
                <w:sz w:val="15"/>
                <w:szCs w:val="15"/>
                <w:color w:val="auto"/>
              </w:rPr>
              <w:t>---------------------------------</w:t>
            </w:r>
          </w:p>
        </w:tc>
      </w:tr>
      <w:tr>
        <w:trPr>
          <w:trHeight w:val="177"/>
        </w:trPr>
        <w:tc>
          <w:tcPr>
            <w:tcW w:w="920" w:type="dxa"/>
            <w:vAlign w:val="bottom"/>
          </w:tcPr>
          <w:p>
            <w:pPr>
              <w:spacing w:after="0"/>
              <w:rPr>
                <w:sz w:val="20"/>
                <w:szCs w:val="20"/>
                <w:color w:val="auto"/>
              </w:rPr>
            </w:pPr>
            <w:r>
              <w:rPr>
                <w:rFonts w:ascii="Courier New" w:cs="Courier New" w:eastAsia="Courier New" w:hAnsi="Courier New"/>
                <w:sz w:val="15"/>
                <w:szCs w:val="15"/>
                <w:color w:val="auto"/>
              </w:rPr>
              <w:t>Secretary</w:t>
            </w:r>
          </w:p>
        </w:tc>
        <w:tc>
          <w:tcPr>
            <w:tcW w:w="2400" w:type="dxa"/>
            <w:vAlign w:val="bottom"/>
          </w:tcPr>
          <w:p>
            <w:pPr>
              <w:spacing w:after="0"/>
              <w:rPr>
                <w:sz w:val="15"/>
                <w:szCs w:val="15"/>
                <w:color w:val="auto"/>
              </w:rPr>
            </w:pPr>
          </w:p>
        </w:tc>
        <w:tc>
          <w:tcPr>
            <w:tcW w:w="3880" w:type="dxa"/>
            <w:vAlign w:val="bottom"/>
            <w:gridSpan w:val="3"/>
          </w:tcPr>
          <w:p>
            <w:pPr>
              <w:ind w:left="640"/>
              <w:spacing w:after="0"/>
              <w:rPr>
                <w:sz w:val="20"/>
                <w:szCs w:val="20"/>
                <w:color w:val="auto"/>
              </w:rPr>
            </w:pPr>
            <w:r>
              <w:rPr>
                <w:rFonts w:ascii="Courier New" w:cs="Courier New" w:eastAsia="Courier New" w:hAnsi="Courier New"/>
                <w:sz w:val="15"/>
                <w:szCs w:val="15"/>
                <w:color w:val="auto"/>
              </w:rPr>
              <w:t>Name: Lorne D. Bain</w:t>
            </w:r>
          </w:p>
        </w:tc>
      </w:tr>
      <w:tr>
        <w:trPr>
          <w:trHeight w:val="177"/>
        </w:trPr>
        <w:tc>
          <w:tcPr>
            <w:tcW w:w="9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880" w:type="dxa"/>
            <w:vAlign w:val="bottom"/>
            <w:gridSpan w:val="3"/>
          </w:tcPr>
          <w:p>
            <w:pPr>
              <w:ind w:left="640"/>
              <w:spacing w:after="0"/>
              <w:rPr>
                <w:sz w:val="20"/>
                <w:szCs w:val="20"/>
                <w:color w:val="auto"/>
              </w:rPr>
            </w:pPr>
            <w:r>
              <w:rPr>
                <w:rFonts w:ascii="Courier New" w:cs="Courier New" w:eastAsia="Courier New" w:hAnsi="Courier New"/>
                <w:sz w:val="15"/>
                <w:szCs w:val="15"/>
                <w:color w:val="auto"/>
              </w:rPr>
              <w:t>Title:  Chairman of the Board and</w:t>
            </w:r>
          </w:p>
        </w:tc>
      </w:tr>
      <w:tr>
        <w:trPr>
          <w:trHeight w:val="177"/>
        </w:trPr>
        <w:tc>
          <w:tcPr>
            <w:tcW w:w="9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Chief Executive Officer</w:t>
            </w:r>
          </w:p>
        </w:tc>
      </w:tr>
    </w:tbl>
    <w:p>
      <w:pPr>
        <w:spacing w:after="0" w:line="36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A-35</w:t>
      </w:r>
    </w:p>
    <w:p>
      <w:pPr>
        <w:sectPr>
          <w:pgSz w:w="11900" w:h="16838" w:orient="portrait"/>
          <w:cols w:equalWidth="0" w:num="1">
            <w:col w:w="10219"/>
          </w:cols>
          <w:pgMar w:left="240" w:top="295" w:right="1440" w:bottom="1440" w:gutter="0" w:footer="0" w:header="0"/>
        </w:sectPr>
      </w:pPr>
    </w:p>
    <w:bookmarkStart w:id="125" w:name="page126"/>
    <w:bookmarkEnd w:id="125"/>
    <w:p>
      <w:pPr>
        <w:ind w:left="280"/>
        <w:spacing w:after="0"/>
        <w:rPr>
          <w:sz w:val="20"/>
          <w:szCs w:val="20"/>
          <w:color w:val="auto"/>
        </w:rPr>
      </w:pPr>
      <w:r>
        <w:rPr>
          <w:rFonts w:ascii="Courier New" w:cs="Courier New" w:eastAsia="Courier New" w:hAnsi="Courier New"/>
          <w:sz w:val="15"/>
          <w:szCs w:val="15"/>
          <w:color w:val="auto"/>
        </w:rPr>
        <w:t>124</w:t>
      </w:r>
    </w:p>
    <w:p>
      <w:pPr>
        <w:spacing w:after="0" w:line="36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AMENDMENT NO. 1</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TO</w:t>
      </w:r>
    </w:p>
    <w:p>
      <w:pPr>
        <w:spacing w:after="0" w:line="36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AGREEMENT AND PLAN OF MERGER</w:t>
      </w:r>
    </w:p>
    <w:p>
      <w:pPr>
        <w:spacing w:after="0" w:line="200" w:lineRule="exact"/>
        <w:rPr>
          <w:sz w:val="20"/>
          <w:szCs w:val="20"/>
          <w:color w:val="auto"/>
        </w:rPr>
      </w:pPr>
    </w:p>
    <w:p>
      <w:pPr>
        <w:spacing w:after="0" w:line="340"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This Amendment No. 1 to Agreement and Plan of Merger ("Amendment No. 1") is made and entered this 18th day of July, 1996 by and among USA Waste Services, Inc., a Delaware corporation ("Parent"), Quatro Acquisition Corp., a Delaware corporation and a wholly owned subsidiary of Parent ("Subsidiary"), and Sanifill, Inc., a Delaware corporation (the "Company").</w:t>
      </w:r>
    </w:p>
    <w:p>
      <w:pPr>
        <w:spacing w:after="0" w:line="200" w:lineRule="exact"/>
        <w:rPr>
          <w:sz w:val="20"/>
          <w:szCs w:val="20"/>
          <w:color w:val="auto"/>
        </w:rPr>
      </w:pPr>
    </w:p>
    <w:p>
      <w:pPr>
        <w:spacing w:after="0" w:line="331" w:lineRule="exact"/>
        <w:rPr>
          <w:sz w:val="20"/>
          <w:szCs w:val="20"/>
          <w:color w:val="auto"/>
        </w:rPr>
      </w:pPr>
    </w:p>
    <w:p>
      <w:pPr>
        <w:jc w:val="both"/>
        <w:ind w:right="2839" w:firstLine="461"/>
        <w:spacing w:after="0" w:line="252" w:lineRule="auto"/>
        <w:rPr>
          <w:sz w:val="20"/>
          <w:szCs w:val="20"/>
          <w:color w:val="auto"/>
        </w:rPr>
      </w:pPr>
      <w:r>
        <w:rPr>
          <w:rFonts w:ascii="Courier New" w:cs="Courier New" w:eastAsia="Courier New" w:hAnsi="Courier New"/>
          <w:sz w:val="15"/>
          <w:szCs w:val="15"/>
          <w:color w:val="auto"/>
        </w:rPr>
        <w:t>WHEREAS, Parent, Subsidiary and the Company have previously entered into an Agreement and Plan of Merger dated as of June 22, 1996 (the "Merger Agreement") relating to the merger of Subsidiary with and into the Company; and</w:t>
      </w:r>
    </w:p>
    <w:p>
      <w:pPr>
        <w:spacing w:after="0" w:line="200" w:lineRule="exact"/>
        <w:rPr>
          <w:sz w:val="20"/>
          <w:szCs w:val="20"/>
          <w:color w:val="auto"/>
        </w:rPr>
      </w:pPr>
    </w:p>
    <w:p>
      <w:pPr>
        <w:spacing w:after="0" w:line="329" w:lineRule="exact"/>
        <w:rPr>
          <w:sz w:val="20"/>
          <w:szCs w:val="20"/>
          <w:color w:val="auto"/>
        </w:rPr>
      </w:pPr>
    </w:p>
    <w:p>
      <w:pPr>
        <w:ind w:right="3299" w:firstLine="461"/>
        <w:spacing w:after="0" w:line="253" w:lineRule="auto"/>
        <w:rPr>
          <w:sz w:val="20"/>
          <w:szCs w:val="20"/>
          <w:color w:val="auto"/>
        </w:rPr>
      </w:pPr>
      <w:r>
        <w:rPr>
          <w:rFonts w:ascii="Courier New" w:cs="Courier New" w:eastAsia="Courier New" w:hAnsi="Courier New"/>
          <w:sz w:val="15"/>
          <w:szCs w:val="15"/>
          <w:color w:val="auto"/>
        </w:rPr>
        <w:t>WHEREAS, Parent, Subsidiary and the Company desire to amend the Merger Agreement as set forth below.</w:t>
      </w:r>
    </w:p>
    <w:p>
      <w:pPr>
        <w:spacing w:after="0" w:line="200" w:lineRule="exact"/>
        <w:rPr>
          <w:sz w:val="20"/>
          <w:szCs w:val="20"/>
          <w:color w:val="auto"/>
        </w:rPr>
      </w:pPr>
    </w:p>
    <w:p>
      <w:pPr>
        <w:spacing w:after="0" w:line="329" w:lineRule="exact"/>
        <w:rPr>
          <w:sz w:val="20"/>
          <w:szCs w:val="20"/>
          <w:color w:val="auto"/>
        </w:rPr>
      </w:pPr>
    </w:p>
    <w:p>
      <w:pPr>
        <w:ind w:right="2939" w:firstLine="461"/>
        <w:spacing w:after="0" w:line="252" w:lineRule="auto"/>
        <w:rPr>
          <w:sz w:val="20"/>
          <w:szCs w:val="20"/>
          <w:color w:val="auto"/>
        </w:rPr>
      </w:pPr>
      <w:r>
        <w:rPr>
          <w:rFonts w:ascii="Courier New" w:cs="Courier New" w:eastAsia="Courier New" w:hAnsi="Courier New"/>
          <w:sz w:val="15"/>
          <w:szCs w:val="15"/>
          <w:color w:val="auto"/>
        </w:rPr>
        <w:t>NOW, THEREFORE, in consideration of the premises and the representations, warranties, covenants and agreements contained herein and in the Merger Agreement, the parties hereto, intending to be legally bound, agree as follows:</w:t>
      </w:r>
    </w:p>
    <w:p>
      <w:pPr>
        <w:spacing w:after="0" w:line="200" w:lineRule="exact"/>
        <w:rPr>
          <w:sz w:val="20"/>
          <w:szCs w:val="20"/>
          <w:color w:val="auto"/>
        </w:rPr>
      </w:pPr>
    </w:p>
    <w:p>
      <w:pPr>
        <w:spacing w:after="0" w:line="329" w:lineRule="exact"/>
        <w:rPr>
          <w:sz w:val="20"/>
          <w:szCs w:val="20"/>
          <w:color w:val="auto"/>
        </w:rPr>
      </w:pPr>
    </w:p>
    <w:p>
      <w:pPr>
        <w:ind w:left="460" w:right="2839" w:firstLine="457"/>
        <w:spacing w:after="0" w:line="253" w:lineRule="auto"/>
        <w:tabs>
          <w:tab w:leader="none" w:pos="1198"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sentence is to be added to the end of SECTION 4.19 of the Merger Agreement:</w:t>
      </w:r>
    </w:p>
    <w:p>
      <w:pPr>
        <w:spacing w:after="0" w:line="200" w:lineRule="exact"/>
        <w:rPr>
          <w:sz w:val="20"/>
          <w:szCs w:val="20"/>
          <w:color w:val="auto"/>
        </w:rPr>
      </w:pPr>
    </w:p>
    <w:p>
      <w:pPr>
        <w:spacing w:after="0" w:line="329" w:lineRule="exact"/>
        <w:rPr>
          <w:sz w:val="20"/>
          <w:szCs w:val="20"/>
          <w:color w:val="auto"/>
        </w:rPr>
      </w:pPr>
    </w:p>
    <w:p>
      <w:pPr>
        <w:ind w:left="740" w:right="2939"/>
        <w:spacing w:after="0" w:line="251" w:lineRule="auto"/>
        <w:rPr>
          <w:sz w:val="20"/>
          <w:szCs w:val="20"/>
          <w:color w:val="auto"/>
        </w:rPr>
      </w:pPr>
      <w:r>
        <w:rPr>
          <w:rFonts w:ascii="Courier New" w:cs="Courier New" w:eastAsia="Courier New" w:hAnsi="Courier New"/>
          <w:sz w:val="15"/>
          <w:szCs w:val="15"/>
          <w:color w:val="auto"/>
        </w:rPr>
        <w:t>"The affirmative vote of stockholders of Parent required for approval and adoption of the Charter Amendment (as defined in Section 8.1(j)) is a majority of the outstanding shares of Parent Common Stock entitled to vote thereon."</w:t>
      </w:r>
    </w:p>
    <w:p>
      <w:pPr>
        <w:spacing w:after="0" w:line="200" w:lineRule="exact"/>
        <w:rPr>
          <w:sz w:val="20"/>
          <w:szCs w:val="20"/>
          <w:color w:val="auto"/>
        </w:rPr>
      </w:pPr>
    </w:p>
    <w:p>
      <w:pPr>
        <w:spacing w:after="0" w:line="331" w:lineRule="exact"/>
        <w:rPr>
          <w:sz w:val="20"/>
          <w:szCs w:val="20"/>
          <w:color w:val="auto"/>
        </w:rPr>
      </w:pPr>
    </w:p>
    <w:p>
      <w:pPr>
        <w:ind w:left="460" w:right="3299" w:firstLine="457"/>
        <w:spacing w:after="0" w:line="253" w:lineRule="auto"/>
        <w:tabs>
          <w:tab w:leader="none" w:pos="1198"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7.3(b) of the Merger Agreement shall be amended in its entirety to read as follows:</w:t>
      </w:r>
    </w:p>
    <w:p>
      <w:pPr>
        <w:spacing w:after="0" w:line="200" w:lineRule="exact"/>
        <w:rPr>
          <w:sz w:val="20"/>
          <w:szCs w:val="20"/>
          <w:color w:val="auto"/>
        </w:rPr>
      </w:pPr>
    </w:p>
    <w:p>
      <w:pPr>
        <w:spacing w:after="0" w:line="329" w:lineRule="exact"/>
        <w:rPr>
          <w:sz w:val="20"/>
          <w:szCs w:val="20"/>
          <w:color w:val="auto"/>
        </w:rPr>
      </w:pPr>
    </w:p>
    <w:p>
      <w:pPr>
        <w:ind w:left="740" w:right="2839"/>
        <w:spacing w:after="0" w:line="250" w:lineRule="auto"/>
        <w:rPr>
          <w:sz w:val="20"/>
          <w:szCs w:val="20"/>
          <w:color w:val="auto"/>
        </w:rPr>
      </w:pPr>
      <w:r>
        <w:rPr>
          <w:rFonts w:ascii="Courier New" w:cs="Courier New" w:eastAsia="Courier New" w:hAnsi="Courier New"/>
          <w:sz w:val="15"/>
          <w:szCs w:val="15"/>
          <w:color w:val="auto"/>
        </w:rPr>
        <w:t>"Parent shall, as promptly as practicable, submit the Charter Amendment, this Agreement and the transactions contemplated hereby for the approval of its stockholders at a meeting of stockholders and, subject to the fiduciary duties of the Board of Directors of Parent under applicable law, shall use its reasonable best efforts to obtain stockholder approval and adoption (the "Parent Stockholders' Approval") of the Charter Amendment, this Agreement and the transactions contemplated hereby. Such meeting of stockholders shall be held as soon as practicable following the date on which the Registration Statement becomes effective. Parent shall, through its Board of Directors, subject to the fiduciary duties of the members thereof, (i) recommend to its stockholders approval of the Charter Amendment and the transactions contemplated by this Agreement and (ii) authorize and cause an officer of Parent to vote Parent's shares of Subsidiary Common Stock for adoption and approval of this Agreement and the transactions contemplated hereby and shall take all additional actions as the sole stockholder of Subsidiary necessary to adopt and approve this Agreement and the transactions contemplated hereby."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460" w:right="3299" w:firstLine="457"/>
        <w:spacing w:after="0" w:line="253" w:lineRule="auto"/>
        <w:tabs>
          <w:tab w:leader="none" w:pos="1198"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8.1 of the Merger Agreement shall be amended by adding thereto a new paragraph (j) that will read in its entirety as follows:</w:t>
      </w:r>
    </w:p>
    <w:p>
      <w:pPr>
        <w:spacing w:after="0" w:line="200" w:lineRule="exact"/>
        <w:rPr>
          <w:sz w:val="20"/>
          <w:szCs w:val="20"/>
          <w:color w:val="auto"/>
        </w:rPr>
      </w:pPr>
    </w:p>
    <w:p>
      <w:pPr>
        <w:spacing w:after="0" w:line="329" w:lineRule="exact"/>
        <w:rPr>
          <w:sz w:val="20"/>
          <w:szCs w:val="20"/>
          <w:color w:val="auto"/>
        </w:rPr>
      </w:pPr>
    </w:p>
    <w:p>
      <w:pPr>
        <w:ind w:left="740" w:right="2839"/>
        <w:spacing w:after="0" w:line="250" w:lineRule="auto"/>
        <w:rPr>
          <w:sz w:val="20"/>
          <w:szCs w:val="20"/>
          <w:color w:val="auto"/>
        </w:rPr>
      </w:pPr>
      <w:r>
        <w:rPr>
          <w:rFonts w:ascii="Courier New" w:cs="Courier New" w:eastAsia="Courier New" w:hAnsi="Courier New"/>
          <w:sz w:val="15"/>
          <w:szCs w:val="15"/>
          <w:color w:val="auto"/>
        </w:rPr>
        <w:t>"(j) the amendment to Parent's Restated Certificate of Incorporation (the "Charter Amendment") to increase the number of authorized shares of Parent Common Stock in order to ensure that there will be sufficient authorized, unissued and unreserved shares of Parent Common Stock to enable Parent to (i) effect the Merger and (ii) have available shares of Parent Common Stock for issuance upon (A) the exercise of options and warrants of Parent issued as provided in Sections 3.1(c) and 7.9 in conversion of unexpired options and warrants to purchase Company Common Stock that are outstanding at the Effective Time and (B) the conversion of the Company's 5% Convertible Subordinated Debentures due March 1, 2006, shall have been approved and adopted by the requisite vote of the</w:t>
      </w:r>
    </w:p>
    <w:p>
      <w:pPr>
        <w:sectPr>
          <w:pgSz w:w="11900" w:h="16838" w:orient="portrait"/>
          <w:cols w:equalWidth="0" w:num="1">
            <w:col w:w="10219"/>
          </w:cols>
          <w:pgMar w:left="240" w:top="295" w:right="1440" w:bottom="0" w:gutter="0" w:footer="0" w:header="0"/>
        </w:sectPr>
      </w:pPr>
    </w:p>
    <w:bookmarkStart w:id="126" w:name="page127"/>
    <w:bookmarkEnd w:id="126"/>
    <w:p>
      <w:pPr>
        <w:ind w:right="3019"/>
        <w:spacing w:after="0" w:line="252" w:lineRule="auto"/>
        <w:rPr>
          <w:sz w:val="20"/>
          <w:szCs w:val="20"/>
          <w:color w:val="auto"/>
        </w:rPr>
      </w:pPr>
      <w:r>
        <w:rPr>
          <w:rFonts w:ascii="Courier New" w:cs="Courier New" w:eastAsia="Courier New" w:hAnsi="Courier New"/>
          <w:sz w:val="15"/>
          <w:szCs w:val="15"/>
          <w:color w:val="auto"/>
        </w:rPr>
        <w:t>stockholders of Parent under applicable law, and the Charter Amendment shall have been filed with the Secretary of State of the State of Delaware and become effective."</w:t>
      </w:r>
    </w:p>
    <w:p>
      <w:pPr>
        <w:spacing w:after="0" w:line="35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Page A-36</w:t>
      </w:r>
    </w:p>
    <w:p>
      <w:pPr>
        <w:sectPr>
          <w:pgSz w:w="11900" w:h="16838" w:orient="portrait"/>
          <w:cols w:equalWidth="0" w:num="1">
            <w:col w:w="9479"/>
          </w:cols>
          <w:pgMar w:left="980" w:top="141" w:right="1440" w:bottom="1440" w:gutter="0" w:footer="0" w:header="0"/>
        </w:sectPr>
      </w:pPr>
    </w:p>
    <w:bookmarkStart w:id="127" w:name="page128"/>
    <w:bookmarkEnd w:id="127"/>
    <w:p>
      <w:pPr>
        <w:ind w:left="280"/>
        <w:spacing w:after="0"/>
        <w:rPr>
          <w:sz w:val="20"/>
          <w:szCs w:val="20"/>
          <w:color w:val="auto"/>
        </w:rPr>
      </w:pPr>
      <w:r>
        <w:rPr>
          <w:rFonts w:ascii="Courier New" w:cs="Courier New" w:eastAsia="Courier New" w:hAnsi="Courier New"/>
          <w:sz w:val="15"/>
          <w:szCs w:val="15"/>
          <w:color w:val="auto"/>
        </w:rPr>
        <w:t>125</w:t>
      </w:r>
    </w:p>
    <w:p>
      <w:pPr>
        <w:spacing w:after="0" w:line="362" w:lineRule="exact"/>
        <w:rPr>
          <w:sz w:val="20"/>
          <w:szCs w:val="20"/>
          <w:color w:val="auto"/>
        </w:rPr>
      </w:pPr>
    </w:p>
    <w:p>
      <w:pPr>
        <w:jc w:val="both"/>
        <w:ind w:right="3219" w:firstLine="461"/>
        <w:spacing w:after="0" w:line="252" w:lineRule="auto"/>
        <w:rPr>
          <w:sz w:val="20"/>
          <w:szCs w:val="20"/>
          <w:color w:val="auto"/>
        </w:rPr>
      </w:pPr>
      <w:r>
        <w:rPr>
          <w:rFonts w:ascii="Courier New" w:cs="Courier New" w:eastAsia="Courier New" w:hAnsi="Courier New"/>
          <w:sz w:val="15"/>
          <w:szCs w:val="15"/>
          <w:color w:val="auto"/>
        </w:rPr>
        <w:t>IN WITNESS WHEREOF, the parties hereto have caused this Amendment to be signed by their duly authorized representatives as of the day and year first above written.</w:t>
      </w:r>
    </w:p>
    <w:p>
      <w:pPr>
        <w:spacing w:after="0" w:line="200" w:lineRule="exact"/>
        <w:rPr>
          <w:sz w:val="20"/>
          <w:szCs w:val="20"/>
          <w:color w:val="auto"/>
        </w:rPr>
      </w:pPr>
    </w:p>
    <w:p>
      <w:pPr>
        <w:spacing w:after="0" w:line="329"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USA WASTE SERVICES, INC.</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ectPr>
          <w:pgSz w:w="11900" w:h="16838" w:orient="portrait"/>
          <w:cols w:equalWidth="0" w:num="1">
            <w:col w:w="10219"/>
          </w:cols>
          <w:pgMar w:left="240" w:top="295" w:right="1440" w:bottom="1440" w:gutter="0" w:footer="0" w:header="0"/>
        </w:sectPr>
      </w:pPr>
    </w:p>
    <w:p>
      <w:pPr>
        <w:spacing w:after="0" w:line="185" w:lineRule="exact"/>
        <w:rPr>
          <w:sz w:val="20"/>
          <w:szCs w:val="20"/>
          <w:color w:val="auto"/>
        </w:rPr>
      </w:pPr>
    </w:p>
    <w:p>
      <w:pPr>
        <w:ind w:left="460"/>
        <w:spacing w:after="0"/>
        <w:tabs>
          <w:tab w:leader="none" w:pos="900" w:val="left"/>
        </w:tabs>
        <w:rPr>
          <w:sz w:val="20"/>
          <w:szCs w:val="20"/>
          <w:color w:val="auto"/>
        </w:rPr>
      </w:pPr>
      <w:r>
        <w:rPr>
          <w:rFonts w:ascii="Courier New" w:cs="Courier New" w:eastAsia="Courier New" w:hAnsi="Courier New"/>
          <w:sz w:val="15"/>
          <w:szCs w:val="15"/>
          <w:color w:val="auto"/>
        </w:rPr>
        <w:t>/s/</w:t>
        <w:tab/>
        <w:t>GREGORY T. SANGALIS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Secretary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740"/>
        <w:spacing w:after="0"/>
        <w:tabs>
          <w:tab w:leader="none" w:pos="1180" w:val="left"/>
        </w:tabs>
        <w:rPr>
          <w:sz w:val="20"/>
          <w:szCs w:val="20"/>
          <w:color w:val="auto"/>
        </w:rPr>
      </w:pPr>
      <w:r>
        <w:rPr>
          <w:rFonts w:ascii="Courier New" w:cs="Courier New" w:eastAsia="Courier New" w:hAnsi="Courier New"/>
          <w:sz w:val="15"/>
          <w:szCs w:val="15"/>
          <w:color w:val="auto"/>
        </w:rPr>
        <w:t>/s/</w:t>
        <w:tab/>
        <w:t>JOHN E. DRURY</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E. Drury, Chairman of the Board</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and Chief Executive Officer</w:t>
      </w:r>
    </w:p>
    <w:p>
      <w:pPr>
        <w:spacing w:after="0" w:line="185" w:lineRule="exact"/>
        <w:rPr>
          <w:sz w:val="20"/>
          <w:szCs w:val="20"/>
          <w:color w:val="auto"/>
        </w:rPr>
      </w:pPr>
    </w:p>
    <w:p>
      <w:pPr>
        <w:sectPr>
          <w:pgSz w:w="11900" w:h="16838" w:orient="portrait"/>
          <w:cols w:equalWidth="0" w:num="3">
            <w:col w:w="3620" w:space="720"/>
            <w:col w:w="260" w:space="200"/>
            <w:col w:w="5419"/>
          </w:cols>
          <w:pgMar w:left="240" w:top="295" w:right="1440" w:bottom="1440" w:gutter="0" w:footer="0" w:header="0"/>
          <w:type w:val="continuous"/>
        </w:sectPr>
      </w:pPr>
    </w:p>
    <w:p>
      <w:pPr>
        <w:ind w:left="4340"/>
        <w:spacing w:after="0"/>
        <w:rPr>
          <w:sz w:val="20"/>
          <w:szCs w:val="20"/>
          <w:color w:val="auto"/>
        </w:rPr>
      </w:pPr>
      <w:r>
        <w:rPr>
          <w:rFonts w:ascii="Courier New" w:cs="Courier New" w:eastAsia="Courier New" w:hAnsi="Courier New"/>
          <w:sz w:val="15"/>
          <w:szCs w:val="15"/>
          <w:color w:val="auto"/>
        </w:rPr>
        <w:t>QUATRO ACQUISITION CORP.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ectPr>
          <w:pgSz w:w="11900" w:h="16838" w:orient="portrait"/>
          <w:cols w:equalWidth="0" w:num="1">
            <w:col w:w="10219"/>
          </w:cols>
          <w:pgMar w:left="240" w:top="295" w:right="1440" w:bottom="1440" w:gutter="0" w:footer="0" w:header="0"/>
          <w:type w:val="continuous"/>
        </w:sectPr>
      </w:pPr>
    </w:p>
    <w:p>
      <w:pPr>
        <w:spacing w:after="0" w:line="185" w:lineRule="exact"/>
        <w:rPr>
          <w:sz w:val="20"/>
          <w:szCs w:val="20"/>
          <w:color w:val="auto"/>
        </w:rPr>
      </w:pPr>
    </w:p>
    <w:p>
      <w:pPr>
        <w:ind w:left="460"/>
        <w:spacing w:after="0"/>
        <w:tabs>
          <w:tab w:leader="none" w:pos="900" w:val="left"/>
        </w:tabs>
        <w:rPr>
          <w:sz w:val="20"/>
          <w:szCs w:val="20"/>
          <w:color w:val="auto"/>
        </w:rPr>
      </w:pPr>
      <w:r>
        <w:rPr>
          <w:rFonts w:ascii="Courier New" w:cs="Courier New" w:eastAsia="Courier New" w:hAnsi="Courier New"/>
          <w:sz w:val="15"/>
          <w:szCs w:val="15"/>
          <w:color w:val="auto"/>
        </w:rPr>
        <w:t>/s/</w:t>
        <w:tab/>
        <w:t>GREGORY T. SANGALIS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Secretary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840"/>
        <w:spacing w:after="0"/>
        <w:tabs>
          <w:tab w:leader="none" w:pos="1280" w:val="left"/>
        </w:tabs>
        <w:rPr>
          <w:sz w:val="20"/>
          <w:szCs w:val="20"/>
          <w:color w:val="auto"/>
        </w:rPr>
      </w:pPr>
      <w:r>
        <w:rPr>
          <w:rFonts w:ascii="Courier New" w:cs="Courier New" w:eastAsia="Courier New" w:hAnsi="Courier New"/>
          <w:sz w:val="15"/>
          <w:szCs w:val="15"/>
          <w:color w:val="auto"/>
        </w:rPr>
        <w:t>/s/</w:t>
        <w:tab/>
        <w:t>JOHN E. DRURY</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E. Drury, Chief Executive Officer</w:t>
      </w:r>
    </w:p>
    <w:p>
      <w:pPr>
        <w:spacing w:after="0" w:line="185" w:lineRule="exact"/>
        <w:rPr>
          <w:sz w:val="20"/>
          <w:szCs w:val="20"/>
          <w:color w:val="auto"/>
        </w:rPr>
      </w:pPr>
    </w:p>
    <w:p>
      <w:pPr>
        <w:sectPr>
          <w:pgSz w:w="11900" w:h="16838" w:orient="portrait"/>
          <w:cols w:equalWidth="0" w:num="3">
            <w:col w:w="3620" w:space="720"/>
            <w:col w:w="260" w:space="100"/>
            <w:col w:w="5519"/>
          </w:cols>
          <w:pgMar w:left="240" w:top="295" w:right="1440" w:bottom="1440" w:gutter="0" w:footer="0" w:header="0"/>
          <w:type w:val="continuous"/>
        </w:sectPr>
      </w:pPr>
    </w:p>
    <w:p>
      <w:pPr>
        <w:jc w:val="center"/>
        <w:ind w:right="259"/>
        <w:spacing w:after="0"/>
        <w:rPr>
          <w:sz w:val="20"/>
          <w:szCs w:val="20"/>
          <w:color w:val="auto"/>
        </w:rPr>
      </w:pPr>
      <w:r>
        <w:rPr>
          <w:rFonts w:ascii="Courier New" w:cs="Courier New" w:eastAsia="Courier New" w:hAnsi="Courier New"/>
          <w:sz w:val="15"/>
          <w:szCs w:val="15"/>
          <w:color w:val="auto"/>
        </w:rPr>
        <w:t>SANIFILL, INC.</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ectPr>
          <w:pgSz w:w="11900" w:h="16838" w:orient="portrait"/>
          <w:cols w:equalWidth="0" w:num="1">
            <w:col w:w="10219"/>
          </w:cols>
          <w:pgMar w:left="240" w:top="295" w:right="1440" w:bottom="1440" w:gutter="0" w:footer="0" w:header="0"/>
          <w:type w:val="continuous"/>
        </w:sectPr>
      </w:pPr>
    </w:p>
    <w:p>
      <w:pPr>
        <w:spacing w:after="0" w:line="185" w:lineRule="exact"/>
        <w:rPr>
          <w:sz w:val="20"/>
          <w:szCs w:val="20"/>
          <w:color w:val="auto"/>
        </w:rPr>
      </w:pPr>
    </w:p>
    <w:p>
      <w:pPr>
        <w:ind w:left="640"/>
        <w:spacing w:after="0"/>
        <w:tabs>
          <w:tab w:leader="none" w:pos="1080" w:val="left"/>
        </w:tabs>
        <w:rPr>
          <w:sz w:val="20"/>
          <w:szCs w:val="20"/>
          <w:color w:val="auto"/>
        </w:rPr>
      </w:pPr>
      <w:r>
        <w:rPr>
          <w:rFonts w:ascii="Courier New" w:cs="Courier New" w:eastAsia="Courier New" w:hAnsi="Courier New"/>
          <w:sz w:val="15"/>
          <w:szCs w:val="15"/>
          <w:color w:val="auto"/>
        </w:rPr>
        <w:t>/s/</w:t>
        <w:tab/>
        <w:t>H. STEVEN WALTON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Secretary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820"/>
        <w:spacing w:after="0"/>
        <w:tabs>
          <w:tab w:leader="none" w:pos="1260" w:val="left"/>
        </w:tabs>
        <w:rPr>
          <w:sz w:val="20"/>
          <w:szCs w:val="20"/>
          <w:color w:val="auto"/>
        </w:rPr>
      </w:pPr>
      <w:r>
        <w:rPr>
          <w:rFonts w:ascii="Courier New" w:cs="Courier New" w:eastAsia="Courier New" w:hAnsi="Courier New"/>
          <w:sz w:val="15"/>
          <w:szCs w:val="15"/>
          <w:color w:val="auto"/>
        </w:rPr>
        <w:t>/s/</w:t>
        <w:tab/>
        <w:t>LORNE D. BAIN</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Lorne D. Bain, Chairman of the Board</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and Chief Executive Officer</w:t>
      </w:r>
    </w:p>
    <w:p>
      <w:pPr>
        <w:spacing w:after="0" w:line="200" w:lineRule="exact"/>
        <w:rPr>
          <w:sz w:val="20"/>
          <w:szCs w:val="20"/>
          <w:color w:val="auto"/>
        </w:rPr>
      </w:pPr>
    </w:p>
    <w:p>
      <w:pPr>
        <w:sectPr>
          <w:pgSz w:w="11900" w:h="16838" w:orient="portrait"/>
          <w:cols w:equalWidth="0" w:num="3">
            <w:col w:w="3620" w:space="720"/>
            <w:col w:w="260" w:space="200"/>
            <w:col w:w="5419"/>
          </w:cols>
          <w:pgMar w:left="240" w:top="295" w:right="1440" w:bottom="1440" w:gutter="0" w:footer="0" w:header="0"/>
          <w:type w:val="continuous"/>
        </w:sectPr>
      </w:pP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A-37</w:t>
      </w:r>
    </w:p>
    <w:p>
      <w:pPr>
        <w:sectPr>
          <w:pgSz w:w="11900" w:h="16838" w:orient="portrait"/>
          <w:cols w:equalWidth="0" w:num="1">
            <w:col w:w="10219"/>
          </w:cols>
          <w:pgMar w:left="240" w:top="295" w:right="1440" w:bottom="1440" w:gutter="0" w:footer="0" w:header="0"/>
          <w:type w:val="continuous"/>
        </w:sectPr>
      </w:pPr>
    </w:p>
    <w:bookmarkStart w:id="128" w:name="page129"/>
    <w:bookmarkEnd w:id="128"/>
    <w:p>
      <w:pPr>
        <w:ind w:left="280"/>
        <w:spacing w:after="0"/>
        <w:rPr>
          <w:sz w:val="20"/>
          <w:szCs w:val="20"/>
          <w:color w:val="auto"/>
        </w:rPr>
      </w:pPr>
      <w:r>
        <w:rPr>
          <w:rFonts w:ascii="Courier New" w:cs="Courier New" w:eastAsia="Courier New" w:hAnsi="Courier New"/>
          <w:sz w:val="15"/>
          <w:szCs w:val="15"/>
          <w:color w:val="auto"/>
        </w:rPr>
        <w:t>126</w:t>
      </w:r>
    </w:p>
    <w:p>
      <w:pPr>
        <w:spacing w:after="0" w:line="185"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ANNEX B</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[DONALDSON, LUFKIN &amp; JENRETTE LETTERHEAD]</w:t>
      </w:r>
    </w:p>
    <w:p>
      <w:pPr>
        <w:spacing w:after="0" w:line="185"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June 21, 1996</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5400 LBJ Freeway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Tower One, Suite 300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TX 75240</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You have requested our opinion as to the fairness from a financial point of view to USA Waste Services, Inc. ("USA Waste" or the "Company") of the Exchange Ratio (as defined below) provided for in the Agreement and Plan of Merger (the "Agreement") to be entered into by and among USA Waste, Quatro Acquisition Corp. and Sanifill, Inc. ("Sanifill") pursuant to which Quatro Acquisition Corp. will be merged with and into Sanifill.</w:t>
      </w:r>
    </w:p>
    <w:p>
      <w:pPr>
        <w:spacing w:after="0" w:line="176" w:lineRule="exact"/>
        <w:rPr>
          <w:sz w:val="20"/>
          <w:szCs w:val="20"/>
          <w:color w:val="auto"/>
        </w:rPr>
      </w:pPr>
    </w:p>
    <w:p>
      <w:pPr>
        <w:ind w:right="2939" w:firstLine="461"/>
        <w:spacing w:after="0" w:line="252" w:lineRule="auto"/>
        <w:rPr>
          <w:sz w:val="20"/>
          <w:szCs w:val="20"/>
          <w:color w:val="auto"/>
        </w:rPr>
      </w:pPr>
      <w:r>
        <w:rPr>
          <w:rFonts w:ascii="Courier New" w:cs="Courier New" w:eastAsia="Courier New" w:hAnsi="Courier New"/>
          <w:sz w:val="15"/>
          <w:szCs w:val="15"/>
          <w:color w:val="auto"/>
        </w:rPr>
        <w:t>Pursuant to the Agreement, each share of common stock of Sanifill will be converted into the right to receive 1.70 shares of common stock, $.01 par value per share of the Company (the "Exchange Ratio").</w:t>
      </w:r>
    </w:p>
    <w:p>
      <w:pPr>
        <w:spacing w:after="0" w:line="17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In arriving at our opinion, we have reviewed the draft of the Agreement dated June 19, 1996 as well as financial and other information that was publicly available or furnished to us by the Company and Sanifill including information provided during discussions with their respective managements. Included in the information provided during discussions with the respective managements were certain financial projections of the Company prepared by the management of the Company, certain financial projections of Sanifill prepared by the management of Sanifill and certain financial information of the Company and Sanifill on a combined basis prepared by the Company. In addition, we have compared certain financial and securities data of the Company and Sanifill with various other companies whose securities are traded in public markets, reviewed the historical stock prices and trading volumes of the common stock of the Company, reviewed prices and premiums paid in other business combinations and conducted such other financial studies, analyses and investigations as we deemed appropriate for purposes of this opinion.</w:t>
      </w:r>
    </w:p>
    <w:p>
      <w:pPr>
        <w:spacing w:after="0" w:line="184"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In rendering our opinion, we have relied upon and assumed the accuracy, completeness and fairness of all of the financial and other information that was available to us from public sources, that was provided to us by the Company, and Sanifill and their respective representatives, or that was otherwise reviewed by us. In particular, we have relied upon the estimates of the managements of the Company and Sanifill of the operating synergies achievable as a result of the proposed merger and upon our discussion of such synergies with the managements of the Company and Sanifill. With respect to the financial projections supplied to us, we have assumed that they have been reasonably prepared on the basis reflecting the best currently available estimates and judgments of the management of the Company and Sanifill as to the future operating and financial performance of the Company and Sanifill.</w:t>
      </w:r>
    </w:p>
    <w:p>
      <w:pPr>
        <w:spacing w:after="0" w:line="183" w:lineRule="exact"/>
        <w:rPr>
          <w:sz w:val="20"/>
          <w:szCs w:val="20"/>
          <w:color w:val="auto"/>
        </w:rPr>
      </w:pPr>
    </w:p>
    <w:p>
      <w:pPr>
        <w:ind w:right="2939" w:firstLine="461"/>
        <w:spacing w:after="0" w:line="252" w:lineRule="auto"/>
        <w:rPr>
          <w:sz w:val="20"/>
          <w:szCs w:val="20"/>
          <w:color w:val="auto"/>
        </w:rPr>
      </w:pPr>
      <w:r>
        <w:rPr>
          <w:rFonts w:ascii="Courier New" w:cs="Courier New" w:eastAsia="Courier New" w:hAnsi="Courier New"/>
          <w:sz w:val="15"/>
          <w:szCs w:val="15"/>
          <w:color w:val="auto"/>
        </w:rPr>
        <w:t>We have not assumed any responsibility for making any independent evaluation of assets or liabilities of the Company or Sanifill or for independently verifying any of the information reviewed by us. In rendering our</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19"/>
          </w:cols>
          <w:pgMar w:left="240" w:top="295" w:right="1440" w:bottom="1440" w:gutter="0" w:footer="0" w:header="0"/>
        </w:sectPr>
      </w:pPr>
    </w:p>
    <w:bookmarkStart w:id="129" w:name="page130"/>
    <w:bookmarkEnd w:id="129"/>
    <w:p>
      <w:pPr>
        <w:ind w:left="280"/>
        <w:spacing w:after="0"/>
        <w:rPr>
          <w:sz w:val="20"/>
          <w:szCs w:val="20"/>
          <w:color w:val="auto"/>
        </w:rPr>
      </w:pPr>
      <w:r>
        <w:rPr>
          <w:rFonts w:ascii="Courier New" w:cs="Courier New" w:eastAsia="Courier New" w:hAnsi="Courier New"/>
          <w:sz w:val="15"/>
          <w:szCs w:val="15"/>
          <w:color w:val="auto"/>
        </w:rPr>
        <w:t>127</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opinion, we did not perform any procedures or analysis regarding potential environmental liabilities of either the Company or Sanifill, nor did we consider the impact of changes in the regulatory environment in which the Company and Sanifill operate. We have relied as to all legal matters on advice of counsel to the Company.</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Our opinion is necessarily based on economic, market, financial and other conditions as they exist on, and on the information made available to us as of, the date of this letter and does not represent an opinion as to the price at which shares of the Company will trade following the consummation of the Agreement. It should be understood that, although subsequent developments may affect this opinion, we do not have any obligation to update, revise or reaffirm this opinion. Our opinion addresses only the fairness of the Exchange Ratio to the Company from a financial point of view. Our opinion does not constitute a recommendation to any shareholder as to how such shareholder should vote on the proposed transaction.</w:t>
      </w:r>
    </w:p>
    <w:p>
      <w:pPr>
        <w:spacing w:after="0" w:line="182"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Donaldson, Lufkin &amp; Jenrette Securities Corporation ("DLJ"), as part of its investment banking services, is regularly engaged in the valuation of businesses and securities in connection with mergers, acquisitions, underwritings, sales and distributions of listed and unlisted securities, private placement and valuations for estate, corporate and other purposes. DLJ has performed investment banking and other services for the Company in the past, including (i) acting as USA Waste's financial advisor in connection with USA Waste's merger with Chambers Development Co., Inc. completed in June 1995; (ii) acting as the lead manager in a public offering of USA Waste common stock completed in October 1995; and (iii) acting as USA Waste's financial advisor in connection with USA Waste's merger with Western Waste Industries completed in May 1996. DLJ has performed investment banking and other services for Sanifill in the past, including (i) acting as a co-manager in a public offering of Sanifill common stock completed in August 1995 and (ii) acting as the lead manager in a public offering of Sanifill convertible subordinated debentures completed in March 1996. In addition, in the ordinary course of our business, we trade the securities of the Company and Sanifill for our own account and for the accounts of customers, and, accordingly, may at any time hold a long or short position in such securities.</w:t>
      </w:r>
    </w:p>
    <w:p>
      <w:pPr>
        <w:spacing w:after="0" w:line="363" w:lineRule="exact"/>
        <w:rPr>
          <w:sz w:val="20"/>
          <w:szCs w:val="20"/>
          <w:color w:val="auto"/>
        </w:rPr>
      </w:pPr>
    </w:p>
    <w:p>
      <w:pPr>
        <w:ind w:right="2839" w:firstLine="461"/>
        <w:spacing w:after="0" w:line="252" w:lineRule="auto"/>
        <w:rPr>
          <w:sz w:val="20"/>
          <w:szCs w:val="20"/>
          <w:color w:val="auto"/>
        </w:rPr>
      </w:pPr>
      <w:r>
        <w:rPr>
          <w:rFonts w:ascii="Courier New" w:cs="Courier New" w:eastAsia="Courier New" w:hAnsi="Courier New"/>
          <w:sz w:val="15"/>
          <w:szCs w:val="15"/>
          <w:color w:val="auto"/>
        </w:rPr>
        <w:t>Based upon the foregoing and such other factors as we deem relevant, we are of the opinion that the Exchange Ratio is fair to the Company from a financial point of view.</w:t>
      </w:r>
    </w:p>
    <w:p>
      <w:pPr>
        <w:spacing w:after="0" w:line="175"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Very truly yours,</w:t>
      </w:r>
    </w:p>
    <w:p>
      <w:pPr>
        <w:spacing w:after="0" w:line="185"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/s/ DONALDSON, LUFKIN &amp; JENRETTE</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SECURITIES CORPORATION</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19"/>
          </w:cols>
          <w:pgMar w:left="240" w:top="295" w:right="1440" w:bottom="1440" w:gutter="0" w:footer="0" w:header="0"/>
        </w:sectPr>
      </w:pPr>
    </w:p>
    <w:bookmarkStart w:id="130" w:name="page131"/>
    <w:bookmarkEnd w:id="130"/>
    <w:p>
      <w:pPr>
        <w:ind w:left="280"/>
        <w:spacing w:after="0"/>
        <w:rPr>
          <w:sz w:val="20"/>
          <w:szCs w:val="20"/>
          <w:color w:val="auto"/>
        </w:rPr>
      </w:pPr>
      <w:r>
        <w:rPr>
          <w:rFonts w:ascii="Courier New" w:cs="Courier New" w:eastAsia="Courier New" w:hAnsi="Courier New"/>
          <w:sz w:val="15"/>
          <w:szCs w:val="15"/>
          <w:color w:val="auto"/>
        </w:rPr>
        <w:t>128</w:t>
      </w:r>
    </w:p>
    <w:p>
      <w:pPr>
        <w:spacing w:after="0" w:line="185"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ANNEX C</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[MERRILL LYNCH, PIERCE, FENNER &amp; SMITH INCORPORATED LETTERHEAD]</w:t>
      </w:r>
    </w:p>
    <w:p>
      <w:pPr>
        <w:spacing w:after="0" w:line="185"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June 21, 1996</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Sanifill,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2777 Allen Parkway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700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 77019-2155</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Sanifill, Inc. (the "Company"), USA Waste Services, Inc. (the "Issuer") and a wholly owned subsidiary of the Issuer (the "Merger Sub") propose to enter into an agreement (the "Agreement") pursuant to which Merger Sub will be merged with the Company in a transaction (the "Merger") in which each outstanding share of the Company's common stock, par value $.01 per share (the "Shares"), will be converted into the right to receive 1.7 shares (the "Exchange Ratio") of the common stock of the Issuer, par value $.01 per share (the "Issuer Shares"). In connection with the Merger, the parties also propose to enter into a voting agreement with each of certain stockholders of the Issuer and certain stockholders of the Company (each, a "Voting Agreement") pursuant to which such stockholders will agree, among other things, to vote shares held by them in favor of the Merger.</w:t>
      </w:r>
    </w:p>
    <w:p>
      <w:pPr>
        <w:spacing w:after="0" w:line="183" w:lineRule="exact"/>
        <w:rPr>
          <w:sz w:val="20"/>
          <w:szCs w:val="20"/>
          <w:color w:val="auto"/>
        </w:rPr>
      </w:pPr>
    </w:p>
    <w:p>
      <w:pPr>
        <w:ind w:right="3119" w:firstLine="461"/>
        <w:spacing w:after="0" w:line="253" w:lineRule="auto"/>
        <w:rPr>
          <w:sz w:val="20"/>
          <w:szCs w:val="20"/>
          <w:color w:val="auto"/>
        </w:rPr>
      </w:pPr>
      <w:r>
        <w:rPr>
          <w:rFonts w:ascii="Courier New" w:cs="Courier New" w:eastAsia="Courier New" w:hAnsi="Courier New"/>
          <w:sz w:val="15"/>
          <w:szCs w:val="15"/>
          <w:color w:val="auto"/>
        </w:rPr>
        <w:t>You have asked us whether, in our opinion, the Exchange Ratio is fair to the stockholders of the Company from a financial point of view.</w:t>
      </w:r>
    </w:p>
    <w:p>
      <w:pPr>
        <w:spacing w:after="0" w:line="17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 arriving at the opinion set forth below, we have, among other things:</w:t>
      </w:r>
    </w:p>
    <w:p>
      <w:pPr>
        <w:spacing w:after="0" w:line="185" w:lineRule="exact"/>
        <w:rPr>
          <w:sz w:val="20"/>
          <w:szCs w:val="20"/>
          <w:color w:val="auto"/>
        </w:rPr>
      </w:pPr>
    </w:p>
    <w:p>
      <w:pPr>
        <w:ind w:left="820" w:right="2839" w:hanging="272"/>
        <w:spacing w:after="0" w:line="251" w:lineRule="auto"/>
        <w:tabs>
          <w:tab w:leader="none" w:pos="82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Company's Annual Reports, Forms 10-K and related financial information for the three fiscal years ended December 31, 1995 and the Company's Form 10-Q and the related unaudited financial information for the quarterly period ending March 31, 1996;</w:t>
      </w:r>
    </w:p>
    <w:p>
      <w:pPr>
        <w:spacing w:after="0" w:line="176" w:lineRule="exact"/>
        <w:rPr>
          <w:rFonts w:ascii="Courier New" w:cs="Courier New" w:eastAsia="Courier New" w:hAnsi="Courier New"/>
          <w:sz w:val="15"/>
          <w:szCs w:val="15"/>
          <w:color w:val="auto"/>
        </w:rPr>
      </w:pPr>
    </w:p>
    <w:p>
      <w:pPr>
        <w:ind w:left="820" w:right="2839" w:hanging="272"/>
        <w:spacing w:after="0" w:line="251" w:lineRule="auto"/>
        <w:tabs>
          <w:tab w:leader="none" w:pos="82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Issuer's Annual Reports, Forms 10-K and related financial information for the three fiscal years ended December 31, 1995 and the Issuer's Form 10-Q and the related unaudited financial information for the quarterly period ending March 31, 1996 and certain other filings, including registration statements, Form 8-Ks and proxy statements, with the Securities and Exchange Commission made by the Issuer during the last three years;</w:t>
      </w:r>
    </w:p>
    <w:p>
      <w:pPr>
        <w:spacing w:after="0" w:line="175" w:lineRule="exact"/>
        <w:rPr>
          <w:rFonts w:ascii="Courier New" w:cs="Courier New" w:eastAsia="Courier New" w:hAnsi="Courier New"/>
          <w:sz w:val="15"/>
          <w:szCs w:val="15"/>
          <w:color w:val="auto"/>
        </w:rPr>
      </w:pPr>
    </w:p>
    <w:p>
      <w:pPr>
        <w:ind w:left="820" w:right="2939" w:hanging="272"/>
        <w:spacing w:after="0" w:line="252" w:lineRule="auto"/>
        <w:tabs>
          <w:tab w:leader="none" w:pos="82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information, including financial forecasts, relating to the business, earnings, cash flow, assets and prospects of the Company and the Issuer, furnished to us by the Company and the Issuer;</w:t>
      </w:r>
    </w:p>
    <w:p>
      <w:pPr>
        <w:spacing w:after="0" w:line="174" w:lineRule="exact"/>
        <w:rPr>
          <w:rFonts w:ascii="Courier New" w:cs="Courier New" w:eastAsia="Courier New" w:hAnsi="Courier New"/>
          <w:sz w:val="15"/>
          <w:szCs w:val="15"/>
          <w:color w:val="auto"/>
        </w:rPr>
      </w:pPr>
    </w:p>
    <w:p>
      <w:pPr>
        <w:ind w:left="820" w:right="2939" w:hanging="272"/>
        <w:spacing w:after="0" w:line="253" w:lineRule="auto"/>
        <w:tabs>
          <w:tab w:leader="none" w:pos="82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Conducted discussions with members of senior management of the Company and the Issuer concerning their respective businesses and prospects;</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19"/>
          </w:cols>
          <w:pgMar w:left="240" w:top="295" w:right="1440" w:bottom="1440" w:gutter="0" w:footer="0" w:header="0"/>
        </w:sectPr>
      </w:pPr>
    </w:p>
    <w:bookmarkStart w:id="131" w:name="page132"/>
    <w:bookmarkEnd w:id="131"/>
    <w:p>
      <w:pPr>
        <w:ind w:left="280"/>
        <w:spacing w:after="0"/>
        <w:rPr>
          <w:sz w:val="20"/>
          <w:szCs w:val="20"/>
          <w:color w:val="auto"/>
        </w:rPr>
      </w:pPr>
      <w:r>
        <w:rPr>
          <w:rFonts w:ascii="Courier New" w:cs="Courier New" w:eastAsia="Courier New" w:hAnsi="Courier New"/>
          <w:sz w:val="15"/>
          <w:szCs w:val="15"/>
          <w:color w:val="auto"/>
        </w:rPr>
        <w:t>129</w:t>
      </w:r>
    </w:p>
    <w:p>
      <w:pPr>
        <w:spacing w:after="0" w:line="185" w:lineRule="exact"/>
        <w:rPr>
          <w:sz w:val="20"/>
          <w:szCs w:val="20"/>
          <w:color w:val="auto"/>
        </w:rPr>
      </w:pPr>
    </w:p>
    <w:p>
      <w:pPr>
        <w:ind w:left="820" w:right="3019" w:hanging="272"/>
        <w:spacing w:after="0" w:line="251" w:lineRule="auto"/>
        <w:tabs>
          <w:tab w:leader="none" w:pos="8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historical market prices and trading activity for the Shares and the Issuer Shares and compared them with that of certain publicly traded companies which we deemed to be reasonably similar to the Company and the Issuer, respectively;</w:t>
      </w:r>
    </w:p>
    <w:p>
      <w:pPr>
        <w:spacing w:after="0" w:line="176" w:lineRule="exact"/>
        <w:rPr>
          <w:rFonts w:ascii="Courier New" w:cs="Courier New" w:eastAsia="Courier New" w:hAnsi="Courier New"/>
          <w:sz w:val="15"/>
          <w:szCs w:val="15"/>
          <w:color w:val="auto"/>
        </w:rPr>
      </w:pPr>
    </w:p>
    <w:p>
      <w:pPr>
        <w:jc w:val="both"/>
        <w:ind w:left="820" w:right="3019" w:hanging="272"/>
        <w:spacing w:after="0" w:line="252" w:lineRule="auto"/>
        <w:tabs>
          <w:tab w:leader="none" w:pos="8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Compared the results of operations of the Company and the Issuer with that of certain companies which we deemed to be reasonably similar to the Company and the Issuer, respectively;</w:t>
      </w:r>
    </w:p>
    <w:p>
      <w:pPr>
        <w:spacing w:after="0" w:line="174" w:lineRule="exact"/>
        <w:rPr>
          <w:rFonts w:ascii="Courier New" w:cs="Courier New" w:eastAsia="Courier New" w:hAnsi="Courier New"/>
          <w:sz w:val="15"/>
          <w:szCs w:val="15"/>
          <w:color w:val="auto"/>
        </w:rPr>
      </w:pPr>
    </w:p>
    <w:p>
      <w:pPr>
        <w:jc w:val="both"/>
        <w:ind w:left="820" w:right="2939" w:hanging="272"/>
        <w:spacing w:after="0" w:line="252" w:lineRule="auto"/>
        <w:tabs>
          <w:tab w:leader="none" w:pos="8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Compared the proposed financial terms of the transactions contemplated by the Agreement with the financial terms of certain other mergers and acquisitions which we deemed to be relevant;</w:t>
      </w:r>
    </w:p>
    <w:p>
      <w:pPr>
        <w:spacing w:after="0" w:line="174" w:lineRule="exact"/>
        <w:rPr>
          <w:rFonts w:ascii="Courier New" w:cs="Courier New" w:eastAsia="Courier New" w:hAnsi="Courier New"/>
          <w:sz w:val="15"/>
          <w:szCs w:val="15"/>
          <w:color w:val="auto"/>
        </w:rPr>
      </w:pPr>
    </w:p>
    <w:p>
      <w:pPr>
        <w:ind w:left="820" w:hanging="272"/>
        <w:spacing w:after="0"/>
        <w:tabs>
          <w:tab w:leader="none" w:pos="8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a draft of the Agreement dated June 19, 1996;</w:t>
      </w:r>
    </w:p>
    <w:p>
      <w:pPr>
        <w:spacing w:after="0" w:line="184" w:lineRule="exact"/>
        <w:rPr>
          <w:rFonts w:ascii="Courier New" w:cs="Courier New" w:eastAsia="Courier New" w:hAnsi="Courier New"/>
          <w:sz w:val="15"/>
          <w:szCs w:val="15"/>
          <w:color w:val="auto"/>
        </w:rPr>
      </w:pPr>
    </w:p>
    <w:p>
      <w:pPr>
        <w:ind w:left="820" w:hanging="272"/>
        <w:spacing w:after="0"/>
        <w:tabs>
          <w:tab w:leader="none" w:pos="8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a draft of the Voting Agreement dated June 15, 1996; and</w:t>
      </w:r>
    </w:p>
    <w:p>
      <w:pPr>
        <w:spacing w:after="0" w:line="184" w:lineRule="exact"/>
        <w:rPr>
          <w:rFonts w:ascii="Courier New" w:cs="Courier New" w:eastAsia="Courier New" w:hAnsi="Courier New"/>
          <w:sz w:val="15"/>
          <w:szCs w:val="15"/>
          <w:color w:val="auto"/>
        </w:rPr>
      </w:pPr>
    </w:p>
    <w:p>
      <w:pPr>
        <w:ind w:left="820" w:right="2939" w:hanging="364"/>
        <w:spacing w:after="0" w:line="251" w:lineRule="auto"/>
        <w:tabs>
          <w:tab w:leader="none" w:pos="8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such other financial studies and analyses and performed such other investigations and took into account such other matters as we deemed necessary, including our assessment of general economic, market and monetary conditions.</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In preparing our opinion, we have relied on the accuracy and completeness of all information supplied or otherwise made available to us by the Company and the Issuer, and we have not independently verified such information or undertaken an independent appraisal of the assets or liabilities of the Company or the Issuer nor have we been furnished with any such appraisals. With respect to the financial forecasts furnished by the Company and the Issuer, we have assumed that they have been reasonably prepared and reflect the best currently available estimates and judgment of the Company's or the Issuer's management as to the expected future financial performance of the Company or the Issuer, as the case may be.</w:t>
      </w:r>
    </w:p>
    <w:p>
      <w:pPr>
        <w:spacing w:after="0" w:line="18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In connection with the preparation of this opinion, we have not been authorized by the Company or the Board of Directors to solicit, nor have we solicited, third-party indications of interest for the acquisition of all or any part of the Company.</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We have acted as financial advisor to the Company in connection with the Merger and will receive fees for such services, a portion of which is contingent upon consummation of the Merger. In the ordinary course of our securities business, we may actively trade debt or equity securities of the Issuer and the Company for our own account and the accounts of our customers, and we therefore may from time to time hold a long or short position in such securities.</w:t>
      </w:r>
    </w:p>
    <w:p>
      <w:pPr>
        <w:spacing w:after="0" w:line="176" w:lineRule="exact"/>
        <w:rPr>
          <w:sz w:val="20"/>
          <w:szCs w:val="20"/>
          <w:color w:val="auto"/>
        </w:rPr>
      </w:pPr>
    </w:p>
    <w:p>
      <w:pPr>
        <w:jc w:val="both"/>
        <w:ind w:right="3019" w:firstLine="461"/>
        <w:spacing w:after="0" w:line="252" w:lineRule="auto"/>
        <w:rPr>
          <w:sz w:val="20"/>
          <w:szCs w:val="20"/>
          <w:color w:val="auto"/>
        </w:rPr>
      </w:pPr>
      <w:r>
        <w:rPr>
          <w:rFonts w:ascii="Courier New" w:cs="Courier New" w:eastAsia="Courier New" w:hAnsi="Courier New"/>
          <w:sz w:val="15"/>
          <w:szCs w:val="15"/>
          <w:color w:val="auto"/>
        </w:rPr>
        <w:t>On the basis of, and subject to the foregoing, we are of the opinion that the Exchange Ratio is fair to the stockholders of the Company from a financial point of view.</w:t>
      </w:r>
    </w:p>
    <w:p>
      <w:pPr>
        <w:spacing w:after="0" w:line="175"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Very truly yours,</w:t>
      </w:r>
    </w:p>
    <w:p>
      <w:pPr>
        <w:spacing w:after="0" w:line="185"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MERRILL LYNCH, PIERCE, FENNER &amp;</w:t>
      </w:r>
    </w:p>
    <w:p>
      <w:pPr>
        <w:spacing w:after="0" w:line="8" w:lineRule="exact"/>
        <w:rPr>
          <w:sz w:val="20"/>
          <w:szCs w:val="20"/>
          <w:color w:val="auto"/>
        </w:rPr>
      </w:pPr>
    </w:p>
    <w:p>
      <w:pPr>
        <w:ind w:left="4240"/>
        <w:spacing w:after="0"/>
        <w:rPr>
          <w:sz w:val="20"/>
          <w:szCs w:val="20"/>
          <w:color w:val="auto"/>
        </w:rPr>
      </w:pPr>
      <w:r>
        <w:rPr>
          <w:rFonts w:ascii="Courier New" w:cs="Courier New" w:eastAsia="Courier New" w:hAnsi="Courier New"/>
          <w:sz w:val="15"/>
          <w:szCs w:val="15"/>
          <w:color w:val="auto"/>
        </w:rPr>
        <w:t>SMITH INCORPORATED</w:t>
      </w:r>
    </w:p>
    <w:p>
      <w:pPr>
        <w:sectPr>
          <w:pgSz w:w="11900" w:h="16838" w:orient="portrait"/>
          <w:cols w:equalWidth="0" w:num="1">
            <w:col w:w="10219"/>
          </w:cols>
          <w:pgMar w:left="240" w:top="295" w:right="1440" w:bottom="1440" w:gutter="0" w:footer="0" w:header="0"/>
        </w:sectPr>
      </w:pPr>
    </w:p>
    <w:p>
      <w:pPr>
        <w:spacing w:after="0" w:line="185"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540"/>
        <w:spacing w:after="0"/>
        <w:tabs>
          <w:tab w:leader="none" w:pos="980" w:val="left"/>
        </w:tabs>
        <w:rPr>
          <w:sz w:val="20"/>
          <w:szCs w:val="20"/>
          <w:color w:val="auto"/>
        </w:rPr>
      </w:pPr>
      <w:r>
        <w:rPr>
          <w:rFonts w:ascii="Courier New" w:cs="Courier New" w:eastAsia="Courier New" w:hAnsi="Courier New"/>
          <w:sz w:val="15"/>
          <w:szCs w:val="15"/>
          <w:color w:val="auto"/>
        </w:rPr>
        <w:t>/s/</w:t>
        <w:tab/>
        <w:t>MARK SHAFIR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2">
            <w:col w:w="4240" w:space="100"/>
            <w:col w:w="5879"/>
          </w:cols>
          <w:pgMar w:left="240" w:top="295" w:right="1440" w:bottom="1440" w:gutter="0" w:footer="0" w:header="0"/>
          <w:type w:val="continuous"/>
        </w:sectPr>
      </w:pPr>
    </w:p>
    <w:p>
      <w:pPr>
        <w:ind w:left="3600"/>
        <w:spacing w:after="0"/>
        <w:rPr>
          <w:sz w:val="20"/>
          <w:szCs w:val="20"/>
          <w:color w:val="auto"/>
        </w:rPr>
      </w:pPr>
      <w:r>
        <w:rPr>
          <w:rFonts w:ascii="Courier New" w:cs="Courier New" w:eastAsia="Courier New" w:hAnsi="Courier New"/>
          <w:sz w:val="14"/>
          <w:szCs w:val="14"/>
          <w:color w:val="auto"/>
        </w:rPr>
        <w:t>C-2</w:t>
      </w:r>
    </w:p>
    <w:p>
      <w:pPr>
        <w:sectPr>
          <w:pgSz w:w="11900" w:h="16838" w:orient="portrait"/>
          <w:cols w:equalWidth="0" w:num="1">
            <w:col w:w="10219"/>
          </w:cols>
          <w:pgMar w:left="240" w:top="295" w:right="1440" w:bottom="1440" w:gutter="0" w:footer="0" w:header="0"/>
          <w:type w:val="continuous"/>
        </w:sectPr>
      </w:pPr>
    </w:p>
    <w:bookmarkStart w:id="132" w:name="page133"/>
    <w:bookmarkEnd w:id="132"/>
    <w:p>
      <w:pPr>
        <w:ind w:left="285"/>
        <w:spacing w:after="0"/>
        <w:rPr>
          <w:sz w:val="20"/>
          <w:szCs w:val="20"/>
          <w:color w:val="auto"/>
        </w:rPr>
      </w:pPr>
      <w:r>
        <w:rPr>
          <w:rFonts w:ascii="Courier New" w:cs="Courier New" w:eastAsia="Courier New" w:hAnsi="Courier New"/>
          <w:sz w:val="15"/>
          <w:szCs w:val="15"/>
          <w:color w:val="auto"/>
        </w:rPr>
        <w:t>130</w:t>
      </w:r>
    </w:p>
    <w:p>
      <w:pPr>
        <w:spacing w:after="0" w:line="185"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PART II</w:t>
      </w:r>
    </w:p>
    <w:p>
      <w:pPr>
        <w:spacing w:after="0" w:line="185" w:lineRule="exact"/>
        <w:rPr>
          <w:sz w:val="20"/>
          <w:szCs w:val="20"/>
          <w:color w:val="auto"/>
        </w:rPr>
      </w:pPr>
    </w:p>
    <w:p>
      <w:pPr>
        <w:ind w:left="1945"/>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ITEM 20. INDEMNIFICATION OF DIRECTORS AND OFFICERS</w:t>
      </w:r>
    </w:p>
    <w:p>
      <w:pPr>
        <w:spacing w:after="0" w:line="185"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Section 145 of the Delaware General Corporation Law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its request in such capacity in another corporation or business association,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proceedings, had no reasonable cause to believe his conduct was unlawful. With respect to actions by or in the right of the corporation, a person may not be indemnified if he has been adjudged to be liable to the corporation, except where, besides meeting the requirements described in the preceding sentence, the court in which such action was brought determines upon application that, despite the adjudication of liability but in view of all the circumstances of the case, such person is fairly and reasonably entitled to indemnity for such expenses as the court deems proper. To the extent that a director, officer, employee or agent of a corporation has been successful on the merits or otherwise in defense of any action, suit or proceeding referred to above, he shall be indemnified against expenses, including attorneys' fees, actually and reasonably incurred by him in connection therewith. A corporation shall have the power to purchase insurance on behalf of the persons referred to above against any liability asserted against them and incurred by them in such capacities referred to whether or not the corporation would have the power to indemnify them against such liability.</w:t>
      </w:r>
    </w:p>
    <w:p>
      <w:pPr>
        <w:spacing w:after="0" w:line="189"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Section 102(b)(7) of the DGCL provides that the certificate of incorporation of a corporation may contain a provision eliminating or limiting the personal liability of a director to the corporation or its shareholders for monetary damages for breach of fiduciary duty as a director, provided that such provision shall not eliminate or limit the liability of a director for (i) any breach of the director's duty of loyalty to the corporation or its shareholders,</w:t>
      </w:r>
    </w:p>
    <w:p>
      <w:pPr>
        <w:spacing w:after="0" w:line="3" w:lineRule="exact"/>
        <w:rPr>
          <w:sz w:val="20"/>
          <w:szCs w:val="20"/>
          <w:color w:val="auto"/>
        </w:rPr>
      </w:pPr>
    </w:p>
    <w:p>
      <w:pPr>
        <w:ind w:left="5" w:right="2839" w:hanging="5"/>
        <w:spacing w:after="0" w:line="251" w:lineRule="auto"/>
        <w:tabs>
          <w:tab w:leader="none" w:pos="46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acts or omissions not in good faith or which involved intentional misconduct or a knowing violation of law, (iii) unlawful dividend payment or stock purchase or redemption under Section 174 of the DGCL, (iv) any transaction from which the director derived an improper personal benefit, or (v) any act or omission occurring prior to the date when such provision becomes effective.</w:t>
      </w:r>
    </w:p>
    <w:p>
      <w:pPr>
        <w:spacing w:after="0" w:line="176" w:lineRule="exact"/>
        <w:rPr>
          <w:sz w:val="20"/>
          <w:szCs w:val="20"/>
          <w:color w:val="auto"/>
        </w:rPr>
      </w:pPr>
    </w:p>
    <w:p>
      <w:pPr>
        <w:ind w:left="5" w:right="2939" w:firstLine="461"/>
        <w:spacing w:after="0" w:line="250" w:lineRule="auto"/>
        <w:rPr>
          <w:sz w:val="20"/>
          <w:szCs w:val="20"/>
          <w:color w:val="auto"/>
        </w:rPr>
      </w:pPr>
      <w:r>
        <w:rPr>
          <w:rFonts w:ascii="Courier New" w:cs="Courier New" w:eastAsia="Courier New" w:hAnsi="Courier New"/>
          <w:sz w:val="15"/>
          <w:szCs w:val="15"/>
          <w:color w:val="auto"/>
        </w:rPr>
        <w:t>The Registrant's Certificate of Incorporation provides that (i) the Registrant shall indemnify, and advance litigation expenses to, its officers, directors, employees and agents to the fullest extent permitted by the DGCL and all other laws of the State of Delaware, (ii) to the fullest extent that the DGCL permits the limitation or elimination of the liability of directors, no director of the Registrant shall be personally liable to the Registrant or its shareholders for monetary damages for breach of fiduciary duty as a director,</w:t>
      </w:r>
    </w:p>
    <w:p>
      <w:pPr>
        <w:spacing w:after="0" w:line="3" w:lineRule="exact"/>
        <w:rPr>
          <w:sz w:val="20"/>
          <w:szCs w:val="20"/>
          <w:color w:val="auto"/>
        </w:rPr>
      </w:pPr>
    </w:p>
    <w:p>
      <w:pPr>
        <w:ind w:left="5" w:right="2839" w:hanging="5"/>
        <w:spacing w:after="0" w:line="251" w:lineRule="auto"/>
        <w:tabs>
          <w:tab w:leader="none" w:pos="559"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to or repeal of the provision of the Certificate of Incorporation described in clause (ii) shall apply to or have any effect on the liability or alleged liability of any director of the Registrant for or with respect to any acts or omission of such director occurring prior to the time of such amendment or repeal and (iv) any amendment to the DGCL which further limits or eliminates the liability of directors shall be fully applicable to the Registrant's directors.</w:t>
      </w:r>
    </w:p>
    <w:p>
      <w:pPr>
        <w:spacing w:after="0" w:line="176"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USA Waste has indemnification agreements with its directors.</w:t>
      </w:r>
    </w:p>
    <w:p>
      <w:pPr>
        <w:spacing w:after="0" w:line="185"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25"/>
          </w:cols>
          <w:pgMar w:left="235" w:top="295" w:right="1440" w:bottom="1440" w:gutter="0" w:footer="0" w:header="0"/>
        </w:sectPr>
      </w:pPr>
    </w:p>
    <w:bookmarkStart w:id="133" w:name="page134"/>
    <w:bookmarkEnd w:id="133"/>
    <w:p>
      <w:pPr>
        <w:ind w:left="280"/>
        <w:spacing w:after="0"/>
        <w:rPr>
          <w:sz w:val="20"/>
          <w:szCs w:val="20"/>
          <w:color w:val="auto"/>
        </w:rPr>
      </w:pPr>
      <w:r>
        <w:rPr>
          <w:rFonts w:ascii="Courier New" w:cs="Courier New" w:eastAsia="Courier New" w:hAnsi="Courier New"/>
          <w:sz w:val="15"/>
          <w:szCs w:val="15"/>
          <w:color w:val="auto"/>
        </w:rPr>
        <w:t>131</w:t>
      </w:r>
    </w:p>
    <w:p>
      <w:pPr>
        <w:spacing w:after="0" w:line="185"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ITEM 21.</w:t>
        <w:tab/>
        <w:t>EXHIBITS AND FINANCIAL STATEMENT SCHEDULES</w:t>
      </w:r>
    </w:p>
    <w:p>
      <w:pPr>
        <w:spacing w:after="0" w:line="185" w:lineRule="exact"/>
        <w:rPr>
          <w:sz w:val="20"/>
          <w:szCs w:val="20"/>
          <w:color w:val="auto"/>
        </w:rPr>
      </w:pPr>
    </w:p>
    <w:p>
      <w:pPr>
        <w:ind w:right="3299" w:firstLine="456"/>
        <w:spacing w:after="0" w:line="253" w:lineRule="auto"/>
        <w:tabs>
          <w:tab w:leader="none" w:pos="83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a complete list of Exhibits filed as part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EXHIBIT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w:t>
            </w:r>
          </w:p>
        </w:tc>
        <w:tc>
          <w:tcPr>
            <w:tcW w:w="680" w:type="dxa"/>
            <w:vAlign w:val="bottom"/>
          </w:tcPr>
          <w:p>
            <w:pPr>
              <w:spacing w:after="0"/>
              <w:rPr>
                <w:sz w:val="14"/>
                <w:szCs w:val="14"/>
                <w:color w:val="auto"/>
              </w:rPr>
            </w:pPr>
          </w:p>
        </w:tc>
        <w:tc>
          <w:tcPr>
            <w:tcW w:w="5860" w:type="dxa"/>
            <w:vAlign w:val="bottom"/>
          </w:tcPr>
          <w:p>
            <w:pPr>
              <w:spacing w:after="0"/>
              <w:rPr>
                <w:sz w:val="14"/>
                <w:szCs w:val="14"/>
                <w:color w:val="auto"/>
              </w:rPr>
            </w:pPr>
          </w:p>
        </w:tc>
      </w:tr>
      <w:tr>
        <w:trPr>
          <w:trHeight w:val="355"/>
        </w:trPr>
        <w:tc>
          <w:tcPr>
            <w:tcW w:w="21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*2.1</w:t>
            </w:r>
          </w:p>
        </w:tc>
        <w:tc>
          <w:tcPr>
            <w:tcW w:w="6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Agreement and Plan of Merger dated as of June 22, 1996, among USA</w:t>
            </w:r>
          </w:p>
        </w:tc>
      </w:tr>
      <w:tr>
        <w:trPr>
          <w:trHeight w:val="177"/>
        </w:trPr>
        <w:tc>
          <w:tcPr>
            <w:tcW w:w="2120" w:type="dxa"/>
            <w:vAlign w:val="bottom"/>
          </w:tcPr>
          <w:p>
            <w:pPr>
              <w:spacing w:after="0"/>
              <w:rPr>
                <w:sz w:val="15"/>
                <w:szCs w:val="15"/>
                <w:color w:val="auto"/>
              </w:rPr>
            </w:pPr>
          </w:p>
        </w:tc>
        <w:tc>
          <w:tcPr>
            <w:tcW w:w="65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Waste Services, Inc. ("USA Waste"), Quatro Acquisition Corporation,</w:t>
            </w:r>
          </w:p>
        </w:tc>
      </w:tr>
      <w:tr>
        <w:trPr>
          <w:trHeight w:val="177"/>
        </w:trPr>
        <w:tc>
          <w:tcPr>
            <w:tcW w:w="2120" w:type="dxa"/>
            <w:vAlign w:val="bottom"/>
          </w:tcPr>
          <w:p>
            <w:pPr>
              <w:spacing w:after="0"/>
              <w:rPr>
                <w:sz w:val="15"/>
                <w:szCs w:val="15"/>
                <w:color w:val="auto"/>
              </w:rPr>
            </w:pPr>
          </w:p>
        </w:tc>
        <w:tc>
          <w:tcPr>
            <w:tcW w:w="65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 wholly owned subsidiary of USA Waste ("Acquisition"), and</w:t>
            </w:r>
          </w:p>
        </w:tc>
      </w:tr>
      <w:tr>
        <w:trPr>
          <w:trHeight w:val="177"/>
        </w:trPr>
        <w:tc>
          <w:tcPr>
            <w:tcW w:w="2120" w:type="dxa"/>
            <w:vAlign w:val="bottom"/>
          </w:tcPr>
          <w:p>
            <w:pPr>
              <w:spacing w:after="0"/>
              <w:rPr>
                <w:sz w:val="15"/>
                <w:szCs w:val="15"/>
                <w:color w:val="auto"/>
              </w:rPr>
            </w:pPr>
          </w:p>
        </w:tc>
        <w:tc>
          <w:tcPr>
            <w:tcW w:w="65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Sanifill, Inc. ("Sanifill"), as amended by Amendment No. 1 to</w:t>
            </w:r>
          </w:p>
        </w:tc>
      </w:tr>
      <w:tr>
        <w:trPr>
          <w:trHeight w:val="177"/>
        </w:trPr>
        <w:tc>
          <w:tcPr>
            <w:tcW w:w="2120" w:type="dxa"/>
            <w:vAlign w:val="bottom"/>
          </w:tcPr>
          <w:p>
            <w:pPr>
              <w:spacing w:after="0"/>
              <w:rPr>
                <w:sz w:val="15"/>
                <w:szCs w:val="15"/>
                <w:color w:val="auto"/>
              </w:rPr>
            </w:pPr>
          </w:p>
        </w:tc>
        <w:tc>
          <w:tcPr>
            <w:tcW w:w="65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Agreement and Plan of Merger dated as of July 18, 1996 among USA</w:t>
            </w:r>
          </w:p>
        </w:tc>
      </w:tr>
      <w:tr>
        <w:trPr>
          <w:trHeight w:val="177"/>
        </w:trPr>
        <w:tc>
          <w:tcPr>
            <w:tcW w:w="2120" w:type="dxa"/>
            <w:vAlign w:val="bottom"/>
          </w:tcPr>
          <w:p>
            <w:pPr>
              <w:spacing w:after="0"/>
              <w:rPr>
                <w:sz w:val="15"/>
                <w:szCs w:val="15"/>
                <w:color w:val="auto"/>
              </w:rPr>
            </w:pPr>
          </w:p>
        </w:tc>
        <w:tc>
          <w:tcPr>
            <w:tcW w:w="65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Waste, Acquisition and Sanifill -- included as Annex A to the Joint</w:t>
            </w:r>
          </w:p>
        </w:tc>
      </w:tr>
      <w:tr>
        <w:trPr>
          <w:trHeight w:val="177"/>
        </w:trPr>
        <w:tc>
          <w:tcPr>
            <w:tcW w:w="2120" w:type="dxa"/>
            <w:vAlign w:val="bottom"/>
          </w:tcPr>
          <w:p>
            <w:pPr>
              <w:spacing w:after="0"/>
              <w:rPr>
                <w:sz w:val="15"/>
                <w:szCs w:val="15"/>
                <w:color w:val="auto"/>
              </w:rPr>
            </w:pPr>
          </w:p>
        </w:tc>
        <w:tc>
          <w:tcPr>
            <w:tcW w:w="65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Proxy Statement and Prospectus herein.</w:t>
            </w:r>
          </w:p>
        </w:tc>
      </w:tr>
      <w:tr>
        <w:trPr>
          <w:trHeight w:val="177"/>
        </w:trPr>
        <w:tc>
          <w:tcPr>
            <w:tcW w:w="21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3.1</w:t>
            </w:r>
          </w:p>
        </w:tc>
        <w:tc>
          <w:tcPr>
            <w:tcW w:w="6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Restated Certificate of Incorporation -- incorporated by reference</w:t>
            </w:r>
          </w:p>
        </w:tc>
      </w:tr>
      <w:tr>
        <w:trPr>
          <w:trHeight w:val="177"/>
        </w:trPr>
        <w:tc>
          <w:tcPr>
            <w:tcW w:w="2120" w:type="dxa"/>
            <w:vAlign w:val="bottom"/>
          </w:tcPr>
          <w:p>
            <w:pPr>
              <w:spacing w:after="0"/>
              <w:rPr>
                <w:sz w:val="15"/>
                <w:szCs w:val="15"/>
                <w:color w:val="auto"/>
              </w:rPr>
            </w:pPr>
          </w:p>
        </w:tc>
        <w:tc>
          <w:tcPr>
            <w:tcW w:w="65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to Exhibit 3.1(b) of the Registrant's Quarterly Report on Form 10-Q</w:t>
            </w:r>
          </w:p>
        </w:tc>
      </w:tr>
      <w:tr>
        <w:trPr>
          <w:trHeight w:val="177"/>
        </w:trPr>
        <w:tc>
          <w:tcPr>
            <w:tcW w:w="2120" w:type="dxa"/>
            <w:vAlign w:val="bottom"/>
          </w:tcPr>
          <w:p>
            <w:pPr>
              <w:spacing w:after="0"/>
              <w:rPr>
                <w:sz w:val="15"/>
                <w:szCs w:val="15"/>
                <w:color w:val="auto"/>
              </w:rPr>
            </w:pPr>
          </w:p>
        </w:tc>
        <w:tc>
          <w:tcPr>
            <w:tcW w:w="65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for the quarterly period ended March 31, 1996.</w:t>
            </w:r>
          </w:p>
        </w:tc>
      </w:tr>
      <w:tr>
        <w:trPr>
          <w:trHeight w:val="177"/>
        </w:trPr>
        <w:tc>
          <w:tcPr>
            <w:tcW w:w="21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3.2</w:t>
            </w:r>
          </w:p>
        </w:tc>
        <w:tc>
          <w:tcPr>
            <w:tcW w:w="6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Bylaws -- incorporated by reference to Exhibit 3.2 of the</w:t>
            </w:r>
          </w:p>
        </w:tc>
      </w:tr>
      <w:tr>
        <w:trPr>
          <w:trHeight w:val="177"/>
        </w:trPr>
        <w:tc>
          <w:tcPr>
            <w:tcW w:w="2120" w:type="dxa"/>
            <w:vAlign w:val="bottom"/>
          </w:tcPr>
          <w:p>
            <w:pPr>
              <w:spacing w:after="0"/>
              <w:rPr>
                <w:sz w:val="15"/>
                <w:szCs w:val="15"/>
                <w:color w:val="auto"/>
              </w:rPr>
            </w:pPr>
          </w:p>
        </w:tc>
        <w:tc>
          <w:tcPr>
            <w:tcW w:w="65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Registrant's Registration Statement on Form S-4, File No. 33-60103.</w:t>
            </w:r>
          </w:p>
        </w:tc>
      </w:tr>
      <w:tr>
        <w:trPr>
          <w:trHeight w:val="177"/>
        </w:trPr>
        <w:tc>
          <w:tcPr>
            <w:tcW w:w="21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4.1</w:t>
            </w:r>
          </w:p>
        </w:tc>
        <w:tc>
          <w:tcPr>
            <w:tcW w:w="6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Specimen Stock Certificate -- incorporated by reference to Exhibit</w:t>
            </w:r>
          </w:p>
        </w:tc>
      </w:tr>
      <w:tr>
        <w:trPr>
          <w:trHeight w:val="177"/>
        </w:trPr>
        <w:tc>
          <w:tcPr>
            <w:tcW w:w="2120" w:type="dxa"/>
            <w:vAlign w:val="bottom"/>
          </w:tcPr>
          <w:p>
            <w:pPr>
              <w:spacing w:after="0"/>
              <w:rPr>
                <w:sz w:val="15"/>
                <w:szCs w:val="15"/>
                <w:color w:val="auto"/>
              </w:rPr>
            </w:pPr>
          </w:p>
        </w:tc>
        <w:tc>
          <w:tcPr>
            <w:tcW w:w="65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4.3 of the Registrant's Registration Statement on Form S-3, File</w:t>
            </w:r>
          </w:p>
        </w:tc>
      </w:tr>
      <w:tr>
        <w:trPr>
          <w:trHeight w:val="177"/>
        </w:trPr>
        <w:tc>
          <w:tcPr>
            <w:tcW w:w="2120" w:type="dxa"/>
            <w:vAlign w:val="bottom"/>
          </w:tcPr>
          <w:p>
            <w:pPr>
              <w:spacing w:after="0"/>
              <w:rPr>
                <w:sz w:val="15"/>
                <w:szCs w:val="15"/>
                <w:color w:val="auto"/>
              </w:rPr>
            </w:pPr>
          </w:p>
        </w:tc>
        <w:tc>
          <w:tcPr>
            <w:tcW w:w="65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No. 33-76224.</w:t>
            </w:r>
          </w:p>
        </w:tc>
      </w:tr>
      <w:tr>
        <w:trPr>
          <w:trHeight w:val="177"/>
        </w:trPr>
        <w:tc>
          <w:tcPr>
            <w:tcW w:w="21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*5.1</w:t>
            </w:r>
          </w:p>
        </w:tc>
        <w:tc>
          <w:tcPr>
            <w:tcW w:w="6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Opinion of Andrews &amp; Kurth L.L.P. as to the legality of the</w:t>
            </w:r>
          </w:p>
        </w:tc>
      </w:tr>
      <w:tr>
        <w:trPr>
          <w:trHeight w:val="177"/>
        </w:trPr>
        <w:tc>
          <w:tcPr>
            <w:tcW w:w="2120" w:type="dxa"/>
            <w:vAlign w:val="bottom"/>
          </w:tcPr>
          <w:p>
            <w:pPr>
              <w:spacing w:after="0"/>
              <w:rPr>
                <w:sz w:val="15"/>
                <w:szCs w:val="15"/>
                <w:color w:val="auto"/>
              </w:rPr>
            </w:pPr>
          </w:p>
        </w:tc>
        <w:tc>
          <w:tcPr>
            <w:tcW w:w="65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securities being registered.</w:t>
            </w:r>
          </w:p>
        </w:tc>
      </w:tr>
      <w:tr>
        <w:trPr>
          <w:trHeight w:val="177"/>
        </w:trPr>
        <w:tc>
          <w:tcPr>
            <w:tcW w:w="21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*8.1</w:t>
            </w:r>
          </w:p>
        </w:tc>
        <w:tc>
          <w:tcPr>
            <w:tcW w:w="6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Opinion of Baker &amp; Botts, L.L.P. as to certain federal income tax</w:t>
            </w:r>
          </w:p>
        </w:tc>
      </w:tr>
      <w:tr>
        <w:trPr>
          <w:trHeight w:val="177"/>
        </w:trPr>
        <w:tc>
          <w:tcPr>
            <w:tcW w:w="2120" w:type="dxa"/>
            <w:vAlign w:val="bottom"/>
          </w:tcPr>
          <w:p>
            <w:pPr>
              <w:spacing w:after="0"/>
              <w:rPr>
                <w:sz w:val="15"/>
                <w:szCs w:val="15"/>
                <w:color w:val="auto"/>
              </w:rPr>
            </w:pPr>
          </w:p>
        </w:tc>
        <w:tc>
          <w:tcPr>
            <w:tcW w:w="65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matters.</w:t>
            </w:r>
          </w:p>
        </w:tc>
      </w:tr>
      <w:tr>
        <w:trPr>
          <w:trHeight w:val="177"/>
        </w:trPr>
        <w:tc>
          <w:tcPr>
            <w:tcW w:w="21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**10.1</w:t>
            </w:r>
          </w:p>
        </w:tc>
        <w:tc>
          <w:tcPr>
            <w:tcW w:w="6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Agreement among USA Waste, D. Moorehead, Jr., J. Drury, J. Rangos,</w:t>
            </w:r>
          </w:p>
        </w:tc>
      </w:tr>
      <w:tr>
        <w:trPr>
          <w:trHeight w:val="177"/>
        </w:trPr>
        <w:tc>
          <w:tcPr>
            <w:tcW w:w="2120" w:type="dxa"/>
            <w:vAlign w:val="bottom"/>
          </w:tcPr>
          <w:p>
            <w:pPr>
              <w:spacing w:after="0"/>
              <w:rPr>
                <w:sz w:val="15"/>
                <w:szCs w:val="15"/>
                <w:color w:val="auto"/>
              </w:rPr>
            </w:pPr>
          </w:p>
        </w:tc>
        <w:tc>
          <w:tcPr>
            <w:tcW w:w="65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Sr., A. Rangos, J. Rangos, Jr. and John Rangos Development</w:t>
            </w:r>
          </w:p>
        </w:tc>
      </w:tr>
      <w:tr>
        <w:trPr>
          <w:trHeight w:val="177"/>
        </w:trPr>
        <w:tc>
          <w:tcPr>
            <w:tcW w:w="2120" w:type="dxa"/>
            <w:vAlign w:val="bottom"/>
          </w:tcPr>
          <w:p>
            <w:pPr>
              <w:spacing w:after="0"/>
              <w:rPr>
                <w:sz w:val="15"/>
                <w:szCs w:val="15"/>
                <w:color w:val="auto"/>
              </w:rPr>
            </w:pPr>
          </w:p>
        </w:tc>
        <w:tc>
          <w:tcPr>
            <w:tcW w:w="65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Corporation, Inc. dated June 21, 1996.</w:t>
            </w:r>
          </w:p>
        </w:tc>
      </w:tr>
      <w:tr>
        <w:trPr>
          <w:trHeight w:val="177"/>
        </w:trPr>
        <w:tc>
          <w:tcPr>
            <w:tcW w:w="21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**10.2</w:t>
            </w:r>
          </w:p>
        </w:tc>
        <w:tc>
          <w:tcPr>
            <w:tcW w:w="6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Employment and Noncompetition Agreement among Sanifill, USA Waste</w:t>
            </w:r>
          </w:p>
        </w:tc>
      </w:tr>
      <w:tr>
        <w:trPr>
          <w:trHeight w:val="177"/>
        </w:trPr>
        <w:tc>
          <w:tcPr>
            <w:tcW w:w="2120" w:type="dxa"/>
            <w:vAlign w:val="bottom"/>
          </w:tcPr>
          <w:p>
            <w:pPr>
              <w:spacing w:after="0"/>
              <w:rPr>
                <w:sz w:val="15"/>
                <w:szCs w:val="15"/>
                <w:color w:val="auto"/>
              </w:rPr>
            </w:pPr>
          </w:p>
        </w:tc>
        <w:tc>
          <w:tcPr>
            <w:tcW w:w="65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and Lorne D. Bain, dated June 22, 1996.</w:t>
            </w:r>
          </w:p>
        </w:tc>
      </w:tr>
      <w:tr>
        <w:trPr>
          <w:trHeight w:val="177"/>
        </w:trPr>
        <w:tc>
          <w:tcPr>
            <w:tcW w:w="21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**10.3</w:t>
            </w:r>
          </w:p>
        </w:tc>
        <w:tc>
          <w:tcPr>
            <w:tcW w:w="6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Letter Agreement between USA Waste and Kosti Shirvanian, dated</w:t>
            </w:r>
          </w:p>
        </w:tc>
      </w:tr>
      <w:tr>
        <w:trPr>
          <w:trHeight w:val="177"/>
        </w:trPr>
        <w:tc>
          <w:tcPr>
            <w:tcW w:w="2120" w:type="dxa"/>
            <w:vAlign w:val="bottom"/>
          </w:tcPr>
          <w:p>
            <w:pPr>
              <w:spacing w:after="0"/>
              <w:rPr>
                <w:sz w:val="15"/>
                <w:szCs w:val="15"/>
                <w:color w:val="auto"/>
              </w:rPr>
            </w:pPr>
          </w:p>
        </w:tc>
        <w:tc>
          <w:tcPr>
            <w:tcW w:w="65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December 18, 1995.</w:t>
            </w:r>
          </w:p>
        </w:tc>
      </w:tr>
      <w:tr>
        <w:trPr>
          <w:trHeight w:val="177"/>
        </w:trPr>
        <w:tc>
          <w:tcPr>
            <w:tcW w:w="21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**10.4</w:t>
            </w:r>
          </w:p>
        </w:tc>
        <w:tc>
          <w:tcPr>
            <w:tcW w:w="6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Letter Agreement between USA Waste and Kosti Shirvanian, dated June</w:t>
            </w:r>
          </w:p>
        </w:tc>
      </w:tr>
      <w:tr>
        <w:trPr>
          <w:trHeight w:val="177"/>
        </w:trPr>
        <w:tc>
          <w:tcPr>
            <w:tcW w:w="2120" w:type="dxa"/>
            <w:vAlign w:val="bottom"/>
          </w:tcPr>
          <w:p>
            <w:pPr>
              <w:spacing w:after="0"/>
              <w:rPr>
                <w:sz w:val="15"/>
                <w:szCs w:val="15"/>
                <w:color w:val="auto"/>
              </w:rPr>
            </w:pPr>
          </w:p>
        </w:tc>
        <w:tc>
          <w:tcPr>
            <w:tcW w:w="680" w:type="dxa"/>
            <w:vAlign w:val="bottom"/>
          </w:tcPr>
          <w:p>
            <w:pPr>
              <w:ind w:left="360"/>
              <w:spacing w:after="0"/>
              <w:rPr>
                <w:sz w:val="20"/>
                <w:szCs w:val="20"/>
                <w:color w:val="auto"/>
              </w:rPr>
            </w:pPr>
            <w:r>
              <w:rPr>
                <w:rFonts w:ascii="Courier New" w:cs="Courier New" w:eastAsia="Courier New" w:hAnsi="Courier New"/>
                <w:sz w:val="15"/>
                <w:szCs w:val="15"/>
                <w:color w:val="auto"/>
              </w:rPr>
              <w:t>21,</w:t>
            </w:r>
          </w:p>
        </w:tc>
        <w:tc>
          <w:tcPr>
            <w:tcW w:w="5860" w:type="dxa"/>
            <w:vAlign w:val="bottom"/>
          </w:tcPr>
          <w:p>
            <w:pPr>
              <w:jc w:val="right"/>
              <w:ind w:right="5263"/>
              <w:spacing w:after="0"/>
              <w:rPr>
                <w:sz w:val="20"/>
                <w:szCs w:val="20"/>
                <w:color w:val="auto"/>
              </w:rPr>
            </w:pPr>
            <w:r>
              <w:rPr>
                <w:rFonts w:ascii="Courier New" w:cs="Courier New" w:eastAsia="Courier New" w:hAnsi="Courier New"/>
                <w:sz w:val="15"/>
                <w:szCs w:val="15"/>
                <w:color w:val="auto"/>
              </w:rPr>
              <w:t>1996.</w:t>
            </w:r>
          </w:p>
        </w:tc>
      </w:tr>
      <w:tr>
        <w:trPr>
          <w:trHeight w:val="177"/>
        </w:trPr>
        <w:tc>
          <w:tcPr>
            <w:tcW w:w="21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**10.5</w:t>
            </w:r>
          </w:p>
        </w:tc>
        <w:tc>
          <w:tcPr>
            <w:tcW w:w="6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Letter Agreement between USA Waste and Sanifill, dated June 22,</w:t>
            </w:r>
          </w:p>
        </w:tc>
      </w:tr>
      <w:tr>
        <w:trPr>
          <w:trHeight w:val="177"/>
        </w:trPr>
        <w:tc>
          <w:tcPr>
            <w:tcW w:w="2120" w:type="dxa"/>
            <w:vAlign w:val="bottom"/>
          </w:tcPr>
          <w:p>
            <w:pPr>
              <w:spacing w:after="0"/>
              <w:rPr>
                <w:sz w:val="15"/>
                <w:szCs w:val="15"/>
                <w:color w:val="auto"/>
              </w:rPr>
            </w:pPr>
          </w:p>
        </w:tc>
        <w:tc>
          <w:tcPr>
            <w:tcW w:w="65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1996, regarding indemnification provisions of certificate of</w:t>
            </w:r>
          </w:p>
        </w:tc>
      </w:tr>
      <w:tr>
        <w:trPr>
          <w:trHeight w:val="177"/>
        </w:trPr>
        <w:tc>
          <w:tcPr>
            <w:tcW w:w="2120" w:type="dxa"/>
            <w:vAlign w:val="bottom"/>
          </w:tcPr>
          <w:p>
            <w:pPr>
              <w:spacing w:after="0"/>
              <w:rPr>
                <w:sz w:val="15"/>
                <w:szCs w:val="15"/>
                <w:color w:val="auto"/>
              </w:rPr>
            </w:pPr>
          </w:p>
        </w:tc>
        <w:tc>
          <w:tcPr>
            <w:tcW w:w="65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incorporation.</w:t>
            </w:r>
          </w:p>
        </w:tc>
      </w:tr>
      <w:tr>
        <w:trPr>
          <w:trHeight w:val="177"/>
        </w:trPr>
        <w:tc>
          <w:tcPr>
            <w:tcW w:w="21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**10.6</w:t>
            </w:r>
          </w:p>
        </w:tc>
        <w:tc>
          <w:tcPr>
            <w:tcW w:w="6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Confidentiality Agreement, dated June 17, 1996, between USA Waste</w:t>
            </w:r>
          </w:p>
        </w:tc>
      </w:tr>
      <w:tr>
        <w:trPr>
          <w:trHeight w:val="177"/>
        </w:trPr>
        <w:tc>
          <w:tcPr>
            <w:tcW w:w="2120" w:type="dxa"/>
            <w:vAlign w:val="bottom"/>
          </w:tcPr>
          <w:p>
            <w:pPr>
              <w:spacing w:after="0"/>
              <w:rPr>
                <w:sz w:val="15"/>
                <w:szCs w:val="15"/>
                <w:color w:val="auto"/>
              </w:rPr>
            </w:pPr>
          </w:p>
        </w:tc>
        <w:tc>
          <w:tcPr>
            <w:tcW w:w="65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Services, Inc., as the Protected Party, and Sanifill, Inc., as the</w:t>
            </w:r>
          </w:p>
        </w:tc>
      </w:tr>
      <w:tr>
        <w:trPr>
          <w:trHeight w:val="177"/>
        </w:trPr>
        <w:tc>
          <w:tcPr>
            <w:tcW w:w="2120" w:type="dxa"/>
            <w:vAlign w:val="bottom"/>
          </w:tcPr>
          <w:p>
            <w:pPr>
              <w:spacing w:after="0"/>
              <w:rPr>
                <w:sz w:val="15"/>
                <w:szCs w:val="15"/>
                <w:color w:val="auto"/>
              </w:rPr>
            </w:pPr>
          </w:p>
        </w:tc>
        <w:tc>
          <w:tcPr>
            <w:tcW w:w="65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Recipient.</w:t>
            </w:r>
          </w:p>
        </w:tc>
      </w:tr>
      <w:tr>
        <w:trPr>
          <w:trHeight w:val="177"/>
        </w:trPr>
        <w:tc>
          <w:tcPr>
            <w:tcW w:w="21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**10.7</w:t>
            </w:r>
          </w:p>
        </w:tc>
        <w:tc>
          <w:tcPr>
            <w:tcW w:w="6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Confidentiality Agreement, dated June 17, 1996, between Sanifill,</w:t>
            </w:r>
          </w:p>
        </w:tc>
      </w:tr>
      <w:tr>
        <w:trPr>
          <w:trHeight w:val="177"/>
        </w:trPr>
        <w:tc>
          <w:tcPr>
            <w:tcW w:w="2120" w:type="dxa"/>
            <w:vAlign w:val="bottom"/>
          </w:tcPr>
          <w:p>
            <w:pPr>
              <w:spacing w:after="0"/>
              <w:rPr>
                <w:sz w:val="15"/>
                <w:szCs w:val="15"/>
                <w:color w:val="auto"/>
              </w:rPr>
            </w:pPr>
          </w:p>
        </w:tc>
        <w:tc>
          <w:tcPr>
            <w:tcW w:w="65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Inc., as the Protected Party, and USA Waste Services, Inc., as the</w:t>
            </w:r>
          </w:p>
        </w:tc>
      </w:tr>
      <w:tr>
        <w:trPr>
          <w:trHeight w:val="177"/>
        </w:trPr>
        <w:tc>
          <w:tcPr>
            <w:tcW w:w="2120" w:type="dxa"/>
            <w:vAlign w:val="bottom"/>
          </w:tcPr>
          <w:p>
            <w:pPr>
              <w:spacing w:after="0"/>
              <w:rPr>
                <w:sz w:val="15"/>
                <w:szCs w:val="15"/>
                <w:color w:val="auto"/>
              </w:rPr>
            </w:pPr>
          </w:p>
        </w:tc>
        <w:tc>
          <w:tcPr>
            <w:tcW w:w="65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Recipient.</w:t>
            </w:r>
          </w:p>
        </w:tc>
      </w:tr>
      <w:tr>
        <w:trPr>
          <w:trHeight w:val="177"/>
        </w:trPr>
        <w:tc>
          <w:tcPr>
            <w:tcW w:w="21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*10.8</w:t>
            </w:r>
          </w:p>
        </w:tc>
        <w:tc>
          <w:tcPr>
            <w:tcW w:w="6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Employment and Noncompetition Agreement among USA Waste, Sanifill</w:t>
            </w:r>
          </w:p>
        </w:tc>
      </w:tr>
      <w:tr>
        <w:trPr>
          <w:trHeight w:val="177"/>
        </w:trPr>
        <w:tc>
          <w:tcPr>
            <w:tcW w:w="2120" w:type="dxa"/>
            <w:vAlign w:val="bottom"/>
          </w:tcPr>
          <w:p>
            <w:pPr>
              <w:spacing w:after="0"/>
              <w:rPr>
                <w:sz w:val="15"/>
                <w:szCs w:val="15"/>
                <w:color w:val="auto"/>
              </w:rPr>
            </w:pPr>
          </w:p>
        </w:tc>
        <w:tc>
          <w:tcPr>
            <w:tcW w:w="65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and J. Chris Brewster, dated July 19, 1996.</w:t>
            </w:r>
          </w:p>
        </w:tc>
      </w:tr>
      <w:tr>
        <w:trPr>
          <w:trHeight w:val="177"/>
        </w:trPr>
        <w:tc>
          <w:tcPr>
            <w:tcW w:w="21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**21.1</w:t>
            </w:r>
          </w:p>
        </w:tc>
        <w:tc>
          <w:tcPr>
            <w:tcW w:w="6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Subsidiaries of the Registrant.</w:t>
            </w:r>
          </w:p>
        </w:tc>
      </w:tr>
      <w:tr>
        <w:trPr>
          <w:trHeight w:val="177"/>
        </w:trPr>
        <w:tc>
          <w:tcPr>
            <w:tcW w:w="21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*23.1</w:t>
            </w:r>
          </w:p>
        </w:tc>
        <w:tc>
          <w:tcPr>
            <w:tcW w:w="6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Consent of Coopers &amp; Lybrand L.L.P.</w:t>
            </w:r>
          </w:p>
        </w:tc>
      </w:tr>
      <w:tr>
        <w:trPr>
          <w:trHeight w:val="177"/>
        </w:trPr>
        <w:tc>
          <w:tcPr>
            <w:tcW w:w="21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*23.2</w:t>
            </w:r>
          </w:p>
        </w:tc>
        <w:tc>
          <w:tcPr>
            <w:tcW w:w="6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Consent of Deloitte &amp; Touche LLP.</w:t>
            </w:r>
          </w:p>
        </w:tc>
      </w:tr>
      <w:tr>
        <w:trPr>
          <w:trHeight w:val="177"/>
        </w:trPr>
        <w:tc>
          <w:tcPr>
            <w:tcW w:w="21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*23.3</w:t>
            </w:r>
          </w:p>
        </w:tc>
        <w:tc>
          <w:tcPr>
            <w:tcW w:w="6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Consent of Ernst &amp; Young LLP.</w:t>
            </w:r>
          </w:p>
        </w:tc>
      </w:tr>
      <w:tr>
        <w:trPr>
          <w:trHeight w:val="177"/>
        </w:trPr>
        <w:tc>
          <w:tcPr>
            <w:tcW w:w="21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*23.4</w:t>
            </w:r>
          </w:p>
        </w:tc>
        <w:tc>
          <w:tcPr>
            <w:tcW w:w="6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Consent of Arthur Andersen LLP.</w:t>
            </w:r>
          </w:p>
        </w:tc>
      </w:tr>
      <w:tr>
        <w:trPr>
          <w:trHeight w:val="177"/>
        </w:trPr>
        <w:tc>
          <w:tcPr>
            <w:tcW w:w="21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*23.5</w:t>
            </w:r>
          </w:p>
        </w:tc>
        <w:tc>
          <w:tcPr>
            <w:tcW w:w="6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Consent of Andrews &amp; Kurth L.L.P. -- included in Exhibit 5.1.</w:t>
            </w:r>
          </w:p>
        </w:tc>
      </w:tr>
      <w:tr>
        <w:trPr>
          <w:trHeight w:val="177"/>
        </w:trPr>
        <w:tc>
          <w:tcPr>
            <w:tcW w:w="21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*23.6</w:t>
            </w:r>
          </w:p>
        </w:tc>
        <w:tc>
          <w:tcPr>
            <w:tcW w:w="6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Consent of Baker &amp; Botts, L.L.P. -- included in Exhibit 8.1.</w:t>
            </w:r>
          </w:p>
        </w:tc>
      </w:tr>
      <w:tr>
        <w:trPr>
          <w:trHeight w:val="177"/>
        </w:trPr>
        <w:tc>
          <w:tcPr>
            <w:tcW w:w="21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*23.7</w:t>
            </w:r>
          </w:p>
        </w:tc>
        <w:tc>
          <w:tcPr>
            <w:tcW w:w="6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Consent of Donaldson, Lufkin &amp; Jenrette Securities Corporation.</w:t>
            </w:r>
          </w:p>
        </w:tc>
      </w:tr>
      <w:tr>
        <w:trPr>
          <w:trHeight w:val="177"/>
        </w:trPr>
        <w:tc>
          <w:tcPr>
            <w:tcW w:w="21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*23.8</w:t>
            </w:r>
          </w:p>
        </w:tc>
        <w:tc>
          <w:tcPr>
            <w:tcW w:w="6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Consent of Merrill Lynch, Pierce, Fenner &amp; Smith Incorporated.</w:t>
            </w:r>
          </w:p>
        </w:tc>
      </w:tr>
      <w:tr>
        <w:trPr>
          <w:trHeight w:val="177"/>
        </w:trPr>
        <w:tc>
          <w:tcPr>
            <w:tcW w:w="21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**24.1</w:t>
            </w:r>
          </w:p>
        </w:tc>
        <w:tc>
          <w:tcPr>
            <w:tcW w:w="6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Powers of Attorney -- included on the signature pages in Part II of</w:t>
            </w:r>
          </w:p>
        </w:tc>
      </w:tr>
      <w:tr>
        <w:trPr>
          <w:trHeight w:val="177"/>
        </w:trPr>
        <w:tc>
          <w:tcPr>
            <w:tcW w:w="2120" w:type="dxa"/>
            <w:vAlign w:val="bottom"/>
          </w:tcPr>
          <w:p>
            <w:pPr>
              <w:spacing w:after="0"/>
              <w:rPr>
                <w:sz w:val="15"/>
                <w:szCs w:val="15"/>
                <w:color w:val="auto"/>
              </w:rPr>
            </w:pPr>
          </w:p>
        </w:tc>
        <w:tc>
          <w:tcPr>
            <w:tcW w:w="65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this Registration Statement.</w:t>
            </w:r>
          </w:p>
        </w:tc>
      </w:tr>
      <w:tr>
        <w:trPr>
          <w:trHeight w:val="177"/>
        </w:trPr>
        <w:tc>
          <w:tcPr>
            <w:tcW w:w="21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*99.1</w:t>
            </w:r>
          </w:p>
        </w:tc>
        <w:tc>
          <w:tcPr>
            <w:tcW w:w="6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Form of USA Waste Services, Inc's Proxy Card</w:t>
            </w:r>
          </w:p>
        </w:tc>
      </w:tr>
      <w:tr>
        <w:trPr>
          <w:trHeight w:val="177"/>
        </w:trPr>
        <w:tc>
          <w:tcPr>
            <w:tcW w:w="21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*99.2</w:t>
            </w:r>
          </w:p>
        </w:tc>
        <w:tc>
          <w:tcPr>
            <w:tcW w:w="6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Form of Sanifill, Inc's Proxy Card</w:t>
            </w:r>
          </w:p>
        </w:tc>
      </w:tr>
      <w:tr>
        <w:trPr>
          <w:trHeight w:val="177"/>
        </w:trPr>
        <w:tc>
          <w:tcPr>
            <w:tcW w:w="21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*99.3</w:t>
            </w:r>
          </w:p>
        </w:tc>
        <w:tc>
          <w:tcPr>
            <w:tcW w:w="6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Opinion of Donaldson, Lufkin &amp; Jenrette Securities</w:t>
            </w:r>
          </w:p>
        </w:tc>
      </w:tr>
      <w:tr>
        <w:trPr>
          <w:trHeight w:val="177"/>
        </w:trPr>
        <w:tc>
          <w:tcPr>
            <w:tcW w:w="2120" w:type="dxa"/>
            <w:vAlign w:val="bottom"/>
          </w:tcPr>
          <w:p>
            <w:pPr>
              <w:spacing w:after="0"/>
              <w:rPr>
                <w:sz w:val="15"/>
                <w:szCs w:val="15"/>
                <w:color w:val="auto"/>
              </w:rPr>
            </w:pPr>
          </w:p>
        </w:tc>
        <w:tc>
          <w:tcPr>
            <w:tcW w:w="65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Corporation -- included as Annex B to the Joint Proxy Statement and</w:t>
            </w:r>
          </w:p>
        </w:tc>
      </w:tr>
      <w:tr>
        <w:trPr>
          <w:trHeight w:val="177"/>
        </w:trPr>
        <w:tc>
          <w:tcPr>
            <w:tcW w:w="2120" w:type="dxa"/>
            <w:vAlign w:val="bottom"/>
          </w:tcPr>
          <w:p>
            <w:pPr>
              <w:spacing w:after="0"/>
              <w:rPr>
                <w:sz w:val="15"/>
                <w:szCs w:val="15"/>
                <w:color w:val="auto"/>
              </w:rPr>
            </w:pPr>
          </w:p>
        </w:tc>
        <w:tc>
          <w:tcPr>
            <w:tcW w:w="65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Prospectus herein.</w:t>
            </w: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Filed herewith.</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Previously filed.</w:t>
      </w:r>
    </w:p>
    <w:p>
      <w:pPr>
        <w:sectPr>
          <w:pgSz w:w="11900" w:h="16838" w:orient="portrait"/>
          <w:cols w:equalWidth="0" w:num="1">
            <w:col w:w="10219"/>
          </w:cols>
          <w:pgMar w:left="240" w:top="295" w:right="1440" w:bottom="1440" w:gutter="0" w:footer="0" w:header="0"/>
        </w:sectPr>
      </w:pP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19"/>
          </w:cols>
          <w:pgMar w:left="240" w:top="295" w:right="1440" w:bottom="1440" w:gutter="0" w:footer="0" w:header="0"/>
          <w:type w:val="continuous"/>
        </w:sectPr>
      </w:pPr>
    </w:p>
    <w:bookmarkStart w:id="134" w:name="page135"/>
    <w:bookmarkEnd w:id="134"/>
    <w:p>
      <w:pPr>
        <w:ind w:left="280"/>
        <w:spacing w:after="0"/>
        <w:rPr>
          <w:sz w:val="20"/>
          <w:szCs w:val="20"/>
          <w:color w:val="auto"/>
        </w:rPr>
      </w:pPr>
      <w:r>
        <w:rPr>
          <w:rFonts w:ascii="Courier New" w:cs="Courier New" w:eastAsia="Courier New" w:hAnsi="Courier New"/>
          <w:sz w:val="15"/>
          <w:szCs w:val="15"/>
          <w:color w:val="auto"/>
        </w:rPr>
        <w:t>132</w:t>
      </w:r>
    </w:p>
    <w:p>
      <w:pPr>
        <w:spacing w:after="0" w:line="185"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ITEM 22.</w:t>
        <w:tab/>
        <w:t>UNDERTAKINGS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4"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undersigned Registrant hereby undertakes that every prospectus: (i) that is filed pursuant to the immediately preceding paragraph,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353" w:lineRule="exact"/>
        <w:rPr>
          <w:sz w:val="20"/>
          <w:szCs w:val="20"/>
          <w:color w:val="auto"/>
        </w:rPr>
      </w:pPr>
    </w:p>
    <w:p>
      <w:pPr>
        <w:ind w:right="3399" w:firstLine="461"/>
        <w:spacing w:after="0" w:line="251" w:lineRule="auto"/>
        <w:rPr>
          <w:sz w:val="20"/>
          <w:szCs w:val="20"/>
          <w:color w:val="auto"/>
        </w:rPr>
      </w:pPr>
      <w:r>
        <w:rPr>
          <w:rFonts w:ascii="Courier New" w:cs="Courier New" w:eastAsia="Courier New" w:hAnsi="Courier New"/>
          <w:sz w:val="15"/>
          <w:szCs w:val="15"/>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35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295" w:right="1440" w:bottom="1440" w:gutter="0" w:footer="0" w:header="0"/>
        </w:sectPr>
      </w:pPr>
    </w:p>
    <w:bookmarkStart w:id="135" w:name="page136"/>
    <w:bookmarkEnd w:id="135"/>
    <w:p>
      <w:pPr>
        <w:ind w:left="285"/>
        <w:spacing w:after="0"/>
        <w:rPr>
          <w:sz w:val="20"/>
          <w:szCs w:val="20"/>
          <w:color w:val="auto"/>
        </w:rPr>
      </w:pPr>
      <w:r>
        <w:rPr>
          <w:rFonts w:ascii="Courier New" w:cs="Courier New" w:eastAsia="Courier New" w:hAnsi="Courier New"/>
          <w:sz w:val="15"/>
          <w:szCs w:val="15"/>
          <w:color w:val="auto"/>
        </w:rPr>
        <w:t>133</w:t>
      </w:r>
    </w:p>
    <w:p>
      <w:pPr>
        <w:spacing w:after="0" w:line="185"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SIGNATURES</w:t>
      </w:r>
    </w:p>
    <w:p>
      <w:pPr>
        <w:spacing w:after="0" w:line="362"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AMENDMENT TO THIS REGISTRATION STATEMENT TO BE SIGNED ON ITS BEHALF BY THE UNDERSIGNED, THEREUNTO DULY AUTHORIZED, IN THE CITY OF DALLAS, STATE OF TEXAS, ON THE 19TH DAY OF JULY, 1996.</w:t>
      </w:r>
    </w:p>
    <w:p>
      <w:pPr>
        <w:spacing w:after="0" w:line="354" w:lineRule="exact"/>
        <w:rPr>
          <w:sz w:val="20"/>
          <w:szCs w:val="20"/>
          <w:color w:val="auto"/>
        </w:rPr>
      </w:pPr>
    </w:p>
    <w:p>
      <w:pPr>
        <w:ind w:left="4065"/>
        <w:spacing w:after="0"/>
        <w:rPr>
          <w:sz w:val="20"/>
          <w:szCs w:val="20"/>
          <w:color w:val="auto"/>
        </w:rPr>
      </w:pPr>
      <w:r>
        <w:rPr>
          <w:rFonts w:ascii="Courier New" w:cs="Courier New" w:eastAsia="Courier New" w:hAnsi="Courier New"/>
          <w:sz w:val="15"/>
          <w:szCs w:val="15"/>
          <w:color w:val="auto"/>
        </w:rPr>
        <w:t>USA WASTE SERVICES, INC.</w:t>
      </w:r>
    </w:p>
    <w:p>
      <w:pPr>
        <w:spacing w:after="0" w:line="185" w:lineRule="exact"/>
        <w:rPr>
          <w:sz w:val="20"/>
          <w:szCs w:val="20"/>
          <w:color w:val="auto"/>
        </w:rPr>
      </w:pPr>
    </w:p>
    <w:p>
      <w:pPr>
        <w:ind w:left="4065"/>
        <w:spacing w:after="0"/>
        <w:tabs>
          <w:tab w:leader="none" w:pos="4685" w:val="left"/>
          <w:tab w:leader="none" w:pos="5145"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tab/>
        <w:t>JOHN E. DRURY</w:t>
      </w:r>
    </w:p>
    <w:p>
      <w:pPr>
        <w:spacing w:after="0" w:line="8" w:lineRule="exact"/>
        <w:rPr>
          <w:sz w:val="20"/>
          <w:szCs w:val="20"/>
          <w:color w:val="auto"/>
        </w:rPr>
      </w:pPr>
    </w:p>
    <w:p>
      <w:pPr>
        <w:ind w:left="442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1325"/>
        <w:spacing w:after="0"/>
        <w:rPr>
          <w:sz w:val="20"/>
          <w:szCs w:val="20"/>
          <w:color w:val="auto"/>
        </w:rPr>
      </w:pPr>
      <w:r>
        <w:rPr>
          <w:rFonts w:ascii="Courier New" w:cs="Courier New" w:eastAsia="Courier New" w:hAnsi="Courier New"/>
          <w:sz w:val="15"/>
          <w:szCs w:val="15"/>
          <w:color w:val="auto"/>
        </w:rPr>
        <w:t>John E. Drury</w:t>
      </w:r>
    </w:p>
    <w:p>
      <w:pPr>
        <w:spacing w:after="0" w:line="8" w:lineRule="exact"/>
        <w:rPr>
          <w:sz w:val="20"/>
          <w:szCs w:val="20"/>
          <w:color w:val="auto"/>
        </w:rPr>
      </w:pPr>
    </w:p>
    <w:p>
      <w:pPr>
        <w:jc w:val="center"/>
        <w:ind w:right="-1325"/>
        <w:spacing w:after="0"/>
        <w:rPr>
          <w:sz w:val="20"/>
          <w:szCs w:val="20"/>
          <w:color w:val="auto"/>
        </w:rPr>
      </w:pPr>
      <w:r>
        <w:rPr>
          <w:rFonts w:ascii="Courier New" w:cs="Courier New" w:eastAsia="Courier New" w:hAnsi="Courier New"/>
          <w:sz w:val="15"/>
          <w:szCs w:val="15"/>
          <w:color w:val="auto"/>
        </w:rPr>
        <w:t>Chief Executive Officer</w:t>
      </w:r>
    </w:p>
    <w:p>
      <w:pPr>
        <w:spacing w:after="0" w:line="362" w:lineRule="exact"/>
        <w:rPr>
          <w:sz w:val="20"/>
          <w:szCs w:val="20"/>
          <w:color w:val="auto"/>
        </w:rPr>
      </w:pPr>
    </w:p>
    <w:p>
      <w:pPr>
        <w:ind w:left="5" w:right="2939" w:firstLine="461"/>
        <w:spacing w:after="0" w:line="252" w:lineRule="auto"/>
        <w:rPr>
          <w:sz w:val="20"/>
          <w:szCs w:val="20"/>
          <w:color w:val="auto"/>
        </w:rPr>
      </w:pPr>
      <w:r>
        <w:rPr>
          <w:rFonts w:ascii="Courier New" w:cs="Courier New" w:eastAsia="Courier New" w:hAnsi="Courier New"/>
          <w:sz w:val="15"/>
          <w:szCs w:val="15"/>
          <w:color w:val="auto"/>
        </w:rPr>
        <w:t>PURSUANT TO THE REQUIREMENTS OF THE SECURITIES ACT OF 1933, THIS AMENDMENT TO THIS REGISTRATION STATEMENT HAS BEEN SIGNED BY THE FOLLOWING PERSONS IN THE CAPACITIES INDICATED ON JULY 19,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665"/>
        <w:spacing w:after="0"/>
        <w:tabs>
          <w:tab w:leader="none" w:pos="6245"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p>
    <w:p>
      <w:pPr>
        <w:spacing w:after="0" w:line="8" w:lineRule="exact"/>
        <w:rPr>
          <w:sz w:val="20"/>
          <w:szCs w:val="20"/>
          <w:color w:val="auto"/>
        </w:rPr>
      </w:pPr>
    </w:p>
    <w:p>
      <w:pPr>
        <w:ind w:left="5"/>
        <w:spacing w:after="0"/>
        <w:tabs>
          <w:tab w:leader="none" w:pos="4585"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p>
    <w:p>
      <w:pPr>
        <w:spacing w:after="0" w:line="185" w:lineRule="exact"/>
        <w:rPr>
          <w:sz w:val="20"/>
          <w:szCs w:val="20"/>
          <w:color w:val="auto"/>
        </w:rPr>
      </w:pPr>
    </w:p>
    <w:p>
      <w:pPr>
        <w:jc w:val="both"/>
        <w:ind w:left="1005"/>
        <w:spacing w:after="0"/>
        <w:tabs>
          <w:tab w:leader="none" w:pos="1465" w:val="left"/>
          <w:tab w:leader="none" w:pos="4405" w:val="left"/>
        </w:tabs>
        <w:rPr>
          <w:sz w:val="20"/>
          <w:szCs w:val="20"/>
          <w:color w:val="auto"/>
        </w:rPr>
      </w:pPr>
      <w:r>
        <w:rPr>
          <w:rFonts w:ascii="Courier New" w:cs="Courier New" w:eastAsia="Courier New" w:hAnsi="Courier New"/>
          <w:sz w:val="15"/>
          <w:szCs w:val="15"/>
          <w:color w:val="auto"/>
        </w:rPr>
        <w:t>/s/</w:t>
        <w:tab/>
        <w:t>JOHN E. DRURY</w:t>
      </w:r>
      <w:r>
        <w:rPr>
          <w:sz w:val="20"/>
          <w:szCs w:val="20"/>
          <w:color w:val="auto"/>
        </w:rPr>
        <w:tab/>
      </w:r>
      <w:r>
        <w:rPr>
          <w:rFonts w:ascii="Courier New" w:cs="Courier New" w:eastAsia="Courier New" w:hAnsi="Courier New"/>
          <w:sz w:val="15"/>
          <w:szCs w:val="15"/>
          <w:color w:val="auto"/>
        </w:rPr>
        <w:t>Chairman of the Board and Chief Executive</w:t>
      </w:r>
    </w:p>
    <w:p>
      <w:pPr>
        <w:spacing w:after="0" w:line="8" w:lineRule="exact"/>
        <w:rPr>
          <w:sz w:val="20"/>
          <w:szCs w:val="20"/>
          <w:color w:val="auto"/>
        </w:rPr>
      </w:pPr>
    </w:p>
    <w:p>
      <w:pPr>
        <w:ind w:left="5"/>
        <w:spacing w:after="0"/>
        <w:tabs>
          <w:tab w:leader="none" w:pos="4585"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Officer (Principal executive officer)</w:t>
      </w:r>
    </w:p>
    <w:p>
      <w:pPr>
        <w:spacing w:after="0" w:line="8"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John E. Drury</w:t>
      </w:r>
    </w:p>
    <w:p>
      <w:pPr>
        <w:spacing w:after="0" w:line="185" w:lineRule="exact"/>
        <w:rPr>
          <w:sz w:val="20"/>
          <w:szCs w:val="20"/>
          <w:color w:val="auto"/>
        </w:rPr>
      </w:pPr>
    </w:p>
    <w:p>
      <w:pPr>
        <w:jc w:val="both"/>
        <w:ind w:left="825"/>
        <w:spacing w:after="0"/>
        <w:tabs>
          <w:tab w:leader="none" w:pos="1265" w:val="left"/>
          <w:tab w:leader="none" w:pos="4405" w:val="left"/>
        </w:tabs>
        <w:rPr>
          <w:sz w:val="20"/>
          <w:szCs w:val="20"/>
          <w:color w:val="auto"/>
        </w:rPr>
      </w:pPr>
      <w:r>
        <w:rPr>
          <w:rFonts w:ascii="Courier New" w:cs="Courier New" w:eastAsia="Courier New" w:hAnsi="Courier New"/>
          <w:sz w:val="15"/>
          <w:szCs w:val="15"/>
          <w:color w:val="auto"/>
        </w:rPr>
        <w:t>/s/</w:t>
        <w:tab/>
        <w:t>EARL E. DEFRATES</w:t>
      </w:r>
      <w:r>
        <w:rPr>
          <w:sz w:val="20"/>
          <w:szCs w:val="20"/>
          <w:color w:val="auto"/>
        </w:rPr>
        <w:tab/>
      </w:r>
      <w:r>
        <w:rPr>
          <w:rFonts w:ascii="Courier New" w:cs="Courier New" w:eastAsia="Courier New" w:hAnsi="Courier New"/>
          <w:sz w:val="15"/>
          <w:szCs w:val="15"/>
          <w:color w:val="auto"/>
        </w:rPr>
        <w:t>Executive Vice President and Chief Financial</w:t>
      </w:r>
    </w:p>
    <w:p>
      <w:pPr>
        <w:spacing w:after="0" w:line="8" w:lineRule="exact"/>
        <w:rPr>
          <w:sz w:val="20"/>
          <w:szCs w:val="20"/>
          <w:color w:val="auto"/>
        </w:rPr>
      </w:pPr>
    </w:p>
    <w:p>
      <w:pPr>
        <w:ind w:left="5"/>
        <w:spacing w:after="0"/>
        <w:tabs>
          <w:tab w:leader="none" w:pos="4585"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Officer (Principal financial officer)</w:t>
      </w:r>
    </w:p>
    <w:p>
      <w:pPr>
        <w:spacing w:after="0" w:line="8" w:lineRule="exact"/>
        <w:rPr>
          <w:sz w:val="20"/>
          <w:szCs w:val="20"/>
          <w:color w:val="auto"/>
        </w:rPr>
      </w:pPr>
    </w:p>
    <w:p>
      <w:pPr>
        <w:ind w:left="1285"/>
        <w:spacing w:after="0"/>
        <w:rPr>
          <w:sz w:val="20"/>
          <w:szCs w:val="20"/>
          <w:color w:val="auto"/>
        </w:rPr>
      </w:pPr>
      <w:r>
        <w:rPr>
          <w:rFonts w:ascii="Courier New" w:cs="Courier New" w:eastAsia="Courier New" w:hAnsi="Courier New"/>
          <w:sz w:val="15"/>
          <w:szCs w:val="15"/>
          <w:color w:val="auto"/>
        </w:rPr>
        <w:t>Earl E. DeFrates</w:t>
      </w:r>
    </w:p>
    <w:p>
      <w:pPr>
        <w:spacing w:after="0" w:line="185" w:lineRule="exact"/>
        <w:rPr>
          <w:sz w:val="20"/>
          <w:szCs w:val="20"/>
          <w:color w:val="auto"/>
        </w:rPr>
      </w:pPr>
    </w:p>
    <w:p>
      <w:pPr>
        <w:jc w:val="right"/>
        <w:ind w:right="2099"/>
        <w:spacing w:after="0"/>
        <w:tabs>
          <w:tab w:leader="none" w:pos="7460" w:val="left"/>
          <w:tab w:leader="none" w:pos="4420" w:val="left"/>
        </w:tabs>
        <w:rPr>
          <w:sz w:val="20"/>
          <w:szCs w:val="20"/>
          <w:color w:val="auto"/>
        </w:rPr>
      </w:pPr>
      <w:r>
        <w:rPr>
          <w:rFonts w:ascii="Courier New" w:cs="Courier New" w:eastAsia="Courier New" w:hAnsi="Courier New"/>
          <w:sz w:val="15"/>
          <w:szCs w:val="15"/>
          <w:color w:val="auto"/>
        </w:rPr>
        <w:t>/s/</w:t>
        <w:tab/>
        <w:t>BRUCE E. SNYDER</w:t>
      </w:r>
      <w:r>
        <w:rPr>
          <w:sz w:val="20"/>
          <w:szCs w:val="20"/>
          <w:color w:val="auto"/>
        </w:rPr>
        <w:tab/>
      </w:r>
      <w:r>
        <w:rPr>
          <w:rFonts w:ascii="Courier New" w:cs="Courier New" w:eastAsia="Courier New" w:hAnsi="Courier New"/>
          <w:sz w:val="15"/>
          <w:szCs w:val="15"/>
          <w:color w:val="auto"/>
        </w:rPr>
        <w:t>Vice President and Controller (Principal</w:t>
      </w:r>
    </w:p>
    <w:p>
      <w:pPr>
        <w:spacing w:after="0" w:line="8" w:lineRule="exact"/>
        <w:rPr>
          <w:sz w:val="20"/>
          <w:szCs w:val="20"/>
          <w:color w:val="auto"/>
        </w:rPr>
      </w:pPr>
    </w:p>
    <w:p>
      <w:pPr>
        <w:ind w:left="5"/>
        <w:spacing w:after="0"/>
        <w:tabs>
          <w:tab w:leader="none" w:pos="4585"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accounting officer)</w:t>
      </w:r>
    </w:p>
    <w:p>
      <w:pPr>
        <w:spacing w:after="0" w:line="8" w:lineRule="exact"/>
        <w:rPr>
          <w:sz w:val="20"/>
          <w:szCs w:val="20"/>
          <w:color w:val="auto"/>
        </w:rPr>
      </w:pPr>
    </w:p>
    <w:p>
      <w:pPr>
        <w:ind w:left="1385"/>
        <w:spacing w:after="0"/>
        <w:rPr>
          <w:sz w:val="20"/>
          <w:szCs w:val="20"/>
          <w:color w:val="auto"/>
        </w:rPr>
      </w:pPr>
      <w:r>
        <w:rPr>
          <w:rFonts w:ascii="Courier New" w:cs="Courier New" w:eastAsia="Courier New" w:hAnsi="Courier New"/>
          <w:sz w:val="15"/>
          <w:szCs w:val="15"/>
          <w:color w:val="auto"/>
        </w:rPr>
        <w:t>Bruce E. Snyder</w:t>
      </w:r>
    </w:p>
    <w:p>
      <w:pPr>
        <w:spacing w:after="0" w:line="185" w:lineRule="exact"/>
        <w:rPr>
          <w:sz w:val="20"/>
          <w:szCs w:val="20"/>
          <w:color w:val="auto"/>
        </w:rPr>
      </w:pPr>
    </w:p>
    <w:p>
      <w:pPr>
        <w:ind w:left="2025"/>
        <w:spacing w:after="0"/>
        <w:tabs>
          <w:tab w:leader="none" w:pos="440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Vice Chairman</w:t>
      </w:r>
    </w:p>
    <w:p>
      <w:pPr>
        <w:spacing w:after="0" w:line="8" w:lineRule="exact"/>
        <w:rPr>
          <w:sz w:val="20"/>
          <w:szCs w:val="20"/>
          <w:color w:val="auto"/>
        </w:rPr>
      </w:pPr>
    </w:p>
    <w:p>
      <w:pPr>
        <w:ind w:left="185" w:hanging="185"/>
        <w:spacing w:after="0"/>
        <w:tabs>
          <w:tab w:leader="none" w:pos="185"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9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Donald F. Moorehead, Jr.</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00" w:type="dxa"/>
            <w:vAlign w:val="bottom"/>
          </w:tcPr>
          <w:p>
            <w:pPr>
              <w:spacing w:after="0"/>
              <w:rPr>
                <w:sz w:val="14"/>
                <w:szCs w:val="14"/>
                <w:color w:val="auto"/>
              </w:rPr>
            </w:pPr>
          </w:p>
        </w:tc>
        <w:tc>
          <w:tcPr>
            <w:tcW w:w="3800" w:type="dxa"/>
            <w:vAlign w:val="bottom"/>
          </w:tcPr>
          <w:p>
            <w:pPr>
              <w:jc w:val="center"/>
              <w:ind w:right="383"/>
              <w:spacing w:after="0"/>
              <w:rPr>
                <w:sz w:val="20"/>
                <w:szCs w:val="20"/>
                <w:color w:val="auto"/>
              </w:rPr>
            </w:pPr>
            <w:r>
              <w:rPr>
                <w:rFonts w:ascii="Courier New" w:cs="Courier New" w:eastAsia="Courier New" w:hAnsi="Courier New"/>
                <w:sz w:val="15"/>
                <w:szCs w:val="15"/>
                <w:color w:val="auto"/>
              </w:rPr>
              <w:t>*</w:t>
            </w:r>
          </w:p>
        </w:tc>
        <w:tc>
          <w:tcPr>
            <w:tcW w:w="2620" w:type="dxa"/>
            <w:vAlign w:val="bottom"/>
          </w:tcPr>
          <w:p>
            <w:pPr>
              <w:ind w:left="220"/>
              <w:spacing w:after="0"/>
              <w:rPr>
                <w:sz w:val="20"/>
                <w:szCs w:val="20"/>
                <w:color w:val="auto"/>
              </w:rPr>
            </w:pPr>
            <w:r>
              <w:rPr>
                <w:rFonts w:ascii="Courier New" w:cs="Courier New" w:eastAsia="Courier New" w:hAnsi="Courier New"/>
                <w:sz w:val="15"/>
                <w:szCs w:val="15"/>
                <w:color w:val="auto"/>
              </w:rPr>
              <w:t>President and Director</w:t>
            </w:r>
          </w:p>
        </w:tc>
      </w:tr>
      <w:tr>
        <w:trPr>
          <w:trHeight w:val="177"/>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620" w:type="dxa"/>
            <w:vAlign w:val="bottom"/>
          </w:tcPr>
          <w:p>
            <w:pPr>
              <w:spacing w:after="0"/>
              <w:rPr>
                <w:sz w:val="15"/>
                <w:szCs w:val="15"/>
                <w:color w:val="auto"/>
              </w:rPr>
            </w:pPr>
          </w:p>
        </w:tc>
      </w:tr>
      <w:tr>
        <w:trPr>
          <w:trHeight w:val="177"/>
        </w:trPr>
        <w:tc>
          <w:tcPr>
            <w:tcW w:w="400" w:type="dxa"/>
            <w:vAlign w:val="bottom"/>
          </w:tcPr>
          <w:p>
            <w:pPr>
              <w:spacing w:after="0"/>
              <w:rPr>
                <w:sz w:val="15"/>
                <w:szCs w:val="15"/>
                <w:color w:val="auto"/>
              </w:rPr>
            </w:pPr>
          </w:p>
        </w:tc>
        <w:tc>
          <w:tcPr>
            <w:tcW w:w="3800" w:type="dxa"/>
            <w:vAlign w:val="bottom"/>
          </w:tcPr>
          <w:p>
            <w:pPr>
              <w:jc w:val="center"/>
              <w:ind w:right="483"/>
              <w:spacing w:after="0"/>
              <w:rPr>
                <w:sz w:val="20"/>
                <w:szCs w:val="20"/>
                <w:color w:val="auto"/>
              </w:rPr>
            </w:pPr>
            <w:r>
              <w:rPr>
                <w:rFonts w:ascii="Courier New" w:cs="Courier New" w:eastAsia="Courier New" w:hAnsi="Courier New"/>
                <w:sz w:val="15"/>
                <w:szCs w:val="15"/>
                <w:color w:val="auto"/>
              </w:rPr>
              <w:t>David Sutherland-Yoest</w:t>
            </w:r>
          </w:p>
        </w:tc>
        <w:tc>
          <w:tcPr>
            <w:tcW w:w="2620" w:type="dxa"/>
            <w:vAlign w:val="bottom"/>
          </w:tcPr>
          <w:p>
            <w:pPr>
              <w:spacing w:after="0"/>
              <w:rPr>
                <w:sz w:val="15"/>
                <w:szCs w:val="15"/>
                <w:color w:val="auto"/>
              </w:rPr>
            </w:pPr>
          </w:p>
        </w:tc>
      </w:tr>
      <w:tr>
        <w:trPr>
          <w:trHeight w:val="355"/>
        </w:trPr>
        <w:tc>
          <w:tcPr>
            <w:tcW w:w="400" w:type="dxa"/>
            <w:vAlign w:val="bottom"/>
          </w:tcPr>
          <w:p>
            <w:pPr>
              <w:spacing w:after="0"/>
              <w:rPr>
                <w:sz w:val="24"/>
                <w:szCs w:val="24"/>
                <w:color w:val="auto"/>
              </w:rPr>
            </w:pPr>
          </w:p>
        </w:tc>
        <w:tc>
          <w:tcPr>
            <w:tcW w:w="3800" w:type="dxa"/>
            <w:vAlign w:val="bottom"/>
          </w:tcPr>
          <w:p>
            <w:pPr>
              <w:jc w:val="center"/>
              <w:ind w:right="383"/>
              <w:spacing w:after="0"/>
              <w:rPr>
                <w:sz w:val="20"/>
                <w:szCs w:val="20"/>
                <w:color w:val="auto"/>
              </w:rPr>
            </w:pPr>
            <w:r>
              <w:rPr>
                <w:rFonts w:ascii="Courier New" w:cs="Courier New" w:eastAsia="Courier New" w:hAnsi="Courier New"/>
                <w:sz w:val="15"/>
                <w:szCs w:val="15"/>
                <w:color w:val="auto"/>
              </w:rPr>
              <w:t>*</w:t>
            </w:r>
          </w:p>
        </w:tc>
        <w:tc>
          <w:tcPr>
            <w:tcW w:w="2620" w:type="dxa"/>
            <w:vAlign w:val="bottom"/>
          </w:tcPr>
          <w:p>
            <w:pPr>
              <w:ind w:left="220"/>
              <w:spacing w:after="0"/>
              <w:rPr>
                <w:sz w:val="20"/>
                <w:szCs w:val="20"/>
                <w:color w:val="auto"/>
              </w:rPr>
            </w:pPr>
            <w:r>
              <w:rPr>
                <w:rFonts w:ascii="Courier New" w:cs="Courier New" w:eastAsia="Courier New" w:hAnsi="Courier New"/>
                <w:sz w:val="15"/>
                <w:szCs w:val="15"/>
                <w:color w:val="auto"/>
              </w:rPr>
              <w:t>Director</w:t>
            </w:r>
          </w:p>
        </w:tc>
      </w:tr>
      <w:tr>
        <w:trPr>
          <w:trHeight w:val="177"/>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620" w:type="dxa"/>
            <w:vAlign w:val="bottom"/>
          </w:tcPr>
          <w:p>
            <w:pPr>
              <w:spacing w:after="0"/>
              <w:rPr>
                <w:sz w:val="15"/>
                <w:szCs w:val="15"/>
                <w:color w:val="auto"/>
              </w:rPr>
            </w:pPr>
          </w:p>
        </w:tc>
      </w:tr>
      <w:tr>
        <w:trPr>
          <w:trHeight w:val="177"/>
        </w:trPr>
        <w:tc>
          <w:tcPr>
            <w:tcW w:w="400" w:type="dxa"/>
            <w:vAlign w:val="bottom"/>
          </w:tcPr>
          <w:p>
            <w:pPr>
              <w:spacing w:after="0"/>
              <w:rPr>
                <w:sz w:val="15"/>
                <w:szCs w:val="15"/>
                <w:color w:val="auto"/>
              </w:rPr>
            </w:pPr>
          </w:p>
        </w:tc>
        <w:tc>
          <w:tcPr>
            <w:tcW w:w="3800" w:type="dxa"/>
            <w:vAlign w:val="bottom"/>
          </w:tcPr>
          <w:p>
            <w:pPr>
              <w:jc w:val="center"/>
              <w:ind w:right="463"/>
              <w:spacing w:after="0"/>
              <w:rPr>
                <w:sz w:val="20"/>
                <w:szCs w:val="20"/>
                <w:color w:val="auto"/>
              </w:rPr>
            </w:pPr>
            <w:r>
              <w:rPr>
                <w:rFonts w:ascii="Courier New" w:cs="Courier New" w:eastAsia="Courier New" w:hAnsi="Courier New"/>
                <w:sz w:val="15"/>
                <w:szCs w:val="15"/>
                <w:color w:val="auto"/>
              </w:rPr>
              <w:t>George L. Ball</w:t>
            </w:r>
          </w:p>
        </w:tc>
        <w:tc>
          <w:tcPr>
            <w:tcW w:w="2620" w:type="dxa"/>
            <w:vAlign w:val="bottom"/>
          </w:tcPr>
          <w:p>
            <w:pPr>
              <w:spacing w:after="0"/>
              <w:rPr>
                <w:sz w:val="15"/>
                <w:szCs w:val="15"/>
                <w:color w:val="auto"/>
              </w:rPr>
            </w:pPr>
          </w:p>
        </w:tc>
      </w:tr>
      <w:tr>
        <w:trPr>
          <w:trHeight w:val="355"/>
        </w:trPr>
        <w:tc>
          <w:tcPr>
            <w:tcW w:w="400" w:type="dxa"/>
            <w:vAlign w:val="bottom"/>
          </w:tcPr>
          <w:p>
            <w:pPr>
              <w:spacing w:after="0"/>
              <w:rPr>
                <w:sz w:val="24"/>
                <w:szCs w:val="24"/>
                <w:color w:val="auto"/>
              </w:rPr>
            </w:pPr>
          </w:p>
        </w:tc>
        <w:tc>
          <w:tcPr>
            <w:tcW w:w="3800" w:type="dxa"/>
            <w:vAlign w:val="bottom"/>
          </w:tcPr>
          <w:p>
            <w:pPr>
              <w:jc w:val="center"/>
              <w:ind w:right="383"/>
              <w:spacing w:after="0"/>
              <w:rPr>
                <w:sz w:val="20"/>
                <w:szCs w:val="20"/>
                <w:color w:val="auto"/>
              </w:rPr>
            </w:pPr>
            <w:r>
              <w:rPr>
                <w:rFonts w:ascii="Courier New" w:cs="Courier New" w:eastAsia="Courier New" w:hAnsi="Courier New"/>
                <w:sz w:val="15"/>
                <w:szCs w:val="15"/>
                <w:color w:val="auto"/>
              </w:rPr>
              <w:t>*</w:t>
            </w:r>
          </w:p>
        </w:tc>
        <w:tc>
          <w:tcPr>
            <w:tcW w:w="2620" w:type="dxa"/>
            <w:vAlign w:val="bottom"/>
          </w:tcPr>
          <w:p>
            <w:pPr>
              <w:ind w:left="220"/>
              <w:spacing w:after="0"/>
              <w:rPr>
                <w:sz w:val="20"/>
                <w:szCs w:val="20"/>
                <w:color w:val="auto"/>
              </w:rPr>
            </w:pPr>
            <w:r>
              <w:rPr>
                <w:rFonts w:ascii="Courier New" w:cs="Courier New" w:eastAsia="Courier New" w:hAnsi="Courier New"/>
                <w:sz w:val="15"/>
                <w:szCs w:val="15"/>
                <w:color w:val="auto"/>
              </w:rPr>
              <w:t>Director</w:t>
            </w:r>
          </w:p>
        </w:tc>
      </w:tr>
      <w:tr>
        <w:trPr>
          <w:trHeight w:val="177"/>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620" w:type="dxa"/>
            <w:vAlign w:val="bottom"/>
          </w:tcPr>
          <w:p>
            <w:pPr>
              <w:spacing w:after="0"/>
              <w:rPr>
                <w:sz w:val="15"/>
                <w:szCs w:val="15"/>
                <w:color w:val="auto"/>
              </w:rPr>
            </w:pPr>
          </w:p>
        </w:tc>
      </w:tr>
      <w:tr>
        <w:trPr>
          <w:trHeight w:val="177"/>
        </w:trPr>
        <w:tc>
          <w:tcPr>
            <w:tcW w:w="400" w:type="dxa"/>
            <w:vAlign w:val="bottom"/>
          </w:tcPr>
          <w:p>
            <w:pPr>
              <w:spacing w:after="0"/>
              <w:rPr>
                <w:sz w:val="15"/>
                <w:szCs w:val="15"/>
                <w:color w:val="auto"/>
              </w:rPr>
            </w:pPr>
          </w:p>
        </w:tc>
        <w:tc>
          <w:tcPr>
            <w:tcW w:w="3800" w:type="dxa"/>
            <w:vAlign w:val="bottom"/>
          </w:tcPr>
          <w:p>
            <w:pPr>
              <w:jc w:val="center"/>
              <w:ind w:right="383"/>
              <w:spacing w:after="0"/>
              <w:rPr>
                <w:sz w:val="20"/>
                <w:szCs w:val="20"/>
                <w:color w:val="auto"/>
              </w:rPr>
            </w:pPr>
            <w:r>
              <w:rPr>
                <w:rFonts w:ascii="Courier New" w:cs="Courier New" w:eastAsia="Courier New" w:hAnsi="Courier New"/>
                <w:sz w:val="15"/>
                <w:szCs w:val="15"/>
                <w:color w:val="auto"/>
              </w:rPr>
              <w:t>Petern J. Gibbons</w:t>
            </w:r>
          </w:p>
        </w:tc>
        <w:tc>
          <w:tcPr>
            <w:tcW w:w="2620" w:type="dxa"/>
            <w:vAlign w:val="bottom"/>
          </w:tcPr>
          <w:p>
            <w:pPr>
              <w:spacing w:after="0"/>
              <w:rPr>
                <w:sz w:val="15"/>
                <w:szCs w:val="15"/>
                <w:color w:val="auto"/>
              </w:rPr>
            </w:pPr>
          </w:p>
        </w:tc>
      </w:tr>
      <w:tr>
        <w:trPr>
          <w:trHeight w:val="355"/>
        </w:trPr>
        <w:tc>
          <w:tcPr>
            <w:tcW w:w="400" w:type="dxa"/>
            <w:vAlign w:val="bottom"/>
          </w:tcPr>
          <w:p>
            <w:pPr>
              <w:spacing w:after="0"/>
              <w:rPr>
                <w:sz w:val="24"/>
                <w:szCs w:val="24"/>
                <w:color w:val="auto"/>
              </w:rPr>
            </w:pPr>
          </w:p>
        </w:tc>
        <w:tc>
          <w:tcPr>
            <w:tcW w:w="3800" w:type="dxa"/>
            <w:vAlign w:val="bottom"/>
          </w:tcPr>
          <w:p>
            <w:pPr>
              <w:jc w:val="center"/>
              <w:ind w:right="383"/>
              <w:spacing w:after="0"/>
              <w:rPr>
                <w:sz w:val="20"/>
                <w:szCs w:val="20"/>
                <w:color w:val="auto"/>
              </w:rPr>
            </w:pPr>
            <w:r>
              <w:rPr>
                <w:rFonts w:ascii="Courier New" w:cs="Courier New" w:eastAsia="Courier New" w:hAnsi="Courier New"/>
                <w:sz w:val="15"/>
                <w:szCs w:val="15"/>
                <w:color w:val="auto"/>
              </w:rPr>
              <w:t>*</w:t>
            </w:r>
          </w:p>
        </w:tc>
        <w:tc>
          <w:tcPr>
            <w:tcW w:w="2620" w:type="dxa"/>
            <w:vAlign w:val="bottom"/>
          </w:tcPr>
          <w:p>
            <w:pPr>
              <w:ind w:left="220"/>
              <w:spacing w:after="0"/>
              <w:rPr>
                <w:sz w:val="20"/>
                <w:szCs w:val="20"/>
                <w:color w:val="auto"/>
              </w:rPr>
            </w:pPr>
            <w:r>
              <w:rPr>
                <w:rFonts w:ascii="Courier New" w:cs="Courier New" w:eastAsia="Courier New" w:hAnsi="Courier New"/>
                <w:sz w:val="15"/>
                <w:szCs w:val="15"/>
                <w:color w:val="auto"/>
              </w:rPr>
              <w:t>Director</w:t>
            </w:r>
          </w:p>
        </w:tc>
      </w:tr>
      <w:tr>
        <w:trPr>
          <w:trHeight w:val="177"/>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620" w:type="dxa"/>
            <w:vAlign w:val="bottom"/>
          </w:tcPr>
          <w:p>
            <w:pPr>
              <w:spacing w:after="0"/>
              <w:rPr>
                <w:sz w:val="15"/>
                <w:szCs w:val="15"/>
                <w:color w:val="auto"/>
              </w:rPr>
            </w:pPr>
          </w:p>
        </w:tc>
      </w:tr>
      <w:tr>
        <w:trPr>
          <w:trHeight w:val="177"/>
        </w:trPr>
        <w:tc>
          <w:tcPr>
            <w:tcW w:w="400" w:type="dxa"/>
            <w:vAlign w:val="bottom"/>
          </w:tcPr>
          <w:p>
            <w:pPr>
              <w:spacing w:after="0"/>
              <w:rPr>
                <w:sz w:val="15"/>
                <w:szCs w:val="15"/>
                <w:color w:val="auto"/>
              </w:rPr>
            </w:pPr>
          </w:p>
        </w:tc>
        <w:tc>
          <w:tcPr>
            <w:tcW w:w="3800" w:type="dxa"/>
            <w:vAlign w:val="bottom"/>
          </w:tcPr>
          <w:p>
            <w:pPr>
              <w:jc w:val="center"/>
              <w:ind w:right="383"/>
              <w:spacing w:after="0"/>
              <w:rPr>
                <w:sz w:val="20"/>
                <w:szCs w:val="20"/>
                <w:color w:val="auto"/>
              </w:rPr>
            </w:pPr>
            <w:r>
              <w:rPr>
                <w:rFonts w:ascii="Courier New" w:cs="Courier New" w:eastAsia="Courier New" w:hAnsi="Courier New"/>
                <w:sz w:val="15"/>
                <w:szCs w:val="15"/>
                <w:color w:val="auto"/>
              </w:rPr>
              <w:t>Richard J. Heckmann</w:t>
            </w:r>
          </w:p>
        </w:tc>
        <w:tc>
          <w:tcPr>
            <w:tcW w:w="2620" w:type="dxa"/>
            <w:vAlign w:val="bottom"/>
          </w:tcPr>
          <w:p>
            <w:pPr>
              <w:spacing w:after="0"/>
              <w:rPr>
                <w:sz w:val="15"/>
                <w:szCs w:val="15"/>
                <w:color w:val="auto"/>
              </w:rPr>
            </w:pPr>
          </w:p>
        </w:tc>
      </w:tr>
      <w:tr>
        <w:trPr>
          <w:trHeight w:val="355"/>
        </w:trPr>
        <w:tc>
          <w:tcPr>
            <w:tcW w:w="400" w:type="dxa"/>
            <w:vAlign w:val="bottom"/>
          </w:tcPr>
          <w:p>
            <w:pPr>
              <w:spacing w:after="0"/>
              <w:rPr>
                <w:sz w:val="24"/>
                <w:szCs w:val="24"/>
                <w:color w:val="auto"/>
              </w:rPr>
            </w:pPr>
          </w:p>
        </w:tc>
        <w:tc>
          <w:tcPr>
            <w:tcW w:w="3800" w:type="dxa"/>
            <w:vAlign w:val="bottom"/>
          </w:tcPr>
          <w:p>
            <w:pPr>
              <w:jc w:val="center"/>
              <w:ind w:right="383"/>
              <w:spacing w:after="0"/>
              <w:rPr>
                <w:sz w:val="20"/>
                <w:szCs w:val="20"/>
                <w:color w:val="auto"/>
              </w:rPr>
            </w:pPr>
            <w:r>
              <w:rPr>
                <w:rFonts w:ascii="Courier New" w:cs="Courier New" w:eastAsia="Courier New" w:hAnsi="Courier New"/>
                <w:sz w:val="15"/>
                <w:szCs w:val="15"/>
                <w:color w:val="auto"/>
              </w:rPr>
              <w:t>*</w:t>
            </w:r>
          </w:p>
        </w:tc>
        <w:tc>
          <w:tcPr>
            <w:tcW w:w="2620" w:type="dxa"/>
            <w:vAlign w:val="bottom"/>
          </w:tcPr>
          <w:p>
            <w:pPr>
              <w:ind w:left="220"/>
              <w:spacing w:after="0"/>
              <w:rPr>
                <w:sz w:val="20"/>
                <w:szCs w:val="20"/>
                <w:color w:val="auto"/>
              </w:rPr>
            </w:pPr>
            <w:r>
              <w:rPr>
                <w:rFonts w:ascii="Courier New" w:cs="Courier New" w:eastAsia="Courier New" w:hAnsi="Courier New"/>
                <w:sz w:val="15"/>
                <w:szCs w:val="15"/>
                <w:color w:val="auto"/>
              </w:rPr>
              <w:t>Director</w:t>
            </w:r>
          </w:p>
        </w:tc>
      </w:tr>
      <w:tr>
        <w:trPr>
          <w:trHeight w:val="177"/>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620" w:type="dxa"/>
            <w:vAlign w:val="bottom"/>
          </w:tcPr>
          <w:p>
            <w:pPr>
              <w:spacing w:after="0"/>
              <w:rPr>
                <w:sz w:val="15"/>
                <w:szCs w:val="15"/>
                <w:color w:val="auto"/>
              </w:rPr>
            </w:pPr>
          </w:p>
        </w:tc>
      </w:tr>
      <w:tr>
        <w:trPr>
          <w:trHeight w:val="177"/>
        </w:trPr>
        <w:tc>
          <w:tcPr>
            <w:tcW w:w="400" w:type="dxa"/>
            <w:vAlign w:val="bottom"/>
          </w:tcPr>
          <w:p>
            <w:pPr>
              <w:spacing w:after="0"/>
              <w:rPr>
                <w:sz w:val="15"/>
                <w:szCs w:val="15"/>
                <w:color w:val="auto"/>
              </w:rPr>
            </w:pPr>
          </w:p>
        </w:tc>
        <w:tc>
          <w:tcPr>
            <w:tcW w:w="3800" w:type="dxa"/>
            <w:vAlign w:val="bottom"/>
          </w:tcPr>
          <w:p>
            <w:pPr>
              <w:jc w:val="center"/>
              <w:ind w:right="463"/>
              <w:spacing w:after="0"/>
              <w:rPr>
                <w:sz w:val="20"/>
                <w:szCs w:val="20"/>
                <w:color w:val="auto"/>
              </w:rPr>
            </w:pPr>
            <w:r>
              <w:rPr>
                <w:rFonts w:ascii="Courier New" w:cs="Courier New" w:eastAsia="Courier New" w:hAnsi="Courier New"/>
                <w:sz w:val="15"/>
                <w:szCs w:val="15"/>
                <w:color w:val="auto"/>
              </w:rPr>
              <w:t>William E. Moffett</w:t>
            </w:r>
          </w:p>
        </w:tc>
        <w:tc>
          <w:tcPr>
            <w:tcW w:w="2620" w:type="dxa"/>
            <w:vAlign w:val="bottom"/>
          </w:tcPr>
          <w:p>
            <w:pPr>
              <w:spacing w:after="0"/>
              <w:rPr>
                <w:sz w:val="15"/>
                <w:szCs w:val="15"/>
                <w:color w:val="auto"/>
              </w:rPr>
            </w:pPr>
          </w:p>
        </w:tc>
      </w:tr>
      <w:tr>
        <w:trPr>
          <w:trHeight w:val="355"/>
        </w:trPr>
        <w:tc>
          <w:tcPr>
            <w:tcW w:w="400" w:type="dxa"/>
            <w:vAlign w:val="bottom"/>
          </w:tcPr>
          <w:p>
            <w:pPr>
              <w:spacing w:after="0"/>
              <w:rPr>
                <w:sz w:val="24"/>
                <w:szCs w:val="24"/>
                <w:color w:val="auto"/>
              </w:rPr>
            </w:pPr>
          </w:p>
        </w:tc>
        <w:tc>
          <w:tcPr>
            <w:tcW w:w="3800" w:type="dxa"/>
            <w:vAlign w:val="bottom"/>
          </w:tcPr>
          <w:p>
            <w:pPr>
              <w:jc w:val="center"/>
              <w:ind w:right="383"/>
              <w:spacing w:after="0"/>
              <w:rPr>
                <w:sz w:val="20"/>
                <w:szCs w:val="20"/>
                <w:color w:val="auto"/>
              </w:rPr>
            </w:pPr>
            <w:r>
              <w:rPr>
                <w:rFonts w:ascii="Courier New" w:cs="Courier New" w:eastAsia="Courier New" w:hAnsi="Courier New"/>
                <w:sz w:val="15"/>
                <w:szCs w:val="15"/>
                <w:color w:val="auto"/>
              </w:rPr>
              <w:t>*</w:t>
            </w:r>
          </w:p>
        </w:tc>
        <w:tc>
          <w:tcPr>
            <w:tcW w:w="2620" w:type="dxa"/>
            <w:vAlign w:val="bottom"/>
          </w:tcPr>
          <w:p>
            <w:pPr>
              <w:ind w:left="220"/>
              <w:spacing w:after="0"/>
              <w:rPr>
                <w:sz w:val="20"/>
                <w:szCs w:val="20"/>
                <w:color w:val="auto"/>
              </w:rPr>
            </w:pPr>
            <w:r>
              <w:rPr>
                <w:rFonts w:ascii="Courier New" w:cs="Courier New" w:eastAsia="Courier New" w:hAnsi="Courier New"/>
                <w:sz w:val="15"/>
                <w:szCs w:val="15"/>
                <w:color w:val="auto"/>
              </w:rPr>
              <w:t>Director</w:t>
            </w:r>
          </w:p>
        </w:tc>
      </w:tr>
      <w:tr>
        <w:trPr>
          <w:trHeight w:val="177"/>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620" w:type="dxa"/>
            <w:vAlign w:val="bottom"/>
          </w:tcPr>
          <w:p>
            <w:pPr>
              <w:spacing w:after="0"/>
              <w:rPr>
                <w:sz w:val="15"/>
                <w:szCs w:val="15"/>
                <w:color w:val="auto"/>
              </w:rPr>
            </w:pPr>
          </w:p>
        </w:tc>
      </w:tr>
      <w:tr>
        <w:trPr>
          <w:trHeight w:val="177"/>
        </w:trPr>
        <w:tc>
          <w:tcPr>
            <w:tcW w:w="400" w:type="dxa"/>
            <w:vAlign w:val="bottom"/>
          </w:tcPr>
          <w:p>
            <w:pPr>
              <w:spacing w:after="0"/>
              <w:rPr>
                <w:sz w:val="15"/>
                <w:szCs w:val="15"/>
                <w:color w:val="auto"/>
              </w:rPr>
            </w:pPr>
          </w:p>
        </w:tc>
        <w:tc>
          <w:tcPr>
            <w:tcW w:w="3800" w:type="dxa"/>
            <w:vAlign w:val="bottom"/>
          </w:tcPr>
          <w:p>
            <w:pPr>
              <w:jc w:val="center"/>
              <w:ind w:right="383"/>
              <w:spacing w:after="0"/>
              <w:rPr>
                <w:sz w:val="20"/>
                <w:szCs w:val="20"/>
                <w:color w:val="auto"/>
              </w:rPr>
            </w:pPr>
            <w:r>
              <w:rPr>
                <w:rFonts w:ascii="Courier New" w:cs="Courier New" w:eastAsia="Courier New" w:hAnsi="Courier New"/>
                <w:sz w:val="15"/>
                <w:szCs w:val="15"/>
                <w:color w:val="auto"/>
              </w:rPr>
              <w:t>John G. Rangos, Sr.</w:t>
            </w:r>
          </w:p>
        </w:tc>
        <w:tc>
          <w:tcPr>
            <w:tcW w:w="2620" w:type="dxa"/>
            <w:vAlign w:val="bottom"/>
          </w:tcPr>
          <w:p>
            <w:pPr>
              <w:spacing w:after="0"/>
              <w:rPr>
                <w:sz w:val="15"/>
                <w:szCs w:val="15"/>
                <w:color w:val="auto"/>
              </w:rPr>
            </w:pPr>
          </w:p>
        </w:tc>
      </w:tr>
      <w:tr>
        <w:trPr>
          <w:trHeight w:val="355"/>
        </w:trPr>
        <w:tc>
          <w:tcPr>
            <w:tcW w:w="400" w:type="dxa"/>
            <w:vAlign w:val="bottom"/>
          </w:tcPr>
          <w:p>
            <w:pPr>
              <w:spacing w:after="0"/>
              <w:rPr>
                <w:sz w:val="24"/>
                <w:szCs w:val="24"/>
                <w:color w:val="auto"/>
              </w:rPr>
            </w:pPr>
          </w:p>
        </w:tc>
        <w:tc>
          <w:tcPr>
            <w:tcW w:w="3800" w:type="dxa"/>
            <w:vAlign w:val="bottom"/>
          </w:tcPr>
          <w:p>
            <w:pPr>
              <w:jc w:val="center"/>
              <w:ind w:right="383"/>
              <w:spacing w:after="0"/>
              <w:rPr>
                <w:sz w:val="20"/>
                <w:szCs w:val="20"/>
                <w:color w:val="auto"/>
              </w:rPr>
            </w:pPr>
            <w:r>
              <w:rPr>
                <w:rFonts w:ascii="Courier New" w:cs="Courier New" w:eastAsia="Courier New" w:hAnsi="Courier New"/>
                <w:sz w:val="15"/>
                <w:szCs w:val="15"/>
                <w:color w:val="auto"/>
              </w:rPr>
              <w:t>*</w:t>
            </w:r>
          </w:p>
        </w:tc>
        <w:tc>
          <w:tcPr>
            <w:tcW w:w="2620" w:type="dxa"/>
            <w:vAlign w:val="bottom"/>
          </w:tcPr>
          <w:p>
            <w:pPr>
              <w:ind w:left="220"/>
              <w:spacing w:after="0"/>
              <w:rPr>
                <w:sz w:val="20"/>
                <w:szCs w:val="20"/>
                <w:color w:val="auto"/>
              </w:rPr>
            </w:pPr>
            <w:r>
              <w:rPr>
                <w:rFonts w:ascii="Courier New" w:cs="Courier New" w:eastAsia="Courier New" w:hAnsi="Courier New"/>
                <w:sz w:val="15"/>
                <w:szCs w:val="15"/>
                <w:color w:val="auto"/>
              </w:rPr>
              <w:t>Vice Chairman and Director</w:t>
            </w:r>
          </w:p>
        </w:tc>
      </w:tr>
      <w:tr>
        <w:trPr>
          <w:trHeight w:val="177"/>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620" w:type="dxa"/>
            <w:vAlign w:val="bottom"/>
          </w:tcPr>
          <w:p>
            <w:pPr>
              <w:spacing w:after="0"/>
              <w:rPr>
                <w:sz w:val="15"/>
                <w:szCs w:val="15"/>
                <w:color w:val="auto"/>
              </w:rPr>
            </w:pPr>
          </w:p>
        </w:tc>
      </w:tr>
      <w:tr>
        <w:trPr>
          <w:trHeight w:val="177"/>
        </w:trPr>
        <w:tc>
          <w:tcPr>
            <w:tcW w:w="400" w:type="dxa"/>
            <w:vAlign w:val="bottom"/>
          </w:tcPr>
          <w:p>
            <w:pPr>
              <w:spacing w:after="0"/>
              <w:rPr>
                <w:sz w:val="15"/>
                <w:szCs w:val="15"/>
                <w:color w:val="auto"/>
              </w:rPr>
            </w:pPr>
          </w:p>
        </w:tc>
        <w:tc>
          <w:tcPr>
            <w:tcW w:w="3800" w:type="dxa"/>
            <w:vAlign w:val="bottom"/>
          </w:tcPr>
          <w:p>
            <w:pPr>
              <w:jc w:val="center"/>
              <w:ind w:right="383"/>
              <w:spacing w:after="0"/>
              <w:rPr>
                <w:sz w:val="20"/>
                <w:szCs w:val="20"/>
                <w:color w:val="auto"/>
              </w:rPr>
            </w:pPr>
            <w:r>
              <w:rPr>
                <w:rFonts w:ascii="Courier New" w:cs="Courier New" w:eastAsia="Courier New" w:hAnsi="Courier New"/>
                <w:sz w:val="15"/>
                <w:szCs w:val="15"/>
                <w:color w:val="auto"/>
              </w:rPr>
              <w:t>Alexander W. Rangos</w:t>
            </w:r>
          </w:p>
        </w:tc>
        <w:tc>
          <w:tcPr>
            <w:tcW w:w="2620" w:type="dxa"/>
            <w:vAlign w:val="bottom"/>
          </w:tcPr>
          <w:p>
            <w:pPr>
              <w:spacing w:after="0"/>
              <w:rPr>
                <w:sz w:val="15"/>
                <w:szCs w:val="15"/>
                <w:color w:val="auto"/>
              </w:rPr>
            </w:pPr>
          </w:p>
        </w:tc>
      </w:tr>
      <w:tr>
        <w:trPr>
          <w:trHeight w:val="355"/>
        </w:trPr>
        <w:tc>
          <w:tcPr>
            <w:tcW w:w="400" w:type="dxa"/>
            <w:vAlign w:val="bottom"/>
          </w:tcPr>
          <w:p>
            <w:pPr>
              <w:spacing w:after="0"/>
              <w:rPr>
                <w:sz w:val="24"/>
                <w:szCs w:val="24"/>
                <w:color w:val="auto"/>
              </w:rPr>
            </w:pPr>
          </w:p>
        </w:tc>
        <w:tc>
          <w:tcPr>
            <w:tcW w:w="3800" w:type="dxa"/>
            <w:vAlign w:val="bottom"/>
          </w:tcPr>
          <w:p>
            <w:pPr>
              <w:jc w:val="center"/>
              <w:ind w:right="383"/>
              <w:spacing w:after="0"/>
              <w:rPr>
                <w:sz w:val="20"/>
                <w:szCs w:val="20"/>
                <w:color w:val="auto"/>
              </w:rPr>
            </w:pPr>
            <w:r>
              <w:rPr>
                <w:rFonts w:ascii="Courier New" w:cs="Courier New" w:eastAsia="Courier New" w:hAnsi="Courier New"/>
                <w:sz w:val="15"/>
                <w:szCs w:val="15"/>
                <w:color w:val="auto"/>
              </w:rPr>
              <w:t>*</w:t>
            </w:r>
          </w:p>
        </w:tc>
        <w:tc>
          <w:tcPr>
            <w:tcW w:w="2620" w:type="dxa"/>
            <w:vAlign w:val="bottom"/>
          </w:tcPr>
          <w:p>
            <w:pPr>
              <w:ind w:left="220"/>
              <w:spacing w:after="0"/>
              <w:rPr>
                <w:sz w:val="20"/>
                <w:szCs w:val="20"/>
                <w:color w:val="auto"/>
              </w:rPr>
            </w:pPr>
            <w:r>
              <w:rPr>
                <w:rFonts w:ascii="Courier New" w:cs="Courier New" w:eastAsia="Courier New" w:hAnsi="Courier New"/>
                <w:sz w:val="15"/>
                <w:szCs w:val="15"/>
                <w:color w:val="auto"/>
              </w:rPr>
              <w:t>Director</w:t>
            </w:r>
          </w:p>
        </w:tc>
      </w:tr>
      <w:tr>
        <w:trPr>
          <w:trHeight w:val="177"/>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620" w:type="dxa"/>
            <w:vAlign w:val="bottom"/>
          </w:tcPr>
          <w:p>
            <w:pPr>
              <w:spacing w:after="0"/>
              <w:rPr>
                <w:sz w:val="15"/>
                <w:szCs w:val="15"/>
                <w:color w:val="auto"/>
              </w:rPr>
            </w:pPr>
          </w:p>
        </w:tc>
      </w:tr>
      <w:tr>
        <w:trPr>
          <w:trHeight w:val="177"/>
        </w:trPr>
        <w:tc>
          <w:tcPr>
            <w:tcW w:w="400" w:type="dxa"/>
            <w:vAlign w:val="bottom"/>
          </w:tcPr>
          <w:p>
            <w:pPr>
              <w:spacing w:after="0"/>
              <w:rPr>
                <w:sz w:val="15"/>
                <w:szCs w:val="15"/>
                <w:color w:val="auto"/>
              </w:rPr>
            </w:pPr>
          </w:p>
        </w:tc>
        <w:tc>
          <w:tcPr>
            <w:tcW w:w="3800" w:type="dxa"/>
            <w:vAlign w:val="bottom"/>
          </w:tcPr>
          <w:p>
            <w:pPr>
              <w:jc w:val="center"/>
              <w:ind w:right="483"/>
              <w:spacing w:after="0"/>
              <w:rPr>
                <w:sz w:val="20"/>
                <w:szCs w:val="20"/>
                <w:color w:val="auto"/>
              </w:rPr>
            </w:pPr>
            <w:r>
              <w:rPr>
                <w:rFonts w:ascii="Courier New" w:cs="Courier New" w:eastAsia="Courier New" w:hAnsi="Courier New"/>
                <w:sz w:val="15"/>
                <w:szCs w:val="15"/>
                <w:color w:val="auto"/>
              </w:rPr>
              <w:t>Kosti Shirvanian</w:t>
            </w:r>
          </w:p>
        </w:tc>
        <w:tc>
          <w:tcPr>
            <w:tcW w:w="2620" w:type="dxa"/>
            <w:vAlign w:val="bottom"/>
          </w:tcPr>
          <w:p>
            <w:pPr>
              <w:spacing w:after="0"/>
              <w:rPr>
                <w:sz w:val="15"/>
                <w:szCs w:val="15"/>
                <w:color w:val="auto"/>
              </w:rPr>
            </w:pPr>
          </w:p>
        </w:tc>
      </w:tr>
      <w:tr>
        <w:trPr>
          <w:trHeight w:val="355"/>
        </w:trPr>
        <w:tc>
          <w:tcPr>
            <w:tcW w:w="400" w:type="dxa"/>
            <w:vAlign w:val="bottom"/>
          </w:tcPr>
          <w:p>
            <w:pPr>
              <w:spacing w:after="0"/>
              <w:rPr>
                <w:sz w:val="24"/>
                <w:szCs w:val="24"/>
                <w:color w:val="auto"/>
              </w:rPr>
            </w:pPr>
          </w:p>
        </w:tc>
        <w:tc>
          <w:tcPr>
            <w:tcW w:w="3800" w:type="dxa"/>
            <w:vAlign w:val="bottom"/>
          </w:tcPr>
          <w:p>
            <w:pPr>
              <w:jc w:val="center"/>
              <w:ind w:right="383"/>
              <w:spacing w:after="0"/>
              <w:rPr>
                <w:sz w:val="20"/>
                <w:szCs w:val="20"/>
                <w:color w:val="auto"/>
              </w:rPr>
            </w:pPr>
            <w:r>
              <w:rPr>
                <w:rFonts w:ascii="Courier New" w:cs="Courier New" w:eastAsia="Courier New" w:hAnsi="Courier New"/>
                <w:sz w:val="15"/>
                <w:szCs w:val="15"/>
                <w:color w:val="auto"/>
              </w:rPr>
              <w:t>*</w:t>
            </w:r>
          </w:p>
        </w:tc>
        <w:tc>
          <w:tcPr>
            <w:tcW w:w="2620" w:type="dxa"/>
            <w:vAlign w:val="bottom"/>
          </w:tcPr>
          <w:p>
            <w:pPr>
              <w:ind w:left="220"/>
              <w:spacing w:after="0"/>
              <w:rPr>
                <w:sz w:val="20"/>
                <w:szCs w:val="20"/>
                <w:color w:val="auto"/>
              </w:rPr>
            </w:pPr>
            <w:r>
              <w:rPr>
                <w:rFonts w:ascii="Courier New" w:cs="Courier New" w:eastAsia="Courier New" w:hAnsi="Courier New"/>
                <w:sz w:val="15"/>
                <w:szCs w:val="15"/>
                <w:color w:val="auto"/>
              </w:rPr>
              <w:t>Director</w:t>
            </w:r>
          </w:p>
        </w:tc>
      </w:tr>
      <w:tr>
        <w:trPr>
          <w:trHeight w:val="177"/>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620" w:type="dxa"/>
            <w:vAlign w:val="bottom"/>
          </w:tcPr>
          <w:p>
            <w:pPr>
              <w:spacing w:after="0"/>
              <w:rPr>
                <w:sz w:val="15"/>
                <w:szCs w:val="15"/>
                <w:color w:val="auto"/>
              </w:rPr>
            </w:pPr>
          </w:p>
        </w:tc>
      </w:tr>
      <w:tr>
        <w:trPr>
          <w:trHeight w:val="177"/>
        </w:trPr>
        <w:tc>
          <w:tcPr>
            <w:tcW w:w="400" w:type="dxa"/>
            <w:vAlign w:val="bottom"/>
          </w:tcPr>
          <w:p>
            <w:pPr>
              <w:spacing w:after="0"/>
              <w:rPr>
                <w:sz w:val="15"/>
                <w:szCs w:val="15"/>
                <w:color w:val="auto"/>
              </w:rPr>
            </w:pPr>
          </w:p>
        </w:tc>
        <w:tc>
          <w:tcPr>
            <w:tcW w:w="3800" w:type="dxa"/>
            <w:vAlign w:val="bottom"/>
          </w:tcPr>
          <w:p>
            <w:pPr>
              <w:jc w:val="center"/>
              <w:ind w:right="383"/>
              <w:spacing w:after="0"/>
              <w:rPr>
                <w:sz w:val="20"/>
                <w:szCs w:val="20"/>
                <w:color w:val="auto"/>
              </w:rPr>
            </w:pPr>
            <w:r>
              <w:rPr>
                <w:rFonts w:ascii="Courier New" w:cs="Courier New" w:eastAsia="Courier New" w:hAnsi="Courier New"/>
                <w:sz w:val="15"/>
                <w:szCs w:val="15"/>
                <w:color w:val="auto"/>
              </w:rPr>
              <w:t>Savey Tufenkian</w:t>
            </w:r>
          </w:p>
        </w:tc>
        <w:tc>
          <w:tcPr>
            <w:tcW w:w="2620" w:type="dxa"/>
            <w:vAlign w:val="bottom"/>
          </w:tcPr>
          <w:p>
            <w:pPr>
              <w:spacing w:after="0"/>
              <w:rPr>
                <w:sz w:val="15"/>
                <w:szCs w:val="15"/>
                <w:color w:val="auto"/>
              </w:rPr>
            </w:pPr>
          </w:p>
        </w:tc>
      </w:tr>
      <w:tr>
        <w:trPr>
          <w:trHeight w:val="355"/>
        </w:trPr>
        <w:tc>
          <w:tcPr>
            <w:tcW w:w="4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3800" w:type="dxa"/>
            <w:vAlign w:val="bottom"/>
          </w:tcPr>
          <w:p>
            <w:pPr>
              <w:jc w:val="right"/>
              <w:ind w:right="1443"/>
              <w:spacing w:after="0"/>
              <w:rPr>
                <w:sz w:val="20"/>
                <w:szCs w:val="20"/>
                <w:color w:val="auto"/>
              </w:rPr>
            </w:pPr>
            <w:r>
              <w:rPr>
                <w:rFonts w:ascii="Courier New" w:cs="Courier New" w:eastAsia="Courier New" w:hAnsi="Courier New"/>
                <w:sz w:val="15"/>
                <w:szCs w:val="15"/>
                <w:color w:val="auto"/>
              </w:rPr>
              <w:t>/s/  JOHN E. DRURY</w:t>
            </w:r>
          </w:p>
        </w:tc>
        <w:tc>
          <w:tcPr>
            <w:tcW w:w="2620" w:type="dxa"/>
            <w:vAlign w:val="bottom"/>
          </w:tcPr>
          <w:p>
            <w:pPr>
              <w:spacing w:after="0"/>
              <w:rPr>
                <w:sz w:val="24"/>
                <w:szCs w:val="24"/>
                <w:color w:val="auto"/>
              </w:rPr>
            </w:pPr>
          </w:p>
        </w:tc>
      </w:tr>
      <w:tr>
        <w:trPr>
          <w:trHeight w:val="177"/>
        </w:trPr>
        <w:tc>
          <w:tcPr>
            <w:tcW w:w="400" w:type="dxa"/>
            <w:vAlign w:val="bottom"/>
          </w:tcPr>
          <w:p>
            <w:pPr>
              <w:spacing w:after="0"/>
              <w:rPr>
                <w:sz w:val="15"/>
                <w:szCs w:val="15"/>
                <w:color w:val="auto"/>
              </w:rPr>
            </w:pPr>
          </w:p>
        </w:tc>
        <w:tc>
          <w:tcPr>
            <w:tcW w:w="38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2620" w:type="dxa"/>
            <w:vAlign w:val="bottom"/>
          </w:tcPr>
          <w:p>
            <w:pPr>
              <w:spacing w:after="0"/>
              <w:rPr>
                <w:sz w:val="15"/>
                <w:szCs w:val="15"/>
                <w:color w:val="auto"/>
              </w:rPr>
            </w:pPr>
          </w:p>
        </w:tc>
      </w:tr>
      <w:tr>
        <w:trPr>
          <w:trHeight w:val="177"/>
        </w:trPr>
        <w:tc>
          <w:tcPr>
            <w:tcW w:w="400" w:type="dxa"/>
            <w:vAlign w:val="bottom"/>
          </w:tcPr>
          <w:p>
            <w:pPr>
              <w:spacing w:after="0"/>
              <w:rPr>
                <w:sz w:val="15"/>
                <w:szCs w:val="15"/>
                <w:color w:val="auto"/>
              </w:rPr>
            </w:pPr>
          </w:p>
        </w:tc>
        <w:tc>
          <w:tcPr>
            <w:tcW w:w="3800" w:type="dxa"/>
            <w:vAlign w:val="bottom"/>
          </w:tcPr>
          <w:p>
            <w:pPr>
              <w:jc w:val="center"/>
              <w:ind w:right="483"/>
              <w:spacing w:after="0"/>
              <w:rPr>
                <w:sz w:val="20"/>
                <w:szCs w:val="20"/>
                <w:color w:val="auto"/>
              </w:rPr>
            </w:pPr>
            <w:r>
              <w:rPr>
                <w:rFonts w:ascii="Courier New" w:cs="Courier New" w:eastAsia="Courier New" w:hAnsi="Courier New"/>
                <w:sz w:val="15"/>
                <w:szCs w:val="15"/>
                <w:color w:val="auto"/>
              </w:rPr>
              <w:t>Attorney-in-Fact</w:t>
            </w:r>
          </w:p>
        </w:tc>
        <w:tc>
          <w:tcPr>
            <w:tcW w:w="262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0225"/>
          </w:cols>
          <w:pgMar w:left="235" w:top="295" w:right="1440" w:bottom="205" w:gutter="0" w:footer="0" w:header="0"/>
        </w:sectPr>
      </w:pPr>
    </w:p>
    <w:p>
      <w:pPr>
        <w:spacing w:after="0" w:line="338" w:lineRule="exact"/>
        <w:rPr>
          <w:sz w:val="20"/>
          <w:szCs w:val="20"/>
          <w:color w:val="auto"/>
        </w:rPr>
      </w:pPr>
    </w:p>
    <w:p>
      <w:pPr>
        <w:ind w:left="3505"/>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25"/>
          </w:cols>
          <w:pgMar w:left="235" w:top="295" w:right="1440" w:bottom="205" w:gutter="0" w:footer="0" w:header="0"/>
          <w:type w:val="continuous"/>
        </w:sectPr>
      </w:pPr>
    </w:p>
    <w:bookmarkStart w:id="136" w:name="page137"/>
    <w:bookmarkEnd w:id="136"/>
    <w:p>
      <w:pPr>
        <w:ind w:left="285"/>
        <w:spacing w:after="0"/>
        <w:rPr>
          <w:sz w:val="20"/>
          <w:szCs w:val="20"/>
          <w:color w:val="auto"/>
        </w:rPr>
      </w:pPr>
      <w:r>
        <w:rPr>
          <w:rFonts w:ascii="Courier New" w:cs="Courier New" w:eastAsia="Courier New" w:hAnsi="Courier New"/>
          <w:sz w:val="15"/>
          <w:szCs w:val="15"/>
          <w:color w:val="auto"/>
        </w:rPr>
        <w:t>134</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40" w:type="dxa"/>
            <w:vAlign w:val="bottom"/>
          </w:tcPr>
          <w:p>
            <w:pPr>
              <w:jc w:val="right"/>
              <w:ind w:right="4083"/>
              <w:spacing w:after="0"/>
              <w:rPr>
                <w:sz w:val="20"/>
                <w:szCs w:val="20"/>
                <w:color w:val="auto"/>
              </w:rPr>
            </w:pPr>
            <w:r>
              <w:rPr>
                <w:rFonts w:ascii="Courier New" w:cs="Courier New" w:eastAsia="Courier New" w:hAnsi="Courier New"/>
                <w:sz w:val="15"/>
                <w:szCs w:val="15"/>
                <w:color w:val="auto"/>
              </w:rPr>
              <w:t>INDEX TO EXHIBITS</w:t>
            </w:r>
          </w:p>
        </w:tc>
      </w:tr>
      <w:tr>
        <w:trPr>
          <w:trHeight w:val="887"/>
        </w:trPr>
        <w:tc>
          <w:tcPr>
            <w:tcW w:w="15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EXHIBIT</w:t>
            </w:r>
          </w:p>
        </w:tc>
        <w:tc>
          <w:tcPr>
            <w:tcW w:w="980" w:type="dxa"/>
            <w:vAlign w:val="bottom"/>
          </w:tcPr>
          <w:p>
            <w:pPr>
              <w:spacing w:after="0"/>
              <w:rPr>
                <w:sz w:val="24"/>
                <w:szCs w:val="24"/>
                <w:color w:val="auto"/>
              </w:rPr>
            </w:pPr>
          </w:p>
        </w:tc>
        <w:tc>
          <w:tcPr>
            <w:tcW w:w="6040" w:type="dxa"/>
            <w:vAlign w:val="bottom"/>
          </w:tcPr>
          <w:p>
            <w:pPr>
              <w:spacing w:after="0"/>
              <w:rPr>
                <w:sz w:val="24"/>
                <w:szCs w:val="24"/>
                <w:color w:val="auto"/>
              </w:rPr>
            </w:pPr>
          </w:p>
        </w:tc>
      </w:tr>
      <w:tr>
        <w:trPr>
          <w:trHeight w:val="177"/>
        </w:trPr>
        <w:tc>
          <w:tcPr>
            <w:tcW w:w="2540" w:type="dxa"/>
            <w:vAlign w:val="bottom"/>
            <w:gridSpan w:val="2"/>
          </w:tcPr>
          <w:p>
            <w:pPr>
              <w:jc w:val="right"/>
              <w:ind w:right="443"/>
              <w:spacing w:after="0"/>
              <w:rPr>
                <w:sz w:val="20"/>
                <w:szCs w:val="20"/>
                <w:color w:val="auto"/>
              </w:rPr>
            </w:pPr>
            <w:r>
              <w:rPr>
                <w:rFonts w:ascii="Courier New" w:cs="Courier New" w:eastAsia="Courier New" w:hAnsi="Courier New"/>
                <w:sz w:val="15"/>
                <w:szCs w:val="15"/>
                <w:color w:val="auto"/>
              </w:rPr>
              <w:t>- --------------------</w:t>
            </w:r>
          </w:p>
        </w:tc>
        <w:tc>
          <w:tcPr>
            <w:tcW w:w="6040" w:type="dxa"/>
            <w:vAlign w:val="bottom"/>
          </w:tcPr>
          <w:p>
            <w:pPr>
              <w:spacing w:after="0"/>
              <w:rPr>
                <w:sz w:val="15"/>
                <w:szCs w:val="15"/>
                <w:color w:val="auto"/>
              </w:rPr>
            </w:pPr>
          </w:p>
        </w:tc>
      </w:tr>
      <w:tr>
        <w:trPr>
          <w:trHeight w:val="355"/>
        </w:trPr>
        <w:tc>
          <w:tcPr>
            <w:tcW w:w="15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*2.1</w:t>
            </w:r>
          </w:p>
        </w:tc>
        <w:tc>
          <w:tcPr>
            <w:tcW w:w="70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 Agreement and Plan of Merger dated as of June 22, 1996, among USA</w:t>
            </w:r>
          </w:p>
        </w:tc>
      </w:tr>
      <w:tr>
        <w:trPr>
          <w:trHeight w:val="177"/>
        </w:trPr>
        <w:tc>
          <w:tcPr>
            <w:tcW w:w="1560" w:type="dxa"/>
            <w:vAlign w:val="bottom"/>
          </w:tcPr>
          <w:p>
            <w:pPr>
              <w:spacing w:after="0"/>
              <w:rPr>
                <w:sz w:val="15"/>
                <w:szCs w:val="15"/>
                <w:color w:val="auto"/>
              </w:rPr>
            </w:pPr>
          </w:p>
        </w:tc>
        <w:tc>
          <w:tcPr>
            <w:tcW w:w="702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Waste Services, Inc. ("USA Waste"), Quatro Acquisition Corporation, a</w:t>
            </w:r>
          </w:p>
        </w:tc>
      </w:tr>
      <w:tr>
        <w:trPr>
          <w:trHeight w:val="177"/>
        </w:trPr>
        <w:tc>
          <w:tcPr>
            <w:tcW w:w="1560" w:type="dxa"/>
            <w:vAlign w:val="bottom"/>
          </w:tcPr>
          <w:p>
            <w:pPr>
              <w:spacing w:after="0"/>
              <w:rPr>
                <w:sz w:val="15"/>
                <w:szCs w:val="15"/>
                <w:color w:val="auto"/>
              </w:rPr>
            </w:pPr>
          </w:p>
        </w:tc>
        <w:tc>
          <w:tcPr>
            <w:tcW w:w="702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wholly owned subsidiary of USA Waste ("Acquisition"), and Sanifill,</w:t>
            </w:r>
          </w:p>
        </w:tc>
      </w:tr>
      <w:tr>
        <w:trPr>
          <w:trHeight w:val="177"/>
        </w:trPr>
        <w:tc>
          <w:tcPr>
            <w:tcW w:w="1560" w:type="dxa"/>
            <w:vAlign w:val="bottom"/>
          </w:tcPr>
          <w:p>
            <w:pPr>
              <w:spacing w:after="0"/>
              <w:rPr>
                <w:sz w:val="15"/>
                <w:szCs w:val="15"/>
                <w:color w:val="auto"/>
              </w:rPr>
            </w:pPr>
          </w:p>
        </w:tc>
        <w:tc>
          <w:tcPr>
            <w:tcW w:w="702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Inc. ("Sanifill"), as amended by Amendment No. 1 to Agreement and</w:t>
            </w:r>
          </w:p>
        </w:tc>
      </w:tr>
      <w:tr>
        <w:trPr>
          <w:trHeight w:val="177"/>
        </w:trPr>
        <w:tc>
          <w:tcPr>
            <w:tcW w:w="1560" w:type="dxa"/>
            <w:vAlign w:val="bottom"/>
          </w:tcPr>
          <w:p>
            <w:pPr>
              <w:spacing w:after="0"/>
              <w:rPr>
                <w:sz w:val="15"/>
                <w:szCs w:val="15"/>
                <w:color w:val="auto"/>
              </w:rPr>
            </w:pPr>
          </w:p>
        </w:tc>
        <w:tc>
          <w:tcPr>
            <w:tcW w:w="702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Plan of Merger dated as of July 18, 1996 among USA Waste, Acquisition</w:t>
            </w:r>
          </w:p>
        </w:tc>
      </w:tr>
      <w:tr>
        <w:trPr>
          <w:trHeight w:val="177"/>
        </w:trPr>
        <w:tc>
          <w:tcPr>
            <w:tcW w:w="1560" w:type="dxa"/>
            <w:vAlign w:val="bottom"/>
          </w:tcPr>
          <w:p>
            <w:pPr>
              <w:spacing w:after="0"/>
              <w:rPr>
                <w:sz w:val="15"/>
                <w:szCs w:val="15"/>
                <w:color w:val="auto"/>
              </w:rPr>
            </w:pPr>
          </w:p>
        </w:tc>
        <w:tc>
          <w:tcPr>
            <w:tcW w:w="702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and Sanifill -- included as Annex A to the Joint Proxy Statement and</w:t>
            </w:r>
          </w:p>
        </w:tc>
      </w:tr>
      <w:tr>
        <w:trPr>
          <w:trHeight w:val="177"/>
        </w:trPr>
        <w:tc>
          <w:tcPr>
            <w:tcW w:w="1560" w:type="dxa"/>
            <w:vAlign w:val="bottom"/>
          </w:tcPr>
          <w:p>
            <w:pPr>
              <w:spacing w:after="0"/>
              <w:rPr>
                <w:sz w:val="15"/>
                <w:szCs w:val="15"/>
                <w:color w:val="auto"/>
              </w:rPr>
            </w:pPr>
          </w:p>
        </w:tc>
        <w:tc>
          <w:tcPr>
            <w:tcW w:w="702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Prospectus herein.</w:t>
            </w:r>
          </w:p>
        </w:tc>
      </w:tr>
      <w:tr>
        <w:trPr>
          <w:trHeight w:val="177"/>
        </w:trPr>
        <w:tc>
          <w:tcPr>
            <w:tcW w:w="15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3.1</w:t>
            </w:r>
          </w:p>
        </w:tc>
        <w:tc>
          <w:tcPr>
            <w:tcW w:w="70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 Restated Certificate of Incorporation -- incorporated by reference to</w:t>
            </w:r>
          </w:p>
        </w:tc>
      </w:tr>
      <w:tr>
        <w:trPr>
          <w:trHeight w:val="177"/>
        </w:trPr>
        <w:tc>
          <w:tcPr>
            <w:tcW w:w="1560" w:type="dxa"/>
            <w:vAlign w:val="bottom"/>
          </w:tcPr>
          <w:p>
            <w:pPr>
              <w:spacing w:after="0"/>
              <w:rPr>
                <w:sz w:val="15"/>
                <w:szCs w:val="15"/>
                <w:color w:val="auto"/>
              </w:rPr>
            </w:pPr>
          </w:p>
        </w:tc>
        <w:tc>
          <w:tcPr>
            <w:tcW w:w="702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Exhibit 3.1(b) of the Registrant's Quarterly Report on Form 10-Q for</w:t>
            </w:r>
          </w:p>
        </w:tc>
      </w:tr>
      <w:tr>
        <w:trPr>
          <w:trHeight w:val="177"/>
        </w:trPr>
        <w:tc>
          <w:tcPr>
            <w:tcW w:w="1560" w:type="dxa"/>
            <w:vAlign w:val="bottom"/>
          </w:tcPr>
          <w:p>
            <w:pPr>
              <w:spacing w:after="0"/>
              <w:rPr>
                <w:sz w:val="15"/>
                <w:szCs w:val="15"/>
                <w:color w:val="auto"/>
              </w:rPr>
            </w:pPr>
          </w:p>
        </w:tc>
        <w:tc>
          <w:tcPr>
            <w:tcW w:w="702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the quarterly period ended March 31, 1996.</w:t>
            </w:r>
          </w:p>
        </w:tc>
      </w:tr>
      <w:tr>
        <w:trPr>
          <w:trHeight w:val="177"/>
        </w:trPr>
        <w:tc>
          <w:tcPr>
            <w:tcW w:w="15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3.2</w:t>
            </w:r>
          </w:p>
        </w:tc>
        <w:tc>
          <w:tcPr>
            <w:tcW w:w="70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 Bylaws -- incorporated by reference to Exhibit 3.2 of the</w:t>
            </w:r>
          </w:p>
        </w:tc>
      </w:tr>
      <w:tr>
        <w:trPr>
          <w:trHeight w:val="177"/>
        </w:trPr>
        <w:tc>
          <w:tcPr>
            <w:tcW w:w="1560" w:type="dxa"/>
            <w:vAlign w:val="bottom"/>
          </w:tcPr>
          <w:p>
            <w:pPr>
              <w:spacing w:after="0"/>
              <w:rPr>
                <w:sz w:val="15"/>
                <w:szCs w:val="15"/>
                <w:color w:val="auto"/>
              </w:rPr>
            </w:pPr>
          </w:p>
        </w:tc>
        <w:tc>
          <w:tcPr>
            <w:tcW w:w="702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Registrant's Registration Statement on Form S-4, File No. 33-60103.</w:t>
            </w:r>
          </w:p>
        </w:tc>
      </w:tr>
      <w:tr>
        <w:trPr>
          <w:trHeight w:val="177"/>
        </w:trPr>
        <w:tc>
          <w:tcPr>
            <w:tcW w:w="15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4.1</w:t>
            </w:r>
          </w:p>
        </w:tc>
        <w:tc>
          <w:tcPr>
            <w:tcW w:w="70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 Specimen Stock Certificate -- incorporated by reference to Exhibit</w:t>
            </w:r>
          </w:p>
        </w:tc>
      </w:tr>
      <w:tr>
        <w:trPr>
          <w:trHeight w:val="177"/>
        </w:trPr>
        <w:tc>
          <w:tcPr>
            <w:tcW w:w="1560" w:type="dxa"/>
            <w:vAlign w:val="bottom"/>
          </w:tcPr>
          <w:p>
            <w:pPr>
              <w:spacing w:after="0"/>
              <w:rPr>
                <w:sz w:val="15"/>
                <w:szCs w:val="15"/>
                <w:color w:val="auto"/>
              </w:rPr>
            </w:pPr>
          </w:p>
        </w:tc>
        <w:tc>
          <w:tcPr>
            <w:tcW w:w="702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4.3 of the Registrant's Registration Statement on Form S-3, File No.</w:t>
            </w:r>
          </w:p>
        </w:tc>
      </w:tr>
      <w:tr>
        <w:trPr>
          <w:trHeight w:val="177"/>
        </w:trPr>
        <w:tc>
          <w:tcPr>
            <w:tcW w:w="1560" w:type="dxa"/>
            <w:vAlign w:val="bottom"/>
          </w:tcPr>
          <w:p>
            <w:pPr>
              <w:spacing w:after="0"/>
              <w:rPr>
                <w:sz w:val="15"/>
                <w:szCs w:val="15"/>
                <w:color w:val="auto"/>
              </w:rPr>
            </w:pPr>
          </w:p>
        </w:tc>
        <w:tc>
          <w:tcPr>
            <w:tcW w:w="7020" w:type="dxa"/>
            <w:vAlign w:val="bottom"/>
            <w:gridSpan w:val="2"/>
          </w:tcPr>
          <w:p>
            <w:pPr>
              <w:jc w:val="right"/>
              <w:ind w:right="5463"/>
              <w:spacing w:after="0"/>
              <w:rPr>
                <w:sz w:val="20"/>
                <w:szCs w:val="20"/>
                <w:color w:val="auto"/>
              </w:rPr>
            </w:pPr>
            <w:r>
              <w:rPr>
                <w:rFonts w:ascii="Courier New" w:cs="Courier New" w:eastAsia="Courier New" w:hAnsi="Courier New"/>
                <w:sz w:val="15"/>
                <w:szCs w:val="15"/>
                <w:color w:val="auto"/>
              </w:rPr>
              <w:t>33-76224.</w:t>
            </w:r>
          </w:p>
        </w:tc>
      </w:tr>
      <w:tr>
        <w:trPr>
          <w:trHeight w:val="177"/>
        </w:trPr>
        <w:tc>
          <w:tcPr>
            <w:tcW w:w="15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*5.1</w:t>
            </w:r>
          </w:p>
        </w:tc>
        <w:tc>
          <w:tcPr>
            <w:tcW w:w="70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 Opinion of Andrews &amp; Kurth L.L.P. as to the legality of the</w:t>
            </w:r>
          </w:p>
        </w:tc>
      </w:tr>
      <w:tr>
        <w:trPr>
          <w:trHeight w:val="177"/>
        </w:trPr>
        <w:tc>
          <w:tcPr>
            <w:tcW w:w="1560" w:type="dxa"/>
            <w:vAlign w:val="bottom"/>
          </w:tcPr>
          <w:p>
            <w:pPr>
              <w:spacing w:after="0"/>
              <w:rPr>
                <w:sz w:val="15"/>
                <w:szCs w:val="15"/>
                <w:color w:val="auto"/>
              </w:rPr>
            </w:pPr>
          </w:p>
        </w:tc>
        <w:tc>
          <w:tcPr>
            <w:tcW w:w="702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securities being registered.</w:t>
            </w:r>
          </w:p>
        </w:tc>
      </w:tr>
      <w:tr>
        <w:trPr>
          <w:trHeight w:val="177"/>
        </w:trPr>
        <w:tc>
          <w:tcPr>
            <w:tcW w:w="15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*8.1</w:t>
            </w:r>
          </w:p>
        </w:tc>
        <w:tc>
          <w:tcPr>
            <w:tcW w:w="70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 Opinion of Baker &amp; Botts, L.L.P. as to certain federal income tax</w:t>
            </w:r>
          </w:p>
        </w:tc>
      </w:tr>
      <w:tr>
        <w:trPr>
          <w:trHeight w:val="177"/>
        </w:trPr>
        <w:tc>
          <w:tcPr>
            <w:tcW w:w="1560" w:type="dxa"/>
            <w:vAlign w:val="bottom"/>
          </w:tcPr>
          <w:p>
            <w:pPr>
              <w:spacing w:after="0"/>
              <w:rPr>
                <w:sz w:val="15"/>
                <w:szCs w:val="15"/>
                <w:color w:val="auto"/>
              </w:rPr>
            </w:pPr>
          </w:p>
        </w:tc>
        <w:tc>
          <w:tcPr>
            <w:tcW w:w="702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matters.</w:t>
            </w:r>
          </w:p>
        </w:tc>
      </w:tr>
      <w:tr>
        <w:trPr>
          <w:trHeight w:val="177"/>
        </w:trPr>
        <w:tc>
          <w:tcPr>
            <w:tcW w:w="15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**10.1</w:t>
            </w:r>
          </w:p>
        </w:tc>
        <w:tc>
          <w:tcPr>
            <w:tcW w:w="70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 Agreement among USA Waste, D. Moorehead, Jr., J. Drury, J. Rangos,</w:t>
            </w:r>
          </w:p>
        </w:tc>
      </w:tr>
      <w:tr>
        <w:trPr>
          <w:trHeight w:val="177"/>
        </w:trPr>
        <w:tc>
          <w:tcPr>
            <w:tcW w:w="1560" w:type="dxa"/>
            <w:vAlign w:val="bottom"/>
          </w:tcPr>
          <w:p>
            <w:pPr>
              <w:spacing w:after="0"/>
              <w:rPr>
                <w:sz w:val="15"/>
                <w:szCs w:val="15"/>
                <w:color w:val="auto"/>
              </w:rPr>
            </w:pPr>
          </w:p>
        </w:tc>
        <w:tc>
          <w:tcPr>
            <w:tcW w:w="702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Sr., A. Rangos, J. Rangos, Jr. and John Rangos Development</w:t>
            </w:r>
          </w:p>
        </w:tc>
      </w:tr>
      <w:tr>
        <w:trPr>
          <w:trHeight w:val="177"/>
        </w:trPr>
        <w:tc>
          <w:tcPr>
            <w:tcW w:w="1560" w:type="dxa"/>
            <w:vAlign w:val="bottom"/>
          </w:tcPr>
          <w:p>
            <w:pPr>
              <w:spacing w:after="0"/>
              <w:rPr>
                <w:sz w:val="15"/>
                <w:szCs w:val="15"/>
                <w:color w:val="auto"/>
              </w:rPr>
            </w:pPr>
          </w:p>
        </w:tc>
        <w:tc>
          <w:tcPr>
            <w:tcW w:w="702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Corporation, Inc. dated June 21, 1996.</w:t>
            </w:r>
          </w:p>
        </w:tc>
      </w:tr>
      <w:tr>
        <w:trPr>
          <w:trHeight w:val="177"/>
        </w:trPr>
        <w:tc>
          <w:tcPr>
            <w:tcW w:w="15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**10.2</w:t>
            </w:r>
          </w:p>
        </w:tc>
        <w:tc>
          <w:tcPr>
            <w:tcW w:w="70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 Employment and Noncompetition Agreement among Sanifill, USA Waste and</w:t>
            </w:r>
          </w:p>
        </w:tc>
      </w:tr>
      <w:tr>
        <w:trPr>
          <w:trHeight w:val="177"/>
        </w:trPr>
        <w:tc>
          <w:tcPr>
            <w:tcW w:w="1560" w:type="dxa"/>
            <w:vAlign w:val="bottom"/>
          </w:tcPr>
          <w:p>
            <w:pPr>
              <w:spacing w:after="0"/>
              <w:rPr>
                <w:sz w:val="15"/>
                <w:szCs w:val="15"/>
                <w:color w:val="auto"/>
              </w:rPr>
            </w:pPr>
          </w:p>
        </w:tc>
        <w:tc>
          <w:tcPr>
            <w:tcW w:w="702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Lorne D. Bain, dated June 22, 1996.</w:t>
            </w:r>
          </w:p>
        </w:tc>
      </w:tr>
      <w:tr>
        <w:trPr>
          <w:trHeight w:val="177"/>
        </w:trPr>
        <w:tc>
          <w:tcPr>
            <w:tcW w:w="15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**10.3</w:t>
            </w:r>
          </w:p>
        </w:tc>
        <w:tc>
          <w:tcPr>
            <w:tcW w:w="70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 Letter Agreement between USA Waste and Kosti Shirvanian, dated</w:t>
            </w:r>
          </w:p>
        </w:tc>
      </w:tr>
      <w:tr>
        <w:trPr>
          <w:trHeight w:val="177"/>
        </w:trPr>
        <w:tc>
          <w:tcPr>
            <w:tcW w:w="1560" w:type="dxa"/>
            <w:vAlign w:val="bottom"/>
          </w:tcPr>
          <w:p>
            <w:pPr>
              <w:spacing w:after="0"/>
              <w:rPr>
                <w:sz w:val="15"/>
                <w:szCs w:val="15"/>
                <w:color w:val="auto"/>
              </w:rPr>
            </w:pPr>
          </w:p>
        </w:tc>
        <w:tc>
          <w:tcPr>
            <w:tcW w:w="702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December 18, 1995.</w:t>
            </w:r>
          </w:p>
        </w:tc>
      </w:tr>
      <w:tr>
        <w:trPr>
          <w:trHeight w:val="177"/>
        </w:trPr>
        <w:tc>
          <w:tcPr>
            <w:tcW w:w="15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**10.4</w:t>
            </w:r>
          </w:p>
        </w:tc>
        <w:tc>
          <w:tcPr>
            <w:tcW w:w="70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 Letter Agreement between USA Waste and Kosti Shirvanian, dated June</w:t>
            </w:r>
          </w:p>
        </w:tc>
      </w:tr>
      <w:tr>
        <w:trPr>
          <w:trHeight w:val="177"/>
        </w:trPr>
        <w:tc>
          <w:tcPr>
            <w:tcW w:w="1560" w:type="dxa"/>
            <w:vAlign w:val="bottom"/>
          </w:tcPr>
          <w:p>
            <w:pPr>
              <w:spacing w:after="0"/>
              <w:rPr>
                <w:sz w:val="15"/>
                <w:szCs w:val="15"/>
                <w:color w:val="auto"/>
              </w:rPr>
            </w:pPr>
          </w:p>
        </w:tc>
        <w:tc>
          <w:tcPr>
            <w:tcW w:w="980" w:type="dxa"/>
            <w:vAlign w:val="bottom"/>
          </w:tcPr>
          <w:p>
            <w:pPr>
              <w:ind w:left="640"/>
              <w:spacing w:after="0"/>
              <w:rPr>
                <w:sz w:val="20"/>
                <w:szCs w:val="20"/>
                <w:color w:val="auto"/>
              </w:rPr>
            </w:pPr>
            <w:r>
              <w:rPr>
                <w:rFonts w:ascii="Courier New" w:cs="Courier New" w:eastAsia="Courier New" w:hAnsi="Courier New"/>
                <w:sz w:val="15"/>
                <w:szCs w:val="15"/>
                <w:color w:val="auto"/>
              </w:rPr>
              <w:t>21,</w:t>
            </w:r>
          </w:p>
        </w:tc>
        <w:tc>
          <w:tcPr>
            <w:tcW w:w="6040" w:type="dxa"/>
            <w:vAlign w:val="bottom"/>
          </w:tcPr>
          <w:p>
            <w:pPr>
              <w:jc w:val="right"/>
              <w:ind w:right="5463"/>
              <w:spacing w:after="0"/>
              <w:rPr>
                <w:sz w:val="20"/>
                <w:szCs w:val="20"/>
                <w:color w:val="auto"/>
              </w:rPr>
            </w:pPr>
            <w:r>
              <w:rPr>
                <w:rFonts w:ascii="Courier New" w:cs="Courier New" w:eastAsia="Courier New" w:hAnsi="Courier New"/>
                <w:sz w:val="15"/>
                <w:szCs w:val="15"/>
                <w:color w:val="auto"/>
              </w:rPr>
              <w:t>1996.</w:t>
            </w:r>
          </w:p>
        </w:tc>
      </w:tr>
      <w:tr>
        <w:trPr>
          <w:trHeight w:val="177"/>
        </w:trPr>
        <w:tc>
          <w:tcPr>
            <w:tcW w:w="15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**10.5</w:t>
            </w:r>
          </w:p>
        </w:tc>
        <w:tc>
          <w:tcPr>
            <w:tcW w:w="70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 Letter Agreement between USA Waste and Sanifill, dated June 22, 1996,</w:t>
            </w:r>
          </w:p>
        </w:tc>
      </w:tr>
      <w:tr>
        <w:trPr>
          <w:trHeight w:val="177"/>
        </w:trPr>
        <w:tc>
          <w:tcPr>
            <w:tcW w:w="1560" w:type="dxa"/>
            <w:vAlign w:val="bottom"/>
          </w:tcPr>
          <w:p>
            <w:pPr>
              <w:spacing w:after="0"/>
              <w:rPr>
                <w:sz w:val="15"/>
                <w:szCs w:val="15"/>
                <w:color w:val="auto"/>
              </w:rPr>
            </w:pPr>
          </w:p>
        </w:tc>
        <w:tc>
          <w:tcPr>
            <w:tcW w:w="702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regarding indemnification provisions of certificate of incorporation.</w:t>
            </w:r>
          </w:p>
        </w:tc>
      </w:tr>
      <w:tr>
        <w:trPr>
          <w:trHeight w:val="177"/>
        </w:trPr>
        <w:tc>
          <w:tcPr>
            <w:tcW w:w="15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**10.6</w:t>
            </w:r>
          </w:p>
        </w:tc>
        <w:tc>
          <w:tcPr>
            <w:tcW w:w="70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 Confidentiality Agreement, dated June 17, 1996, between USA Waste</w:t>
            </w:r>
          </w:p>
        </w:tc>
      </w:tr>
      <w:tr>
        <w:trPr>
          <w:trHeight w:val="177"/>
        </w:trPr>
        <w:tc>
          <w:tcPr>
            <w:tcW w:w="1560" w:type="dxa"/>
            <w:vAlign w:val="bottom"/>
          </w:tcPr>
          <w:p>
            <w:pPr>
              <w:spacing w:after="0"/>
              <w:rPr>
                <w:sz w:val="15"/>
                <w:szCs w:val="15"/>
                <w:color w:val="auto"/>
              </w:rPr>
            </w:pPr>
          </w:p>
        </w:tc>
        <w:tc>
          <w:tcPr>
            <w:tcW w:w="702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Services, Inc., as the Protected Party, and Sanifill, Inc., as the</w:t>
            </w:r>
          </w:p>
        </w:tc>
      </w:tr>
      <w:tr>
        <w:trPr>
          <w:trHeight w:val="177"/>
        </w:trPr>
        <w:tc>
          <w:tcPr>
            <w:tcW w:w="1560" w:type="dxa"/>
            <w:vAlign w:val="bottom"/>
          </w:tcPr>
          <w:p>
            <w:pPr>
              <w:spacing w:after="0"/>
              <w:rPr>
                <w:sz w:val="15"/>
                <w:szCs w:val="15"/>
                <w:color w:val="auto"/>
              </w:rPr>
            </w:pPr>
          </w:p>
        </w:tc>
        <w:tc>
          <w:tcPr>
            <w:tcW w:w="702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Recipient.</w:t>
            </w:r>
          </w:p>
        </w:tc>
      </w:tr>
      <w:tr>
        <w:trPr>
          <w:trHeight w:val="177"/>
        </w:trPr>
        <w:tc>
          <w:tcPr>
            <w:tcW w:w="15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**10.7</w:t>
            </w:r>
          </w:p>
        </w:tc>
        <w:tc>
          <w:tcPr>
            <w:tcW w:w="70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 Confidentiality Agreement, dated June 17, 1996, between Sanifill,</w:t>
            </w:r>
          </w:p>
        </w:tc>
      </w:tr>
      <w:tr>
        <w:trPr>
          <w:trHeight w:val="177"/>
        </w:trPr>
        <w:tc>
          <w:tcPr>
            <w:tcW w:w="1560" w:type="dxa"/>
            <w:vAlign w:val="bottom"/>
          </w:tcPr>
          <w:p>
            <w:pPr>
              <w:spacing w:after="0"/>
              <w:rPr>
                <w:sz w:val="15"/>
                <w:szCs w:val="15"/>
                <w:color w:val="auto"/>
              </w:rPr>
            </w:pPr>
          </w:p>
        </w:tc>
        <w:tc>
          <w:tcPr>
            <w:tcW w:w="702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Inc., as the Protected Party, and USA Waste Services, Inc., as the</w:t>
            </w:r>
          </w:p>
        </w:tc>
      </w:tr>
      <w:tr>
        <w:trPr>
          <w:trHeight w:val="177"/>
        </w:trPr>
        <w:tc>
          <w:tcPr>
            <w:tcW w:w="1560" w:type="dxa"/>
            <w:vAlign w:val="bottom"/>
          </w:tcPr>
          <w:p>
            <w:pPr>
              <w:spacing w:after="0"/>
              <w:rPr>
                <w:sz w:val="15"/>
                <w:szCs w:val="15"/>
                <w:color w:val="auto"/>
              </w:rPr>
            </w:pPr>
          </w:p>
        </w:tc>
        <w:tc>
          <w:tcPr>
            <w:tcW w:w="702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Recipient.</w:t>
            </w:r>
          </w:p>
        </w:tc>
      </w:tr>
      <w:tr>
        <w:trPr>
          <w:trHeight w:val="177"/>
        </w:trPr>
        <w:tc>
          <w:tcPr>
            <w:tcW w:w="15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*10.8</w:t>
            </w:r>
          </w:p>
        </w:tc>
        <w:tc>
          <w:tcPr>
            <w:tcW w:w="70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 Employment and Noncompetition Agreement among USA Waste, Sanifill and</w:t>
            </w:r>
          </w:p>
        </w:tc>
      </w:tr>
      <w:tr>
        <w:trPr>
          <w:trHeight w:val="177"/>
        </w:trPr>
        <w:tc>
          <w:tcPr>
            <w:tcW w:w="1560" w:type="dxa"/>
            <w:vAlign w:val="bottom"/>
          </w:tcPr>
          <w:p>
            <w:pPr>
              <w:spacing w:after="0"/>
              <w:rPr>
                <w:sz w:val="15"/>
                <w:szCs w:val="15"/>
                <w:color w:val="auto"/>
              </w:rPr>
            </w:pPr>
          </w:p>
        </w:tc>
        <w:tc>
          <w:tcPr>
            <w:tcW w:w="702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J. Chris Brewster, dated July 19, 1996.</w:t>
            </w:r>
          </w:p>
        </w:tc>
      </w:tr>
      <w:tr>
        <w:trPr>
          <w:trHeight w:val="177"/>
        </w:trPr>
        <w:tc>
          <w:tcPr>
            <w:tcW w:w="15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**21.1</w:t>
            </w:r>
          </w:p>
        </w:tc>
        <w:tc>
          <w:tcPr>
            <w:tcW w:w="70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 Subsidiaries of the Registrant.</w:t>
            </w:r>
          </w:p>
        </w:tc>
      </w:tr>
      <w:tr>
        <w:trPr>
          <w:trHeight w:val="177"/>
        </w:trPr>
        <w:tc>
          <w:tcPr>
            <w:tcW w:w="15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*23.1</w:t>
            </w:r>
          </w:p>
        </w:tc>
        <w:tc>
          <w:tcPr>
            <w:tcW w:w="70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 Consent of Coopers &amp; Lybrand L.L.P.</w:t>
            </w:r>
          </w:p>
        </w:tc>
      </w:tr>
      <w:tr>
        <w:trPr>
          <w:trHeight w:val="177"/>
        </w:trPr>
        <w:tc>
          <w:tcPr>
            <w:tcW w:w="15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*23.2</w:t>
            </w:r>
          </w:p>
        </w:tc>
        <w:tc>
          <w:tcPr>
            <w:tcW w:w="70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 Consent of Deloitte &amp; Touche LLP.</w:t>
            </w:r>
          </w:p>
        </w:tc>
      </w:tr>
      <w:tr>
        <w:trPr>
          <w:trHeight w:val="177"/>
        </w:trPr>
        <w:tc>
          <w:tcPr>
            <w:tcW w:w="15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*23.3</w:t>
            </w:r>
          </w:p>
        </w:tc>
        <w:tc>
          <w:tcPr>
            <w:tcW w:w="70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 Consent of Ernst &amp; Young LLP.</w:t>
            </w:r>
          </w:p>
        </w:tc>
      </w:tr>
      <w:tr>
        <w:trPr>
          <w:trHeight w:val="177"/>
        </w:trPr>
        <w:tc>
          <w:tcPr>
            <w:tcW w:w="15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*23.4</w:t>
            </w:r>
          </w:p>
        </w:tc>
        <w:tc>
          <w:tcPr>
            <w:tcW w:w="70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 Consent of Arthur Andersen LLP.</w:t>
            </w:r>
          </w:p>
        </w:tc>
      </w:tr>
      <w:tr>
        <w:trPr>
          <w:trHeight w:val="177"/>
        </w:trPr>
        <w:tc>
          <w:tcPr>
            <w:tcW w:w="15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*23.5</w:t>
            </w:r>
          </w:p>
        </w:tc>
        <w:tc>
          <w:tcPr>
            <w:tcW w:w="70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 Consent of Andrews &amp; Kurth L.L.P. -- included in Exhibit 5.1.</w:t>
            </w:r>
          </w:p>
        </w:tc>
      </w:tr>
      <w:tr>
        <w:trPr>
          <w:trHeight w:val="177"/>
        </w:trPr>
        <w:tc>
          <w:tcPr>
            <w:tcW w:w="15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*23.6</w:t>
            </w:r>
          </w:p>
        </w:tc>
        <w:tc>
          <w:tcPr>
            <w:tcW w:w="70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 Consent of Baker &amp; Botts, L.L.P. -- included in Exhibit 8.1.</w:t>
            </w:r>
          </w:p>
        </w:tc>
      </w:tr>
      <w:tr>
        <w:trPr>
          <w:trHeight w:val="177"/>
        </w:trPr>
        <w:tc>
          <w:tcPr>
            <w:tcW w:w="15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*23.7</w:t>
            </w:r>
          </w:p>
        </w:tc>
        <w:tc>
          <w:tcPr>
            <w:tcW w:w="70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 Consent of Donaldson, Lufkin &amp; Jenrette Securities Corporation.</w:t>
            </w:r>
          </w:p>
        </w:tc>
      </w:tr>
      <w:tr>
        <w:trPr>
          <w:trHeight w:val="177"/>
        </w:trPr>
        <w:tc>
          <w:tcPr>
            <w:tcW w:w="15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*23.8</w:t>
            </w:r>
          </w:p>
        </w:tc>
        <w:tc>
          <w:tcPr>
            <w:tcW w:w="70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 Consent of Merrill Lynch, Pierce, Fenner &amp; Smith Incorporated.</w:t>
            </w:r>
          </w:p>
        </w:tc>
      </w:tr>
      <w:tr>
        <w:trPr>
          <w:trHeight w:val="177"/>
        </w:trPr>
        <w:tc>
          <w:tcPr>
            <w:tcW w:w="15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**24.1</w:t>
            </w:r>
          </w:p>
        </w:tc>
        <w:tc>
          <w:tcPr>
            <w:tcW w:w="70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 Powers of Attorney -- included on the signature pages in Part II of</w:t>
            </w:r>
          </w:p>
        </w:tc>
      </w:tr>
      <w:tr>
        <w:trPr>
          <w:trHeight w:val="177"/>
        </w:trPr>
        <w:tc>
          <w:tcPr>
            <w:tcW w:w="1560" w:type="dxa"/>
            <w:vAlign w:val="bottom"/>
          </w:tcPr>
          <w:p>
            <w:pPr>
              <w:spacing w:after="0"/>
              <w:rPr>
                <w:sz w:val="15"/>
                <w:szCs w:val="15"/>
                <w:color w:val="auto"/>
              </w:rPr>
            </w:pPr>
          </w:p>
        </w:tc>
        <w:tc>
          <w:tcPr>
            <w:tcW w:w="702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this Registration Statement.</w:t>
            </w:r>
          </w:p>
        </w:tc>
      </w:tr>
      <w:tr>
        <w:trPr>
          <w:trHeight w:val="177"/>
        </w:trPr>
        <w:tc>
          <w:tcPr>
            <w:tcW w:w="15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*99.1</w:t>
            </w:r>
          </w:p>
        </w:tc>
        <w:tc>
          <w:tcPr>
            <w:tcW w:w="70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 Form of USA Waste Services, Inc's Proxy Card</w:t>
            </w:r>
          </w:p>
        </w:tc>
      </w:tr>
      <w:tr>
        <w:trPr>
          <w:trHeight w:val="177"/>
        </w:trPr>
        <w:tc>
          <w:tcPr>
            <w:tcW w:w="15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*99.2</w:t>
            </w:r>
          </w:p>
        </w:tc>
        <w:tc>
          <w:tcPr>
            <w:tcW w:w="70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 Form of Sanifill, Inc's Proxy Card</w:t>
            </w:r>
          </w:p>
        </w:tc>
      </w:tr>
      <w:tr>
        <w:trPr>
          <w:trHeight w:val="177"/>
        </w:trPr>
        <w:tc>
          <w:tcPr>
            <w:tcW w:w="15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*99.3</w:t>
            </w:r>
          </w:p>
        </w:tc>
        <w:tc>
          <w:tcPr>
            <w:tcW w:w="70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 Opinion of Donaldson, Lufkin &amp; Jenrette Securities</w:t>
            </w:r>
          </w:p>
        </w:tc>
      </w:tr>
      <w:tr>
        <w:trPr>
          <w:trHeight w:val="177"/>
        </w:trPr>
        <w:tc>
          <w:tcPr>
            <w:tcW w:w="1560" w:type="dxa"/>
            <w:vAlign w:val="bottom"/>
          </w:tcPr>
          <w:p>
            <w:pPr>
              <w:spacing w:after="0"/>
              <w:rPr>
                <w:sz w:val="15"/>
                <w:szCs w:val="15"/>
                <w:color w:val="auto"/>
              </w:rPr>
            </w:pPr>
          </w:p>
        </w:tc>
        <w:tc>
          <w:tcPr>
            <w:tcW w:w="702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Corporation -- included as Annex B to the Joint Proxy</w:t>
            </w:r>
          </w:p>
        </w:tc>
      </w:tr>
      <w:tr>
        <w:trPr>
          <w:trHeight w:val="177"/>
        </w:trPr>
        <w:tc>
          <w:tcPr>
            <w:tcW w:w="15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*99.4</w:t>
            </w:r>
          </w:p>
        </w:tc>
        <w:tc>
          <w:tcPr>
            <w:tcW w:w="70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 Statement and Prospectus herein. Opinion of Merrill Lynch, Pierce,</w:t>
            </w:r>
          </w:p>
        </w:tc>
      </w:tr>
      <w:tr>
        <w:trPr>
          <w:trHeight w:val="177"/>
        </w:trPr>
        <w:tc>
          <w:tcPr>
            <w:tcW w:w="1560" w:type="dxa"/>
            <w:vAlign w:val="bottom"/>
          </w:tcPr>
          <w:p>
            <w:pPr>
              <w:spacing w:after="0"/>
              <w:rPr>
                <w:sz w:val="15"/>
                <w:szCs w:val="15"/>
                <w:color w:val="auto"/>
              </w:rPr>
            </w:pPr>
          </w:p>
        </w:tc>
        <w:tc>
          <w:tcPr>
            <w:tcW w:w="702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Fenner &amp; Smith Incorporated -- included as Annex C to the Joint Proxy</w:t>
            </w:r>
          </w:p>
        </w:tc>
      </w:tr>
      <w:tr>
        <w:trPr>
          <w:trHeight w:val="177"/>
        </w:trPr>
        <w:tc>
          <w:tcPr>
            <w:tcW w:w="1560" w:type="dxa"/>
            <w:vAlign w:val="bottom"/>
          </w:tcPr>
          <w:p>
            <w:pPr>
              <w:spacing w:after="0"/>
              <w:rPr>
                <w:sz w:val="15"/>
                <w:szCs w:val="15"/>
                <w:color w:val="auto"/>
              </w:rPr>
            </w:pPr>
          </w:p>
        </w:tc>
        <w:tc>
          <w:tcPr>
            <w:tcW w:w="702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Statement and Prospectus herein.</w:t>
            </w:r>
          </w:p>
        </w:tc>
      </w:tr>
    </w:tbl>
    <w:p>
      <w:pPr>
        <w:spacing w:after="0" w:line="200" w:lineRule="exact"/>
        <w:rPr>
          <w:sz w:val="20"/>
          <w:szCs w:val="20"/>
          <w:color w:val="auto"/>
        </w:rPr>
      </w:pPr>
    </w:p>
    <w:p>
      <w:pPr>
        <w:spacing w:after="0" w:line="338" w:lineRule="exact"/>
        <w:rPr>
          <w:sz w:val="20"/>
          <w:szCs w:val="20"/>
          <w:color w:val="auto"/>
        </w:rPr>
      </w:pPr>
    </w:p>
    <w:p>
      <w:pPr>
        <w:ind w:left="185" w:hanging="185"/>
        <w:spacing w:after="0"/>
        <w:tabs>
          <w:tab w:leader="none" w:pos="185"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4" w:lineRule="exact"/>
        <w:rPr>
          <w:rFonts w:ascii="Courier New" w:cs="Courier New" w:eastAsia="Courier New" w:hAnsi="Courier New"/>
          <w:sz w:val="15"/>
          <w:szCs w:val="15"/>
          <w:color w:val="auto"/>
        </w:rPr>
      </w:pPr>
    </w:p>
    <w:p>
      <w:pPr>
        <w:ind w:left="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Filed herewith.</w:t>
      </w:r>
    </w:p>
    <w:p>
      <w:pPr>
        <w:spacing w:after="0" w:line="362" w:lineRule="exact"/>
        <w:rPr>
          <w:rFonts w:ascii="Courier New" w:cs="Courier New" w:eastAsia="Courier New" w:hAnsi="Courier New"/>
          <w:sz w:val="15"/>
          <w:szCs w:val="15"/>
          <w:color w:val="auto"/>
        </w:rPr>
      </w:pPr>
    </w:p>
    <w:p>
      <w:pPr>
        <w:ind w:left="285" w:hanging="285"/>
        <w:spacing w:after="0"/>
        <w:tabs>
          <w:tab w:leader="none" w:pos="285"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w:t>
      </w:r>
    </w:p>
    <w:p>
      <w:pPr>
        <w:sectPr>
          <w:pgSz w:w="11900" w:h="16838" w:orient="portrait"/>
          <w:cols w:equalWidth="0" w:num="1">
            <w:col w:w="10225"/>
          </w:cols>
          <w:pgMar w:left="235" w:top="295" w:right="1440" w:bottom="1440" w:gutter="0" w:footer="0" w:header="0"/>
        </w:sectPr>
      </w:pPr>
    </w:p>
    <w:bookmarkStart w:id="137" w:name="page138"/>
    <w:bookmarkEnd w:id="137"/>
    <w:p>
      <w:pPr>
        <w:ind w:left="280"/>
        <w:spacing w:after="0"/>
        <w:rPr>
          <w:sz w:val="20"/>
          <w:szCs w:val="20"/>
          <w:color w:val="auto"/>
        </w:rPr>
      </w:pPr>
      <w:r>
        <w:rPr>
          <w:rFonts w:ascii="Courier New" w:cs="Courier New" w:eastAsia="Courier New" w:hAnsi="Courier New"/>
          <w:sz w:val="15"/>
          <w:szCs w:val="15"/>
          <w:color w:val="auto"/>
        </w:rPr>
        <w:t>1</w:t>
      </w:r>
    </w:p>
    <w:p>
      <w:pPr>
        <w:spacing w:after="0" w:line="362"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EXHIBIT 5.1</w:t>
      </w:r>
    </w:p>
    <w:p>
      <w:pPr>
        <w:spacing w:after="0" w:line="200" w:lineRule="exact"/>
        <w:rPr>
          <w:sz w:val="20"/>
          <w:szCs w:val="20"/>
          <w:color w:val="auto"/>
        </w:rPr>
      </w:pPr>
    </w:p>
    <w:p>
      <w:pPr>
        <w:spacing w:after="0" w:line="340"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ANDREWS &amp; KURTH L.L.P.</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4200 TEXAS COMMERCE TOWER</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HOUSTON, TEXAS 77002</w:t>
      </w:r>
    </w:p>
    <w:p>
      <w:pPr>
        <w:spacing w:after="0" w:line="185"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July 18, 1996</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5400 LBJ Freeway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300 - Tower One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 75240</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200" w:lineRule="exact"/>
        <w:rPr>
          <w:sz w:val="20"/>
          <w:szCs w:val="20"/>
          <w:color w:val="auto"/>
        </w:rPr>
      </w:pPr>
    </w:p>
    <w:p>
      <w:pPr>
        <w:spacing w:after="0" w:line="340"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We have acted as counsel to USA Waste Services, Inc., a Delaware corporation ("USA Waste"), in connection with the offer by USA Waste of up to 54,656,422 shares (the "Shares") of Common Stock, par value $.01 per share, of USA Waste (the "Common Stock"). This opinion is being delivered in connection with USA Waste's Registration Statement on Form S-4 (the 'Registration Statement') relating to the registration of the offering and sale of the Shares under the Securities Act of 1933, as amended. The Shares are being offered to holders of common stock of Sanifill, Inc. ("Sanifill") in connection with the merger of Quatro Acquisition Corp., a Delaware corporation and wholly owned subsidiary of USA Waste ("Merger Sub"), with and into Sanifill (the "Merger"), pursuant to the Agreement and Plan of Merger dated June 22, 1996 among USA Waste, Merger Sub and Sanifill (the "Merger Agreement").</w:t>
      </w:r>
    </w:p>
    <w:p>
      <w:pPr>
        <w:spacing w:after="0" w:line="200" w:lineRule="exact"/>
        <w:rPr>
          <w:sz w:val="20"/>
          <w:szCs w:val="20"/>
          <w:color w:val="auto"/>
        </w:rPr>
      </w:pPr>
    </w:p>
    <w:p>
      <w:pPr>
        <w:spacing w:after="0" w:line="338"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As the basis for the opinion hereinafter expressed, we have examined such statutes, regulations, corporate records and documents, certificates of corporate and public officials and other instruments as we have deemed necessary or advisable for the purposes of this opinion. In such examination, we have assumed the authenticity of all documents submitted to us as originals and the conformity with the original documents of all documents submitted to us as copies.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Based upon the foregoing and on such legal considerations as we deem relevant, we are of the opinion that the Shares to which the Registration Statement relates, when issued as described in the Registration Statement, will be duly authorized, validly issued, fully paid and non-assessable.</w:t>
      </w:r>
    </w:p>
    <w:p>
      <w:pPr>
        <w:spacing w:after="0" w:line="200" w:lineRule="exact"/>
        <w:rPr>
          <w:sz w:val="20"/>
          <w:szCs w:val="20"/>
          <w:color w:val="auto"/>
        </w:rPr>
      </w:pPr>
    </w:p>
    <w:p>
      <w:pPr>
        <w:spacing w:after="0" w:line="331" w:lineRule="exact"/>
        <w:rPr>
          <w:sz w:val="20"/>
          <w:szCs w:val="20"/>
          <w:color w:val="auto"/>
        </w:rPr>
      </w:pPr>
    </w:p>
    <w:p>
      <w:pPr>
        <w:jc w:val="both"/>
        <w:ind w:right="3399" w:firstLine="461"/>
        <w:spacing w:after="0" w:line="252" w:lineRule="auto"/>
        <w:rPr>
          <w:sz w:val="20"/>
          <w:szCs w:val="20"/>
          <w:color w:val="auto"/>
        </w:rPr>
      </w:pPr>
      <w:r>
        <w:rPr>
          <w:rFonts w:ascii="Courier New" w:cs="Courier New" w:eastAsia="Courier New" w:hAnsi="Courier New"/>
          <w:sz w:val="15"/>
          <w:szCs w:val="15"/>
          <w:color w:val="auto"/>
        </w:rPr>
        <w:t>We hereby consent to the filing of this opinion as an exhibit to the Registration Statement and to the use of our name under the heading "Legal Matters" in the Registration Statement.</w:t>
      </w:r>
    </w:p>
    <w:p>
      <w:pPr>
        <w:spacing w:after="0" w:line="175"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Very truly yours,</w:t>
      </w:r>
    </w:p>
    <w:p>
      <w:pPr>
        <w:spacing w:after="0" w:line="185"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5"/>
          <w:szCs w:val="15"/>
          <w:color w:val="auto"/>
        </w:rPr>
        <w:t>/s/ ANDREWS &amp; KURTH L.L.P.</w:t>
      </w:r>
    </w:p>
    <w:p>
      <w:pPr>
        <w:sectPr>
          <w:pgSz w:w="11900" w:h="16838" w:orient="portrait"/>
          <w:cols w:equalWidth="0" w:num="1">
            <w:col w:w="10219"/>
          </w:cols>
          <w:pgMar w:left="240" w:top="142" w:right="1440" w:bottom="1440" w:gutter="0" w:footer="0" w:header="0"/>
        </w:sectPr>
      </w:pPr>
    </w:p>
    <w:bookmarkStart w:id="138" w:name="page139"/>
    <w:bookmarkEnd w:id="138"/>
    <w:p>
      <w:pPr>
        <w:ind w:left="285"/>
        <w:spacing w:after="0"/>
        <w:rPr>
          <w:sz w:val="20"/>
          <w:szCs w:val="20"/>
          <w:color w:val="auto"/>
        </w:rPr>
      </w:pPr>
      <w:r>
        <w:rPr>
          <w:rFonts w:ascii="Courier New" w:cs="Courier New" w:eastAsia="Courier New" w:hAnsi="Courier New"/>
          <w:sz w:val="15"/>
          <w:szCs w:val="15"/>
          <w:color w:val="auto"/>
        </w:rPr>
        <w:t>1</w:t>
      </w:r>
    </w:p>
    <w:p>
      <w:pPr>
        <w:spacing w:after="0" w:line="185"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EXHIBIT 8.1</w:t>
      </w:r>
    </w:p>
    <w:p>
      <w:pPr>
        <w:spacing w:after="0" w:line="362"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BAKER &amp; BOTTS, L.L.P.</w:t>
      </w:r>
    </w:p>
    <w:p>
      <w:pPr>
        <w:spacing w:after="0" w:line="362" w:lineRule="exact"/>
        <w:rPr>
          <w:sz w:val="20"/>
          <w:szCs w:val="20"/>
          <w:color w:val="auto"/>
        </w:rPr>
      </w:pPr>
    </w:p>
    <w:p>
      <w:pPr>
        <w:ind w:left="2945"/>
        <w:spacing w:after="0"/>
        <w:rPr>
          <w:sz w:val="20"/>
          <w:szCs w:val="20"/>
          <w:color w:val="auto"/>
        </w:rPr>
      </w:pPr>
      <w:r>
        <w:rPr>
          <w:rFonts w:ascii="Courier New" w:cs="Courier New" w:eastAsia="Courier New" w:hAnsi="Courier New"/>
          <w:sz w:val="15"/>
          <w:szCs w:val="15"/>
          <w:color w:val="auto"/>
        </w:rPr>
        <w:t>ONE SHELL PLAZA</w:t>
      </w:r>
    </w:p>
    <w:p>
      <w:pPr>
        <w:spacing w:after="0" w:line="362" w:lineRule="exact"/>
        <w:rPr>
          <w:sz w:val="20"/>
          <w:szCs w:val="20"/>
          <w:color w:val="auto"/>
        </w:rPr>
      </w:pPr>
    </w:p>
    <w:p>
      <w:pPr>
        <w:ind w:left="3405" w:hanging="361"/>
        <w:spacing w:after="0"/>
        <w:tabs>
          <w:tab w:leader="none" w:pos="3405"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LOUISIANA</w:t>
      </w:r>
    </w:p>
    <w:p>
      <w:pPr>
        <w:spacing w:after="0" w:line="362" w:lineRule="exact"/>
        <w:rPr>
          <w:rFonts w:ascii="Courier New" w:cs="Courier New" w:eastAsia="Courier New" w:hAnsi="Courier New"/>
          <w:sz w:val="15"/>
          <w:szCs w:val="15"/>
          <w:color w:val="auto"/>
        </w:rPr>
      </w:pPr>
    </w:p>
    <w:p>
      <w:pPr>
        <w:ind w:left="24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HOUSTON, TEXAS 77002-4995</w:t>
      </w:r>
    </w:p>
    <w:p>
      <w:pPr>
        <w:spacing w:after="0" w:line="200" w:lineRule="exact"/>
        <w:rPr>
          <w:sz w:val="20"/>
          <w:szCs w:val="20"/>
          <w:color w:val="auto"/>
        </w:rPr>
      </w:pPr>
    </w:p>
    <w:p>
      <w:pPr>
        <w:spacing w:after="0" w:line="340"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July 19, 1996</w:t>
      </w: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Sanifill, Inc.</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Suite 700</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2777 Allen Parkway</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Houston, Texas 77019</w:t>
      </w:r>
    </w:p>
    <w:p>
      <w:pPr>
        <w:spacing w:after="0" w:line="185" w:lineRule="exact"/>
        <w:rPr>
          <w:sz w:val="20"/>
          <w:szCs w:val="20"/>
          <w:color w:val="auto"/>
        </w:rPr>
      </w:pPr>
    </w:p>
    <w:p>
      <w:pPr>
        <w:ind w:left="5" w:right="2939" w:firstLine="461"/>
        <w:spacing w:after="0" w:line="251" w:lineRule="auto"/>
        <w:rPr>
          <w:sz w:val="20"/>
          <w:szCs w:val="20"/>
          <w:color w:val="auto"/>
        </w:rPr>
      </w:pPr>
      <w:r>
        <w:rPr>
          <w:rFonts w:ascii="Courier New" w:cs="Courier New" w:eastAsia="Courier New" w:hAnsi="Courier New"/>
          <w:sz w:val="15"/>
          <w:szCs w:val="15"/>
          <w:color w:val="auto"/>
        </w:rPr>
        <w:t>We have acted as counsel to Sanifill, Inc. ("Sanifill") in connection with the planned merger (the "Merger") into Sanifill of Quatro Acquisition Corp. ("Subsidiary"), which is a newly formed, wholly owned subsidiary of USA Waste Services, Inc. ("USA Waste"), pursuant to an Agreement and Plan of Merger dated as of June 22, 1996 (the "Merger Agreement"). Defined terms used in the Merger Agreement have the same meaning when used herein, except that the terms "Sanifill" and "USA Waste" are sometimes used in place of the terms "the Company" and "Parent," respectively.</w:t>
      </w:r>
    </w:p>
    <w:p>
      <w:pPr>
        <w:spacing w:after="0" w:line="353" w:lineRule="exact"/>
        <w:rPr>
          <w:sz w:val="20"/>
          <w:szCs w:val="20"/>
          <w:color w:val="auto"/>
        </w:rPr>
      </w:pPr>
    </w:p>
    <w:p>
      <w:pPr>
        <w:jc w:val="both"/>
        <w:ind w:left="5" w:right="3019" w:firstLine="461"/>
        <w:spacing w:after="0" w:line="250" w:lineRule="auto"/>
        <w:rPr>
          <w:sz w:val="20"/>
          <w:szCs w:val="20"/>
          <w:color w:val="auto"/>
        </w:rPr>
      </w:pPr>
      <w:r>
        <w:rPr>
          <w:rFonts w:ascii="Courier New" w:cs="Courier New" w:eastAsia="Courier New" w:hAnsi="Courier New"/>
          <w:sz w:val="15"/>
          <w:szCs w:val="15"/>
          <w:color w:val="auto"/>
        </w:rPr>
        <w:t>In rendering this opinion, we have examined and are relying upon (without any independent investigation or review thereof) the truth and accuracy at all relevant times of the statements, covenants, and representations contained in</w:t>
      </w:r>
    </w:p>
    <w:p>
      <w:pPr>
        <w:spacing w:after="0" w:line="1" w:lineRule="exact"/>
        <w:rPr>
          <w:sz w:val="20"/>
          <w:szCs w:val="20"/>
          <w:color w:val="auto"/>
        </w:rPr>
      </w:pPr>
    </w:p>
    <w:p>
      <w:pPr>
        <w:ind w:left="5" w:right="2939" w:hanging="5"/>
        <w:spacing w:after="0" w:line="250" w:lineRule="auto"/>
        <w:tabs>
          <w:tab w:leader="none" w:pos="375"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 (including the Parent Disclosure Schedule and the Company Disclosure Schedule thereto), (ii) the Joint Proxy Statement/Prospectus (which was included in Registration Statement No. 333-08161, as amended, filed by Sanifill and USA Waste with the Securities and Exchange Commission (the "Registration Statement")), (iii) certain of the Company SEC Reports, and (iv) the officers' certificates dated July 19, 1996 which were provided to us by USA Waste and Sanifill and which are attached hereto. In addition, we assume that the Merger will be consummated in accordance with the Merger Agreement and as described in the Joint Proxy Statement/Prospectus. Any inaccuracy in any of the aforementioned statements, representations, and assumptions or breach of any of the aforementioned covenants could adversely affect our opinion.</w:t>
      </w:r>
    </w:p>
    <w:p>
      <w:pPr>
        <w:spacing w:after="0" w:line="360"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On the basis of and subject to the foregoing and subject to the limitations set forth below, it is our opinion that, under presently applicable federal income tax law, the Merger will be a tax-free reorganization within the meaning of section 368(a)(2)(E) of the Code. As a result, the following U.S. federal income tax consequences will occur:</w:t>
      </w:r>
    </w:p>
    <w:p>
      <w:pPr>
        <w:spacing w:after="0" w:line="176" w:lineRule="exact"/>
        <w:rPr>
          <w:sz w:val="20"/>
          <w:szCs w:val="20"/>
          <w:color w:val="auto"/>
        </w:rPr>
      </w:pPr>
    </w:p>
    <w:p>
      <w:pPr>
        <w:ind w:left="465" w:right="2939" w:firstLine="457"/>
        <w:spacing w:after="0" w:line="253" w:lineRule="auto"/>
        <w:tabs>
          <w:tab w:leader="none" w:pos="1296"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Sanifill as a result of the merger of Subsidiary into it.</w:t>
      </w:r>
    </w:p>
    <w:p>
      <w:pPr>
        <w:spacing w:after="0" w:line="174" w:lineRule="exact"/>
        <w:rPr>
          <w:rFonts w:ascii="Courier New" w:cs="Courier New" w:eastAsia="Courier New" w:hAnsi="Courier New"/>
          <w:sz w:val="15"/>
          <w:szCs w:val="15"/>
          <w:color w:val="auto"/>
        </w:rPr>
      </w:pPr>
    </w:p>
    <w:p>
      <w:pPr>
        <w:ind w:left="465" w:right="2939" w:firstLine="457"/>
        <w:spacing w:after="0" w:line="252" w:lineRule="auto"/>
        <w:tabs>
          <w:tab w:leader="none" w:pos="1296"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holders of Sanifill Common Stock solely upon their receipt in the Merger of USA Waste Common Stock in exchange therefor.</w:t>
      </w:r>
    </w:p>
    <w:p>
      <w:pPr>
        <w:spacing w:after="0" w:line="174" w:lineRule="exact"/>
        <w:rPr>
          <w:rFonts w:ascii="Courier New" w:cs="Courier New" w:eastAsia="Courier New" w:hAnsi="Courier New"/>
          <w:sz w:val="15"/>
          <w:szCs w:val="15"/>
          <w:color w:val="auto"/>
        </w:rPr>
      </w:pPr>
    </w:p>
    <w:p>
      <w:pPr>
        <w:ind w:left="465" w:right="2839" w:firstLine="457"/>
        <w:spacing w:after="0" w:line="251" w:lineRule="auto"/>
        <w:tabs>
          <w:tab w:leader="none" w:pos="1296"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tax basis of the shares of USA Waste Common Stock received by a Sanifill stockholder in the Merger (including any fractional share not actually received) will be the same as the tax basis of the Sanifill Common Stock surrendered in exchange therefor.</w:t>
      </w:r>
    </w:p>
    <w:p>
      <w:pPr>
        <w:spacing w:after="0" w:line="176" w:lineRule="exact"/>
        <w:rPr>
          <w:rFonts w:ascii="Courier New" w:cs="Courier New" w:eastAsia="Courier New" w:hAnsi="Courier New"/>
          <w:sz w:val="15"/>
          <w:szCs w:val="15"/>
          <w:color w:val="auto"/>
        </w:rPr>
      </w:pPr>
    </w:p>
    <w:p>
      <w:pPr>
        <w:ind w:left="465" w:right="3019" w:firstLine="457"/>
        <w:spacing w:after="0" w:line="251" w:lineRule="auto"/>
        <w:tabs>
          <w:tab w:leader="none" w:pos="1296"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holding period of the shares of USA Waste Common Stock received by a Sanifill stockholder in the Merger will include the holding period of the shares of Sanifill Common Stock surrendered in exchange therefor, provided that such shares of Sanifill Common Stock are held as capital assets at the Effective Time.</w:t>
      </w:r>
    </w:p>
    <w:p>
      <w:pPr>
        <w:spacing w:after="0" w:line="176" w:lineRule="exact"/>
        <w:rPr>
          <w:rFonts w:ascii="Courier New" w:cs="Courier New" w:eastAsia="Courier New" w:hAnsi="Courier New"/>
          <w:sz w:val="15"/>
          <w:szCs w:val="15"/>
          <w:color w:val="auto"/>
        </w:rPr>
      </w:pPr>
    </w:p>
    <w:p>
      <w:pPr>
        <w:ind w:left="465" w:right="2839" w:firstLine="457"/>
        <w:spacing w:after="0" w:line="251" w:lineRule="auto"/>
        <w:tabs>
          <w:tab w:leader="none" w:pos="1296"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cash payment in lieu of a fractional share will be treated as if a fractional share of USA Waste Common Stock had been received in the Merger and then redeemed by USA Waste. Such redemption should qualify as a distribution in full payment in exchange for the fractional share rather</w:t>
      </w:r>
    </w:p>
    <w:p>
      <w:pPr>
        <w:sectPr>
          <w:pgSz w:w="11900" w:h="16838" w:orient="portrait"/>
          <w:cols w:equalWidth="0" w:num="1">
            <w:col w:w="10225"/>
          </w:cols>
          <w:pgMar w:left="235" w:top="141" w:right="1440" w:bottom="1440" w:gutter="0" w:footer="0" w:header="0"/>
        </w:sectPr>
      </w:pPr>
    </w:p>
    <w:bookmarkStart w:id="139" w:name="page140"/>
    <w:bookmarkEnd w:id="139"/>
    <w:p>
      <w:pPr>
        <w:ind w:left="280"/>
        <w:spacing w:after="0"/>
        <w:rPr>
          <w:sz w:val="20"/>
          <w:szCs w:val="20"/>
          <w:color w:val="auto"/>
        </w:rPr>
      </w:pPr>
      <w:r>
        <w:rPr>
          <w:rFonts w:ascii="Courier New" w:cs="Courier New" w:eastAsia="Courier New" w:hAnsi="Courier New"/>
          <w:sz w:val="15"/>
          <w:szCs w:val="15"/>
          <w:color w:val="auto"/>
        </w:rPr>
        <w:t>2</w:t>
      </w:r>
    </w:p>
    <w:p>
      <w:pPr>
        <w:spacing w:after="0" w:line="185" w:lineRule="exact"/>
        <w:rPr>
          <w:sz w:val="20"/>
          <w:szCs w:val="20"/>
          <w:color w:val="auto"/>
        </w:rPr>
      </w:pPr>
    </w:p>
    <w:p>
      <w:pPr>
        <w:ind w:left="460" w:right="2839"/>
        <w:spacing w:after="0" w:line="250" w:lineRule="auto"/>
        <w:rPr>
          <w:sz w:val="20"/>
          <w:szCs w:val="20"/>
          <w:color w:val="auto"/>
        </w:rPr>
      </w:pPr>
      <w:r>
        <w:rPr>
          <w:rFonts w:ascii="Courier New" w:cs="Courier New" w:eastAsia="Courier New" w:hAnsi="Courier New"/>
          <w:sz w:val="15"/>
          <w:szCs w:val="15"/>
          <w:color w:val="auto"/>
        </w:rPr>
        <w:t>than as a distribution of a dividend. Accordingly, a Sanifill stockholder receiving cash in lieu of a fractional share will recognize gain or loss upon such payment in an amount equal to the difference, if any, between such stockholder's basis in the fractional share (as described in paragraph</w:t>
      </w:r>
    </w:p>
    <w:p>
      <w:pPr>
        <w:spacing w:after="0" w:line="2" w:lineRule="exact"/>
        <w:rPr>
          <w:sz w:val="20"/>
          <w:szCs w:val="20"/>
          <w:color w:val="auto"/>
        </w:rPr>
      </w:pPr>
    </w:p>
    <w:p>
      <w:pPr>
        <w:ind w:left="460" w:right="3219" w:hanging="4"/>
        <w:spacing w:after="0" w:line="252" w:lineRule="auto"/>
        <w:tabs>
          <w:tab w:leader="none" w:pos="829"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and the amount of cash received. Such gain or loss will be a capital gain or loss if the Sanifill Common Stock is held as a capital asset at the Effective Time.</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Our opinion is based on our interpretation of the Code, applicable Treasury regulations, judicial authority, and administrative rulings and practice, all as of the date hereof. There can be no assurance that future legislative, judicial or administrative changes or interpretations will not adversely affect the accuracy of the conclusions set forth herein. We do not undertake to advise you as to any such future changes or interpretations unless we are specifically retained to do so. Our opinion will not be binding upon the Internal Revenue Service (the "Service"), and the Service will not be precluded from adopting a contrary position.</w:t>
      </w:r>
    </w:p>
    <w:p>
      <w:pPr>
        <w:spacing w:after="0" w:line="175"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No opinion is expressed as to any matter not specifically addressed above including, without limitation, the tax consequences to Sanifill of the assumption by USA Waste of liability on, or the guarantee by USA Waste of, Sanifill's 5% convertible subordinated debentures and the tax consequences of the Merger under any foreign, state, or local tax law. Moreover, tax consequences which are different from or in addition to those described herein may apply to Sanifill stockholders who are subject to special treatment under the U.S. federal income tax laws, such as foreign persons, persons who acquired their shares in compensatory transactions, and persons who have a contingent right to receive additional Sanifill stock as a result of contingency or earn-out provisions in prior acquisitions by Sanifill.</w:t>
      </w:r>
    </w:p>
    <w:p>
      <w:pPr>
        <w:spacing w:after="0" w:line="18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Notwithstanding the qualification of the Merger as a tax-free reorganization, a recipient of USA Waste Common Stock could recognize gain to the extent that such shares were considered by the Service to be received in exchange for consideration other than Sanifill Common Stock. All or a portion of such gain might be taxable as ordinary income. In addition, gain would be recognized to the extent that a Sanifill stockholder was treated by the Service as receiving (directly or indirectly) consideration other than USA Waste Common Stock in exchange for his or her Sanifill Common Stock.</w:t>
      </w:r>
    </w:p>
    <w:p>
      <w:pPr>
        <w:spacing w:after="0" w:line="17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If the Service successfully challenged the status of the Merger as a tax-free reorganization, a Sanifill stockholder would recognize gain or loss in an amount equal to the difference between the stockholder's basis in his or her shares and the fair market value, as of the Effective Date, of the USA Waste Common Stock received in exchange therefor. In such event, the stockholder's basis in the USA Waste Common Stock so received would be equal to its fair market value as of the Effective Date and the holding period for such stock would begin on the day after the Effective Date.</w:t>
      </w:r>
    </w:p>
    <w:p>
      <w:pPr>
        <w:spacing w:after="0" w:line="175"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We hereby consent to the filing of this opinion as an exhibit to the Registration Statement. This opinion is being delivered to you solely for that purpose. It may not be relied upon or used for any other purpose and may not otherwise be distributed or made available to anyone without our prior written consent.</w:t>
      </w:r>
    </w:p>
    <w:p>
      <w:pPr>
        <w:spacing w:after="0" w:line="176"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Sincerely,</w:t>
      </w:r>
    </w:p>
    <w:p>
      <w:pPr>
        <w:spacing w:after="0" w:line="362" w:lineRule="exact"/>
        <w:rPr>
          <w:sz w:val="20"/>
          <w:szCs w:val="20"/>
          <w:color w:val="auto"/>
        </w:rPr>
      </w:pPr>
    </w:p>
    <w:p>
      <w:pPr>
        <w:jc w:val="center"/>
        <w:ind w:right="-1220"/>
        <w:spacing w:after="0"/>
        <w:tabs>
          <w:tab w:leader="none" w:pos="160" w:val="left"/>
        </w:tabs>
        <w:rPr>
          <w:sz w:val="20"/>
          <w:szCs w:val="20"/>
          <w:color w:val="auto"/>
        </w:rPr>
      </w:pPr>
      <w:r>
        <w:rPr>
          <w:rFonts w:ascii="Courier New" w:cs="Courier New" w:eastAsia="Courier New" w:hAnsi="Courier New"/>
          <w:sz w:val="15"/>
          <w:szCs w:val="15"/>
          <w:color w:val="auto"/>
        </w:rPr>
        <w:t>/s/</w:t>
        <w:tab/>
        <w:t>BAKER &amp; BOTTS, L.L.P.</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Enclosures</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5" w:right="1440" w:bottom="1440" w:gutter="0" w:footer="0" w:header="0"/>
        </w:sectPr>
      </w:pPr>
    </w:p>
    <w:bookmarkStart w:id="140" w:name="page141"/>
    <w:bookmarkEnd w:id="140"/>
    <w:p>
      <w:pPr>
        <w:ind w:left="280"/>
        <w:spacing w:after="0"/>
        <w:rPr>
          <w:sz w:val="20"/>
          <w:szCs w:val="20"/>
          <w:color w:val="auto"/>
        </w:rPr>
      </w:pPr>
      <w:r>
        <w:rPr>
          <w:rFonts w:ascii="Courier New" w:cs="Courier New" w:eastAsia="Courier New" w:hAnsi="Courier New"/>
          <w:sz w:val="15"/>
          <w:szCs w:val="15"/>
          <w:color w:val="auto"/>
        </w:rPr>
        <w:t>3</w:t>
      </w:r>
    </w:p>
    <w:p>
      <w:pPr>
        <w:spacing w:after="0" w:line="185"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ATTACHMENT I</w:t>
      </w:r>
    </w:p>
    <w:p>
      <w:pPr>
        <w:spacing w:after="0" w:line="185"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SANIFILL, INC.</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OFFICER'S CERTIFICATE</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undersigned officer of Sanifill, Inc., a Delaware corporation (the "Company"), in connection with the opinions to be delivered by Baker &amp; Botts, L.L.P. and Andrews &amp; Kurth L.L.P. pursuant to the Agreement and Plan of Merger by and among the Company, USA Waste Services, Inc., a Delaware corporation ("Parent"), and Quatro Acquisition Corp., a Delaware corporation and a wholly owned subsidiary of Parent ("Subsidiary"), dated as of June 22, 1996 (the "Merger Agreement"), and recognizing that said law firms will rely on this Certificate in delivering such opinion, hereby certifies that the facts described in this Officer's Certificate relating to the proposed merger of Subsidiary with and into the Company (the "Merger") pursuant to the Merger Agreement and any transactions related thereto are true, correct, and complete in all respects and will be true, correct, and complete in all respects at the Effective Time of the Merger, and further certifies as follows (unless otherwise specified, capitalized terms used herein shall have the meaning assigned to them in the Merger Agreement):</w:t>
      </w:r>
    </w:p>
    <w:p>
      <w:pPr>
        <w:spacing w:after="0" w:line="200" w:lineRule="exact"/>
        <w:rPr>
          <w:sz w:val="20"/>
          <w:szCs w:val="20"/>
          <w:color w:val="auto"/>
        </w:rPr>
      </w:pPr>
    </w:p>
    <w:p>
      <w:pPr>
        <w:spacing w:after="0" w:line="338" w:lineRule="exact"/>
        <w:rPr>
          <w:sz w:val="20"/>
          <w:szCs w:val="20"/>
          <w:color w:val="auto"/>
        </w:rPr>
      </w:pPr>
    </w:p>
    <w:p>
      <w:pPr>
        <w:ind w:right="3219" w:firstLine="456"/>
        <w:spacing w:after="0" w:line="251" w:lineRule="auto"/>
        <w:tabs>
          <w:tab w:leader="none" w:pos="738"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certify to you that I am the Vice President -- Government Affairs, General Counsel and Secretary of the Company. I am familiar with the transactions contemplated by, and the terms and provisions of, the Merger Agreement, have personal knowledge of the matters covered by the following representations, and am authorized to make the following representations on behalf of the Company.</w:t>
      </w:r>
    </w:p>
    <w:p>
      <w:pPr>
        <w:spacing w:after="0" w:line="353" w:lineRule="exact"/>
        <w:rPr>
          <w:rFonts w:ascii="Courier New" w:cs="Courier New" w:eastAsia="Courier New" w:hAnsi="Courier New"/>
          <w:sz w:val="15"/>
          <w:szCs w:val="15"/>
          <w:color w:val="auto"/>
        </w:rPr>
      </w:pPr>
    </w:p>
    <w:p>
      <w:pPr>
        <w:ind w:right="2939" w:firstLine="456"/>
        <w:spacing w:after="0" w:line="251" w:lineRule="auto"/>
        <w:tabs>
          <w:tab w:leader="none" w:pos="738"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of Parent Common Stock received by each holder of Company Common Stock (a "Company Stockholder") will be approximately equal to the fair market value of Company Common Stock exchanged for such Parent Common Stock in the Merger.</w:t>
      </w:r>
    </w:p>
    <w:p>
      <w:pPr>
        <w:spacing w:after="0" w:line="176" w:lineRule="exact"/>
        <w:rPr>
          <w:rFonts w:ascii="Courier New" w:cs="Courier New" w:eastAsia="Courier New" w:hAnsi="Courier New"/>
          <w:sz w:val="15"/>
          <w:szCs w:val="15"/>
          <w:color w:val="auto"/>
        </w:rPr>
      </w:pPr>
    </w:p>
    <w:p>
      <w:pPr>
        <w:ind w:right="2839" w:firstLine="456"/>
        <w:spacing w:after="0" w:line="250" w:lineRule="auto"/>
        <w:tabs>
          <w:tab w:leader="none" w:pos="738"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plan or intention by Company Stockholders who own 5% or more of the Company Common Stock, and, to the best knowledge of the management of the Company, there is no plan or intention on the part of the remaining Company Stockholders, to sell, exchange, or otherwise dispose of a number of shares of Parent Common Stock received in the Merger that would reduce the Company Stockholders' ownership of Parent Common Stock to a number of shares having a value, as of the date of the Merger, of less than 50% of the value of all of the formerly outstanding stock of the Company as of the same date. For purposes of this representation, shares of Company Common Stock exchanged for cash or other property or exchanged for cash in lieu of fractional shares of Parent Common Stock will be treated as outstanding Company Common Stock on the date of the Merger. Moreover, shares of Company Common Stock and shares of Parent Common Stock held by Company Stockholders and otherwise sold, redeemed, or disposed of prior or subsequent to the Merger have been considered in making this representation.</w:t>
      </w:r>
    </w:p>
    <w:p>
      <w:pPr>
        <w:spacing w:after="0" w:line="184" w:lineRule="exact"/>
        <w:rPr>
          <w:rFonts w:ascii="Courier New" w:cs="Courier New" w:eastAsia="Courier New" w:hAnsi="Courier New"/>
          <w:sz w:val="15"/>
          <w:szCs w:val="15"/>
          <w:color w:val="auto"/>
        </w:rPr>
      </w:pPr>
    </w:p>
    <w:p>
      <w:pPr>
        <w:ind w:right="2939" w:firstLine="456"/>
        <w:spacing w:after="0" w:line="251" w:lineRule="auto"/>
        <w:tabs>
          <w:tab w:leader="none" w:pos="738"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Merger, the Company will hold at least 90% of the fair market value of the net assets and at least 70% of the fair market value of the gross assets held by the Company immediately prior to the Merger and at least 90% of the fair market value of the net assets and at least 70% of the fair market value of the gross assets held by Subsidiary immediately prior to the Merger.</w:t>
      </w:r>
    </w:p>
    <w:p>
      <w:pPr>
        <w:spacing w:after="0" w:line="176"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For purposes of this representation, amounts paid by the Company or Subsidiary to Company Stockholders who receive cash or other property, amounts used by the Company or Subsidiary to pay reorganization expenses, and all redemptions and distributions (except for regular, normal dividends, if any) made by the Company have been included as assets of the Company or Subsidiary, respectively, immediately prior to the Merger.</w:t>
      </w:r>
    </w:p>
    <w:p>
      <w:pPr>
        <w:spacing w:after="0" w:line="176" w:lineRule="exact"/>
        <w:rPr>
          <w:sz w:val="20"/>
          <w:szCs w:val="20"/>
          <w:color w:val="auto"/>
        </w:rPr>
      </w:pPr>
    </w:p>
    <w:p>
      <w:pPr>
        <w:ind w:right="3019" w:firstLine="456"/>
        <w:spacing w:after="0" w:line="252" w:lineRule="auto"/>
        <w:tabs>
          <w:tab w:leader="none" w:pos="738"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made no redemptions of stock or distributions with respect to its stock at any time on or after the date when a possible business combination of the Company and Parent was first considered.</w:t>
      </w:r>
    </w:p>
    <w:p>
      <w:pPr>
        <w:spacing w:after="0" w:line="174" w:lineRule="exact"/>
        <w:rPr>
          <w:rFonts w:ascii="Courier New" w:cs="Courier New" w:eastAsia="Courier New" w:hAnsi="Courier New"/>
          <w:sz w:val="15"/>
          <w:szCs w:val="15"/>
          <w:color w:val="auto"/>
        </w:rPr>
      </w:pPr>
    </w:p>
    <w:p>
      <w:pPr>
        <w:ind w:right="3019" w:firstLine="456"/>
        <w:spacing w:after="0" w:line="253" w:lineRule="auto"/>
        <w:tabs>
          <w:tab w:leader="none" w:pos="738"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 plan or intention to issue additional shares of its stock that would result in Parent losing control of the Company.</w:t>
      </w:r>
    </w:p>
    <w:p>
      <w:pPr>
        <w:sectPr>
          <w:pgSz w:w="11900" w:h="16838" w:orient="portrait"/>
          <w:cols w:equalWidth="0" w:num="1">
            <w:col w:w="10219"/>
          </w:cols>
          <w:pgMar w:left="240" w:top="295" w:right="1440" w:bottom="1440" w:gutter="0" w:footer="0" w:header="0"/>
        </w:sectPr>
      </w:pPr>
    </w:p>
    <w:bookmarkStart w:id="141" w:name="page142"/>
    <w:bookmarkEnd w:id="141"/>
    <w:p>
      <w:pPr>
        <w:ind w:left="280"/>
        <w:spacing w:after="0"/>
        <w:rPr>
          <w:sz w:val="20"/>
          <w:szCs w:val="20"/>
          <w:color w:val="auto"/>
        </w:rPr>
      </w:pPr>
      <w:r>
        <w:rPr>
          <w:rFonts w:ascii="Courier New" w:cs="Courier New" w:eastAsia="Courier New" w:hAnsi="Courier New"/>
          <w:sz w:val="15"/>
          <w:szCs w:val="15"/>
          <w:color w:val="auto"/>
        </w:rPr>
        <w:t>4</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For purposes of this representation and the following representations, and in accordance with Section 368(c) of the Internal Revenue Code of 1986, as amended (the "Code"), control means the ownership of stock possessing at least 80% of the total combined voting power of all classes of stock entitled to vote and at least 80% of the total number of shares of all other classes of stock of the corporation.</w:t>
      </w:r>
    </w:p>
    <w:p>
      <w:pPr>
        <w:spacing w:after="0" w:line="176" w:lineRule="exact"/>
        <w:rPr>
          <w:sz w:val="20"/>
          <w:szCs w:val="20"/>
          <w:color w:val="auto"/>
        </w:rPr>
      </w:pPr>
    </w:p>
    <w:p>
      <w:pPr>
        <w:ind w:right="2839" w:firstLine="456"/>
        <w:spacing w:after="0" w:line="253" w:lineRule="auto"/>
        <w:tabs>
          <w:tab w:leader="none" w:pos="738"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Merger, the Company will continue its historic business or use a significant portion of its historic business assets in a business.</w:t>
      </w:r>
    </w:p>
    <w:p>
      <w:pPr>
        <w:spacing w:after="0" w:line="174" w:lineRule="exact"/>
        <w:rPr>
          <w:rFonts w:ascii="Courier New" w:cs="Courier New" w:eastAsia="Courier New" w:hAnsi="Courier New"/>
          <w:sz w:val="15"/>
          <w:szCs w:val="15"/>
          <w:color w:val="auto"/>
        </w:rPr>
      </w:pPr>
    </w:p>
    <w:p>
      <w:pPr>
        <w:ind w:right="2939" w:firstLine="456"/>
        <w:spacing w:after="0" w:line="251" w:lineRule="auto"/>
        <w:tabs>
          <w:tab w:leader="none" w:pos="738"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Company Stockholders will each pay their respective expenses, if any, incurred in connection with the Merger. Neither the Company nor any of the Company Stockholders will pay any expenses of Parent or Subsidiary incurred in connection with the Merger.</w:t>
      </w:r>
    </w:p>
    <w:p>
      <w:pPr>
        <w:spacing w:after="0" w:line="176" w:lineRule="exact"/>
        <w:rPr>
          <w:rFonts w:ascii="Courier New" w:cs="Courier New" w:eastAsia="Courier New" w:hAnsi="Courier New"/>
          <w:sz w:val="15"/>
          <w:szCs w:val="15"/>
          <w:color w:val="auto"/>
        </w:rPr>
      </w:pPr>
    </w:p>
    <w:p>
      <w:pPr>
        <w:jc w:val="both"/>
        <w:ind w:right="2939" w:firstLine="456"/>
        <w:spacing w:after="0" w:line="252" w:lineRule="auto"/>
        <w:tabs>
          <w:tab w:leader="none" w:pos="738"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intercorporate indebtedness existing between Parent and the Company or between Subsidiary and the Company that was issued, acquired or will be settled at a discount.</w:t>
      </w:r>
    </w:p>
    <w:p>
      <w:pPr>
        <w:spacing w:after="0" w:line="174" w:lineRule="exact"/>
        <w:rPr>
          <w:rFonts w:ascii="Courier New" w:cs="Courier New" w:eastAsia="Courier New" w:hAnsi="Courier New"/>
          <w:sz w:val="15"/>
          <w:szCs w:val="15"/>
          <w:color w:val="auto"/>
        </w:rPr>
      </w:pPr>
    </w:p>
    <w:p>
      <w:pPr>
        <w:ind w:right="2939" w:firstLine="456"/>
        <w:spacing w:after="0" w:line="251" w:lineRule="auto"/>
        <w:tabs>
          <w:tab w:leader="none" w:pos="83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only outstanding stock of the Company is Company Common Stock. The only outstanding rights to acquire stock from the Company are those listed in Section 5.2 of the Merger Agreement and in Schedule 5.2 of the Company Disclosure Schedule. In the Merger, shares of Company Common Stock representing control of the Company will be exchanged solely for voting stock of Parent.</w:t>
      </w:r>
    </w:p>
    <w:p>
      <w:pPr>
        <w:spacing w:after="0" w:line="176" w:lineRule="exact"/>
        <w:rPr>
          <w:sz w:val="20"/>
          <w:szCs w:val="20"/>
          <w:color w:val="auto"/>
        </w:rPr>
      </w:pPr>
    </w:p>
    <w:p>
      <w:pPr>
        <w:ind w:right="2939" w:firstLine="461"/>
        <w:spacing w:after="0" w:line="252" w:lineRule="auto"/>
        <w:rPr>
          <w:sz w:val="20"/>
          <w:szCs w:val="20"/>
          <w:color w:val="auto"/>
        </w:rPr>
      </w:pPr>
      <w:r>
        <w:rPr>
          <w:rFonts w:ascii="Courier New" w:cs="Courier New" w:eastAsia="Courier New" w:hAnsi="Courier New"/>
          <w:sz w:val="15"/>
          <w:szCs w:val="15"/>
          <w:color w:val="auto"/>
        </w:rPr>
        <w:t>For purposes of this representation, shares of Company Common Stock exchanged for cash or other property originating with Parent will be treated as outstanding stock of the Company on the date of the Merger.</w:t>
      </w:r>
    </w:p>
    <w:p>
      <w:pPr>
        <w:spacing w:after="0" w:line="175" w:lineRule="exact"/>
        <w:rPr>
          <w:sz w:val="20"/>
          <w:szCs w:val="20"/>
          <w:color w:val="auto"/>
        </w:rPr>
      </w:pPr>
    </w:p>
    <w:p>
      <w:pPr>
        <w:ind w:right="3019" w:firstLine="456"/>
        <w:spacing w:after="0" w:line="251" w:lineRule="auto"/>
        <w:tabs>
          <w:tab w:leader="none" w:pos="83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the Company will not have outstanding any warrants, options, convertible securities, or any other type of right pursuant to which any person could acquire stock in the Company that, if exercised or converted, would affect Parent's acquisition or retention of control of the Company.</w:t>
      </w:r>
    </w:p>
    <w:p>
      <w:pPr>
        <w:spacing w:after="0" w:line="176" w:lineRule="exact"/>
        <w:rPr>
          <w:rFonts w:ascii="Courier New" w:cs="Courier New" w:eastAsia="Courier New" w:hAnsi="Courier New"/>
          <w:sz w:val="15"/>
          <w:szCs w:val="15"/>
          <w:color w:val="auto"/>
        </w:rPr>
      </w:pPr>
    </w:p>
    <w:p>
      <w:pPr>
        <w:ind w:left="820" w:hanging="364"/>
        <w:spacing w:after="0"/>
        <w:tabs>
          <w:tab w:leader="none" w:pos="82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an investment company.</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For purposes of this representation, (a) an investment company means a regulated investment company (as defined in the Code), a real estate investment trust (as defined in the Code), or a corporation 50% or more of the value of whose total assets are stock and securities and 80% or more of the value of whose total assets are assets held for investment, (b) in making the 50% and 80% determinations just described, stock and securities in any subsidiary corporation shall be disregarded and the parent corporation shall be deemed to own its ratable share of the subsidiary's assets, and a corporation shall be considered a subsidiary if the parent owns 50% or more of the combined voting power of all classes of stock entitled to vote, or 50% or more of the total value of all classes of stock outstanding, and (c) in determining total assets there shall be excluded cash and cash items (including receivables), government securities, and any assets acquired for purposes of ceasing to be an investment company.</w:t>
      </w:r>
    </w:p>
    <w:p>
      <w:pPr>
        <w:spacing w:after="0" w:line="361" w:lineRule="exact"/>
        <w:rPr>
          <w:sz w:val="20"/>
          <w:szCs w:val="20"/>
          <w:color w:val="auto"/>
        </w:rPr>
      </w:pPr>
    </w:p>
    <w:p>
      <w:pPr>
        <w:ind w:right="2939" w:firstLine="456"/>
        <w:spacing w:after="0" w:line="252" w:lineRule="auto"/>
        <w:tabs>
          <w:tab w:leader="none" w:pos="83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of the Merger, the fair market value of the assets of the Company will exceed the sum of its liabilities, plus the amount of liabilities, if any, to which its assets are subject.</w:t>
      </w:r>
    </w:p>
    <w:p>
      <w:pPr>
        <w:spacing w:after="0" w:line="174" w:lineRule="exact"/>
        <w:rPr>
          <w:rFonts w:ascii="Courier New" w:cs="Courier New" w:eastAsia="Courier New" w:hAnsi="Courier New"/>
          <w:sz w:val="15"/>
          <w:szCs w:val="15"/>
          <w:color w:val="auto"/>
        </w:rPr>
      </w:pPr>
    </w:p>
    <w:p>
      <w:pPr>
        <w:ind w:right="3019" w:firstLine="456"/>
        <w:spacing w:after="0" w:line="252" w:lineRule="auto"/>
        <w:tabs>
          <w:tab w:leader="none" w:pos="83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under the jurisdiction of a court in a case under Title 11 of the United States Code, or a receivership, foreclosure, or similar proceeding in a Federal or State court.</w:t>
      </w:r>
    </w:p>
    <w:p>
      <w:pPr>
        <w:spacing w:after="0" w:line="174" w:lineRule="exact"/>
        <w:rPr>
          <w:rFonts w:ascii="Courier New" w:cs="Courier New" w:eastAsia="Courier New" w:hAnsi="Courier New"/>
          <w:sz w:val="15"/>
          <w:szCs w:val="15"/>
          <w:color w:val="auto"/>
        </w:rPr>
      </w:pPr>
    </w:p>
    <w:p>
      <w:pPr>
        <w:ind w:right="2839" w:firstLine="456"/>
        <w:spacing w:after="0" w:line="250" w:lineRule="auto"/>
        <w:tabs>
          <w:tab w:leader="none" w:pos="83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payments by Parent or Subsidiary to Company Stockholders in lieu of fractional shares of Parent Common Stock are solely for the purpose of avoiding the expense and inconvenience to Parent of issuing fractional shares and do not represent separately bargained for consideration. These payments will not be made pro rata to all Company Stockholders. The total cash consideration that will be paid in the transaction to Company Stockholders instead of issuing fractional shares of Parent Common Stock will not exceed 1% of the total consideration that will be issued in the transaction to Company Stockholders in exchange for their shares of Company Common Stock. The fractional share interests of each Company Stockholder will be aggregated, and no Company Stockholder will receive cash in an amount equal to or greater than the value of one full share of Parent Common Stock.</w:t>
      </w:r>
    </w:p>
    <w:p>
      <w:pPr>
        <w:spacing w:after="0" w:line="182" w:lineRule="exact"/>
        <w:rPr>
          <w:rFonts w:ascii="Courier New" w:cs="Courier New" w:eastAsia="Courier New" w:hAnsi="Courier New"/>
          <w:sz w:val="15"/>
          <w:szCs w:val="15"/>
          <w:color w:val="auto"/>
        </w:rPr>
      </w:pPr>
    </w:p>
    <w:p>
      <w:pPr>
        <w:ind w:right="2839" w:firstLine="456"/>
        <w:spacing w:after="0" w:line="252" w:lineRule="auto"/>
        <w:tabs>
          <w:tab w:leader="none" w:pos="83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compensation received by any shareholder-employees of the Company will be separate consideration for, or allocable to, any of their shares of Company Common Stock; none of the shares of Parent</w:t>
      </w:r>
    </w:p>
    <w:p>
      <w:pPr>
        <w:sectPr>
          <w:pgSz w:w="11900" w:h="16838" w:orient="portrait"/>
          <w:cols w:equalWidth="0" w:num="1">
            <w:col w:w="10219"/>
          </w:cols>
          <w:pgMar w:left="240" w:top="295" w:right="1440" w:bottom="1440" w:gutter="0" w:footer="0" w:header="0"/>
        </w:sectPr>
      </w:pPr>
    </w:p>
    <w:p>
      <w:pPr>
        <w:spacing w:after="0" w:line="17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5" w:right="1440" w:bottom="1440" w:gutter="0" w:footer="0" w:header="0"/>
          <w:type w:val="continuous"/>
        </w:sectPr>
      </w:pPr>
    </w:p>
    <w:bookmarkStart w:id="142" w:name="page143"/>
    <w:bookmarkEnd w:id="142"/>
    <w:p>
      <w:pPr>
        <w:ind w:left="280"/>
        <w:spacing w:after="0"/>
        <w:rPr>
          <w:sz w:val="20"/>
          <w:szCs w:val="20"/>
          <w:color w:val="auto"/>
        </w:rPr>
      </w:pPr>
      <w:r>
        <w:rPr>
          <w:rFonts w:ascii="Courier New" w:cs="Courier New" w:eastAsia="Courier New" w:hAnsi="Courier New"/>
          <w:sz w:val="15"/>
          <w:szCs w:val="15"/>
          <w:color w:val="auto"/>
        </w:rPr>
        <w:t>5</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Common Stock received by any shareholder-employees will be separate consideration for, or allocable to, any employment agreement; and the compensation paid to any shareholder-employees will be for services actually rendered and will be commensurate with amounts paid to third parties bargaining at arm's-length for similar services.</w:t>
      </w:r>
    </w:p>
    <w:p>
      <w:pPr>
        <w:spacing w:after="0" w:line="354" w:lineRule="exact"/>
        <w:rPr>
          <w:sz w:val="20"/>
          <w:szCs w:val="20"/>
          <w:color w:val="auto"/>
        </w:rPr>
      </w:pPr>
    </w:p>
    <w:p>
      <w:pPr>
        <w:ind w:right="3019" w:firstLine="456"/>
        <w:spacing w:after="0" w:line="252" w:lineRule="auto"/>
        <w:tabs>
          <w:tab w:leader="none" w:pos="83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reasons for consummating the Merger are set forth in the section entitled "THE MERGER AND RELATED TRANSACTIONS" of the Joint Proxy Statement/Prospectus.</w:t>
      </w:r>
    </w:p>
    <w:p>
      <w:pPr>
        <w:spacing w:after="0" w:line="352"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SANIFILL, INC.</w:t>
      </w:r>
    </w:p>
    <w:p>
      <w:pPr>
        <w:spacing w:after="0" w:line="362" w:lineRule="exact"/>
        <w:rPr>
          <w:sz w:val="20"/>
          <w:szCs w:val="20"/>
          <w:color w:val="auto"/>
        </w:rPr>
      </w:pPr>
    </w:p>
    <w:p>
      <w:pPr>
        <w:jc w:val="center"/>
        <w:ind w:right="-1220"/>
        <w:spacing w:after="0"/>
        <w:tabs>
          <w:tab w:leader="none" w:pos="160" w:val="left"/>
        </w:tabs>
        <w:rPr>
          <w:sz w:val="20"/>
          <w:szCs w:val="20"/>
          <w:color w:val="auto"/>
        </w:rPr>
      </w:pPr>
      <w:r>
        <w:rPr>
          <w:rFonts w:ascii="Courier New" w:cs="Courier New" w:eastAsia="Courier New" w:hAnsi="Courier New"/>
          <w:sz w:val="15"/>
          <w:szCs w:val="15"/>
          <w:color w:val="auto"/>
        </w:rPr>
        <w:t>/s/</w:t>
        <w:tab/>
        <w:t>H. STEVEN WALTON</w:t>
      </w:r>
    </w:p>
    <w:p>
      <w:pPr>
        <w:spacing w:after="0" w:line="362"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Name: H. Steven Walton</w:t>
      </w:r>
    </w:p>
    <w:p>
      <w:pPr>
        <w:spacing w:after="0" w:line="362"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Title: Vice President-- Government</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Affairs,</w:t>
      </w:r>
    </w:p>
    <w:p>
      <w:pPr>
        <w:spacing w:after="0" w:line="362"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General Counsel and Secretary</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July 19, 1996</w:t>
      </w:r>
    </w:p>
    <w:p>
      <w:pPr>
        <w:spacing w:after="0" w:line="362"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5" w:right="1440" w:bottom="1440" w:gutter="0" w:footer="0" w:header="0"/>
        </w:sectPr>
      </w:pPr>
    </w:p>
    <w:bookmarkStart w:id="143" w:name="page144"/>
    <w:bookmarkEnd w:id="143"/>
    <w:p>
      <w:pPr>
        <w:ind w:left="280"/>
        <w:spacing w:after="0"/>
        <w:rPr>
          <w:sz w:val="20"/>
          <w:szCs w:val="20"/>
          <w:color w:val="auto"/>
        </w:rPr>
      </w:pPr>
      <w:r>
        <w:rPr>
          <w:rFonts w:ascii="Courier New" w:cs="Courier New" w:eastAsia="Courier New" w:hAnsi="Courier New"/>
          <w:sz w:val="15"/>
          <w:szCs w:val="15"/>
          <w:color w:val="auto"/>
        </w:rPr>
        <w:t>6</w:t>
      </w:r>
    </w:p>
    <w:p>
      <w:pPr>
        <w:spacing w:after="0" w:line="185"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ATTACHMENT II</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USA WASTE SERVICES, INC.</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AND</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QUATRO ACQUISITION CORP.</w:t>
      </w:r>
    </w:p>
    <w:p>
      <w:pPr>
        <w:spacing w:after="0" w:line="18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OFFICER'S CERTIFICATE</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undersigned officers of USA Waste Services, Inc., a Delaware corporation ("Parent"), and Quatro Acquisition Corp., a Delaware corporation and a wholly owned subsidiary of Parent ("Subsidiary"), in connection with the opinions to be delivered by Baker &amp; Botts, L.L.P. and Andrews &amp; Kurth L.L.P. pursuant to the Agreement and Plan of Merger by and among Sanifill, Inc., a Delaware corporation (the "Company"), Subsidiary and Parent, dated as of June 22, 1996 (the "Merger Agreement"), and recognizing that said law firms will rely on this Certificate in delivering such opinions, hereby certify that the facts described in this Officer's Certificate relating to the proposed merger of Subsidiary with and into the Company (the "Merger") pursuant to the Merger Agreement and any transactions related thereto are true, correct, and complete in all respects and will be true, correct, and complete in all respects at the Effective Time of the Merger, and further certify as follows (unless otherwise specified, capitalized terms used herein shall have the meaning assigned to them in the Merger Agreement):</w:t>
      </w:r>
    </w:p>
    <w:p>
      <w:pPr>
        <w:spacing w:after="0" w:line="200" w:lineRule="exact"/>
        <w:rPr>
          <w:sz w:val="20"/>
          <w:szCs w:val="20"/>
          <w:color w:val="auto"/>
        </w:rPr>
      </w:pPr>
    </w:p>
    <w:p>
      <w:pPr>
        <w:spacing w:after="0" w:line="338" w:lineRule="exact"/>
        <w:rPr>
          <w:sz w:val="20"/>
          <w:szCs w:val="20"/>
          <w:color w:val="auto"/>
        </w:rPr>
      </w:pPr>
    </w:p>
    <w:p>
      <w:pPr>
        <w:ind w:right="2939" w:firstLine="456"/>
        <w:spacing w:after="0" w:line="251" w:lineRule="auto"/>
        <w:tabs>
          <w:tab w:leader="none" w:pos="738"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certify to you that I am the Executive Vice President and Chief Financial Officer of Parent and Subsidiary. I am familiar with the transactions contemplated by, and the terms and provisions of, the Merger Agreement, have personal knowledge of the matters covered by the representations made herein, and I am authorized to make these representations on behalf of Parent and Subsidiary.</w:t>
      </w:r>
    </w:p>
    <w:p>
      <w:pPr>
        <w:spacing w:after="0" w:line="353" w:lineRule="exact"/>
        <w:rPr>
          <w:rFonts w:ascii="Courier New" w:cs="Courier New" w:eastAsia="Courier New" w:hAnsi="Courier New"/>
          <w:sz w:val="15"/>
          <w:szCs w:val="15"/>
          <w:color w:val="auto"/>
        </w:rPr>
      </w:pPr>
    </w:p>
    <w:p>
      <w:pPr>
        <w:ind w:right="2939" w:firstLine="456"/>
        <w:spacing w:after="0" w:line="251" w:lineRule="auto"/>
        <w:tabs>
          <w:tab w:leader="none" w:pos="738"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of Parent Common Stock received by each holder of Company Common Stock (a "Company Stockholder") will be approximately equal to the fair market value of Company Common Stock exchanged for such Parent Common Stock in the Merger.</w:t>
      </w:r>
    </w:p>
    <w:p>
      <w:pPr>
        <w:spacing w:after="0" w:line="176" w:lineRule="exact"/>
        <w:rPr>
          <w:rFonts w:ascii="Courier New" w:cs="Courier New" w:eastAsia="Courier New" w:hAnsi="Courier New"/>
          <w:sz w:val="15"/>
          <w:szCs w:val="15"/>
          <w:color w:val="auto"/>
        </w:rPr>
      </w:pPr>
    </w:p>
    <w:p>
      <w:pPr>
        <w:ind w:right="2939" w:firstLine="456"/>
        <w:spacing w:after="0" w:line="251" w:lineRule="auto"/>
        <w:tabs>
          <w:tab w:leader="none" w:pos="738"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Merger, the Company will hold at least 90% of the fair market value of the net assets and at least 70% of the fair market value of the gross assets held by the Company immediately prior to the Merger and at least 90% of the fair market value of the net assets and at least 70% of the fair market value of the gross assets held by Subsidiary immediately prior to the Merger.</w:t>
      </w:r>
    </w:p>
    <w:p>
      <w:pPr>
        <w:spacing w:after="0" w:line="176"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For purposes of this representation, amounts paid by the Company or Subsidiary to Company Stockholders who receive cash or other property, amounts used by the Company or Subsidiary to pay reorganization expenses, and all redemptions and distributions (except for regular, normal dividends, if any) made by the Company have been included as assets of the Company or Subsidiary, respectively, immediately prior to the Merger.</w:t>
      </w:r>
    </w:p>
    <w:p>
      <w:pPr>
        <w:spacing w:after="0" w:line="176" w:lineRule="exact"/>
        <w:rPr>
          <w:sz w:val="20"/>
          <w:szCs w:val="20"/>
          <w:color w:val="auto"/>
        </w:rPr>
      </w:pPr>
    </w:p>
    <w:p>
      <w:pPr>
        <w:ind w:right="3579" w:firstLine="456"/>
        <w:spacing w:after="0" w:line="253" w:lineRule="auto"/>
        <w:tabs>
          <w:tab w:leader="none" w:pos="738"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Merger, Parent will own 100 percent of the stock of Subsidiary and therefore will be in control of Subsidiary.</w:t>
      </w:r>
    </w:p>
    <w:p>
      <w:pPr>
        <w:spacing w:after="0" w:line="174"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For purposes of this representation and the following representations, and in accordance with Section 368(c) of the Internal Revenue Code of 1986, as amended (the "Code"), control means the ownership of stock possessing at least 80% of the total combined voting power of all classes of stock entitled to vote and at least 80% of the total number of shares of all other classes of stock of the corporation.</w:t>
      </w:r>
    </w:p>
    <w:p>
      <w:pPr>
        <w:spacing w:after="0" w:line="176" w:lineRule="exact"/>
        <w:rPr>
          <w:sz w:val="20"/>
          <w:szCs w:val="20"/>
          <w:color w:val="auto"/>
        </w:rPr>
      </w:pPr>
    </w:p>
    <w:p>
      <w:pPr>
        <w:ind w:right="2839" w:firstLine="456"/>
        <w:spacing w:after="0" w:line="253" w:lineRule="auto"/>
        <w:tabs>
          <w:tab w:leader="none" w:pos="738"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has no plan or intention to cause the Company to issue additional shares of its stock that would result in Parent losing control of the Company.</w:t>
      </w:r>
    </w:p>
    <w:p>
      <w:pPr>
        <w:spacing w:after="0" w:line="174" w:lineRule="exact"/>
        <w:rPr>
          <w:rFonts w:ascii="Courier New" w:cs="Courier New" w:eastAsia="Courier New" w:hAnsi="Courier New"/>
          <w:sz w:val="15"/>
          <w:szCs w:val="15"/>
          <w:color w:val="auto"/>
        </w:rPr>
      </w:pPr>
    </w:p>
    <w:p>
      <w:pPr>
        <w:ind w:right="2939" w:firstLine="456"/>
        <w:spacing w:after="0" w:line="253" w:lineRule="auto"/>
        <w:tabs>
          <w:tab w:leader="none" w:pos="738"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has no plan or intention to reacquire any of the stock issued in the Merger.</w:t>
      </w:r>
    </w:p>
    <w:p>
      <w:pPr>
        <w:spacing w:after="0" w:line="174" w:lineRule="exact"/>
        <w:rPr>
          <w:rFonts w:ascii="Courier New" w:cs="Courier New" w:eastAsia="Courier New" w:hAnsi="Courier New"/>
          <w:sz w:val="15"/>
          <w:szCs w:val="15"/>
          <w:color w:val="auto"/>
        </w:rPr>
      </w:pPr>
    </w:p>
    <w:p>
      <w:pPr>
        <w:ind w:right="2839" w:firstLine="456"/>
        <w:spacing w:after="0" w:line="251" w:lineRule="auto"/>
        <w:tabs>
          <w:tab w:leader="none" w:pos="738"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has no plan or intention to liquidate the Company, to merge the Company with or into another corporation, to sell or otherwise dispose of the stock of the Company (except for transfers of stock to corporations controlled by Parent), or to cause the Company to sell or otherwise dispose of its assets or any assets acquired from Subsidiary, except for dispositions made in the ordinary course of business or transfers of assets to corporations controlled by the Company.</w:t>
      </w:r>
    </w:p>
    <w:p>
      <w:pPr>
        <w:sectPr>
          <w:pgSz w:w="11900" w:h="16838" w:orient="portrait"/>
          <w:cols w:equalWidth="0" w:num="1">
            <w:col w:w="10219"/>
          </w:cols>
          <w:pgMar w:left="240" w:top="295" w:right="1440" w:bottom="1440" w:gutter="0" w:footer="0" w:header="0"/>
        </w:sectPr>
      </w:pPr>
    </w:p>
    <w:bookmarkStart w:id="144" w:name="page145"/>
    <w:bookmarkEnd w:id="144"/>
    <w:p>
      <w:pPr>
        <w:ind w:left="280"/>
        <w:spacing w:after="0"/>
        <w:rPr>
          <w:sz w:val="20"/>
          <w:szCs w:val="20"/>
          <w:color w:val="auto"/>
        </w:rPr>
      </w:pPr>
      <w:r>
        <w:rPr>
          <w:rFonts w:ascii="Courier New" w:cs="Courier New" w:eastAsia="Courier New" w:hAnsi="Courier New"/>
          <w:sz w:val="15"/>
          <w:szCs w:val="15"/>
          <w:color w:val="auto"/>
        </w:rPr>
        <w:t>7</w:t>
      </w:r>
    </w:p>
    <w:p>
      <w:pPr>
        <w:spacing w:after="0" w:line="185" w:lineRule="exact"/>
        <w:rPr>
          <w:sz w:val="20"/>
          <w:szCs w:val="20"/>
          <w:color w:val="auto"/>
        </w:rPr>
      </w:pPr>
    </w:p>
    <w:p>
      <w:pPr>
        <w:ind w:right="2839" w:firstLine="456"/>
        <w:spacing w:after="0" w:line="253" w:lineRule="auto"/>
        <w:tabs>
          <w:tab w:leader="none" w:pos="738"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will have no liabilities assumed by the Company, and will not transfer to the Company any assets subject to liabilities, in the Merger.</w:t>
      </w:r>
    </w:p>
    <w:p>
      <w:pPr>
        <w:spacing w:after="0" w:line="174" w:lineRule="exact"/>
        <w:rPr>
          <w:rFonts w:ascii="Courier New" w:cs="Courier New" w:eastAsia="Courier New" w:hAnsi="Courier New"/>
          <w:sz w:val="15"/>
          <w:szCs w:val="15"/>
          <w:color w:val="auto"/>
        </w:rPr>
      </w:pPr>
    </w:p>
    <w:p>
      <w:pPr>
        <w:jc w:val="both"/>
        <w:ind w:right="2839" w:firstLine="456"/>
        <w:spacing w:after="0" w:line="252" w:lineRule="auto"/>
        <w:tabs>
          <w:tab w:leader="none" w:pos="738"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Merger, Parent will cause the Company to continue, and the Company will continue, the historic business of the Company or use a significant portion of the Company's historic business assets in a business.</w:t>
      </w:r>
    </w:p>
    <w:p>
      <w:pPr>
        <w:spacing w:after="0" w:line="174" w:lineRule="exact"/>
        <w:rPr>
          <w:rFonts w:ascii="Courier New" w:cs="Courier New" w:eastAsia="Courier New" w:hAnsi="Courier New"/>
          <w:sz w:val="15"/>
          <w:szCs w:val="15"/>
          <w:color w:val="auto"/>
        </w:rPr>
      </w:pPr>
    </w:p>
    <w:p>
      <w:pPr>
        <w:ind w:right="3119" w:firstLine="456"/>
        <w:spacing w:after="0" w:line="251" w:lineRule="auto"/>
        <w:tabs>
          <w:tab w:leader="none" w:pos="83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and Subsidiary will pay their respective expenses, if any, incurred in connection with the Merger. Neither Parent, Subsidiary nor any of their affiliates will pay expenses of the Company or the Company Stockholders incurred in connection with the Merger.</w:t>
      </w:r>
    </w:p>
    <w:p>
      <w:pPr>
        <w:spacing w:after="0" w:line="176" w:lineRule="exact"/>
        <w:rPr>
          <w:rFonts w:ascii="Courier New" w:cs="Courier New" w:eastAsia="Courier New" w:hAnsi="Courier New"/>
          <w:sz w:val="15"/>
          <w:szCs w:val="15"/>
          <w:color w:val="auto"/>
        </w:rPr>
      </w:pPr>
    </w:p>
    <w:p>
      <w:pPr>
        <w:jc w:val="both"/>
        <w:ind w:right="2839" w:firstLine="456"/>
        <w:spacing w:after="0" w:line="252" w:lineRule="auto"/>
        <w:tabs>
          <w:tab w:leader="none" w:pos="83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intercorporate indebtedness existing between Parent and the Company or between Subsidiary and the Company that was issued, acquired, or will be settled at a discount.</w:t>
      </w:r>
    </w:p>
    <w:p>
      <w:pPr>
        <w:spacing w:after="0" w:line="174" w:lineRule="exact"/>
        <w:rPr>
          <w:rFonts w:ascii="Courier New" w:cs="Courier New" w:eastAsia="Courier New" w:hAnsi="Courier New"/>
          <w:sz w:val="15"/>
          <w:szCs w:val="15"/>
          <w:color w:val="auto"/>
        </w:rPr>
      </w:pPr>
    </w:p>
    <w:p>
      <w:pPr>
        <w:ind w:right="3299" w:firstLine="456"/>
        <w:spacing w:after="0" w:line="253" w:lineRule="auto"/>
        <w:tabs>
          <w:tab w:leader="none" w:pos="83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Merger, shares of the common stock of Company representing control of the Company will be exchanged solely for voting stock of Parent.</w:t>
      </w:r>
    </w:p>
    <w:p>
      <w:pPr>
        <w:spacing w:after="0" w:line="174" w:lineRule="exact"/>
        <w:rPr>
          <w:sz w:val="20"/>
          <w:szCs w:val="20"/>
          <w:color w:val="auto"/>
        </w:rPr>
      </w:pPr>
    </w:p>
    <w:p>
      <w:pPr>
        <w:ind w:right="2939" w:firstLine="461"/>
        <w:spacing w:after="0" w:line="252" w:lineRule="auto"/>
        <w:rPr>
          <w:sz w:val="20"/>
          <w:szCs w:val="20"/>
          <w:color w:val="auto"/>
        </w:rPr>
      </w:pPr>
      <w:r>
        <w:rPr>
          <w:rFonts w:ascii="Courier New" w:cs="Courier New" w:eastAsia="Courier New" w:hAnsi="Courier New"/>
          <w:sz w:val="15"/>
          <w:szCs w:val="15"/>
          <w:color w:val="auto"/>
        </w:rPr>
        <w:t>For purposes of this representation, shares of stock of the Company exchanged for cash or other property originating with Parent will be treated as outstanding stock of the Company on the date of the Merger.</w:t>
      </w:r>
    </w:p>
    <w:p>
      <w:pPr>
        <w:spacing w:after="0" w:line="175" w:lineRule="exact"/>
        <w:rPr>
          <w:sz w:val="20"/>
          <w:szCs w:val="20"/>
          <w:color w:val="auto"/>
        </w:rPr>
      </w:pPr>
    </w:p>
    <w:p>
      <w:pPr>
        <w:ind w:right="3019" w:firstLine="456"/>
        <w:spacing w:after="0" w:line="253" w:lineRule="auto"/>
        <w:tabs>
          <w:tab w:leader="none" w:pos="83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does not own, nor has it owned during the past five years, any shares of stock of the Company.</w:t>
      </w:r>
    </w:p>
    <w:p>
      <w:pPr>
        <w:spacing w:after="0" w:line="174" w:lineRule="exact"/>
        <w:rPr>
          <w:rFonts w:ascii="Courier New" w:cs="Courier New" w:eastAsia="Courier New" w:hAnsi="Courier New"/>
          <w:sz w:val="15"/>
          <w:szCs w:val="15"/>
          <w:color w:val="auto"/>
        </w:rPr>
      </w:pPr>
    </w:p>
    <w:p>
      <w:pPr>
        <w:ind w:left="820" w:hanging="364"/>
        <w:spacing w:after="0"/>
        <w:tabs>
          <w:tab w:leader="none" w:pos="82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Parent nor Subsidiary is an investment company.</w:t>
      </w:r>
    </w:p>
    <w:p>
      <w:pPr>
        <w:spacing w:after="0" w:line="362"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For purposes of this representation, (a) an investment company means a regulated investment company (as defined in the Code), a real estate investment trust (as defined in the Code), or a corporation 50% or more of the value of whose total assets are stock and securities and 80% or more of the value of whose total assets are assets held for investment, (b) in making the 50% and 80% determinations just described, stock and securities in any subsidiary corporation shall be disregarded and the parent corporation shall be deemed to own its ratable share of the subsidiary's assets, and a corporation shall be considered a subsidiary if the parent owns 50% or more of the combined voting power of all classes of stock entitled to vote, or 50% or more of the total value of all classes of stock outstanding, and (c) in determining total assets there shall be excluded cash and cash items (including receivables), government securities, and any assets acquired for purposes of ceasing to be an investment company.</w:t>
      </w:r>
    </w:p>
    <w:p>
      <w:pPr>
        <w:spacing w:after="0" w:line="200" w:lineRule="exact"/>
        <w:rPr>
          <w:sz w:val="20"/>
          <w:szCs w:val="20"/>
          <w:color w:val="auto"/>
        </w:rPr>
      </w:pPr>
    </w:p>
    <w:p>
      <w:pPr>
        <w:spacing w:after="0" w:line="338" w:lineRule="exact"/>
        <w:rPr>
          <w:sz w:val="20"/>
          <w:szCs w:val="20"/>
          <w:color w:val="auto"/>
        </w:rPr>
      </w:pPr>
    </w:p>
    <w:p>
      <w:pPr>
        <w:ind w:right="2839" w:firstLine="456"/>
        <w:spacing w:after="0" w:line="250" w:lineRule="auto"/>
        <w:tabs>
          <w:tab w:leader="none" w:pos="83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payments by Parent or Subsidiary to Company Stockholders in lieu of fractional shares of Parent Common Stock are solely for the purpose of avoiding the expense and inconvenience to Parent of issuing fractional shares and do not represent separately bargained for consideration. These payments will not be made pro rata to all Company Stockholders. The total cash consideration that will be paid in the transaction to Company Stockholders instead of issuing fractional shares of Parent Common Stock will not exceed 1% of the total consideration that will be issued in the transaction to Company Stockholders in exchange for their shares of Company Common Stock. The fractional share interests of each Company Stockholder will be aggregated, and no Company Stockholder will receive cash in an amount equal to or greater than the value of one full share of Parent Common Stock.</w:t>
      </w:r>
    </w:p>
    <w:p>
      <w:pPr>
        <w:spacing w:after="0" w:line="182" w:lineRule="exact"/>
        <w:rPr>
          <w:rFonts w:ascii="Courier New" w:cs="Courier New" w:eastAsia="Courier New" w:hAnsi="Courier New"/>
          <w:sz w:val="15"/>
          <w:szCs w:val="15"/>
          <w:color w:val="auto"/>
        </w:rPr>
      </w:pPr>
    </w:p>
    <w:p>
      <w:pPr>
        <w:ind w:right="2839" w:firstLine="456"/>
        <w:spacing w:after="0" w:line="251" w:lineRule="auto"/>
        <w:tabs>
          <w:tab w:leader="none" w:pos="83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compensation received by any shareholder-employees of the Company will be separate consideration for, or allocable to, any of their shares of Company Common Stock; none of the shares of Parent Common Stock received by any shareholder-employees will be separate consideration for, or allocable to, any employment agreement; and the compensation paid to any shareholder-employees will be for services actually rendered and will be commensurate with amounts paid to third parties bargaining at arm's-length for similar services.</w:t>
      </w:r>
    </w:p>
    <w:p>
      <w:pPr>
        <w:spacing w:after="0" w:line="17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5" w:right="1440" w:bottom="1440" w:gutter="0" w:footer="0" w:header="0"/>
        </w:sectPr>
      </w:pPr>
    </w:p>
    <w:bookmarkStart w:id="145" w:name="page146"/>
    <w:bookmarkEnd w:id="145"/>
    <w:p>
      <w:pPr>
        <w:ind w:left="280"/>
        <w:spacing w:after="0"/>
        <w:rPr>
          <w:sz w:val="20"/>
          <w:szCs w:val="20"/>
          <w:color w:val="auto"/>
        </w:rPr>
      </w:pPr>
      <w:r>
        <w:rPr>
          <w:rFonts w:ascii="Courier New" w:cs="Courier New" w:eastAsia="Courier New" w:hAnsi="Courier New"/>
          <w:sz w:val="15"/>
          <w:szCs w:val="15"/>
          <w:color w:val="auto"/>
        </w:rPr>
        <w:t>8</w:t>
      </w:r>
    </w:p>
    <w:p>
      <w:pPr>
        <w:spacing w:after="0" w:line="362" w:lineRule="exact"/>
        <w:rPr>
          <w:sz w:val="20"/>
          <w:szCs w:val="20"/>
          <w:color w:val="auto"/>
        </w:rPr>
      </w:pPr>
    </w:p>
    <w:p>
      <w:pPr>
        <w:ind w:right="2939" w:firstLine="456"/>
        <w:spacing w:after="0" w:line="252" w:lineRule="auto"/>
        <w:tabs>
          <w:tab w:leader="none" w:pos="83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Parent's business reasons for consummating the Merger are set forth in the section entitled "The Merger and Related Transactions" of the Joint Proxy Statement/Prospectus.</w:t>
      </w:r>
    </w:p>
    <w:p>
      <w:pPr>
        <w:spacing w:after="0" w:line="352"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USA WASTE SERVICES, INC.</w:t>
      </w:r>
    </w:p>
    <w:p>
      <w:pPr>
        <w:spacing w:after="0" w:line="362" w:lineRule="exact"/>
        <w:rPr>
          <w:sz w:val="20"/>
          <w:szCs w:val="20"/>
          <w:color w:val="auto"/>
        </w:rPr>
      </w:pPr>
    </w:p>
    <w:p>
      <w:pPr>
        <w:jc w:val="center"/>
        <w:ind w:right="-1220"/>
        <w:spacing w:after="0"/>
        <w:tabs>
          <w:tab w:leader="none" w:pos="160" w:val="left"/>
        </w:tabs>
        <w:rPr>
          <w:sz w:val="20"/>
          <w:szCs w:val="20"/>
          <w:color w:val="auto"/>
        </w:rPr>
      </w:pPr>
      <w:r>
        <w:rPr>
          <w:rFonts w:ascii="Courier New" w:cs="Courier New" w:eastAsia="Courier New" w:hAnsi="Courier New"/>
          <w:sz w:val="15"/>
          <w:szCs w:val="15"/>
          <w:color w:val="auto"/>
        </w:rPr>
        <w:t>/s/</w:t>
        <w:tab/>
        <w:t>EARL E. DEFRATES</w:t>
      </w:r>
    </w:p>
    <w:p>
      <w:pPr>
        <w:spacing w:after="0" w:line="362"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Name: Earl E. DeFrates</w:t>
      </w:r>
    </w:p>
    <w:p>
      <w:pPr>
        <w:spacing w:after="0" w:line="362" w:lineRule="exact"/>
        <w:rPr>
          <w:sz w:val="20"/>
          <w:szCs w:val="20"/>
          <w:color w:val="auto"/>
        </w:rPr>
      </w:pPr>
    </w:p>
    <w:p>
      <w:pPr>
        <w:jc w:val="center"/>
        <w:ind w:right="-1120"/>
        <w:spacing w:after="0"/>
        <w:rPr>
          <w:sz w:val="20"/>
          <w:szCs w:val="20"/>
          <w:color w:val="auto"/>
        </w:rPr>
      </w:pPr>
      <w:r>
        <w:rPr>
          <w:rFonts w:ascii="Courier New" w:cs="Courier New" w:eastAsia="Courier New" w:hAnsi="Courier New"/>
          <w:sz w:val="15"/>
          <w:szCs w:val="15"/>
          <w:color w:val="auto"/>
        </w:rPr>
        <w:t>Title: Executive Vice President and</w:t>
      </w:r>
    </w:p>
    <w:p>
      <w:pPr>
        <w:spacing w:after="0" w:line="185"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Chief Financial Officer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July 19, 1996</w:t>
      </w:r>
    </w:p>
    <w:p>
      <w:pPr>
        <w:spacing w:after="0" w:line="185"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QUATRO ACQUISITION CORP.</w:t>
      </w:r>
    </w:p>
    <w:p>
      <w:pPr>
        <w:spacing w:after="0" w:line="362" w:lineRule="exact"/>
        <w:rPr>
          <w:sz w:val="20"/>
          <w:szCs w:val="20"/>
          <w:color w:val="auto"/>
        </w:rPr>
      </w:pPr>
    </w:p>
    <w:p>
      <w:pPr>
        <w:jc w:val="center"/>
        <w:ind w:right="-1220"/>
        <w:spacing w:after="0"/>
        <w:tabs>
          <w:tab w:leader="none" w:pos="160" w:val="left"/>
        </w:tabs>
        <w:rPr>
          <w:sz w:val="20"/>
          <w:szCs w:val="20"/>
          <w:color w:val="auto"/>
        </w:rPr>
      </w:pPr>
      <w:r>
        <w:rPr>
          <w:rFonts w:ascii="Courier New" w:cs="Courier New" w:eastAsia="Courier New" w:hAnsi="Courier New"/>
          <w:sz w:val="15"/>
          <w:szCs w:val="15"/>
          <w:color w:val="auto"/>
        </w:rPr>
        <w:t>/s/</w:t>
        <w:tab/>
        <w:t>EARL E. DEFRATES</w:t>
      </w:r>
    </w:p>
    <w:p>
      <w:pPr>
        <w:spacing w:after="0" w:line="362"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Name: Earl E. Defrates</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Title: Executive Vice President and</w:t>
      </w:r>
    </w:p>
    <w:p>
      <w:pPr>
        <w:spacing w:after="0" w:line="185"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Chief Financial Officer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July 19, 1996</w:t>
      </w:r>
    </w:p>
    <w:p>
      <w:pPr>
        <w:spacing w:after="0" w:line="362"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5" w:right="1440" w:bottom="1440" w:gutter="0" w:footer="0" w:header="0"/>
        </w:sectPr>
      </w:pPr>
    </w:p>
    <w:bookmarkStart w:id="146" w:name="page147"/>
    <w:bookmarkEnd w:id="146"/>
    <w:p>
      <w:pPr>
        <w:ind w:left="280"/>
        <w:spacing w:after="0"/>
        <w:rPr>
          <w:sz w:val="20"/>
          <w:szCs w:val="20"/>
          <w:color w:val="auto"/>
        </w:rPr>
      </w:pPr>
      <w:r>
        <w:rPr>
          <w:rFonts w:ascii="Courier New" w:cs="Courier New" w:eastAsia="Courier New" w:hAnsi="Courier New"/>
          <w:sz w:val="15"/>
          <w:szCs w:val="15"/>
          <w:color w:val="auto"/>
        </w:rPr>
        <w:t>1</w:t>
      </w:r>
    </w:p>
    <w:p>
      <w:pPr>
        <w:spacing w:after="0" w:line="185"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EXHIBIT 10.8</w:t>
      </w:r>
    </w:p>
    <w:p>
      <w:pPr>
        <w:spacing w:after="0" w:line="18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EMPLOYMENT AGREEMENT</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THIS AGREEMENT dated July 19, 1996 by and among Sanifill, Inc., a Delaware corporation ("Sanifill"), USA Waste Services, Inc., a Delaware corporation ("USA"), and J. Chris Brewster, an individual residing in Houston, Texas ("Brewster").</w:t>
      </w:r>
    </w:p>
    <w:p>
      <w:pPr>
        <w:spacing w:after="0" w:line="176"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R E C I T A L S :</w:t>
      </w:r>
    </w:p>
    <w:p>
      <w:pPr>
        <w:spacing w:after="0" w:line="185" w:lineRule="exact"/>
        <w:rPr>
          <w:sz w:val="20"/>
          <w:szCs w:val="20"/>
          <w:color w:val="auto"/>
        </w:rPr>
      </w:pPr>
    </w:p>
    <w:p>
      <w:pPr>
        <w:ind w:right="3019" w:firstLine="461"/>
        <w:spacing w:after="0" w:line="253" w:lineRule="auto"/>
        <w:rPr>
          <w:sz w:val="20"/>
          <w:szCs w:val="20"/>
          <w:color w:val="auto"/>
        </w:rPr>
      </w:pPr>
      <w:r>
        <w:rPr>
          <w:rFonts w:ascii="Courier New" w:cs="Courier New" w:eastAsia="Courier New" w:hAnsi="Courier New"/>
          <w:sz w:val="15"/>
          <w:szCs w:val="15"/>
          <w:color w:val="auto"/>
        </w:rPr>
        <w:t>USA is acquiring through merger into one of its wholly-owned subsidiaries all of the stock of Sanifill; and</w:t>
      </w:r>
    </w:p>
    <w:p>
      <w:pPr>
        <w:spacing w:after="0" w:line="17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Brewster is the Vice President and Chief Financial Officer of Sanifill; and</w:t>
      </w:r>
    </w:p>
    <w:p>
      <w:pPr>
        <w:spacing w:after="0" w:line="185" w:lineRule="exact"/>
        <w:rPr>
          <w:sz w:val="20"/>
          <w:szCs w:val="20"/>
          <w:color w:val="auto"/>
        </w:rPr>
      </w:pPr>
    </w:p>
    <w:p>
      <w:pPr>
        <w:ind w:right="2839" w:firstLine="461"/>
        <w:spacing w:after="0" w:line="252" w:lineRule="auto"/>
        <w:rPr>
          <w:sz w:val="20"/>
          <w:szCs w:val="20"/>
          <w:color w:val="auto"/>
        </w:rPr>
      </w:pPr>
      <w:r>
        <w:rPr>
          <w:rFonts w:ascii="Courier New" w:cs="Courier New" w:eastAsia="Courier New" w:hAnsi="Courier New"/>
          <w:sz w:val="15"/>
          <w:szCs w:val="15"/>
          <w:color w:val="auto"/>
        </w:rPr>
        <w:t>USA and Sanifill desire to retain the services and assistance of Brewster as an employee for a significant period after consummation of the acquisition of Sanifill by USA; and</w:t>
      </w:r>
    </w:p>
    <w:p>
      <w:pPr>
        <w:spacing w:after="0" w:line="175" w:lineRule="exact"/>
        <w:rPr>
          <w:sz w:val="20"/>
          <w:szCs w:val="20"/>
          <w:color w:val="auto"/>
        </w:rPr>
      </w:pPr>
    </w:p>
    <w:p>
      <w:pPr>
        <w:ind w:right="2939" w:firstLine="461"/>
        <w:spacing w:after="0" w:line="253" w:lineRule="auto"/>
        <w:rPr>
          <w:sz w:val="20"/>
          <w:szCs w:val="20"/>
          <w:color w:val="auto"/>
        </w:rPr>
      </w:pPr>
      <w:r>
        <w:rPr>
          <w:rFonts w:ascii="Courier New" w:cs="Courier New" w:eastAsia="Courier New" w:hAnsi="Courier New"/>
          <w:sz w:val="15"/>
          <w:szCs w:val="15"/>
          <w:color w:val="auto"/>
        </w:rPr>
        <w:t>Brewster is willing to provide services and assistance to USA and Sanifill for such a significant period; and</w:t>
      </w:r>
    </w:p>
    <w:p>
      <w:pPr>
        <w:spacing w:after="0" w:line="174" w:lineRule="exact"/>
        <w:rPr>
          <w:sz w:val="20"/>
          <w:szCs w:val="20"/>
          <w:color w:val="auto"/>
        </w:rPr>
      </w:pPr>
    </w:p>
    <w:p>
      <w:pPr>
        <w:ind w:right="2839" w:firstLine="461"/>
        <w:spacing w:after="0" w:line="253" w:lineRule="auto"/>
        <w:rPr>
          <w:sz w:val="20"/>
          <w:szCs w:val="20"/>
          <w:color w:val="auto"/>
        </w:rPr>
      </w:pPr>
      <w:r>
        <w:rPr>
          <w:rFonts w:ascii="Courier New" w:cs="Courier New" w:eastAsia="Courier New" w:hAnsi="Courier New"/>
          <w:sz w:val="15"/>
          <w:szCs w:val="15"/>
          <w:color w:val="auto"/>
        </w:rPr>
        <w:t>Brewster has certain contractual relationships with Sanifill concerning his employment and compensation; and</w:t>
      </w:r>
    </w:p>
    <w:p>
      <w:pPr>
        <w:spacing w:after="0" w:line="174" w:lineRule="exact"/>
        <w:rPr>
          <w:sz w:val="20"/>
          <w:szCs w:val="20"/>
          <w:color w:val="auto"/>
        </w:rPr>
      </w:pPr>
    </w:p>
    <w:p>
      <w:pPr>
        <w:ind w:right="3019" w:firstLine="461"/>
        <w:spacing w:after="0" w:line="252" w:lineRule="auto"/>
        <w:rPr>
          <w:sz w:val="20"/>
          <w:szCs w:val="20"/>
          <w:color w:val="auto"/>
        </w:rPr>
      </w:pPr>
      <w:r>
        <w:rPr>
          <w:rFonts w:ascii="Courier New" w:cs="Courier New" w:eastAsia="Courier New" w:hAnsi="Courier New"/>
          <w:sz w:val="15"/>
          <w:szCs w:val="15"/>
          <w:color w:val="auto"/>
        </w:rPr>
        <w:t>USA, Sanifill and Brewster desire to enter into this Agreement which will amend, as specifically stated herein, certain contractual agreements between Brewster and Sanifill.</w:t>
      </w:r>
    </w:p>
    <w:p>
      <w:pPr>
        <w:spacing w:after="0" w:line="175" w:lineRule="exact"/>
        <w:rPr>
          <w:sz w:val="20"/>
          <w:szCs w:val="20"/>
          <w:color w:val="auto"/>
        </w:rPr>
      </w:pPr>
    </w:p>
    <w:p>
      <w:pPr>
        <w:ind w:right="2839" w:firstLine="461"/>
        <w:spacing w:after="0" w:line="253" w:lineRule="auto"/>
        <w:rPr>
          <w:sz w:val="20"/>
          <w:szCs w:val="20"/>
          <w:color w:val="auto"/>
        </w:rPr>
      </w:pPr>
      <w:r>
        <w:rPr>
          <w:rFonts w:ascii="Courier New" w:cs="Courier New" w:eastAsia="Courier New" w:hAnsi="Courier New"/>
          <w:sz w:val="15"/>
          <w:szCs w:val="15"/>
          <w:color w:val="auto"/>
        </w:rPr>
        <w:t>NOW, THEREFORE, it is hereby covenanted and agreed by and among the parties as follows:</w:t>
      </w:r>
    </w:p>
    <w:p>
      <w:pPr>
        <w:spacing w:after="0" w:line="174" w:lineRule="exact"/>
        <w:rPr>
          <w:sz w:val="20"/>
          <w:szCs w:val="20"/>
          <w:color w:val="auto"/>
        </w:rPr>
      </w:pPr>
    </w:p>
    <w:p>
      <w:pPr>
        <w:ind w:right="2939" w:firstLine="456"/>
        <w:spacing w:after="0" w:line="251" w:lineRule="auto"/>
        <w:tabs>
          <w:tab w:leader="none" w:pos="738"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USA and Sanifill (the "Companies") hereby retain and engage Brewster as an employee to provide services and advice during the term of this Agreement hereinafter stated and subject to the further terms and conditions of this Agreement. Brewster hereby agrees to provide such services during the term of this Agreement hereinafter stated and subject to the further terms and conditions of this Agreement.</w:t>
      </w:r>
    </w:p>
    <w:p>
      <w:pPr>
        <w:spacing w:after="0" w:line="175" w:lineRule="exact"/>
        <w:rPr>
          <w:rFonts w:ascii="Courier New" w:cs="Courier New" w:eastAsia="Courier New" w:hAnsi="Courier New"/>
          <w:sz w:val="15"/>
          <w:szCs w:val="15"/>
          <w:color w:val="auto"/>
        </w:rPr>
      </w:pPr>
    </w:p>
    <w:p>
      <w:pPr>
        <w:ind w:right="2839" w:firstLine="456"/>
        <w:spacing w:after="0" w:line="250" w:lineRule="auto"/>
        <w:tabs>
          <w:tab w:leader="none" w:pos="738"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Term: The employment period ("Employment Period") shall commence upon the consummation of the acquisition of the stock of Sanifill by USA through merger of Sanifill with a wholly-owned subsidiary of USA (the "Merger") pursuant to that certain Agreement and Plan of Merger of even date herewith ("Merger Agreement") by and among USA, Quatro Acquisition Corp., and Sanifill ("Employment Commencement Date") and shall end on the earlier of (i) the first anniversary of the Employment Commencement Date or such subsequent anniversary thereof as may be selected by the Companies provided they give Brewster notice thereof at least 60 days prior to the then-scheduled termination of the Employment Period or (ii) such earlier date, if any, as may be selected by Brewster provided he gives 30 days' notice thereof to the Companies ("Employment Termination Date").</w:t>
      </w:r>
    </w:p>
    <w:p>
      <w:pPr>
        <w:spacing w:after="0" w:line="182" w:lineRule="exact"/>
        <w:rPr>
          <w:rFonts w:ascii="Courier New" w:cs="Courier New" w:eastAsia="Courier New" w:hAnsi="Courier New"/>
          <w:sz w:val="15"/>
          <w:szCs w:val="15"/>
          <w:color w:val="auto"/>
        </w:rPr>
      </w:pPr>
    </w:p>
    <w:p>
      <w:pPr>
        <w:ind w:right="2839" w:firstLine="456"/>
        <w:spacing w:after="0" w:line="250" w:lineRule="auto"/>
        <w:tabs>
          <w:tab w:leader="none" w:pos="738"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Duties and Services: During the Employment Period Brewster shall provide advice and services to assist with the integration of the Companies following the consummation of the Merger, as well as such other services as reasonably requested from time to time by the chief financial officer of USA. The services to be provided shall be commensurate with Brewster's training, background and experience as an experienced and highly sophisticated executive in the waste management business, and shall be of a type that might reasonably be expected to be provided by a senior executive of a publicly traded company (such duties and services are hereinafter sometimes referred to as "Employment Services"). In providing the Employment Services, Brewster shall not be called upon to travel excessively or remain apart from his principal place of residence (which is presently in Houston, Texas and may be changed by Brewster in his sole discretion) for unreasonably extended periods and the parties contemplate that in the usual course the Employment Services will be performed either at the location of Brewster's choice (including from his residence) or at USA's principal executive offices (which are being relocated to Houston, Texas to the present executive offices of Sanifill). All services provided by Brewster hereunder shall be in the capacity of a common law employee of USA, and in connection therewith Brewster shall be subject to the direction of the chief financial officer of</w:t>
      </w:r>
    </w:p>
    <w:p>
      <w:pPr>
        <w:sectPr>
          <w:pgSz w:w="11900" w:h="16838" w:orient="portrait"/>
          <w:cols w:equalWidth="0" w:num="1">
            <w:col w:w="10219"/>
          </w:cols>
          <w:pgMar w:left="240" w:top="141" w:right="1440" w:bottom="1440" w:gutter="0" w:footer="0" w:header="0"/>
        </w:sectPr>
      </w:pPr>
    </w:p>
    <w:bookmarkStart w:id="147" w:name="page148"/>
    <w:bookmarkEnd w:id="147"/>
    <w:p>
      <w:pPr>
        <w:ind w:left="280"/>
        <w:spacing w:after="0"/>
        <w:rPr>
          <w:sz w:val="20"/>
          <w:szCs w:val="20"/>
          <w:color w:val="auto"/>
        </w:rPr>
      </w:pPr>
      <w:r>
        <w:rPr>
          <w:rFonts w:ascii="Courier New" w:cs="Courier New" w:eastAsia="Courier New" w:hAnsi="Courier New"/>
          <w:sz w:val="15"/>
          <w:szCs w:val="15"/>
          <w:color w:val="auto"/>
        </w:rPr>
        <w:t>2</w:t>
      </w:r>
    </w:p>
    <w:p>
      <w:pPr>
        <w:spacing w:after="0" w:line="185" w:lineRule="exact"/>
        <w:rPr>
          <w:sz w:val="20"/>
          <w:szCs w:val="20"/>
          <w:color w:val="auto"/>
        </w:rPr>
      </w:pPr>
    </w:p>
    <w:p>
      <w:pPr>
        <w:ind w:right="3119"/>
        <w:spacing w:after="0" w:line="253" w:lineRule="auto"/>
        <w:rPr>
          <w:sz w:val="20"/>
          <w:szCs w:val="20"/>
          <w:color w:val="auto"/>
        </w:rPr>
      </w:pPr>
      <w:r>
        <w:rPr>
          <w:rFonts w:ascii="Courier New" w:cs="Courier New" w:eastAsia="Courier New" w:hAnsi="Courier New"/>
          <w:sz w:val="15"/>
          <w:szCs w:val="15"/>
          <w:color w:val="auto"/>
        </w:rPr>
        <w:t>USA with respect to both the manner in which he performs his duties hereunder and the results to be accomplished thereby.</w:t>
      </w:r>
    </w:p>
    <w:p>
      <w:pPr>
        <w:spacing w:after="0" w:line="174" w:lineRule="exact"/>
        <w:rPr>
          <w:sz w:val="20"/>
          <w:szCs w:val="20"/>
          <w:color w:val="auto"/>
        </w:rPr>
      </w:pPr>
    </w:p>
    <w:p>
      <w:pPr>
        <w:ind w:right="3019" w:firstLine="456"/>
        <w:spacing w:after="0" w:line="251" w:lineRule="auto"/>
        <w:tabs>
          <w:tab w:leader="none" w:pos="738"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For and in consideration of the agreement by Brewster to provide the Employment Services and to be available to perform such services, USA and Sanifill hereby jointly and severally agree to provide the following compensation:</w:t>
      </w:r>
    </w:p>
    <w:p>
      <w:pPr>
        <w:spacing w:after="0" w:line="176" w:lineRule="exact"/>
        <w:rPr>
          <w:rFonts w:ascii="Courier New" w:cs="Courier New" w:eastAsia="Courier New" w:hAnsi="Courier New"/>
          <w:sz w:val="15"/>
          <w:szCs w:val="15"/>
          <w:color w:val="auto"/>
        </w:rPr>
      </w:pPr>
    </w:p>
    <w:p>
      <w:pPr>
        <w:ind w:left="460" w:right="2939" w:firstLine="457"/>
        <w:spacing w:after="0" w:line="253" w:lineRule="auto"/>
        <w:tabs>
          <w:tab w:leader="none" w:pos="1290"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Employment Period, Brewster shall be paid $8,333.33 on a monthly basis (or $3,846.15 on a biweekly basis), in arrears.</w:t>
      </w:r>
    </w:p>
    <w:p>
      <w:pPr>
        <w:spacing w:after="0" w:line="174" w:lineRule="exact"/>
        <w:rPr>
          <w:rFonts w:ascii="Courier New" w:cs="Courier New" w:eastAsia="Courier New" w:hAnsi="Courier New"/>
          <w:sz w:val="15"/>
          <w:szCs w:val="15"/>
          <w:color w:val="auto"/>
        </w:rPr>
      </w:pPr>
    </w:p>
    <w:p>
      <w:pPr>
        <w:ind w:left="460" w:right="2839" w:firstLine="457"/>
        <w:spacing w:after="0" w:line="250" w:lineRule="auto"/>
        <w:tabs>
          <w:tab w:leader="none" w:pos="1383"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Employment Period, Brewster shall be provided health, hospitalization and major medical insurance or equivalent coverage not less favorable to Brewster and his family than that presently available to Brewster under Sanifill's medical benefits plans, at no premium cost to Brewster; provided, Brewster shall not be required to participate, as a condition to maximum medical benefits, in any health maintenance organization, preferred provider arrangement or any other similar program or practice that might restrict Brewster's selection of medical services providers. Such coverage shall be continued for the entire period for the benefit of Brewster's family even should Brewster die prior to the Employment Termination Date.</w:t>
      </w:r>
    </w:p>
    <w:p>
      <w:pPr>
        <w:spacing w:after="0" w:line="182" w:lineRule="exact"/>
        <w:rPr>
          <w:rFonts w:ascii="Courier New" w:cs="Courier New" w:eastAsia="Courier New" w:hAnsi="Courier New"/>
          <w:sz w:val="15"/>
          <w:szCs w:val="15"/>
          <w:color w:val="auto"/>
        </w:rPr>
      </w:pPr>
    </w:p>
    <w:p>
      <w:pPr>
        <w:ind w:right="3119" w:firstLine="456"/>
        <w:spacing w:after="0" w:line="253" w:lineRule="auto"/>
        <w:tabs>
          <w:tab w:leader="none" w:pos="738"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 and Secretary: During the Employment Period, Brewster shall be provided with appropriate office space and secretarial assistance.</w:t>
      </w:r>
    </w:p>
    <w:p>
      <w:pPr>
        <w:spacing w:after="0" w:line="174" w:lineRule="exact"/>
        <w:rPr>
          <w:rFonts w:ascii="Courier New" w:cs="Courier New" w:eastAsia="Courier New" w:hAnsi="Courier New"/>
          <w:sz w:val="15"/>
          <w:szCs w:val="15"/>
          <w:color w:val="auto"/>
        </w:rPr>
      </w:pPr>
    </w:p>
    <w:p>
      <w:pPr>
        <w:ind w:right="3399" w:firstLine="456"/>
        <w:spacing w:after="0" w:line="253" w:lineRule="auto"/>
        <w:tabs>
          <w:tab w:leader="none" w:pos="738"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Brewster shall be promptly reimbursed for all reasonable expenses incurred in performing Employment Services.</w:t>
      </w:r>
    </w:p>
    <w:p>
      <w:pPr>
        <w:spacing w:after="0" w:line="174" w:lineRule="exact"/>
        <w:rPr>
          <w:rFonts w:ascii="Courier New" w:cs="Courier New" w:eastAsia="Courier New" w:hAnsi="Courier New"/>
          <w:sz w:val="15"/>
          <w:szCs w:val="15"/>
          <w:color w:val="auto"/>
        </w:rPr>
      </w:pPr>
    </w:p>
    <w:p>
      <w:pPr>
        <w:ind w:left="740" w:hanging="284"/>
        <w:spacing w:after="0"/>
        <w:tabs>
          <w:tab w:leader="none" w:pos="74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[Intentionally omitted.]</w:t>
      </w:r>
    </w:p>
    <w:p>
      <w:pPr>
        <w:spacing w:after="0" w:line="184" w:lineRule="exact"/>
        <w:rPr>
          <w:rFonts w:ascii="Courier New" w:cs="Courier New" w:eastAsia="Courier New" w:hAnsi="Courier New"/>
          <w:sz w:val="15"/>
          <w:szCs w:val="15"/>
          <w:color w:val="auto"/>
        </w:rPr>
      </w:pPr>
    </w:p>
    <w:p>
      <w:pPr>
        <w:ind w:right="2839" w:firstLine="456"/>
        <w:spacing w:after="0" w:line="250" w:lineRule="auto"/>
        <w:tabs>
          <w:tab w:leader="none" w:pos="738"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Additional Payments by the Companies: (a) Anything in this Agreement to the contrary notwithstanding, in the event it shall be determined that any payment or distribution by or on behalf of any of the Companies or any of their affiliates to or for the benefit of Brewster (whether paid or payable or distributed or distributable pursuant to the terms of this Agreement or otherwise, but determined without regard to any additional payments required under this paragraph 8) (a "Payment") would be subject to the excise tax imposed by Section 4999 of the Internal Revenue Code of 1986, as amended ("Code"), or any interest or penalties are incurred by Brewster with respect to such excise tax (such excise tax, together with any such interest and penalties, are hereinafter collectively referred to as the "Excise Tax"), then Brewster shall be entitled to receive an additional payment (a "Gross-Up Payment") in an amount such that after payment by Brewster of all taxes (including any interest or penalties imposed with respect to such taxes), including, without limitation, any income taxes (and any interest and penalties imposed with respect thereto) and Excise Tax imposed upon the Gross-Up Payment, Brewster retains an amount of the Gross-Up Payment equal to the Excise Tax imposed upon the Payments.</w:t>
      </w:r>
    </w:p>
    <w:p>
      <w:pPr>
        <w:spacing w:after="0" w:line="185" w:lineRule="exact"/>
        <w:rPr>
          <w:sz w:val="20"/>
          <w:szCs w:val="20"/>
          <w:color w:val="auto"/>
        </w:rPr>
      </w:pPr>
    </w:p>
    <w:p>
      <w:pPr>
        <w:ind w:right="2839" w:firstLine="456"/>
        <w:spacing w:after="0" w:line="250" w:lineRule="auto"/>
        <w:tabs>
          <w:tab w:leader="none" w:pos="83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paragraph 8 (c), all determinations required to be made under this paragraph 8, including whether and when Gross-Up Payment is required and the amount of such Gross-Up Payment and the assumptions to be utilized in arriving at such determination, shall be made by a nationally recognized accounting firm selected by USA (the "Accounting Firm"); provided, however, that the Accounting Firm shall not determine that no Excise Tax is payable by Brewster unless it delivers to Brewster a written opinion (the "Accounting Opinion") that failure to report the Excise Tax on Brewster's applicable federal income tax return would not result in the imposition of a negligence or similar penalty. All fees and expenses of the Accounting Firm shall be borne solely by the Companies. Within 15 business days of the receipt of notice from Brewster that there has been a Payment, or such earlier time as is requested by the Companies, the Accounting Firm shall make all determinations required under this paragraph 8, shall provide to the Companies and Brewster a written report setting forth such determinations, together with detailed supporting calculations, and, if the Accounting Firm determines that no Excise Tax is payable, shall deliver the Accounting Opinion to Brewster. Any Gross-Up Payment, as determined pursuant to this paragraph 8, shall be paid by the Companies to Brewster within five days of the receipt of the Accounting Firm's determination. Subject to the remainder of this paragraph 8, any determination by the Accounting Firm shall be binding upon the Companies and Brewster. As a result of the uncertainty in the application of Section</w:t>
      </w:r>
    </w:p>
    <w:p>
      <w:pPr>
        <w:spacing w:after="0" w:line="18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5" w:right="1440" w:bottom="1440" w:gutter="0" w:footer="0" w:header="0"/>
        </w:sectPr>
      </w:pPr>
    </w:p>
    <w:bookmarkStart w:id="148" w:name="page149"/>
    <w:bookmarkEnd w:id="148"/>
    <w:p>
      <w:pPr>
        <w:ind w:left="280"/>
        <w:spacing w:after="0"/>
        <w:rPr>
          <w:sz w:val="20"/>
          <w:szCs w:val="20"/>
          <w:color w:val="auto"/>
        </w:rPr>
      </w:pPr>
      <w:r>
        <w:rPr>
          <w:rFonts w:ascii="Courier New" w:cs="Courier New" w:eastAsia="Courier New" w:hAnsi="Courier New"/>
          <w:sz w:val="15"/>
          <w:szCs w:val="15"/>
          <w:color w:val="auto"/>
        </w:rPr>
        <w:t>3</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4999 of the Code at the time of the initial determination by the Accounting Firm hereunder, it is possible that Gross-Up Payments which will not have been made by the Companies should have been made ("Underpayment"), consistent with the calculations required to be made hereunder. In the event that it is ultimately determined in accordance with the procedures set forth in paragraph 8(c) that Brewster is required to make a payment of any Excise Tax, the Accounting Firm shall determine the amount of the Underpayment that has occurred and any such Underpayment shall be promptly paid by the Companies to or for the benefit of Brewster.</w:t>
      </w:r>
    </w:p>
    <w:p>
      <w:pPr>
        <w:spacing w:after="0" w:line="175" w:lineRule="exact"/>
        <w:rPr>
          <w:sz w:val="20"/>
          <w:szCs w:val="20"/>
          <w:color w:val="auto"/>
        </w:rPr>
      </w:pPr>
    </w:p>
    <w:p>
      <w:pPr>
        <w:ind w:right="2839" w:firstLine="456"/>
        <w:spacing w:after="0" w:line="250" w:lineRule="auto"/>
        <w:tabs>
          <w:tab w:leader="none" w:pos="83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Brewster shall notify the Companies in writing of any claims by the Internal Revenue Service that, if successful, would require the payment by the Companies of the Gross-Up Payment. Such notification shall be given as soon as practicable but no later than 30 days after Brewster actually receives notice in writing of such claim and shall apprise the Companies of the nature of such claim and the date on which such claim is requested to be paid; provided, however, that the failure of Brewster to notify the Companies of such claim (or to provide any required information with respect thereto) shall not affect any rights granted to Brewster under this paragraph 8 except to the extent that the Companies are materially prejudiced in the defense of such claim as a direct result of such failure. Brewster shall not pay such claim prior to the expiration of the 30-day period following the date on which he gives such notice to the Companies (or such shorter period ending on the date that any payment of taxes with respect to such claim is due). If the Companies notify Brewster in writing prior to the expiration of such period that it desires to contest such claim, Brewster shall:</w:t>
      </w:r>
    </w:p>
    <w:p>
      <w:pPr>
        <w:spacing w:after="0" w:line="361" w:lineRule="exact"/>
        <w:rPr>
          <w:rFonts w:ascii="Courier New" w:cs="Courier New" w:eastAsia="Courier New" w:hAnsi="Courier New"/>
          <w:sz w:val="15"/>
          <w:szCs w:val="15"/>
          <w:color w:val="auto"/>
        </w:rPr>
      </w:pPr>
    </w:p>
    <w:p>
      <w:pPr>
        <w:ind w:left="460" w:right="3219" w:firstLine="457"/>
        <w:spacing w:after="0" w:line="253" w:lineRule="auto"/>
        <w:tabs>
          <w:tab w:leader="none" w:pos="1290"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the Companies any information reasonably requested by the Companies relating to such claim;</w:t>
      </w:r>
    </w:p>
    <w:p>
      <w:pPr>
        <w:spacing w:after="0" w:line="174" w:lineRule="exact"/>
        <w:rPr>
          <w:rFonts w:ascii="Courier New" w:cs="Courier New" w:eastAsia="Courier New" w:hAnsi="Courier New"/>
          <w:sz w:val="15"/>
          <w:szCs w:val="15"/>
          <w:color w:val="auto"/>
        </w:rPr>
      </w:pPr>
    </w:p>
    <w:p>
      <w:pPr>
        <w:ind w:left="460" w:right="2839" w:firstLine="457"/>
        <w:spacing w:after="0" w:line="251" w:lineRule="auto"/>
        <w:tabs>
          <w:tab w:leader="none" w:pos="1383"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such action in connection with contesting such claim as the Companies shall reasonably request in writing from time to time, including, without limitation, accepting legal representation with respect to such claim by an attorney selected by the Companies and reasonably acceptable to Brewster;</w:t>
      </w:r>
    </w:p>
    <w:p>
      <w:pPr>
        <w:spacing w:after="0" w:line="176" w:lineRule="exact"/>
        <w:rPr>
          <w:rFonts w:ascii="Courier New" w:cs="Courier New" w:eastAsia="Courier New" w:hAnsi="Courier New"/>
          <w:sz w:val="15"/>
          <w:szCs w:val="15"/>
          <w:color w:val="auto"/>
        </w:rPr>
      </w:pPr>
    </w:p>
    <w:p>
      <w:pPr>
        <w:ind w:left="460" w:right="2939" w:firstLine="457"/>
        <w:spacing w:after="0" w:line="253" w:lineRule="auto"/>
        <w:tabs>
          <w:tab w:leader="none" w:pos="1475"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cooperate with the Companies in good faith in order effectively to contest such claim; and</w:t>
      </w:r>
    </w:p>
    <w:p>
      <w:pPr>
        <w:spacing w:after="0" w:line="174" w:lineRule="exact"/>
        <w:rPr>
          <w:rFonts w:ascii="Courier New" w:cs="Courier New" w:eastAsia="Courier New" w:hAnsi="Courier New"/>
          <w:sz w:val="15"/>
          <w:szCs w:val="15"/>
          <w:color w:val="auto"/>
        </w:rPr>
      </w:pPr>
    </w:p>
    <w:p>
      <w:pPr>
        <w:ind w:left="460" w:right="2839" w:firstLine="457"/>
        <w:spacing w:after="0" w:line="252" w:lineRule="auto"/>
        <w:tabs>
          <w:tab w:leader="none" w:pos="1383"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Companies elects not to assume and control the defense of such claim, permit the Companies to participate in any proceedings relating to such claim;</w:t>
      </w:r>
    </w:p>
    <w:p>
      <w:pPr>
        <w:spacing w:after="0" w:line="17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provided, however, that the Companies shall bear and pay directly all costs and expenses (including additional interest and penalties) incurred in connection with such contest and shall indemnify and hold Brewster harmless, on an after-tax basis, for any Excise Tax or income tax (including interest and penalties with respect thereto) imposed as a result of such representation and payment of costs and expenses. Without limitation on the foregoing provisions of this paragraph 8(c), the Companies shall have the right, at their sole option, to assume the defense of and control all proceedings in connection with such contest, in which case it may pursue or forego any and all administrative appeals, proceedings, hearings and conferences with the taxing authority in respect of such claim and may either direct Brewster to pay the tax claimed and sue for a refund or contest the claim in any permissible manner, and Brewster agrees to prosecute such contest to a determination before any administrative tribunal, in a court of initial jurisdiction and in one or more appellate courts, as the Companies shall determine; provided, however, that if the Companies direct Brewster to pay such claim and sue for a refund, the Companies shall advance the amount of such payment to Brewster, on an interest-free basis and shall indemnify and hold Brewster harmless, on an after-tax basis, from any Excise Tax or income tax (including interest or penalties with respect thereto) imposed with respect to such advance or with respect to any imputed income with respect to such advance; and further provided that any extension of the statute of limitations relating to payment of taxes for the taxable year of Brewster with respect to which such contested amount is claimed to be due is limited solely to such contested amount. Furthermore, the Companies's right to assume the defense of and control the contest shall be limited to issues with respect to which a Gross-Up Payment would be payable hereunder and Brewster shall be entitled to settle or contest, as the case may be, any other issue raised by the Internal Revenue Service or any other taxing authority.</w:t>
      </w:r>
    </w:p>
    <w:p>
      <w:pPr>
        <w:spacing w:after="0" w:line="190" w:lineRule="exact"/>
        <w:rPr>
          <w:sz w:val="20"/>
          <w:szCs w:val="20"/>
          <w:color w:val="auto"/>
        </w:rPr>
      </w:pPr>
    </w:p>
    <w:p>
      <w:pPr>
        <w:ind w:right="2939" w:firstLine="456"/>
        <w:spacing w:after="0" w:line="251" w:lineRule="auto"/>
        <w:tabs>
          <w:tab w:leader="none" w:pos="83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the receipt by Brewster of an amount advanced by the Companies pursuant to paragraph 8(c) Brewster becomes entitled to receive any refund with respect to such claim, Brewster shall (subject to the Companies's complying with the requirements of paragraph 8(c) promptly pay to the Companies the</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5" w:right="1440" w:bottom="1440" w:gutter="0" w:footer="0" w:header="0"/>
        </w:sectPr>
      </w:pPr>
    </w:p>
    <w:bookmarkStart w:id="149" w:name="page150"/>
    <w:bookmarkEnd w:id="149"/>
    <w:p>
      <w:pPr>
        <w:ind w:left="285"/>
        <w:spacing w:after="0"/>
        <w:rPr>
          <w:sz w:val="20"/>
          <w:szCs w:val="20"/>
          <w:color w:val="auto"/>
        </w:rPr>
      </w:pPr>
      <w:r>
        <w:rPr>
          <w:rFonts w:ascii="Courier New" w:cs="Courier New" w:eastAsia="Courier New" w:hAnsi="Courier New"/>
          <w:sz w:val="15"/>
          <w:szCs w:val="15"/>
          <w:color w:val="auto"/>
        </w:rPr>
        <w:t>4</w:t>
      </w:r>
    </w:p>
    <w:p>
      <w:pPr>
        <w:spacing w:after="0" w:line="185"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amount of such refund (together with any interest paid or credited thereon after taxes applicable thereto). If, after the receipt by Brewster of an amount advanced by the Companies pursuant to paragraph 8(c), a determination is made that Brewster shall not be entitled to any refund with respect to such claim and the Companies do not notify Brewster in writing of its intent to contest such denial of refund prior to the expiration of 30 days after such determination, then such advance shall be forgiven and shall not be required to be repaid and the amount of such advance shall offset, to the extent thereof, the amount of Gross-Up Payment required to be paid.</w:t>
      </w:r>
    </w:p>
    <w:p>
      <w:pPr>
        <w:spacing w:after="0" w:line="175" w:lineRule="exact"/>
        <w:rPr>
          <w:sz w:val="20"/>
          <w:szCs w:val="20"/>
          <w:color w:val="auto"/>
        </w:rPr>
      </w:pPr>
    </w:p>
    <w:p>
      <w:pPr>
        <w:ind w:left="5" w:right="2939" w:firstLine="456"/>
        <w:spacing w:after="0" w:line="250" w:lineRule="auto"/>
        <w:tabs>
          <w:tab w:leader="none" w:pos="744"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Scope of Agreement: (a) This Agreement constitutes the entire understanding of the parties with respect to Employment Services and compensation to be paid to or in respect of Brewster during or after the Employment Term in respect of the covenants and services provided by Brewster herein. This Agreement does not supersede, override or replace or impact any employee benefit plan, program, practice or arrangement of Sanifill as such may apply to Brewster, except as is specifically provided for herein. The terms and conditions of any (i) stock options granted to Brewster by either Sanifill or USA, (ii) any restricted stock grant to Brewster by either Sanifill or USA and</w:t>
      </w:r>
    </w:p>
    <w:p>
      <w:pPr>
        <w:spacing w:after="0" w:line="3" w:lineRule="exact"/>
        <w:rPr>
          <w:rFonts w:ascii="Courier New" w:cs="Courier New" w:eastAsia="Courier New" w:hAnsi="Courier New"/>
          <w:sz w:val="15"/>
          <w:szCs w:val="15"/>
          <w:color w:val="auto"/>
        </w:rPr>
      </w:pPr>
    </w:p>
    <w:p>
      <w:pPr>
        <w:ind w:left="5" w:right="3019" w:hanging="5"/>
        <w:spacing w:after="0" w:line="251" w:lineRule="auto"/>
        <w:tabs>
          <w:tab w:leader="none" w:pos="559"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deferred compensation arrangement between Brewster and either USA or Sanifill are not modified, amended or superseded by this Agreement. Indemnification provided to Brewster by Sanifill or its successors or pursuant to the Merger Agreement shall not be modified, amended or superseded by this Agreement.</w:t>
      </w:r>
    </w:p>
    <w:p>
      <w:pPr>
        <w:spacing w:after="0" w:line="176" w:lineRule="exact"/>
        <w:rPr>
          <w:sz w:val="20"/>
          <w:szCs w:val="20"/>
          <w:color w:val="auto"/>
        </w:rPr>
      </w:pPr>
    </w:p>
    <w:p>
      <w:pPr>
        <w:ind w:left="5" w:right="2839" w:firstLine="456"/>
        <w:spacing w:after="0" w:line="251" w:lineRule="auto"/>
        <w:tabs>
          <w:tab w:leader="none" w:pos="836"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continuation of Brewster's employment after the consummation of the Merger as contemplated hereby, and notwithstanding any provision of the Employment Agreement between Brewster and Sanifill dated as of April 3, 1992, as amended (the "1992 Agreement") to the contrary, Sanifill shall begin making payments and providing benefits pursuant to Section 6(a) of the 1992 Agreement immediately upon consummation of the Merger and shall thereafter continue to make such payments and provide such benefits pursuant to and in accordance with the terms of such Section 6(a).</w:t>
      </w:r>
    </w:p>
    <w:p>
      <w:pPr>
        <w:spacing w:after="0" w:line="175" w:lineRule="exact"/>
        <w:rPr>
          <w:rFonts w:ascii="Courier New" w:cs="Courier New" w:eastAsia="Courier New" w:hAnsi="Courier New"/>
          <w:sz w:val="15"/>
          <w:szCs w:val="15"/>
          <w:color w:val="auto"/>
        </w:rPr>
      </w:pPr>
    </w:p>
    <w:p>
      <w:pPr>
        <w:ind w:left="5" w:right="2939" w:firstLine="456"/>
        <w:spacing w:after="0" w:line="250" w:lineRule="auto"/>
        <w:tabs>
          <w:tab w:leader="none" w:pos="836"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generality of paragraph 9(a) above, it is specifically agreed that the Merger shall constitute a "'change of control' of the Company" as contemplated by Section 3(b) of the 1992 Agreement, that the title, job description and level of responsibility contemplated hereby shall constitute a material diminution of Brewster's title, job description and/or level of responsibility as contemplated by such Section 3(b) and, accordingly, that all employee stock options granted by Sanifill to Brewster and held by him on the date of the Merger shall, as contemplated by such Section 3(b), become fully vested and exercisable on the date of the Merger. Such options shall remain exercisable, as provided by the terms of such options, until 3 months after termination of Brewster's employment under this Agreement.</w:t>
      </w:r>
    </w:p>
    <w:p>
      <w:pPr>
        <w:spacing w:after="0" w:line="182" w:lineRule="exact"/>
        <w:rPr>
          <w:sz w:val="20"/>
          <w:szCs w:val="20"/>
          <w:color w:val="auto"/>
        </w:rPr>
      </w:pPr>
    </w:p>
    <w:p>
      <w:pPr>
        <w:ind w:left="5" w:right="2839" w:firstLine="456"/>
        <w:spacing w:after="0" w:line="251" w:lineRule="auto"/>
        <w:tabs>
          <w:tab w:leader="none" w:pos="836"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 This Agreement is personal to Brewster and without the prior written consent of USA shall not be assignable by Brewster otherwise than by will or the laws of descent and distribution. This Agreement shall inure to the benefit of and be enforceable by Brewster's heirs, executors and other legal representatives.</w:t>
      </w:r>
    </w:p>
    <w:p>
      <w:pPr>
        <w:spacing w:after="0" w:line="176" w:lineRule="exact"/>
        <w:rPr>
          <w:sz w:val="20"/>
          <w:szCs w:val="20"/>
          <w:color w:val="auto"/>
        </w:rPr>
      </w:pPr>
    </w:p>
    <w:p>
      <w:pPr>
        <w:ind w:left="5" w:right="2839" w:firstLine="456"/>
        <w:spacing w:after="0" w:line="252" w:lineRule="auto"/>
        <w:tabs>
          <w:tab w:leader="none" w:pos="836"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inure to the benefit of and be binding upon the Companies and may only be assigned to a successor only as described in paragraph 10(c).</w:t>
      </w:r>
    </w:p>
    <w:p>
      <w:pPr>
        <w:spacing w:after="0" w:line="174" w:lineRule="exact"/>
        <w:rPr>
          <w:rFonts w:ascii="Courier New" w:cs="Courier New" w:eastAsia="Courier New" w:hAnsi="Courier New"/>
          <w:sz w:val="15"/>
          <w:szCs w:val="15"/>
          <w:color w:val="auto"/>
        </w:rPr>
      </w:pPr>
    </w:p>
    <w:p>
      <w:pPr>
        <w:ind w:left="825" w:hanging="364"/>
        <w:spacing w:after="0"/>
        <w:tabs>
          <w:tab w:leader="none" w:pos="825"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USA will require any successor (whether direct or indirect, by</w:t>
      </w:r>
    </w:p>
    <w:p>
      <w:pPr>
        <w:spacing w:after="0" w:line="7" w:lineRule="exact"/>
        <w:rPr>
          <w:rFonts w:ascii="Courier New" w:cs="Courier New" w:eastAsia="Courier New" w:hAnsi="Courier New"/>
          <w:sz w:val="15"/>
          <w:szCs w:val="15"/>
          <w:color w:val="auto"/>
        </w:rPr>
      </w:pPr>
    </w:p>
    <w:p>
      <w:pPr>
        <w:ind w:left="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merger, consolidation or otherwise) to all or substantially all of the business and/or assets of USA to assume expressly and agree to perform this Agreement in the same manner and to the same extent that USA would be required to perform it if no such succession had taken place.</w:t>
      </w:r>
    </w:p>
    <w:p>
      <w:pPr>
        <w:spacing w:after="0" w:line="176" w:lineRule="exact"/>
        <w:rPr>
          <w:sz w:val="20"/>
          <w:szCs w:val="20"/>
          <w:color w:val="auto"/>
        </w:rPr>
      </w:pPr>
    </w:p>
    <w:p>
      <w:pPr>
        <w:ind w:left="5" w:right="2839" w:firstLine="456"/>
        <w:spacing w:after="0" w:line="251" w:lineRule="auto"/>
        <w:tabs>
          <w:tab w:leader="none" w:pos="836"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(a) This Agreement shall be governed by and construed in accordance with the laws of the State of Texas, without reference to principles of conflict of laws that would require the application of the laws of any other state or jurisdiction.</w:t>
      </w:r>
    </w:p>
    <w:p>
      <w:pPr>
        <w:spacing w:after="0" w:line="176" w:lineRule="exact"/>
        <w:rPr>
          <w:sz w:val="20"/>
          <w:szCs w:val="20"/>
          <w:color w:val="auto"/>
        </w:rPr>
      </w:pPr>
    </w:p>
    <w:p>
      <w:pPr>
        <w:ind w:left="5" w:right="3119" w:firstLine="456"/>
        <w:spacing w:after="0" w:line="253" w:lineRule="auto"/>
        <w:tabs>
          <w:tab w:leader="none" w:pos="836"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captions of this Agreement are not part of the provisions hereof and shall have no force or effect.</w:t>
      </w:r>
    </w:p>
    <w:p>
      <w:pPr>
        <w:spacing w:after="0" w:line="174" w:lineRule="exact"/>
        <w:rPr>
          <w:rFonts w:ascii="Courier New" w:cs="Courier New" w:eastAsia="Courier New" w:hAnsi="Courier New"/>
          <w:sz w:val="15"/>
          <w:szCs w:val="15"/>
          <w:color w:val="auto"/>
        </w:rPr>
      </w:pPr>
    </w:p>
    <w:p>
      <w:pPr>
        <w:ind w:left="5" w:right="2939" w:firstLine="456"/>
        <w:spacing w:after="0" w:line="252" w:lineRule="auto"/>
        <w:tabs>
          <w:tab w:leader="none" w:pos="836"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not be amended or modified otherwise than by a written agreement executed by the parties hereto or their respective successors and heirs, executors and other legal representatives.</w:t>
      </w: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5"/>
          </w:cols>
          <w:pgMar w:left="235" w:top="295" w:right="1440" w:bottom="1440" w:gutter="0" w:footer="0" w:header="0"/>
        </w:sectPr>
      </w:pPr>
    </w:p>
    <w:bookmarkStart w:id="150" w:name="page151"/>
    <w:bookmarkEnd w:id="150"/>
    <w:p>
      <w:pPr>
        <w:ind w:left="280"/>
        <w:spacing w:after="0"/>
        <w:rPr>
          <w:sz w:val="20"/>
          <w:szCs w:val="20"/>
          <w:color w:val="auto"/>
        </w:rPr>
      </w:pPr>
      <w:r>
        <w:rPr>
          <w:rFonts w:ascii="Courier New" w:cs="Courier New" w:eastAsia="Courier New" w:hAnsi="Courier New"/>
          <w:sz w:val="15"/>
          <w:szCs w:val="15"/>
          <w:color w:val="auto"/>
        </w:rPr>
        <w:t>5</w:t>
      </w:r>
    </w:p>
    <w:p>
      <w:pPr>
        <w:spacing w:after="0" w:line="185" w:lineRule="exact"/>
        <w:rPr>
          <w:sz w:val="20"/>
          <w:szCs w:val="20"/>
          <w:color w:val="auto"/>
        </w:rPr>
      </w:pPr>
    </w:p>
    <w:p>
      <w:pPr>
        <w:ind w:right="2939" w:firstLine="456"/>
        <w:spacing w:after="0" w:line="251" w:lineRule="auto"/>
        <w:tabs>
          <w:tab w:leader="none" w:pos="83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notices and other communications hereunder shall be in writing and shall be given by telecopy or facsimile transmission, by hand delivery or by registered or certified mail, return receipt requested, postage prepaid, addressed to such address as either party shall have furnished to the other in writing. Notices to the Companies shall be to the attention of the chief executive officer. Notice and communications shall be effective when actually received by the addressee.</w:t>
      </w:r>
    </w:p>
    <w:p>
      <w:pPr>
        <w:spacing w:after="0" w:line="175" w:lineRule="exact"/>
        <w:rPr>
          <w:rFonts w:ascii="Courier New" w:cs="Courier New" w:eastAsia="Courier New" w:hAnsi="Courier New"/>
          <w:sz w:val="15"/>
          <w:szCs w:val="15"/>
          <w:color w:val="auto"/>
        </w:rPr>
      </w:pPr>
    </w:p>
    <w:p>
      <w:pPr>
        <w:jc w:val="both"/>
        <w:ind w:right="3019" w:firstLine="456"/>
        <w:spacing w:after="0" w:line="252" w:lineRule="auto"/>
        <w:tabs>
          <w:tab w:leader="none" w:pos="83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invalidity or unenforceability of any provision of this Agreement shall not affect the validity or enforceability of any other provision of this Agreement.</w:t>
      </w:r>
    </w:p>
    <w:p>
      <w:pPr>
        <w:spacing w:after="0" w:line="174" w:lineRule="exact"/>
        <w:rPr>
          <w:rFonts w:ascii="Courier New" w:cs="Courier New" w:eastAsia="Courier New" w:hAnsi="Courier New"/>
          <w:sz w:val="15"/>
          <w:szCs w:val="15"/>
          <w:color w:val="auto"/>
        </w:rPr>
      </w:pPr>
    </w:p>
    <w:p>
      <w:pPr>
        <w:ind w:right="2939" w:firstLine="456"/>
        <w:spacing w:after="0" w:line="251" w:lineRule="auto"/>
        <w:tabs>
          <w:tab w:leader="none" w:pos="83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Brewster's or the Companies' failure to insist upon strict compliance with any provision hereof or any other provision of this Agreement or the failure to assert any right Brewster or the Companies may have hereunder, shall not be deemed to be a waiver of such provision or right or any other provision or right of this Agreement.</w:t>
      </w:r>
    </w:p>
    <w:p>
      <w:pPr>
        <w:spacing w:after="0" w:line="176" w:lineRule="exact"/>
        <w:rPr>
          <w:rFonts w:ascii="Courier New" w:cs="Courier New" w:eastAsia="Courier New" w:hAnsi="Courier New"/>
          <w:sz w:val="15"/>
          <w:szCs w:val="15"/>
          <w:color w:val="auto"/>
        </w:rPr>
      </w:pPr>
    </w:p>
    <w:p>
      <w:pPr>
        <w:ind w:left="820" w:hanging="364"/>
        <w:spacing w:after="0"/>
        <w:tabs>
          <w:tab w:leader="none" w:pos="82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become effective as of the date hereof.</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IN WITNESS WHEREOF, Brewster has hereunto set his hand and, pursuant to the authorization from their boards of directors, each of Sanifill and USA has caused these presents to be executed in its name on its behalf, as of the date first written above.</w:t>
      </w:r>
    </w:p>
    <w:p>
      <w:pPr>
        <w:spacing w:after="0" w:line="176"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5"/>
          <w:szCs w:val="15"/>
          <w:color w:val="auto"/>
        </w:rPr>
        <w:t>USA WASTE SERVICES, INC.</w:t>
      </w:r>
    </w:p>
    <w:p>
      <w:pPr>
        <w:spacing w:after="0" w:line="185"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5"/>
          <w:szCs w:val="15"/>
          <w:color w:val="auto"/>
        </w:rPr>
        <w:t>By: /s/ EARL E. DEFRATES</w:t>
      </w:r>
    </w:p>
    <w:p>
      <w:pPr>
        <w:spacing w:after="0" w:line="8"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EARL E. DEFRATES</w:t>
      </w:r>
    </w:p>
    <w:p>
      <w:pPr>
        <w:spacing w:after="0" w:line="18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SANIFILL, INC.</w:t>
      </w:r>
    </w:p>
    <w:p>
      <w:pPr>
        <w:spacing w:after="0" w:line="18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 /S/ LORNE D. BAIN</w:t>
      </w:r>
    </w:p>
    <w:p>
      <w:pPr>
        <w:spacing w:after="0" w:line="8"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5"/>
          <w:szCs w:val="15"/>
          <w:color w:val="auto"/>
        </w:rPr>
        <w:t>LORNE D. BAIN</w:t>
      </w:r>
    </w:p>
    <w:p>
      <w:pPr>
        <w:spacing w:after="0" w:line="18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 J. CHRIS BREWSTER</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J. CHRIS BREWSTER</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5" w:right="1440" w:bottom="1440" w:gutter="0" w:footer="0" w:header="0"/>
        </w:sectPr>
      </w:pPr>
    </w:p>
    <w:bookmarkStart w:id="151" w:name="page152"/>
    <w:bookmarkEnd w:id="151"/>
    <w:p>
      <w:pPr>
        <w:ind w:left="280"/>
        <w:spacing w:after="0"/>
        <w:rPr>
          <w:sz w:val="20"/>
          <w:szCs w:val="20"/>
          <w:color w:val="auto"/>
        </w:rPr>
      </w:pPr>
      <w:r>
        <w:rPr>
          <w:rFonts w:ascii="Courier New" w:cs="Courier New" w:eastAsia="Courier New" w:hAnsi="Courier New"/>
          <w:sz w:val="15"/>
          <w:szCs w:val="15"/>
          <w:color w:val="auto"/>
        </w:rPr>
        <w:t>1</w:t>
      </w:r>
    </w:p>
    <w:p>
      <w:pPr>
        <w:spacing w:after="0" w:line="185"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EXHIBIT 23.1</w:t>
      </w:r>
    </w:p>
    <w:p>
      <w:pPr>
        <w:spacing w:after="0" w:line="18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362"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USA Waste Services, Inc. on Form S-4 of our report dated March 1, 1996, on our audits of the consolidated financial statements of USA Waste Services, Inc. and subsidiaries as of December 31, 1995 and 1994, and for each of the three years in the period ended December 31, 1995, which is included in USA Waste Services, Inc.'s Annual Report on Form 10-K for the fiscal year ended December 31, 1995, and our report dated May 23, 1996, on our audits of the supplemental consolidated balance sheets of USA Waste Services, Inc. and subsidiaries as of December 31, 1995 and 1994, and the related supplemental consolidated statements of operations, stockholders' equity, and cash flows for each of the years in the three-year period ended December 31, 1995, which is included in USA Waste Services, Inc.'s Current Report on Form 8-K/A filed on July 1, 1996 with the Securities and Exchange Commission. We also consent to the reference to our firm under the caption "Experts."</w:t>
      </w:r>
    </w:p>
    <w:p>
      <w:pPr>
        <w:spacing w:after="0" w:line="361"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COOPERS &amp; LYBRAND L.L.P.</w:t>
      </w:r>
    </w:p>
    <w:p>
      <w:pPr>
        <w:spacing w:after="0" w:line="362" w:lineRule="exact"/>
        <w:rPr>
          <w:sz w:val="20"/>
          <w:szCs w:val="20"/>
          <w:color w:val="auto"/>
        </w:rPr>
      </w:pPr>
    </w:p>
    <w:p>
      <w:pPr>
        <w:ind w:left="4060"/>
        <w:spacing w:after="0"/>
        <w:tabs>
          <w:tab w:leader="none" w:pos="4500" w:val="left"/>
        </w:tabs>
        <w:rPr>
          <w:sz w:val="20"/>
          <w:szCs w:val="20"/>
          <w:color w:val="auto"/>
        </w:rPr>
      </w:pPr>
      <w:r>
        <w:rPr>
          <w:rFonts w:ascii="Courier New" w:cs="Courier New" w:eastAsia="Courier New" w:hAnsi="Courier New"/>
          <w:sz w:val="15"/>
          <w:szCs w:val="15"/>
          <w:color w:val="auto"/>
        </w:rPr>
        <w:t>/s/</w:t>
        <w:tab/>
        <w:t>COOPERS &amp; LYBRAND L.L.P.</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19, 1996</w:t>
      </w:r>
    </w:p>
    <w:p>
      <w:pPr>
        <w:sectPr>
          <w:pgSz w:w="11900" w:h="16838" w:orient="portrait"/>
          <w:cols w:equalWidth="0" w:num="1">
            <w:col w:w="10219"/>
          </w:cols>
          <w:pgMar w:left="240" w:top="142" w:right="1440" w:bottom="1440" w:gutter="0" w:footer="0" w:header="0"/>
        </w:sectPr>
      </w:pPr>
    </w:p>
    <w:bookmarkStart w:id="152" w:name="page153"/>
    <w:bookmarkEnd w:id="152"/>
    <w:p>
      <w:pPr>
        <w:ind w:left="280"/>
        <w:spacing w:after="0"/>
        <w:rPr>
          <w:sz w:val="20"/>
          <w:szCs w:val="20"/>
          <w:color w:val="auto"/>
        </w:rPr>
      </w:pPr>
      <w:r>
        <w:rPr>
          <w:rFonts w:ascii="Courier New" w:cs="Courier New" w:eastAsia="Courier New" w:hAnsi="Courier New"/>
          <w:sz w:val="15"/>
          <w:szCs w:val="15"/>
          <w:color w:val="auto"/>
        </w:rPr>
        <w:t>1</w:t>
      </w:r>
    </w:p>
    <w:p>
      <w:pPr>
        <w:spacing w:after="0" w:line="185"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EXHIBIT 23.2</w:t>
      </w:r>
    </w:p>
    <w:p>
      <w:pPr>
        <w:spacing w:after="0" w:line="185"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INDEPENDENT AUDITORS' CONSENT</w:t>
      </w:r>
    </w:p>
    <w:p>
      <w:pPr>
        <w:spacing w:after="0" w:line="362"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We consent to the incorporation by reference in this Amendment No. 1 to Registration Statement No. 333-08161 of USA Waste Services, Inc. on Form S-4 of our report dated March 30, 1995 (relating to the consolidated financial statements of Chambers Development Company, Inc. and subsidiaries) appearing in USA Waste Services, Inc.'s Current Report on Form 8-K/A, Amendment No. 3, dated May 7, 1996.</w:t>
      </w:r>
    </w:p>
    <w:p>
      <w:pPr>
        <w:spacing w:after="0" w:line="200" w:lineRule="exact"/>
        <w:rPr>
          <w:sz w:val="20"/>
          <w:szCs w:val="20"/>
          <w:color w:val="auto"/>
        </w:rPr>
      </w:pPr>
    </w:p>
    <w:p>
      <w:pPr>
        <w:spacing w:after="0" w:line="331"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5"/>
          <w:szCs w:val="15"/>
          <w:color w:val="auto"/>
        </w:rPr>
        <w:t>/s/ DELOITTE &amp; TOUCHE LLP</w:t>
      </w:r>
    </w:p>
    <w:p>
      <w:pPr>
        <w:spacing w:after="0" w:line="200" w:lineRule="exact"/>
        <w:rPr>
          <w:sz w:val="20"/>
          <w:szCs w:val="20"/>
          <w:color w:val="auto"/>
        </w:rPr>
      </w:pPr>
    </w:p>
    <w:p>
      <w:pPr>
        <w:spacing w:after="0" w:line="340"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DELOITTE &amp; TOUCHE LLP</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Pittsburgh, Pennsylvania</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19, 1996</w:t>
      </w:r>
    </w:p>
    <w:p>
      <w:pPr>
        <w:sectPr>
          <w:pgSz w:w="11900" w:h="16838" w:orient="portrait"/>
          <w:cols w:equalWidth="0" w:num="1">
            <w:col w:w="10219"/>
          </w:cols>
          <w:pgMar w:left="240" w:top="142" w:right="1440" w:bottom="1440" w:gutter="0" w:footer="0" w:header="0"/>
        </w:sectPr>
      </w:pPr>
    </w:p>
    <w:bookmarkStart w:id="153" w:name="page154"/>
    <w:bookmarkEnd w:id="153"/>
    <w:p>
      <w:pPr>
        <w:ind w:left="280"/>
        <w:spacing w:after="0"/>
        <w:rPr>
          <w:sz w:val="20"/>
          <w:szCs w:val="20"/>
          <w:color w:val="auto"/>
        </w:rPr>
      </w:pPr>
      <w:r>
        <w:rPr>
          <w:rFonts w:ascii="Courier New" w:cs="Courier New" w:eastAsia="Courier New" w:hAnsi="Courier New"/>
          <w:sz w:val="15"/>
          <w:szCs w:val="15"/>
          <w:color w:val="auto"/>
        </w:rPr>
        <w:t>1</w:t>
      </w:r>
    </w:p>
    <w:p>
      <w:pPr>
        <w:spacing w:after="0" w:line="185"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EXHIBIT 23.3</w:t>
      </w:r>
    </w:p>
    <w:p>
      <w:pPr>
        <w:spacing w:after="0" w:line="18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362"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We consent to the reference to our firm under the caption "Experts" in the Registration Statement (Form S-4, Amendment No. 1, No. 333-08161) and related prospectus of USA Waste Services, Inc. and to the incorporation by reference therein of our reports (a) dated August 25, 1995 (except Note 8, as to which the date is September 12, 1995) with respect to the consolidated financial statements of Western Waste Industries at June 30, 1995 and 1994, and for each of the three years in the period ended June 30, 1995 included in USA Waste Services, Inc.'s Current Report on Form 8-K dated January 9, 1996, and (b) dated August 25, 1995 (except Note 8, as to which the date is September 12, 1995) with respect to the consolidated financial statements of Western Waste Industries at June 30, 1995 and 1994, and for each of the two years in the period ended June 30, 1995 (which consolidated financial statements are not presented separately therein) included in USA Waste Services, Inc.'s Current Report on Form 8-K/A (Amendment No. 3), dated July 1, 1996, both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220"/>
        <w:spacing w:after="0"/>
        <w:tabs>
          <w:tab w:leader="none" w:pos="160" w:val="left"/>
        </w:tabs>
        <w:rPr>
          <w:sz w:val="20"/>
          <w:szCs w:val="20"/>
          <w:color w:val="auto"/>
        </w:rPr>
      </w:pPr>
      <w:r>
        <w:rPr>
          <w:rFonts w:ascii="Courier New" w:cs="Courier New" w:eastAsia="Courier New" w:hAnsi="Courier New"/>
          <w:sz w:val="15"/>
          <w:szCs w:val="15"/>
          <w:color w:val="auto"/>
        </w:rPr>
        <w:t>/s/</w:t>
        <w:tab/>
        <w:t>ERNST &amp; YOUNG LLP</w:t>
      </w:r>
    </w:p>
    <w:p>
      <w:pPr>
        <w:spacing w:after="0" w:line="362"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ERNST &amp; YOUNG LLP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 Beach, California</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18, 1996</w:t>
      </w:r>
    </w:p>
    <w:p>
      <w:pPr>
        <w:sectPr>
          <w:pgSz w:w="11900" w:h="16838" w:orient="portrait"/>
          <w:cols w:equalWidth="0" w:num="1">
            <w:col w:w="10219"/>
          </w:cols>
          <w:pgMar w:left="240" w:top="142" w:right="1440" w:bottom="1440" w:gutter="0" w:footer="0" w:header="0"/>
        </w:sectPr>
      </w:pPr>
    </w:p>
    <w:bookmarkStart w:id="154" w:name="page155"/>
    <w:bookmarkEnd w:id="154"/>
    <w:p>
      <w:pPr>
        <w:ind w:left="280"/>
        <w:spacing w:after="0"/>
        <w:rPr>
          <w:sz w:val="20"/>
          <w:szCs w:val="20"/>
          <w:color w:val="auto"/>
        </w:rPr>
      </w:pPr>
      <w:r>
        <w:rPr>
          <w:rFonts w:ascii="Courier New" w:cs="Courier New" w:eastAsia="Courier New" w:hAnsi="Courier New"/>
          <w:sz w:val="15"/>
          <w:szCs w:val="15"/>
          <w:color w:val="auto"/>
        </w:rPr>
        <w:t>1</w:t>
      </w:r>
    </w:p>
    <w:p>
      <w:pPr>
        <w:spacing w:after="0" w:line="185"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EXHIBIT 23.4</w:t>
      </w:r>
    </w:p>
    <w:p>
      <w:pPr>
        <w:spacing w:after="0" w:line="18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As independent public accountants, we hereby consent to the incorporation by reference in this Registration Statement of USA Waste Services, Inc. on Form S-4 and the Joint Proxy Statement/Prospectus which forms a part thereof of (a) our report dated February 23, 1996 (except with respect to the matters discussed in Note 15, as to which the dates are March 4, 1996 and March 18, 1996 as indicated) with respect to the consolidated balance sheets of Sanifill, Inc. and subsidiaries as of December 31, 1995 and 1994, and the related consolidated statements of operations, stockholders' investment and cash flows for each of the three years in the period ended December 31, 1995 which is included in Sanifill, Inc.'s Annual Report on Form 10-K for the year ended December 31, 1995; (b) our reports dated (i) August 1, 1995 with respect to the combined balance sheets of Metropolitan Disposal and Recycling Corporation, Energy Reclamation, Inc., and EE Equipment, Inc. as of December 31, 1994 and 1993, and the related combined statements of operations, stockholders' equity and cash flows for each of the three years in the period ended December 31, 1994, (ii) January 9, 1996 with respect to the balance sheet of Falcon Disposal Services, Inc. as of December 31, 1994, and the related statements of operations, stockholders' equity and cash flows for the year then ended, (iii) February 2, 1996 with respect to the combined balance sheet of Garnet of Virginia, Inc., and Garnet of Maryland, Inc. as of December 31, 1995 and the related combined statements of operations, stockholders' deficit and cash flows for the year then ended, (iv) January 13, 1996 with respect to the combined balance sheet of the Combined Companies, as defined, as of December 31, 1994 and the related combined statement of operations, stockholders' equity and partners' capital and cash flows for the year then ended which are included in Sanifill, Inc.'s Current Report on Form 8-K dated February 5, 1996; (c) our report dated February 8, 1996 with respect to the consolidated balance sheets of Sanifill, Inc. and subsidiaries as of December 31, 1994 and 1993, and the related consolidated statements of operations, stockholders' investment and cash flows for each of the three years in the period ended December 31, 1994 which is included in Sanifill, Inc.'s Current Report on Form 8-K dated February 11, 1996; (d) our report dated November 17, 1995 (except with respect to the matters discussed in Note 11, as to which the date is March 18, 1996) with respect to the combined balance sheets of PST Reclamation, Inc., and Taylor Land Resources, Inc. as of December 31, 1994 and 1993, and the related combined statements of operations and retained earnings and cash flows for the years then ended which is included in Sanifill, Inc.'s Current Report on Form 8-K dated March 20, 1996; and (e) to all references to our Firm included in this Registration Statement of USA Waste Services, Inc. on Form S-4 and the Joint Proxy Statement/Prospectus which forms a part thereof.</w:t>
      </w: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5"/>
          <w:szCs w:val="15"/>
          <w:color w:val="auto"/>
        </w:rPr>
        <w:t>/s/ ARTHUR ANDERSEN LLP</w:t>
      </w:r>
    </w:p>
    <w:p>
      <w:pPr>
        <w:spacing w:after="0" w:line="200" w:lineRule="exact"/>
        <w:rPr>
          <w:sz w:val="20"/>
          <w:szCs w:val="20"/>
          <w:color w:val="auto"/>
        </w:rPr>
      </w:pPr>
    </w:p>
    <w:p>
      <w:pPr>
        <w:spacing w:after="0" w:line="340"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5"/>
          <w:szCs w:val="15"/>
          <w:color w:val="auto"/>
        </w:rPr>
        <w:t>ARTHUR ANDERSEN LLP</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19, 1996</w:t>
      </w:r>
    </w:p>
    <w:p>
      <w:pPr>
        <w:sectPr>
          <w:pgSz w:w="11900" w:h="16838" w:orient="portrait"/>
          <w:cols w:equalWidth="0" w:num="1">
            <w:col w:w="10219"/>
          </w:cols>
          <w:pgMar w:left="240" w:top="142" w:right="1440" w:bottom="1440" w:gutter="0" w:footer="0" w:header="0"/>
        </w:sectPr>
      </w:pPr>
    </w:p>
    <w:bookmarkStart w:id="155" w:name="page156"/>
    <w:bookmarkEnd w:id="155"/>
    <w:p>
      <w:pPr>
        <w:ind w:left="280"/>
        <w:spacing w:after="0"/>
        <w:rPr>
          <w:sz w:val="20"/>
          <w:szCs w:val="20"/>
          <w:color w:val="auto"/>
        </w:rPr>
      </w:pPr>
      <w:r>
        <w:rPr>
          <w:rFonts w:ascii="Courier New" w:cs="Courier New" w:eastAsia="Courier New" w:hAnsi="Courier New"/>
          <w:sz w:val="15"/>
          <w:szCs w:val="15"/>
          <w:color w:val="auto"/>
        </w:rPr>
        <w:t>1</w:t>
      </w:r>
    </w:p>
    <w:p>
      <w:pPr>
        <w:spacing w:after="0" w:line="185" w:lineRule="exact"/>
        <w:rPr>
          <w:sz w:val="20"/>
          <w:szCs w:val="20"/>
          <w:color w:val="auto"/>
        </w:rPr>
      </w:pPr>
    </w:p>
    <w:p>
      <w:pPr>
        <w:ind w:left="6260"/>
        <w:spacing w:after="0"/>
        <w:rPr>
          <w:sz w:val="20"/>
          <w:szCs w:val="20"/>
          <w:color w:val="auto"/>
        </w:rPr>
      </w:pPr>
      <w:r>
        <w:rPr>
          <w:rFonts w:ascii="Courier New" w:cs="Courier New" w:eastAsia="Courier New" w:hAnsi="Courier New"/>
          <w:sz w:val="15"/>
          <w:szCs w:val="15"/>
          <w:color w:val="auto"/>
        </w:rPr>
        <w:t>EXHIBIT 23.7</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CONSENT OF DONALDSON, LUFKIN &amp; JENRETTE SECURITIES CORPORATION</w:t>
      </w:r>
    </w:p>
    <w:p>
      <w:pPr>
        <w:spacing w:after="0" w:line="362"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We hereby consent to the references to our firm in the letter to USA Waste Services, Inc. shareholders and under the captions "SUMMARY --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 Opinions of Financial Advisors," "THE MERGER AND RELATED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 Background of the Merger," "THE MERGER AND RELATED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 USA Waste's Reasons for the Merger" and "THE MERGER AND RELATED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 Opinion of Financial Advisor to USA Waste" in the Joint Proxy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and Prospectus, each included in Amendment No. 1 to the Registration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on Form S-4 relating to the proposed merger of a subsidiary of USA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Services, Inc. with and into Sanifill, Inc., and to the inclusion of our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letter as Annex B in the Joint Proxy Statement/Prospectus. In giving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consent, we do not admit that we come within the category of persons whose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is required and we do not admit and we disclaim that we are experts with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 to any part of such Amendment to the Registration Statement within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meaning of "experts" as used in the Securities Act of 1933, as amended, and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rules and regulations of the Securities and Exchange Commission thereunder.</w:t>
      </w:r>
    </w:p>
    <w:p>
      <w:pPr>
        <w:spacing w:after="0" w:line="362"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DONALDSON, LUFKIN &amp; JENRETTE</w:t>
      </w:r>
    </w:p>
    <w:p>
      <w:pPr>
        <w:spacing w:after="0" w:line="8" w:lineRule="exact"/>
        <w:rPr>
          <w:sz w:val="20"/>
          <w:szCs w:val="20"/>
          <w:color w:val="auto"/>
        </w:rPr>
      </w:pPr>
    </w:p>
    <w:p>
      <w:pPr>
        <w:ind w:left="4240"/>
        <w:spacing w:after="0"/>
        <w:rPr>
          <w:sz w:val="20"/>
          <w:szCs w:val="20"/>
          <w:color w:val="auto"/>
        </w:rPr>
      </w:pPr>
      <w:r>
        <w:rPr>
          <w:rFonts w:ascii="Courier New" w:cs="Courier New" w:eastAsia="Courier New" w:hAnsi="Courier New"/>
          <w:sz w:val="15"/>
          <w:szCs w:val="15"/>
          <w:color w:val="auto"/>
        </w:rPr>
        <w:t>SECURITIES CORPORATION</w:t>
      </w:r>
    </w:p>
    <w:p>
      <w:pPr>
        <w:spacing w:after="0" w:line="362" w:lineRule="exact"/>
        <w:rPr>
          <w:sz w:val="20"/>
          <w:szCs w:val="20"/>
          <w:color w:val="auto"/>
        </w:rPr>
      </w:pPr>
    </w:p>
    <w:p>
      <w:pPr>
        <w:ind w:left="4060"/>
        <w:spacing w:after="0"/>
        <w:tabs>
          <w:tab w:leader="none" w:pos="4680" w:val="left"/>
          <w:tab w:leader="none" w:pos="51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tab/>
        <w:t>DOUGLAS V. BROWN</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19, 1996</w:t>
      </w:r>
    </w:p>
    <w:p>
      <w:pPr>
        <w:sectPr>
          <w:pgSz w:w="11900" w:h="16838" w:orient="portrait"/>
          <w:cols w:equalWidth="0" w:num="1">
            <w:col w:w="10219"/>
          </w:cols>
          <w:pgMar w:left="240" w:top="142" w:right="1440" w:bottom="1440" w:gutter="0" w:footer="0" w:header="0"/>
        </w:sectPr>
      </w:pPr>
    </w:p>
    <w:bookmarkStart w:id="156" w:name="page157"/>
    <w:bookmarkEnd w:id="156"/>
    <w:p>
      <w:pPr>
        <w:ind w:left="280"/>
        <w:spacing w:after="0"/>
        <w:rPr>
          <w:sz w:val="20"/>
          <w:szCs w:val="20"/>
          <w:color w:val="auto"/>
        </w:rPr>
      </w:pPr>
      <w:r>
        <w:rPr>
          <w:rFonts w:ascii="Courier New" w:cs="Courier New" w:eastAsia="Courier New" w:hAnsi="Courier New"/>
          <w:sz w:val="15"/>
          <w:szCs w:val="15"/>
          <w:color w:val="auto"/>
        </w:rPr>
        <w:t>1</w:t>
      </w:r>
    </w:p>
    <w:p>
      <w:pPr>
        <w:spacing w:after="0" w:line="185" w:lineRule="exact"/>
        <w:rPr>
          <w:sz w:val="20"/>
          <w:szCs w:val="20"/>
          <w:color w:val="auto"/>
        </w:rPr>
      </w:pPr>
    </w:p>
    <w:p>
      <w:pPr>
        <w:ind w:left="6260"/>
        <w:spacing w:after="0"/>
        <w:rPr>
          <w:sz w:val="20"/>
          <w:szCs w:val="20"/>
          <w:color w:val="auto"/>
        </w:rPr>
      </w:pPr>
      <w:r>
        <w:rPr>
          <w:rFonts w:ascii="Courier New" w:cs="Courier New" w:eastAsia="Courier New" w:hAnsi="Courier New"/>
          <w:sz w:val="15"/>
          <w:szCs w:val="15"/>
          <w:color w:val="auto"/>
        </w:rPr>
        <w:t>EXHIBIT 23.8</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CONSENT OF MERRILL LYNCH, PIERCE, FENNER &amp; SMITH INCORPORATED</w:t>
      </w:r>
    </w:p>
    <w:p>
      <w:pPr>
        <w:spacing w:after="0" w:line="362"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We hereby consent to the use of our opinion letter, dated June 21, 1996, to the Board of Directors of Sanifill, Inc. included as Annex C to the Joint Proxy Statement/Prospectus which forms a part of Amendment No. 1 to the Registration Statement on Form S-4 related to the proposed merger of Quatro Acquisition Corp., a wholly owned subsidiary of USA Waste Services, Inc., with and into Sanifill, Inc. and to the references to such opinion in the letter to Sanifill, Inc. shareholders and under the captions "SUMMARY -- The Merger -- Opinions of Financial Advisors," "THE MERGER AND RELATED TRANSACTIONS -- Background of the Merger," "THE MERGER AND RELATED TRANSACTIONS -- Sanifill's Reasons for the Merger" and "THE MERGER AND RELATED TRANSACTIONS -- Opinion of Financial Advisor to Sanifill" in the Joint Proxy Statement/Prospectus. In giving such consent, we do not admit that we come within the category of persons whose consent is required under Section 7 of the Securities Act of 1933, as amended, or the rules and regulations of the Securities and Exchange Commission thereunder, nor do we admit that we are experts with respect to any part of such Amendment to the Registration Statement within the meaning of the term "experts" as used in the Securities Act of 1933, as amended, or the rules and regulations of the Securities and Exchange Commission thereunder.</w:t>
      </w:r>
    </w:p>
    <w:p>
      <w:pPr>
        <w:spacing w:after="0" w:line="363"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MERRILL LYNCH, PIERCE, FENNER &amp;</w:t>
      </w:r>
    </w:p>
    <w:p>
      <w:pPr>
        <w:spacing w:after="0" w:line="8" w:lineRule="exact"/>
        <w:rPr>
          <w:sz w:val="20"/>
          <w:szCs w:val="20"/>
          <w:color w:val="auto"/>
        </w:rPr>
      </w:pPr>
    </w:p>
    <w:p>
      <w:pPr>
        <w:ind w:left="4240"/>
        <w:spacing w:after="0"/>
        <w:rPr>
          <w:sz w:val="20"/>
          <w:szCs w:val="20"/>
          <w:color w:val="auto"/>
        </w:rPr>
      </w:pPr>
      <w:r>
        <w:rPr>
          <w:rFonts w:ascii="Courier New" w:cs="Courier New" w:eastAsia="Courier New" w:hAnsi="Courier New"/>
          <w:sz w:val="15"/>
          <w:szCs w:val="15"/>
          <w:color w:val="auto"/>
        </w:rPr>
        <w:t>SMITH INCORPORATED</w:t>
      </w:r>
    </w:p>
    <w:p>
      <w:pPr>
        <w:spacing w:after="0" w:line="185" w:lineRule="exact"/>
        <w:rPr>
          <w:sz w:val="20"/>
          <w:szCs w:val="20"/>
          <w:color w:val="auto"/>
        </w:rPr>
      </w:pPr>
    </w:p>
    <w:p>
      <w:pPr>
        <w:ind w:left="4060"/>
        <w:spacing w:after="0"/>
        <w:tabs>
          <w:tab w:leader="none" w:pos="5040" w:val="left"/>
          <w:tab w:leader="none" w:pos="55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tab/>
        <w:t>MARK G. SHAFIR</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19, 1996</w:t>
      </w:r>
    </w:p>
    <w:p>
      <w:pPr>
        <w:sectPr>
          <w:pgSz w:w="11900" w:h="16838" w:orient="portrait"/>
          <w:cols w:equalWidth="0" w:num="1">
            <w:col w:w="10219"/>
          </w:cols>
          <w:pgMar w:left="240" w:top="142" w:right="1440" w:bottom="1440" w:gutter="0" w:footer="0" w:header="0"/>
        </w:sectPr>
      </w:pPr>
    </w:p>
    <w:bookmarkStart w:id="157" w:name="page158"/>
    <w:bookmarkEnd w:id="157"/>
    <w:p>
      <w:pPr>
        <w:ind w:left="280"/>
        <w:spacing w:after="0"/>
        <w:rPr>
          <w:sz w:val="20"/>
          <w:szCs w:val="20"/>
          <w:color w:val="auto"/>
        </w:rPr>
      </w:pPr>
      <w:r>
        <w:rPr>
          <w:rFonts w:ascii="Courier New" w:cs="Courier New" w:eastAsia="Courier New" w:hAnsi="Courier New"/>
          <w:sz w:val="15"/>
          <w:szCs w:val="15"/>
          <w:color w:val="auto"/>
        </w:rPr>
        <w:t>1</w:t>
      </w:r>
    </w:p>
    <w:p>
      <w:pPr>
        <w:spacing w:after="0" w:line="8"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EXHIBIT 99.1</w:t>
      </w:r>
    </w:p>
    <w:p>
      <w:pPr>
        <w:spacing w:after="0" w:line="36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(front of card)</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USA WASTE SERVICES, INC.</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SPECIAL MEETING OF STOCKHOLDERS</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 1996</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THIS PROXY IS SOLICITED ON BEHALF OF THE BOARD OF DIRECTORS OF</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USA WASTE SERVICES, INC</w:t>
      </w:r>
    </w:p>
    <w:p>
      <w:pPr>
        <w:spacing w:after="0" w:line="362" w:lineRule="exact"/>
        <w:rPr>
          <w:sz w:val="20"/>
          <w:szCs w:val="20"/>
          <w:color w:val="auto"/>
        </w:rPr>
      </w:pPr>
    </w:p>
    <w:p>
      <w:pPr>
        <w:jc w:val="both"/>
        <w:ind w:right="3299" w:firstLine="830"/>
        <w:spacing w:after="0" w:line="250" w:lineRule="auto"/>
        <w:rPr>
          <w:sz w:val="20"/>
          <w:szCs w:val="20"/>
          <w:color w:val="auto"/>
        </w:rPr>
      </w:pPr>
      <w:r>
        <w:rPr>
          <w:rFonts w:ascii="Courier New" w:cs="Courier New" w:eastAsia="Courier New" w:hAnsi="Courier New"/>
          <w:sz w:val="15"/>
          <w:szCs w:val="15"/>
          <w:color w:val="auto"/>
        </w:rPr>
        <w:t>The undersigned holder of common stock ("Common Stock"), par value $0.01 per share, of USA Waste Services, Inc., a Delaware corporation ("USA Waste"), hereby appoints John E. Drury, Earl E. DeFrates and Gregory T.</w:t>
      </w:r>
    </w:p>
    <w:p>
      <w:pPr>
        <w:spacing w:after="0" w:line="1"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Sangalis, and each of them acting individually, with full power of substitution and revocation, as proxies for the undersigned to act and vote at the Special Meeting of stockholders of USA Waste to be held on August 27, 1996, at 2:00 p.m., local time, at The Four Seasons Hotel, 1300 Lamar Street, Houston, Texas 77010 (the "Special Meeting"), and any adjournments and postponements thereof, and thereat to cast all votes of all shares of Common Stock that the undersigned would be entitled to cast if then personally present for the purposes listed on the reverse side hereof.</w:t>
      </w:r>
    </w:p>
    <w:p>
      <w:pPr>
        <w:spacing w:after="0" w:line="17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HOLDERS OF SHARES OF COMMON STOCK ARE NOT ENTITLED TO DISSENTERS' APPRAISAL RIGHTS UNDER THE DELAWARE GENERAL CORPORATION LAW IN CONNECTION WITH THE PROPOSED MERGER OF USA WASTE TO BE CONSIDERED AND VOTED UPON AS SET FORTH ON THE REVERSE SIDE HEREOF.</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This Proxy, when properly executed, will be voted in the manner directed on the reverse side by the undersigned stockholder(s). IF NO DIRECTION IS MADE, THIS PROXY WILL BE VOTED FOR THE PROPOSALS SET FORTH ON THE REVERSE SIDE OF THIS PROXY. This Proxy may be revoked at any time before it is voted at the Special Meeting by either (i) (a) executing and returning a proxy bearing a later date or (b) filing written notice of such revocation with USA Waste, at 5400 LBJ Freeway, Suite 300 - Tower One, Dallas, Texas 75240, fax number (214) 383-7919, Attention: Gregory T. Sangalis, or (ii) attending the Special Meeting and voting in person.</w:t>
      </w:r>
    </w:p>
    <w:p>
      <w:pPr>
        <w:spacing w:after="0" w:line="175"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CONTINUED AND TO BE SIGNED ON THE REVERSE SIDE</w:t>
      </w:r>
    </w:p>
    <w:p>
      <w:pPr>
        <w:sectPr>
          <w:pgSz w:w="11900" w:h="16838" w:orient="portrait"/>
          <w:cols w:equalWidth="0" w:num="1">
            <w:col w:w="10219"/>
          </w:cols>
          <w:pgMar w:left="240" w:top="142" w:right="1440" w:bottom="1440" w:gutter="0" w:footer="0" w:header="0"/>
        </w:sectPr>
      </w:pPr>
    </w:p>
    <w:bookmarkStart w:id="158" w:name="page159"/>
    <w:bookmarkEnd w:id="158"/>
    <w:p>
      <w:pPr>
        <w:ind w:left="280"/>
        <w:spacing w:after="0"/>
        <w:rPr>
          <w:sz w:val="20"/>
          <w:szCs w:val="20"/>
          <w:color w:val="auto"/>
        </w:rPr>
      </w:pPr>
      <w:r>
        <w:rPr>
          <w:rFonts w:ascii="Courier New" w:cs="Courier New" w:eastAsia="Courier New" w:hAnsi="Courier New"/>
          <w:sz w:val="15"/>
          <w:szCs w:val="15"/>
          <w:color w:val="auto"/>
        </w:rPr>
        <w:t>2</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(reverse side of card)</w:t>
      </w:r>
    </w:p>
    <w:p>
      <w:pPr>
        <w:spacing w:after="0" w:line="18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(continued from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BOARD OF</w:t>
            </w:r>
          </w:p>
        </w:tc>
        <w:tc>
          <w:tcPr>
            <w:tcW w:w="720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DIRECTORS OF USA WASTE SERVICES, INC. RECOMMENDS A VOTE FOR ITEMS 1 AND 2.</w:t>
            </w: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32"/>
        </w:trPr>
        <w:tc>
          <w:tcPr>
            <w:tcW w:w="32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Proposal</w:t>
            </w:r>
          </w:p>
        </w:tc>
        <w:tc>
          <w:tcPr>
            <w:tcW w:w="340" w:type="dxa"/>
            <w:vAlign w:val="bottom"/>
          </w:tcPr>
          <w:p>
            <w:pPr>
              <w:ind w:left="60"/>
              <w:spacing w:after="0"/>
              <w:rPr>
                <w:sz w:val="20"/>
                <w:szCs w:val="20"/>
                <w:color w:val="auto"/>
              </w:rPr>
            </w:pPr>
            <w:r>
              <w:rPr>
                <w:rFonts w:ascii="Courier New" w:cs="Courier New" w:eastAsia="Courier New" w:hAnsi="Courier New"/>
                <w:sz w:val="15"/>
                <w:szCs w:val="15"/>
                <w:color w:val="auto"/>
              </w:rPr>
              <w:t>to</w:t>
            </w:r>
          </w:p>
        </w:tc>
        <w:tc>
          <w:tcPr>
            <w:tcW w:w="5840" w:type="dxa"/>
            <w:vAlign w:val="bottom"/>
          </w:tcPr>
          <w:p>
            <w:pPr>
              <w:spacing w:after="0"/>
              <w:rPr>
                <w:sz w:val="20"/>
                <w:szCs w:val="20"/>
                <w:color w:val="auto"/>
              </w:rPr>
            </w:pPr>
            <w:r>
              <w:rPr>
                <w:rFonts w:ascii="Courier New" w:cs="Courier New" w:eastAsia="Courier New" w:hAnsi="Courier New"/>
                <w:sz w:val="15"/>
                <w:szCs w:val="15"/>
                <w:color w:val="auto"/>
              </w:rPr>
              <w:t>approve and adopt the Agreement and Plan of Merger dated as</w:t>
            </w:r>
          </w:p>
        </w:tc>
        <w:tc>
          <w:tcPr>
            <w:tcW w:w="1020" w:type="dxa"/>
            <w:vAlign w:val="bottom"/>
          </w:tcPr>
          <w:p>
            <w:pPr>
              <w:ind w:left="340"/>
              <w:spacing w:after="0"/>
              <w:rPr>
                <w:sz w:val="20"/>
                <w:szCs w:val="20"/>
                <w:color w:val="auto"/>
              </w:rPr>
            </w:pPr>
            <w:r>
              <w:rPr>
                <w:rFonts w:ascii="Courier New" w:cs="Courier New" w:eastAsia="Courier New" w:hAnsi="Courier New"/>
                <w:sz w:val="15"/>
                <w:szCs w:val="15"/>
                <w:color w:val="auto"/>
              </w:rPr>
              <w:t>FOR</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rPr>
              <w:t>AGAINST</w:t>
            </w:r>
          </w:p>
        </w:tc>
        <w:tc>
          <w:tcPr>
            <w:tcW w:w="960" w:type="dxa"/>
            <w:vAlign w:val="bottom"/>
          </w:tcPr>
          <w:p>
            <w:pPr>
              <w:jc w:val="center"/>
              <w:ind w:left="63"/>
              <w:spacing w:after="0"/>
              <w:rPr>
                <w:sz w:val="20"/>
                <w:szCs w:val="20"/>
                <w:color w:val="auto"/>
              </w:rPr>
            </w:pPr>
            <w:r>
              <w:rPr>
                <w:rFonts w:ascii="Courier New" w:cs="Courier New" w:eastAsia="Courier New" w:hAnsi="Courier New"/>
                <w:sz w:val="15"/>
                <w:szCs w:val="15"/>
                <w:color w:val="auto"/>
              </w:rPr>
              <w:t>ABSTAIN</w:t>
            </w:r>
          </w:p>
        </w:tc>
      </w:tr>
      <w:tr>
        <w:trPr>
          <w:trHeight w:val="177"/>
        </w:trPr>
        <w:tc>
          <w:tcPr>
            <w:tcW w:w="3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June 22,</w:t>
            </w:r>
          </w:p>
        </w:tc>
        <w:tc>
          <w:tcPr>
            <w:tcW w:w="5840" w:type="dxa"/>
            <w:vAlign w:val="bottom"/>
          </w:tcPr>
          <w:p>
            <w:pPr>
              <w:spacing w:after="0"/>
              <w:rPr>
                <w:sz w:val="20"/>
                <w:szCs w:val="20"/>
                <w:color w:val="auto"/>
              </w:rPr>
            </w:pPr>
            <w:r>
              <w:rPr>
                <w:rFonts w:ascii="Courier New" w:cs="Courier New" w:eastAsia="Courier New" w:hAnsi="Courier New"/>
                <w:sz w:val="15"/>
                <w:szCs w:val="15"/>
                <w:color w:val="auto"/>
              </w:rPr>
              <w:t>1996, by and among USA Waste, Quatro Acquisition Corp., a</w:t>
            </w:r>
          </w:p>
        </w:tc>
        <w:tc>
          <w:tcPr>
            <w:tcW w:w="1020" w:type="dxa"/>
            <w:vAlign w:val="bottom"/>
          </w:tcPr>
          <w:p>
            <w:pPr>
              <w:ind w:left="340"/>
              <w:spacing w:after="0"/>
              <w:rPr>
                <w:sz w:val="20"/>
                <w:szCs w:val="20"/>
                <w:color w:val="auto"/>
              </w:rPr>
            </w:pPr>
            <w:r>
              <w:rPr>
                <w:rFonts w:ascii="Courier New" w:cs="Courier New" w:eastAsia="Courier New" w:hAnsi="Courier New"/>
                <w:sz w:val="15"/>
                <w:szCs w:val="15"/>
                <w:color w:val="auto"/>
              </w:rPr>
              <w:t>/ /</w:t>
            </w:r>
          </w:p>
        </w:tc>
        <w:tc>
          <w:tcPr>
            <w:tcW w:w="130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 /</w:t>
            </w: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w:t>
            </w:r>
          </w:p>
        </w:tc>
      </w:tr>
      <w:tr>
        <w:trPr>
          <w:trHeight w:val="177"/>
        </w:trPr>
        <w:tc>
          <w:tcPr>
            <w:tcW w:w="320" w:type="dxa"/>
            <w:vAlign w:val="bottom"/>
          </w:tcPr>
          <w:p>
            <w:pPr>
              <w:spacing w:after="0"/>
              <w:rPr>
                <w:sz w:val="15"/>
                <w:szCs w:val="15"/>
                <w:color w:val="auto"/>
              </w:rPr>
            </w:pP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Delaware</w:t>
            </w:r>
          </w:p>
        </w:tc>
        <w:tc>
          <w:tcPr>
            <w:tcW w:w="61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corporation, and Sanifill, Inc., a Delaware corporation.</w:t>
            </w: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532"/>
        </w:trPr>
        <w:tc>
          <w:tcPr>
            <w:tcW w:w="32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Proposal</w:t>
            </w:r>
          </w:p>
        </w:tc>
        <w:tc>
          <w:tcPr>
            <w:tcW w:w="340" w:type="dxa"/>
            <w:vAlign w:val="bottom"/>
          </w:tcPr>
          <w:p>
            <w:pPr>
              <w:ind w:left="60"/>
              <w:spacing w:after="0"/>
              <w:rPr>
                <w:sz w:val="20"/>
                <w:szCs w:val="20"/>
                <w:color w:val="auto"/>
              </w:rPr>
            </w:pPr>
            <w:r>
              <w:rPr>
                <w:rFonts w:ascii="Courier New" w:cs="Courier New" w:eastAsia="Courier New" w:hAnsi="Courier New"/>
                <w:sz w:val="15"/>
                <w:szCs w:val="15"/>
                <w:color w:val="auto"/>
              </w:rPr>
              <w:t>to</w:t>
            </w:r>
          </w:p>
        </w:tc>
        <w:tc>
          <w:tcPr>
            <w:tcW w:w="5840" w:type="dxa"/>
            <w:vAlign w:val="bottom"/>
          </w:tcPr>
          <w:p>
            <w:pPr>
              <w:spacing w:after="0"/>
              <w:rPr>
                <w:sz w:val="20"/>
                <w:szCs w:val="20"/>
                <w:color w:val="auto"/>
              </w:rPr>
            </w:pPr>
            <w:r>
              <w:rPr>
                <w:rFonts w:ascii="Courier New" w:cs="Courier New" w:eastAsia="Courier New" w:hAnsi="Courier New"/>
                <w:sz w:val="15"/>
                <w:szCs w:val="15"/>
                <w:color w:val="auto"/>
              </w:rPr>
              <w:t>amend the Restated Certificate of Incorporation of USA Waste</w:t>
            </w:r>
          </w:p>
        </w:tc>
        <w:tc>
          <w:tcPr>
            <w:tcW w:w="1020" w:type="dxa"/>
            <w:vAlign w:val="bottom"/>
          </w:tcPr>
          <w:p>
            <w:pPr>
              <w:ind w:left="420"/>
              <w:spacing w:after="0"/>
              <w:rPr>
                <w:sz w:val="20"/>
                <w:szCs w:val="20"/>
                <w:color w:val="auto"/>
              </w:rPr>
            </w:pPr>
            <w:r>
              <w:rPr>
                <w:rFonts w:ascii="Courier New" w:cs="Courier New" w:eastAsia="Courier New" w:hAnsi="Courier New"/>
                <w:sz w:val="15"/>
                <w:szCs w:val="15"/>
                <w:color w:val="auto"/>
              </w:rPr>
              <w:t>FOR</w:t>
            </w:r>
          </w:p>
        </w:tc>
        <w:tc>
          <w:tcPr>
            <w:tcW w:w="130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AGAINST</w:t>
            </w:r>
          </w:p>
        </w:tc>
        <w:tc>
          <w:tcPr>
            <w:tcW w:w="960" w:type="dxa"/>
            <w:vAlign w:val="bottom"/>
          </w:tcPr>
          <w:p>
            <w:pPr>
              <w:jc w:val="center"/>
              <w:ind w:left="243"/>
              <w:spacing w:after="0"/>
              <w:rPr>
                <w:sz w:val="20"/>
                <w:szCs w:val="20"/>
                <w:color w:val="auto"/>
              </w:rPr>
            </w:pPr>
            <w:r>
              <w:rPr>
                <w:rFonts w:ascii="Courier New" w:cs="Courier New" w:eastAsia="Courier New" w:hAnsi="Courier New"/>
                <w:sz w:val="15"/>
                <w:szCs w:val="15"/>
                <w:color w:val="auto"/>
              </w:rPr>
              <w:t>ABSTAIN</w:t>
            </w:r>
          </w:p>
        </w:tc>
      </w:tr>
      <w:tr>
        <w:trPr>
          <w:trHeight w:val="177"/>
        </w:trPr>
        <w:tc>
          <w:tcPr>
            <w:tcW w:w="3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increase</w:t>
            </w:r>
          </w:p>
        </w:tc>
        <w:tc>
          <w:tcPr>
            <w:tcW w:w="5840" w:type="dxa"/>
            <w:vAlign w:val="bottom"/>
          </w:tcPr>
          <w:p>
            <w:pPr>
              <w:spacing w:after="0"/>
              <w:rPr>
                <w:sz w:val="20"/>
                <w:szCs w:val="20"/>
                <w:color w:val="auto"/>
              </w:rPr>
            </w:pPr>
            <w:r>
              <w:rPr>
                <w:rFonts w:ascii="Courier New" w:cs="Courier New" w:eastAsia="Courier New" w:hAnsi="Courier New"/>
                <w:sz w:val="15"/>
                <w:szCs w:val="15"/>
                <w:color w:val="auto"/>
              </w:rPr>
              <w:t>its authorized shares of Common Stock from 150,000,000 to</w:t>
            </w:r>
          </w:p>
        </w:tc>
        <w:tc>
          <w:tcPr>
            <w:tcW w:w="1020" w:type="dxa"/>
            <w:vAlign w:val="bottom"/>
          </w:tcPr>
          <w:p>
            <w:pPr>
              <w:ind w:left="420"/>
              <w:spacing w:after="0"/>
              <w:rPr>
                <w:sz w:val="20"/>
                <w:szCs w:val="20"/>
                <w:color w:val="auto"/>
              </w:rPr>
            </w:pPr>
            <w:r>
              <w:rPr>
                <w:rFonts w:ascii="Courier New" w:cs="Courier New" w:eastAsia="Courier New" w:hAnsi="Courier New"/>
                <w:sz w:val="15"/>
                <w:szCs w:val="15"/>
                <w:color w:val="auto"/>
              </w:rPr>
              <w:t>/ /</w:t>
            </w:r>
          </w:p>
        </w:tc>
        <w:tc>
          <w:tcPr>
            <w:tcW w:w="13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 /</w:t>
            </w: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w:t>
            </w:r>
          </w:p>
        </w:tc>
      </w:tr>
      <w:tr>
        <w:trPr>
          <w:trHeight w:val="177"/>
        </w:trPr>
        <w:tc>
          <w:tcPr>
            <w:tcW w:w="3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300,000,000.</w:t>
            </w:r>
          </w:p>
        </w:tc>
        <w:tc>
          <w:tcPr>
            <w:tcW w:w="5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55"/>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Pr>
          <w:p>
            <w:pPr>
              <w:ind w:left="4600"/>
              <w:spacing w:after="0"/>
              <w:rPr>
                <w:sz w:val="20"/>
                <w:szCs w:val="20"/>
                <w:color w:val="auto"/>
              </w:rPr>
            </w:pPr>
            <w:r>
              <w:rPr>
                <w:rFonts w:ascii="Courier New" w:cs="Courier New" w:eastAsia="Courier New" w:hAnsi="Courier New"/>
                <w:sz w:val="15"/>
                <w:szCs w:val="15"/>
                <w:color w:val="auto"/>
              </w:rPr>
              <w:t>MARK HERE</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7"/>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40" w:type="dxa"/>
            <w:vAlign w:val="bottom"/>
          </w:tcPr>
          <w:p>
            <w:pPr>
              <w:ind w:left="4520"/>
              <w:spacing w:after="0"/>
              <w:rPr>
                <w:sz w:val="20"/>
                <w:szCs w:val="20"/>
                <w:color w:val="auto"/>
              </w:rPr>
            </w:pPr>
            <w:r>
              <w:rPr>
                <w:rFonts w:ascii="Courier New" w:cs="Courier New" w:eastAsia="Courier New" w:hAnsi="Courier New"/>
                <w:sz w:val="15"/>
                <w:szCs w:val="15"/>
                <w:color w:val="auto"/>
              </w:rPr>
              <w:t>FOR ADDRESS</w:t>
            </w:r>
          </w:p>
        </w:tc>
        <w:tc>
          <w:tcPr>
            <w:tcW w:w="1020" w:type="dxa"/>
            <w:vAlign w:val="bottom"/>
          </w:tcPr>
          <w:p>
            <w:pPr>
              <w:ind w:left="420"/>
              <w:spacing w:after="0"/>
              <w:rPr>
                <w:sz w:val="20"/>
                <w:szCs w:val="20"/>
                <w:color w:val="auto"/>
              </w:rPr>
            </w:pPr>
            <w:r>
              <w:rPr>
                <w:rFonts w:ascii="Courier New" w:cs="Courier New" w:eastAsia="Courier New" w:hAnsi="Courier New"/>
                <w:sz w:val="15"/>
                <w:szCs w:val="15"/>
                <w:color w:val="auto"/>
              </w:rPr>
              <w:t>/ /</w:t>
            </w:r>
          </w:p>
        </w:tc>
        <w:tc>
          <w:tcPr>
            <w:tcW w:w="1300" w:type="dxa"/>
            <w:vAlign w:val="bottom"/>
          </w:tcPr>
          <w:p>
            <w:pPr>
              <w:spacing w:after="0"/>
              <w:rPr>
                <w:sz w:val="15"/>
                <w:szCs w:val="15"/>
                <w:color w:val="auto"/>
              </w:rPr>
            </w:pPr>
          </w:p>
        </w:tc>
        <w:tc>
          <w:tcPr>
            <w:tcW w:w="960" w:type="dxa"/>
            <w:vAlign w:val="bottom"/>
          </w:tcPr>
          <w:p>
            <w:pPr>
              <w:spacing w:after="0"/>
              <w:rPr>
                <w:sz w:val="15"/>
                <w:szCs w:val="15"/>
                <w:color w:val="auto"/>
              </w:rPr>
            </w:pPr>
          </w:p>
        </w:tc>
      </w:tr>
    </w:tbl>
    <w:p>
      <w:pPr>
        <w:spacing w:after="0" w:line="5" w:lineRule="exact"/>
        <w:rPr>
          <w:sz w:val="20"/>
          <w:szCs w:val="20"/>
          <w:color w:val="auto"/>
        </w:rPr>
      </w:pPr>
    </w:p>
    <w:p>
      <w:pPr>
        <w:jc w:val="center"/>
        <w:ind w:left="1680"/>
        <w:spacing w:after="0"/>
        <w:rPr>
          <w:sz w:val="20"/>
          <w:szCs w:val="20"/>
          <w:color w:val="auto"/>
        </w:rPr>
      </w:pPr>
      <w:r>
        <w:rPr>
          <w:rFonts w:ascii="Courier New" w:cs="Courier New" w:eastAsia="Courier New" w:hAnsi="Courier New"/>
          <w:sz w:val="15"/>
          <w:szCs w:val="15"/>
          <w:color w:val="auto"/>
        </w:rPr>
        <w:t>CHANGE AND</w:t>
      </w:r>
    </w:p>
    <w:p>
      <w:pPr>
        <w:spacing w:after="0" w:line="8" w:lineRule="exact"/>
        <w:rPr>
          <w:sz w:val="20"/>
          <w:szCs w:val="20"/>
          <w:color w:val="auto"/>
        </w:rPr>
      </w:pPr>
    </w:p>
    <w:p>
      <w:pPr>
        <w:jc w:val="center"/>
        <w:ind w:left="1680"/>
        <w:spacing w:after="0"/>
        <w:rPr>
          <w:sz w:val="20"/>
          <w:szCs w:val="20"/>
          <w:color w:val="auto"/>
        </w:rPr>
      </w:pPr>
      <w:r>
        <w:rPr>
          <w:rFonts w:ascii="Courier New" w:cs="Courier New" w:eastAsia="Courier New" w:hAnsi="Courier New"/>
          <w:sz w:val="15"/>
          <w:szCs w:val="15"/>
          <w:color w:val="auto"/>
        </w:rPr>
        <w:t>NOTE AT LEFT</w:t>
      </w:r>
    </w:p>
    <w:p>
      <w:pPr>
        <w:spacing w:after="0" w:line="185"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Please mark, date and sign exactly as</w:t>
      </w:r>
    </w:p>
    <w:p>
      <w:pPr>
        <w:spacing w:after="0" w:line="8"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your name(s) appear(s) at left and return</w:t>
      </w:r>
    </w:p>
    <w:p>
      <w:pPr>
        <w:spacing w:after="0" w:line="8" w:lineRule="exact"/>
        <w:rPr>
          <w:sz w:val="20"/>
          <w:szCs w:val="20"/>
          <w:color w:val="auto"/>
        </w:rPr>
      </w:pPr>
    </w:p>
    <w:p>
      <w:pPr>
        <w:ind w:left="5800"/>
        <w:spacing w:after="0"/>
        <w:tabs>
          <w:tab w:leader="none" w:pos="8280" w:val="left"/>
        </w:tabs>
        <w:rPr>
          <w:sz w:val="20"/>
          <w:szCs w:val="20"/>
          <w:color w:val="auto"/>
        </w:rPr>
      </w:pPr>
      <w:r>
        <w:rPr>
          <w:rFonts w:ascii="Courier New" w:cs="Courier New" w:eastAsia="Courier New" w:hAnsi="Courier New"/>
          <w:sz w:val="15"/>
          <w:szCs w:val="15"/>
          <w:color w:val="auto"/>
        </w:rPr>
        <w:t>in the enclosed envelope.</w:t>
        <w:tab/>
        <w:t>If acting as attorney,</w:t>
      </w:r>
    </w:p>
    <w:p>
      <w:pPr>
        <w:spacing w:after="0" w:line="8"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executor, administrator, trustee, guardian, etc.,</w:t>
      </w:r>
    </w:p>
    <w:p>
      <w:pPr>
        <w:spacing w:after="0" w:line="8" w:lineRule="exact"/>
        <w:rPr>
          <w:sz w:val="20"/>
          <w:szCs w:val="20"/>
          <w:color w:val="auto"/>
        </w:rPr>
      </w:pPr>
    </w:p>
    <w:p>
      <w:pPr>
        <w:ind w:left="5800"/>
        <w:spacing w:after="0"/>
        <w:tabs>
          <w:tab w:leader="none" w:pos="8100" w:val="left"/>
        </w:tabs>
        <w:rPr>
          <w:sz w:val="20"/>
          <w:szCs w:val="20"/>
          <w:color w:val="auto"/>
        </w:rPr>
      </w:pPr>
      <w:r>
        <w:rPr>
          <w:rFonts w:ascii="Courier New" w:cs="Courier New" w:eastAsia="Courier New" w:hAnsi="Courier New"/>
          <w:sz w:val="15"/>
          <w:szCs w:val="15"/>
          <w:color w:val="auto"/>
        </w:rPr>
        <w:t>please give full title.</w:t>
        <w:tab/>
        <w:t>If the signer is a</w:t>
      </w:r>
    </w:p>
    <w:p>
      <w:pPr>
        <w:spacing w:after="0" w:line="8"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corporation, please sign the full corporate name,</w:t>
      </w:r>
    </w:p>
    <w:p>
      <w:pPr>
        <w:spacing w:after="0" w:line="8"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by fully authorized officer. If shares are held</w:t>
      </w:r>
    </w:p>
    <w:p>
      <w:pPr>
        <w:spacing w:after="0" w:line="8"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jointly, each stockholder named should sign.</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_________________________ Date: ___________________ Signature: ____________________________ Date: ________________</w:t>
      </w:r>
    </w:p>
    <w:p>
      <w:pPr>
        <w:sectPr>
          <w:pgSz w:w="11900" w:h="16838" w:orient="portrait"/>
          <w:cols w:equalWidth="0" w:num="1">
            <w:col w:w="11520"/>
          </w:cols>
          <w:pgMar w:left="240" w:top="296" w:right="139" w:bottom="1440" w:gutter="0" w:footer="0" w:header="0"/>
        </w:sectPr>
      </w:pPr>
    </w:p>
    <w:bookmarkStart w:id="159" w:name="page160"/>
    <w:bookmarkEnd w:id="159"/>
    <w:p>
      <w:pPr>
        <w:ind w:left="285"/>
        <w:spacing w:after="0"/>
        <w:rPr>
          <w:sz w:val="20"/>
          <w:szCs w:val="20"/>
          <w:color w:val="auto"/>
        </w:rPr>
      </w:pPr>
      <w:r>
        <w:rPr>
          <w:rFonts w:ascii="Courier New" w:cs="Courier New" w:eastAsia="Courier New" w:hAnsi="Courier New"/>
          <w:sz w:val="15"/>
          <w:szCs w:val="15"/>
          <w:color w:val="auto"/>
        </w:rPr>
        <w:t>1</w:t>
      </w:r>
    </w:p>
    <w:p>
      <w:pPr>
        <w:spacing w:after="0" w:line="8"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EXHIBIT 99.2</w:t>
      </w:r>
    </w:p>
    <w:p>
      <w:pPr>
        <w:spacing w:after="0" w:line="8" w:lineRule="exact"/>
        <w:rPr>
          <w:sz w:val="20"/>
          <w:szCs w:val="20"/>
          <w:color w:val="auto"/>
        </w:rPr>
      </w:pPr>
    </w:p>
    <w:p>
      <w:pPr>
        <w:ind w:left="2945"/>
        <w:spacing w:after="0"/>
        <w:rPr>
          <w:sz w:val="20"/>
          <w:szCs w:val="20"/>
          <w:color w:val="auto"/>
        </w:rPr>
      </w:pPr>
      <w:r>
        <w:rPr>
          <w:rFonts w:ascii="Courier New" w:cs="Courier New" w:eastAsia="Courier New" w:hAnsi="Courier New"/>
          <w:sz w:val="15"/>
          <w:szCs w:val="15"/>
          <w:color w:val="auto"/>
        </w:rPr>
        <w:t>(front of card)</w:t>
      </w:r>
    </w:p>
    <w:p>
      <w:pPr>
        <w:spacing w:after="0" w:line="185" w:lineRule="exact"/>
        <w:rPr>
          <w:sz w:val="20"/>
          <w:szCs w:val="20"/>
          <w:color w:val="auto"/>
        </w:rPr>
      </w:pPr>
    </w:p>
    <w:p>
      <w:pPr>
        <w:ind w:left="3045"/>
        <w:spacing w:after="0"/>
        <w:rPr>
          <w:sz w:val="20"/>
          <w:szCs w:val="20"/>
          <w:color w:val="auto"/>
        </w:rPr>
      </w:pPr>
      <w:r>
        <w:rPr>
          <w:rFonts w:ascii="Courier New" w:cs="Courier New" w:eastAsia="Courier New" w:hAnsi="Courier New"/>
          <w:sz w:val="15"/>
          <w:szCs w:val="15"/>
          <w:color w:val="auto"/>
        </w:rPr>
        <w:t>SANIFILL, INC.</w:t>
      </w:r>
    </w:p>
    <w:p>
      <w:pPr>
        <w:spacing w:after="0" w:line="8"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SPECIAL MEETING OF STOCKHOLDERS</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 1996</w:t>
      </w:r>
    </w:p>
    <w:p>
      <w:pPr>
        <w:spacing w:after="0" w:line="185"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THIS PROXY IS SOLICITED ON BEHALF OF THE BOARD OF DIRECTORS OF</w:t>
      </w:r>
    </w:p>
    <w:p>
      <w:pPr>
        <w:spacing w:after="0" w:line="8"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SANIFILL, INC</w:t>
      </w:r>
    </w:p>
    <w:p>
      <w:pPr>
        <w:spacing w:after="0" w:line="362"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The undersigned holder of common stock ("Common Stock"), par value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$0.01 per share, of Sanifill, Inc., a Delaware corporation ("Sanifill"), hereby</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appoints Lorne D. Bain, Rodney R. Proto and Steve Walton, and each of them</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acting individually, with full power of substitution and revocation, as proxies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for the undersigned to act and vote at the Special Meeting of stockholders of</w:t>
      </w:r>
    </w:p>
    <w:p>
      <w:pPr>
        <w:spacing w:after="0" w:line="8" w:lineRule="exact"/>
        <w:rPr>
          <w:sz w:val="20"/>
          <w:szCs w:val="20"/>
          <w:color w:val="auto"/>
        </w:rPr>
      </w:pPr>
    </w:p>
    <w:p>
      <w:pPr>
        <w:ind w:left="5" w:right="2939"/>
        <w:spacing w:after="0" w:line="252" w:lineRule="auto"/>
        <w:rPr>
          <w:sz w:val="20"/>
          <w:szCs w:val="20"/>
          <w:color w:val="auto"/>
        </w:rPr>
      </w:pPr>
      <w:r>
        <w:rPr>
          <w:rFonts w:ascii="Courier New" w:cs="Courier New" w:eastAsia="Courier New" w:hAnsi="Courier New"/>
          <w:sz w:val="15"/>
          <w:szCs w:val="15"/>
          <w:color w:val="auto"/>
        </w:rPr>
        <w:t>Sanifill to be held on , 1996, at a.m., local time, at (the "Special Meeting"), and any adjournments and postponements thereof, and thereat to cast all votes of all shares of Common Stock that the undersigned would be entitled to cast if then personally present for the purposes listed on the reverse side hereof.</w:t>
      </w:r>
    </w:p>
    <w:p>
      <w:pPr>
        <w:spacing w:after="0" w:line="351" w:lineRule="exact"/>
        <w:rPr>
          <w:sz w:val="20"/>
          <w:szCs w:val="20"/>
          <w:color w:val="auto"/>
        </w:rPr>
      </w:pPr>
    </w:p>
    <w:p>
      <w:pPr>
        <w:ind w:left="5" w:right="2939" w:firstLine="830"/>
        <w:spacing w:after="0" w:line="251" w:lineRule="auto"/>
        <w:rPr>
          <w:sz w:val="20"/>
          <w:szCs w:val="20"/>
          <w:color w:val="auto"/>
        </w:rPr>
      </w:pPr>
      <w:r>
        <w:rPr>
          <w:rFonts w:ascii="Courier New" w:cs="Courier New" w:eastAsia="Courier New" w:hAnsi="Courier New"/>
          <w:sz w:val="15"/>
          <w:szCs w:val="15"/>
          <w:color w:val="auto"/>
        </w:rPr>
        <w:t>HOLDERS OF SHARES OF COMMON STOCK ARE NOT ENTITLED TO DISSENTERS' APPRAISAL RIGHTS UNDER THE DELAWARE GENERAL CORPORATION LAW IN CONNECTION WITH THE PROPOSED MERGER OF SANIFILL TO BE CONSIDERED AND VOTED UPON AS SET FORTH ON THE REVERSE SIDE HEREOF.</w:t>
      </w:r>
    </w:p>
    <w:p>
      <w:pPr>
        <w:spacing w:after="0" w:line="176" w:lineRule="exact"/>
        <w:rPr>
          <w:sz w:val="20"/>
          <w:szCs w:val="20"/>
          <w:color w:val="auto"/>
        </w:rPr>
      </w:pPr>
    </w:p>
    <w:p>
      <w:pPr>
        <w:ind w:left="5" w:right="2939" w:firstLine="830"/>
        <w:spacing w:after="0" w:line="250" w:lineRule="auto"/>
        <w:rPr>
          <w:sz w:val="20"/>
          <w:szCs w:val="20"/>
          <w:color w:val="auto"/>
        </w:rPr>
      </w:pPr>
      <w:r>
        <w:rPr>
          <w:rFonts w:ascii="Courier New" w:cs="Courier New" w:eastAsia="Courier New" w:hAnsi="Courier New"/>
          <w:sz w:val="15"/>
          <w:szCs w:val="15"/>
          <w:color w:val="auto"/>
        </w:rPr>
        <w:t>This Proxy, when properly executed, will be voted in the manner directed on the reverse side by the undersigned stockholder(s). IF NO DIRECTION IS MADE, THIS PROXY WILL BE VOTED FOR THE PROPOSAL SET FORTH ON THE REVERSE SIDE OF THIS PROXY. This Proxy may be revoked at any time before it is voted at the Special Meeting by either (i) (a) executing and returning a proxy bearing a later date or (b) filing written notice of such revocation with Sanifill, at 2777 Allen Parkway, Suite 700, Houston, Texas 77019, fax number</w:t>
      </w:r>
    </w:p>
    <w:p>
      <w:pPr>
        <w:spacing w:after="0" w:line="3" w:lineRule="exact"/>
        <w:rPr>
          <w:sz w:val="20"/>
          <w:szCs w:val="20"/>
          <w:color w:val="auto"/>
        </w:rPr>
      </w:pPr>
    </w:p>
    <w:p>
      <w:pPr>
        <w:ind w:left="5" w:right="3119" w:hanging="5"/>
        <w:spacing w:after="0" w:line="253" w:lineRule="auto"/>
        <w:tabs>
          <w:tab w:leader="none" w:pos="559"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942-6277, Attention: Steve Walton or (ii) attending the Special Meeting and voting in person.</w:t>
      </w:r>
    </w:p>
    <w:p>
      <w:pPr>
        <w:spacing w:after="0" w:line="352" w:lineRule="exact"/>
        <w:rPr>
          <w:sz w:val="20"/>
          <w:szCs w:val="20"/>
          <w:color w:val="auto"/>
        </w:rPr>
      </w:pPr>
    </w:p>
    <w:p>
      <w:pPr>
        <w:jc w:val="center"/>
        <w:ind w:right="-105"/>
        <w:spacing w:after="0"/>
        <w:rPr>
          <w:sz w:val="20"/>
          <w:szCs w:val="20"/>
          <w:color w:val="auto"/>
        </w:rPr>
      </w:pPr>
      <w:r>
        <w:rPr>
          <w:rFonts w:ascii="Courier New" w:cs="Courier New" w:eastAsia="Courier New" w:hAnsi="Courier New"/>
          <w:sz w:val="15"/>
          <w:szCs w:val="15"/>
          <w:color w:val="auto"/>
        </w:rPr>
        <w:t>(Continued and to be signed on the reverse side)</w:t>
      </w:r>
    </w:p>
    <w:p>
      <w:pPr>
        <w:sectPr>
          <w:pgSz w:w="11900" w:h="16838" w:orient="portrait"/>
          <w:cols w:equalWidth="0" w:num="1">
            <w:col w:w="10225"/>
          </w:cols>
          <w:pgMar w:left="235" w:top="142" w:right="1440" w:bottom="1440" w:gutter="0" w:footer="0" w:header="0"/>
        </w:sectPr>
      </w:pPr>
    </w:p>
    <w:bookmarkStart w:id="160" w:name="page161"/>
    <w:bookmarkEnd w:id="160"/>
    <w:p>
      <w:pPr>
        <w:ind w:left="280"/>
        <w:spacing w:after="0"/>
        <w:rPr>
          <w:sz w:val="20"/>
          <w:szCs w:val="20"/>
          <w:color w:val="auto"/>
        </w:rPr>
      </w:pPr>
      <w:r>
        <w:rPr>
          <w:rFonts w:ascii="Courier New" w:cs="Courier New" w:eastAsia="Courier New" w:hAnsi="Courier New"/>
          <w:sz w:val="15"/>
          <w:szCs w:val="15"/>
          <w:color w:val="auto"/>
        </w:rPr>
        <w:t>2</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(reverse side of card)</w:t>
      </w:r>
    </w:p>
    <w:p>
      <w:pPr>
        <w:spacing w:after="0" w:line="18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(continued from the reverse side)</w:t>
      </w:r>
    </w:p>
    <w:p>
      <w:pPr>
        <w:spacing w:after="0" w:line="200" w:lineRule="exact"/>
        <w:rPr>
          <w:sz w:val="20"/>
          <w:szCs w:val="20"/>
          <w:color w:val="auto"/>
        </w:rPr>
      </w:pPr>
    </w:p>
    <w:p>
      <w:pPr>
        <w:spacing w:after="0" w:line="340" w:lineRule="exact"/>
        <w:rPr>
          <w:sz w:val="20"/>
          <w:szCs w:val="20"/>
          <w:color w:val="auto"/>
        </w:rPr>
      </w:pPr>
    </w:p>
    <w:p>
      <w:pPr>
        <w:ind w:right="3399"/>
        <w:spacing w:after="0" w:line="253" w:lineRule="auto"/>
        <w:rPr>
          <w:sz w:val="20"/>
          <w:szCs w:val="20"/>
          <w:color w:val="auto"/>
        </w:rPr>
      </w:pPr>
      <w:r>
        <w:rPr>
          <w:rFonts w:ascii="Courier New" w:cs="Courier New" w:eastAsia="Courier New" w:hAnsi="Courier New"/>
          <w:sz w:val="15"/>
          <w:szCs w:val="15"/>
          <w:color w:val="auto"/>
        </w:rPr>
        <w:t>THE BOARD OF DIRECTORS OF SANIFILL, INC. UNANIMOUSLY RECOMMENDS A VOTE FOR THE FOLLOWING PROPOSAL.</w:t>
      </w:r>
    </w:p>
    <w:p>
      <w:pPr>
        <w:spacing w:after="0" w:line="174"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To consider and vote upon a proposal to (i) approve and adopt the Agreement and Plan of Merger dated as of June 22, 1996 (the "Merger Agreement"), by and among Sanifill, USA Waste Services, Inc., a Delaware corporation, and Quatro Acquisition Corp., a Delaware corporation ("Acquisition"), and (ii) approve the transactions contemplated by the Merger Agreement, including, but not limited to, the merger of Acquisition with and into Sanifill.</w:t>
      </w:r>
    </w:p>
    <w:p>
      <w:pPr>
        <w:sectPr>
          <w:pgSz w:w="11900" w:h="16838" w:orient="portrait"/>
          <w:cols w:equalWidth="0" w:num="1">
            <w:col w:w="10219"/>
          </w:cols>
          <w:pgMar w:left="240" w:top="295" w:right="1440" w:bottom="1440" w:gutter="0" w:footer="0" w:header="0"/>
        </w:sectPr>
      </w:pP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For</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1780"/>
        <w:spacing w:after="0"/>
        <w:rPr>
          <w:sz w:val="20"/>
          <w:szCs w:val="20"/>
          <w:color w:val="auto"/>
        </w:rPr>
      </w:pPr>
      <w:r>
        <w:rPr>
          <w:rFonts w:ascii="Courier New" w:cs="Courier New" w:eastAsia="Courier New" w:hAnsi="Courier New"/>
          <w:sz w:val="15"/>
          <w:szCs w:val="15"/>
          <w:color w:val="auto"/>
        </w:rPr>
        <w:t>Against</w:t>
      </w:r>
    </w:p>
    <w:p>
      <w:pPr>
        <w:spacing w:after="0" w:line="8" w:lineRule="exact"/>
        <w:rPr>
          <w:sz w:val="20"/>
          <w:szCs w:val="20"/>
          <w:color w:val="auto"/>
        </w:rPr>
      </w:pPr>
    </w:p>
    <w:p>
      <w:pPr>
        <w:jc w:val="center"/>
        <w:ind w:right="1780"/>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Abstain</w:t>
      </w:r>
    </w:p>
    <w:p>
      <w:pPr>
        <w:spacing w:after="0" w:line="8"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ectPr>
          <w:pgSz w:w="11900" w:h="16838" w:orient="portrait"/>
          <w:cols w:equalWidth="0" w:num="3">
            <w:col w:w="2500" w:space="720"/>
            <w:col w:w="2420" w:space="720"/>
            <w:col w:w="3859"/>
          </w:cols>
          <w:pgMar w:left="240" w:top="295" w:right="1440" w:bottom="1440" w:gutter="0" w:footer="0" w:header="0"/>
          <w:type w:val="continuous"/>
        </w:sectPr>
      </w:pPr>
    </w:p>
    <w:p>
      <w:pPr>
        <w:spacing w:after="0" w:line="340"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 1996</w:t>
      </w:r>
    </w:p>
    <w:p>
      <w:pPr>
        <w:spacing w:after="0" w:line="8" w:lineRule="exact"/>
        <w:rPr>
          <w:sz w:val="20"/>
          <w:szCs w:val="20"/>
          <w:color w:val="auto"/>
        </w:rPr>
      </w:pPr>
    </w:p>
    <w:p>
      <w:pPr>
        <w:sectPr>
          <w:pgSz w:w="11900" w:h="16838" w:orient="portrait"/>
          <w:cols w:equalWidth="0" w:num="2">
            <w:col w:w="6100" w:space="720"/>
            <w:col w:w="3399"/>
          </w:cols>
          <w:pgMar w:left="240" w:top="295" w:right="1440" w:bottom="1440" w:gutter="0" w:footer="0" w:header="0"/>
          <w:type w:val="continuous"/>
        </w:sectPr>
      </w:pPr>
    </w:p>
    <w:p>
      <w:pPr>
        <w:ind w:left="42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40"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Signature</w:t>
      </w:r>
    </w:p>
    <w:p>
      <w:pPr>
        <w:spacing w:after="0" w:line="362"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Signature if held jointly</w:t>
      </w:r>
    </w:p>
    <w:p>
      <w:pPr>
        <w:spacing w:after="0" w:line="200" w:lineRule="exact"/>
        <w:rPr>
          <w:sz w:val="20"/>
          <w:szCs w:val="20"/>
          <w:color w:val="auto"/>
        </w:rPr>
      </w:pPr>
    </w:p>
    <w:p>
      <w:pPr>
        <w:spacing w:after="0" w:line="34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Please mark, date and sign exactly as your name(s) appear(s) above</w:t>
      </w:r>
    </w:p>
    <w:p>
      <w:pPr>
        <w:spacing w:after="0" w:line="8"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on the face side hereof and return in the enclosed envelope.</w:t>
      </w:r>
    </w:p>
    <w:p>
      <w:pPr>
        <w:spacing w:after="0" w:line="8" w:lineRule="exact"/>
        <w:rPr>
          <w:sz w:val="20"/>
          <w:szCs w:val="20"/>
          <w:color w:val="auto"/>
        </w:rPr>
      </w:pPr>
    </w:p>
    <w:p>
      <w:pPr>
        <w:ind w:left="180" w:right="3119" w:firstLine="277"/>
        <w:spacing w:after="0" w:line="250" w:lineRule="auto"/>
        <w:rPr>
          <w:sz w:val="20"/>
          <w:szCs w:val="20"/>
          <w:color w:val="auto"/>
        </w:rPr>
      </w:pPr>
      <w:r>
        <w:rPr>
          <w:rFonts w:ascii="Courier New" w:cs="Courier New" w:eastAsia="Courier New" w:hAnsi="Courier New"/>
          <w:sz w:val="15"/>
          <w:szCs w:val="15"/>
          <w:color w:val="auto"/>
        </w:rPr>
        <w:t>If acting as attorney, executor, administrator, trustee, guardian, etc., please give full title. If the signer is a corporation, please sign the</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full corporate name, by fully authorized officer. If shares are held</w:t>
      </w:r>
    </w:p>
    <w:p>
      <w:pPr>
        <w:spacing w:after="0" w:line="8"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jointly, each stockholder named should sign.</w:t>
      </w:r>
    </w:p>
    <w:sectPr>
      <w:pgSz w:w="11900" w:h="16838" w:orient="portrait"/>
      <w:cols w:equalWidth="0" w:num="1">
        <w:col w:w="10219"/>
      </w:cols>
      <w:pgMar w:left="240" w:top="29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98A3148"/>
    <w:multiLevelType w:val="hybridMultilevel"/>
    <w:lvl w:ilvl="0">
      <w:lvlJc w:val="left"/>
      <w:lvlText w:val="-"/>
      <w:numFmt w:val="bullet"/>
      <w:start w:val="1"/>
    </w:lvl>
  </w:abstractNum>
  <w:abstractNum w:abstractNumId="1">
    <w:nsid w:val="799D0247"/>
    <w:multiLevelType w:val="hybridMultilevel"/>
    <w:lvl w:ilvl="0">
      <w:lvlJc w:val="left"/>
      <w:lvlText w:val="-"/>
      <w:numFmt w:val="bullet"/>
      <w:start w:val="1"/>
    </w:lvl>
  </w:abstractNum>
  <w:abstractNum w:abstractNumId="2">
    <w:nsid w:val="6B94764"/>
    <w:multiLevelType w:val="hybridMultilevel"/>
    <w:lvl w:ilvl="0">
      <w:lvlJc w:val="left"/>
      <w:lvlText w:val="%1."/>
      <w:numFmt w:val="decimal"/>
      <w:start w:val="1"/>
    </w:lvl>
  </w:abstractNum>
  <w:abstractNum w:abstractNumId="3">
    <w:nsid w:val="42C296BD"/>
    <w:multiLevelType w:val="hybridMultilevel"/>
    <w:lvl w:ilvl="0">
      <w:lvlJc w:val="left"/>
      <w:lvlText w:val="%1."/>
      <w:numFmt w:val="decimal"/>
      <w:start w:val="2"/>
    </w:lvl>
  </w:abstractNum>
  <w:abstractNum w:abstractNumId="4">
    <w:nsid w:val="168E121F"/>
    <w:multiLevelType w:val="hybridMultilevel"/>
    <w:lvl w:ilvl="0">
      <w:lvlJc w:val="left"/>
      <w:lvlText w:val="%1."/>
      <w:numFmt w:val="decimal"/>
      <w:start w:val="3"/>
    </w:lvl>
  </w:abstractNum>
  <w:abstractNum w:abstractNumId="5">
    <w:nsid w:val="1EBA5D23"/>
    <w:multiLevelType w:val="hybridMultilevel"/>
    <w:lvl w:ilvl="0">
      <w:lvlJc w:val="left"/>
      <w:lvlText w:val="%1."/>
      <w:numFmt w:val="decimal"/>
      <w:start w:val="7"/>
    </w:lvl>
  </w:abstractNum>
  <w:abstractNum w:abstractNumId="6">
    <w:nsid w:val="661E3F1E"/>
    <w:multiLevelType w:val="hybridMultilevel"/>
    <w:lvl w:ilvl="0">
      <w:lvlJc w:val="left"/>
      <w:lvlText w:val="%1."/>
      <w:numFmt w:val="decimal"/>
      <w:start w:val="11"/>
    </w:lvl>
  </w:abstractNum>
  <w:abstractNum w:abstractNumId="7">
    <w:nsid w:val="5DC79EA8"/>
    <w:multiLevelType w:val="hybridMultilevel"/>
    <w:lvl w:ilvl="0">
      <w:lvlJc w:val="left"/>
      <w:lvlText w:val="%1."/>
      <w:numFmt w:val="decimal"/>
      <w:start w:val="12"/>
    </w:lvl>
  </w:abstractNum>
  <w:abstractNum w:abstractNumId="8">
    <w:nsid w:val="540A471C"/>
    <w:multiLevelType w:val="hybridMultilevel"/>
    <w:lvl w:ilvl="0">
      <w:lvlJc w:val="left"/>
      <w:lvlText w:val="%1."/>
      <w:numFmt w:val="decimal"/>
      <w:start w:val="13"/>
    </w:lvl>
  </w:abstractNum>
  <w:abstractNum w:abstractNumId="9">
    <w:nsid w:val="7BD3EE7B"/>
    <w:multiLevelType w:val="hybridMultilevel"/>
    <w:lvl w:ilvl="0">
      <w:lvlJc w:val="left"/>
      <w:lvlText w:val="%1."/>
      <w:numFmt w:val="decimal"/>
      <w:start w:val="16"/>
    </w:lvl>
  </w:abstractNum>
  <w:abstractNum w:abstractNumId="10">
    <w:nsid w:val="51D9C564"/>
    <w:multiLevelType w:val="hybridMultilevel"/>
    <w:lvl w:ilvl="0">
      <w:lvlJc w:val="left"/>
      <w:lvlText w:val="%1."/>
      <w:numFmt w:val="decimal"/>
      <w:start w:val="17"/>
    </w:lvl>
  </w:abstractNum>
  <w:abstractNum w:abstractNumId="11">
    <w:nsid w:val="613EFDC5"/>
    <w:multiLevelType w:val="hybridMultilevel"/>
    <w:lvl w:ilvl="0">
      <w:lvlJc w:val="left"/>
      <w:lvlText w:val="%1."/>
      <w:numFmt w:val="decimal"/>
      <w:start w:val="19"/>
    </w:lvl>
  </w:abstractNum>
  <w:abstractNum w:abstractNumId="12">
    <w:nsid w:val="BF72B14"/>
    <w:multiLevelType w:val="hybridMultilevel"/>
    <w:lvl w:ilvl="0">
      <w:lvlJc w:val="left"/>
      <w:lvlText w:val="%1."/>
      <w:numFmt w:val="decimal"/>
      <w:start w:val="1"/>
    </w:lvl>
  </w:abstractNum>
  <w:abstractNum w:abstractNumId="13">
    <w:nsid w:val="11447B73"/>
    <w:multiLevelType w:val="hybridMultilevel"/>
    <w:lvl w:ilvl="0">
      <w:lvlJc w:val="left"/>
      <w:lvlText w:val="(%1)"/>
      <w:numFmt w:val="lowerRoman"/>
      <w:start w:val="10"/>
    </w:lvl>
  </w:abstractNum>
  <w:abstractNum w:abstractNumId="14">
    <w:nsid w:val="42963E5A"/>
    <w:multiLevelType w:val="hybridMultilevel"/>
    <w:lvl w:ilvl="0">
      <w:lvlJc w:val="left"/>
      <w:lvlText w:val="(%1)"/>
      <w:numFmt w:val="decimal"/>
      <w:start w:val="1"/>
    </w:lvl>
  </w:abstractNum>
  <w:abstractNum w:abstractNumId="15">
    <w:nsid w:val="A0382C5"/>
    <w:multiLevelType w:val="hybridMultilevel"/>
    <w:lvl w:ilvl="0">
      <w:lvlJc w:val="left"/>
      <w:lvlText w:val="(%1)"/>
      <w:numFmt w:val="lowerRoman"/>
      <w:start w:val="2"/>
    </w:lvl>
  </w:abstractNum>
  <w:abstractNum w:abstractNumId="16">
    <w:nsid w:val="8F2B15E"/>
    <w:multiLevelType w:val="hybridMultilevel"/>
    <w:lvl w:ilvl="0">
      <w:lvlJc w:val="left"/>
      <w:lvlText w:val="%1."/>
      <w:numFmt w:val="decimal"/>
      <w:start w:val="1"/>
    </w:lvl>
  </w:abstractNum>
  <w:abstractNum w:abstractNumId="17">
    <w:nsid w:val="1A32234B"/>
    <w:multiLevelType w:val="hybridMultilevel"/>
    <w:lvl w:ilvl="0">
      <w:lvlJc w:val="left"/>
      <w:lvlText w:val="%1."/>
      <w:numFmt w:val="decimal"/>
      <w:start w:val="4"/>
    </w:lvl>
  </w:abstractNum>
  <w:abstractNum w:abstractNumId="18">
    <w:nsid w:val="3B0FD379"/>
    <w:multiLevelType w:val="hybridMultilevel"/>
    <w:lvl w:ilvl="0">
      <w:lvlJc w:val="left"/>
      <w:lvlText w:val="(%1)"/>
      <w:numFmt w:val="lowerRoman"/>
      <w:start w:val="2"/>
    </w:lvl>
  </w:abstractNum>
  <w:abstractNum w:abstractNumId="19">
    <w:nsid w:val="68EB2F63"/>
    <w:multiLevelType w:val="hybridMultilevel"/>
    <w:lvl w:ilvl="0">
      <w:lvlJc w:val="left"/>
      <w:lvlText w:val="(%1)"/>
      <w:numFmt w:val="lowerRoman"/>
      <w:start w:val="1"/>
    </w:lvl>
  </w:abstractNum>
  <w:abstractNum w:abstractNumId="20">
    <w:nsid w:val="4962813B"/>
    <w:multiLevelType w:val="hybridMultilevel"/>
    <w:lvl w:ilvl="0">
      <w:lvlJc w:val="left"/>
      <w:lvlText w:val="(%1)"/>
      <w:numFmt w:val="lowerRoman"/>
      <w:start w:val="2"/>
    </w:lvl>
  </w:abstractNum>
  <w:abstractNum w:abstractNumId="21">
    <w:nsid w:val="60B6DF70"/>
    <w:multiLevelType w:val="hybridMultilevel"/>
    <w:lvl w:ilvl="0">
      <w:lvlJc w:val="left"/>
      <w:lvlText w:val="(%1)"/>
      <w:numFmt w:val="lowerRoman"/>
      <w:start w:val="2"/>
    </w:lvl>
  </w:abstractNum>
  <w:abstractNum w:abstractNumId="22">
    <w:nsid w:val="6A5EE64"/>
    <w:multiLevelType w:val="hybridMultilevel"/>
    <w:lvl w:ilvl="0">
      <w:lvlJc w:val="left"/>
      <w:lvlText w:val="(%1)"/>
      <w:numFmt w:val="lowerRoman"/>
      <w:start w:val="3"/>
    </w:lvl>
  </w:abstractNum>
  <w:abstractNum w:abstractNumId="23">
    <w:nsid w:val="14330624"/>
    <w:multiLevelType w:val="hybridMultilevel"/>
    <w:lvl w:ilvl="0">
      <w:lvlJc w:val="left"/>
      <w:lvlText w:val="(%1)"/>
      <w:numFmt w:val="lowerRoman"/>
      <w:start w:val="4"/>
    </w:lvl>
  </w:abstractNum>
  <w:abstractNum w:abstractNumId="24">
    <w:nsid w:val="7FFFCA11"/>
    <w:multiLevelType w:val="hybridMultilevel"/>
    <w:lvl w:ilvl="0">
      <w:lvlJc w:val="left"/>
      <w:lvlText w:val="(%1)"/>
      <w:numFmt w:val="lowerRoman"/>
      <w:start w:val="7"/>
    </w:lvl>
  </w:abstractNum>
  <w:abstractNum w:abstractNumId="25">
    <w:nsid w:val="1A27709E"/>
    <w:multiLevelType w:val="hybridMultilevel"/>
    <w:lvl w:ilvl="0">
      <w:lvlJc w:val="left"/>
      <w:lvlText w:val="(%1)"/>
      <w:numFmt w:val="lowerLetter"/>
      <w:start w:val="1"/>
    </w:lvl>
  </w:abstractNum>
  <w:abstractNum w:abstractNumId="26">
    <w:nsid w:val="71EA1109"/>
    <w:multiLevelType w:val="hybridMultilevel"/>
    <w:lvl w:ilvl="0">
      <w:lvlJc w:val="left"/>
      <w:lvlText w:val="%1"/>
      <w:numFmt w:val="lowerLetter"/>
      <w:start w:val="1"/>
    </w:lvl>
    <w:lvl w:ilvl="1">
      <w:lvlJc w:val="left"/>
      <w:lvlText w:val="(%2)"/>
      <w:numFmt w:val="lowerLetter"/>
      <w:start w:val="3"/>
    </w:lvl>
  </w:abstractNum>
  <w:abstractNum w:abstractNumId="27">
    <w:nsid w:val="100F59DC"/>
    <w:multiLevelType w:val="hybridMultilevel"/>
    <w:lvl w:ilvl="0">
      <w:lvlJc w:val="left"/>
      <w:lvlText w:val="(%1)"/>
      <w:numFmt w:val="lowerLetter"/>
      <w:start w:val="4"/>
    </w:lvl>
    <w:lvl w:ilvl="1">
      <w:lvlJc w:val="left"/>
      <w:lvlText w:val="%2"/>
      <w:numFmt w:val="lowerLetter"/>
      <w:start w:val="1"/>
    </w:lvl>
  </w:abstractNum>
  <w:abstractNum w:abstractNumId="28">
    <w:nsid w:val="7FB7E0AA"/>
    <w:multiLevelType w:val="hybridMultilevel"/>
    <w:lvl w:ilvl="0">
      <w:lvlJc w:val="left"/>
      <w:lvlText w:val="(%1)"/>
      <w:numFmt w:val="decimal"/>
      <w:start w:val="1"/>
    </w:lvl>
  </w:abstractNum>
  <w:abstractNum w:abstractNumId="29">
    <w:nsid w:val="6EB5BD4"/>
    <w:multiLevelType w:val="hybridMultilevel"/>
    <w:lvl w:ilvl="0">
      <w:lvlJc w:val="left"/>
      <w:lvlText w:val="(%1)"/>
      <w:numFmt w:val="decimal"/>
      <w:start w:val="3"/>
    </w:lvl>
  </w:abstractNum>
  <w:abstractNum w:abstractNumId="30">
    <w:nsid w:val="6F6DD9AC"/>
    <w:multiLevelType w:val="hybridMultilevel"/>
    <w:lvl w:ilvl="0">
      <w:lvlJc w:val="left"/>
      <w:lvlText w:val="&amp;"/>
      <w:numFmt w:val="bullet"/>
      <w:start w:val="1"/>
    </w:lvl>
  </w:abstractNum>
  <w:abstractNum w:abstractNumId="31">
    <w:nsid w:val="94211F2"/>
    <w:multiLevelType w:val="hybridMultilevel"/>
    <w:lvl w:ilvl="0">
      <w:lvlJc w:val="left"/>
      <w:lvlText w:val="(%1)"/>
      <w:numFmt w:val="lowerLetter"/>
      <w:start w:val="3"/>
    </w:lvl>
  </w:abstractNum>
  <w:abstractNum w:abstractNumId="32">
    <w:nsid w:val="885E1B"/>
    <w:multiLevelType w:val="hybridMultilevel"/>
    <w:lvl w:ilvl="0">
      <w:lvlJc w:val="left"/>
      <w:lvlText w:val="(%1)"/>
      <w:numFmt w:val="lowerLetter"/>
      <w:start w:val="61"/>
    </w:lvl>
  </w:abstractNum>
  <w:abstractNum w:abstractNumId="33">
    <w:nsid w:val="76272110"/>
    <w:multiLevelType w:val="hybridMultilevel"/>
    <w:lvl w:ilvl="0">
      <w:lvlJc w:val="left"/>
      <w:lvlText w:val="(%1)"/>
      <w:numFmt w:val="lowerLetter"/>
      <w:start w:val="4"/>
    </w:lvl>
  </w:abstractNum>
  <w:abstractNum w:abstractNumId="34">
    <w:nsid w:val="4C04A8AF"/>
    <w:multiLevelType w:val="hybridMultilevel"/>
    <w:lvl w:ilvl="0">
      <w:lvlJc w:val="left"/>
      <w:lvlText w:val="(%1)"/>
      <w:numFmt w:val="lowerLetter"/>
      <w:start w:val="7"/>
    </w:lvl>
  </w:abstractNum>
  <w:abstractNum w:abstractNumId="35">
    <w:nsid w:val="1716703B"/>
    <w:multiLevelType w:val="hybridMultilevel"/>
    <w:lvl w:ilvl="0">
      <w:lvlJc w:val="left"/>
      <w:lvlText w:val="(%1)"/>
      <w:numFmt w:val="lowerLetter"/>
      <w:start w:val="35"/>
    </w:lvl>
  </w:abstractNum>
  <w:abstractNum w:abstractNumId="36">
    <w:nsid w:val="14E17E33"/>
    <w:multiLevelType w:val="hybridMultilevel"/>
    <w:lvl w:ilvl="0">
      <w:lvlJc w:val="left"/>
      <w:lvlText w:val="(%1)"/>
      <w:numFmt w:val="lowerLetter"/>
      <w:start w:val="3"/>
    </w:lvl>
  </w:abstractNum>
  <w:abstractNum w:abstractNumId="37">
    <w:nsid w:val="3222E7CD"/>
    <w:multiLevelType w:val="hybridMultilevel"/>
    <w:lvl w:ilvl="0">
      <w:lvlJc w:val="left"/>
      <w:lvlText w:val="(%1)"/>
      <w:numFmt w:val="lowerRoman"/>
      <w:start w:val="3"/>
    </w:lvl>
  </w:abstractNum>
  <w:abstractNum w:abstractNumId="38">
    <w:nsid w:val="74DE0EE3"/>
    <w:multiLevelType w:val="hybridMultilevel"/>
    <w:lvl w:ilvl="0">
      <w:lvlJc w:val="left"/>
      <w:lvlText w:val="(%1)"/>
      <w:numFmt w:val="lowerRoman"/>
      <w:start w:val="2"/>
    </w:lvl>
  </w:abstractNum>
  <w:abstractNum w:abstractNumId="39">
    <w:nsid w:val="68EBC550"/>
    <w:multiLevelType w:val="hybridMultilevel"/>
    <w:lvl w:ilvl="0">
      <w:lvlJc w:val="left"/>
      <w:lvlText w:val="(%1)"/>
      <w:numFmt w:val="lowerRoman"/>
      <w:start w:val="3"/>
    </w:lvl>
  </w:abstractNum>
  <w:abstractNum w:abstractNumId="40">
    <w:nsid w:val="2DF6D648"/>
    <w:multiLevelType w:val="hybridMultilevel"/>
    <w:lvl w:ilvl="0">
      <w:lvlJc w:val="left"/>
      <w:lvlText w:val="(%1)"/>
      <w:numFmt w:val="lowerLetter"/>
      <w:start w:val="2"/>
    </w:lvl>
    <w:lvl w:ilvl="1">
      <w:lvlJc w:val="left"/>
      <w:lvlText w:val="%2."/>
      <w:numFmt w:val="upperLetter"/>
      <w:start w:val="10"/>
    </w:lvl>
  </w:abstractNum>
  <w:abstractNum w:abstractNumId="41">
    <w:nsid w:val="46B7D447"/>
    <w:multiLevelType w:val="hybridMultilevel"/>
    <w:lvl w:ilvl="0">
      <w:lvlJc w:val="left"/>
      <w:lvlText w:val="(%1)"/>
      <w:numFmt w:val="lowerLetter"/>
      <w:start w:val="1"/>
    </w:lvl>
  </w:abstractNum>
  <w:abstractNum w:abstractNumId="42">
    <w:nsid w:val="4A2AC315"/>
    <w:multiLevelType w:val="hybridMultilevel"/>
    <w:lvl w:ilvl="0">
      <w:lvlJc w:val="left"/>
      <w:lvlText w:val="(%1)"/>
      <w:numFmt w:val="lowerLetter"/>
      <w:start w:val="1"/>
    </w:lvl>
  </w:abstractNum>
  <w:abstractNum w:abstractNumId="43">
    <w:nsid w:val="39EE015C"/>
    <w:multiLevelType w:val="hybridMultilevel"/>
    <w:lvl w:ilvl="0">
      <w:lvlJc w:val="left"/>
      <w:lvlText w:val="*"/>
      <w:numFmt w:val="bullet"/>
      <w:start w:val="1"/>
    </w:lvl>
  </w:abstractNum>
  <w:abstractNum w:abstractNumId="44">
    <w:nsid w:val="57FC4FBB"/>
    <w:multiLevelType w:val="hybridMultilevel"/>
    <w:lvl w:ilvl="0">
      <w:lvlJc w:val="left"/>
      <w:lvlText w:val="(%1)"/>
      <w:numFmt w:val="decimal"/>
      <w:start w:val="1"/>
    </w:lvl>
  </w:abstractNum>
  <w:abstractNum w:abstractNumId="45">
    <w:nsid w:val="CC1016F"/>
    <w:multiLevelType w:val="hybridMultilevel"/>
    <w:lvl w:ilvl="0">
      <w:lvlJc w:val="left"/>
      <w:lvlText w:val="(%1)"/>
      <w:numFmt w:val="decimal"/>
      <w:start w:val="9"/>
    </w:lvl>
  </w:abstractNum>
  <w:abstractNum w:abstractNumId="46">
    <w:nsid w:val="43F18422"/>
    <w:multiLevelType w:val="hybridMultilevel"/>
    <w:lvl w:ilvl="0">
      <w:lvlJc w:val="left"/>
      <w:lvlText w:val="(%1)"/>
      <w:numFmt w:val="decimal"/>
      <w:start w:val="10"/>
    </w:lvl>
  </w:abstractNum>
  <w:abstractNum w:abstractNumId="47">
    <w:nsid w:val="60EF0119"/>
    <w:multiLevelType w:val="hybridMultilevel"/>
    <w:lvl w:ilvl="0">
      <w:lvlJc w:val="left"/>
      <w:lvlText w:val="-"/>
      <w:numFmt w:val="bullet"/>
      <w:start w:val="1"/>
    </w:lvl>
    <w:lvl w:ilvl="1">
      <w:lvlJc w:val="left"/>
      <w:lvlText w:val="*"/>
      <w:numFmt w:val="bullet"/>
      <w:start w:val="1"/>
    </w:lvl>
  </w:abstractNum>
  <w:abstractNum w:abstractNumId="48">
    <w:nsid w:val="26F324BA"/>
    <w:multiLevelType w:val="hybridMultilevel"/>
    <w:lvl w:ilvl="0">
      <w:lvlJc w:val="left"/>
      <w:lvlText w:val="(%1)"/>
      <w:numFmt w:val="decimal"/>
      <w:start w:val="1"/>
    </w:lvl>
  </w:abstractNum>
  <w:abstractNum w:abstractNumId="49">
    <w:nsid w:val="7F01579B"/>
    <w:multiLevelType w:val="hybridMultilevel"/>
    <w:lvl w:ilvl="0">
      <w:lvlJc w:val="left"/>
      <w:lvlText w:val="(%1)"/>
      <w:numFmt w:val="decimal"/>
      <w:start w:val="7"/>
    </w:lvl>
  </w:abstractNum>
  <w:abstractNum w:abstractNumId="50">
    <w:nsid w:val="49DA307D"/>
    <w:multiLevelType w:val="hybridMultilevel"/>
    <w:lvl w:ilvl="0">
      <w:lvlJc w:val="left"/>
      <w:lvlText w:val="(%1)"/>
      <w:numFmt w:val="lowerLetter"/>
      <w:start w:val="2"/>
    </w:lvl>
  </w:abstractNum>
  <w:abstractNum w:abstractNumId="51">
    <w:nsid w:val="7055A5F5"/>
    <w:multiLevelType w:val="hybridMultilevel"/>
    <w:lvl w:ilvl="0">
      <w:lvlJc w:val="left"/>
      <w:lvlText w:val="(%1)"/>
      <w:numFmt w:val="lowerLetter"/>
      <w:start w:val="2"/>
    </w:lvl>
  </w:abstractNum>
  <w:abstractNum w:abstractNumId="52">
    <w:nsid w:val="5FB8370B"/>
    <w:multiLevelType w:val="hybridMultilevel"/>
    <w:lvl w:ilvl="0">
      <w:lvlJc w:val="left"/>
      <w:lvlText w:val="(%1)"/>
      <w:numFmt w:val="lowerLetter"/>
      <w:start w:val="1"/>
    </w:lvl>
  </w:abstractNum>
  <w:abstractNum w:abstractNumId="53">
    <w:nsid w:val="50801EE1"/>
    <w:multiLevelType w:val="hybridMultilevel"/>
    <w:lvl w:ilvl="0">
      <w:lvlJc w:val="left"/>
      <w:lvlText w:val="(%1)"/>
      <w:numFmt w:val="lowerLetter"/>
      <w:start w:val="2"/>
    </w:lvl>
  </w:abstractNum>
  <w:abstractNum w:abstractNumId="54">
    <w:nsid w:val="488AC1A"/>
    <w:multiLevelType w:val="hybridMultilevel"/>
    <w:lvl w:ilvl="0">
      <w:lvlJc w:val="left"/>
      <w:lvlText w:val="(%1)"/>
      <w:numFmt w:val="lowerLetter"/>
      <w:start w:val="2"/>
    </w:lvl>
  </w:abstractNum>
  <w:abstractNum w:abstractNumId="55">
    <w:nsid w:val="5FB8011C"/>
    <w:multiLevelType w:val="hybridMultilevel"/>
    <w:lvl w:ilvl="0">
      <w:lvlJc w:val="left"/>
      <w:lvlText w:val="(%1)"/>
      <w:numFmt w:val="lowerLetter"/>
      <w:start w:val="5"/>
    </w:lvl>
  </w:abstractNum>
  <w:abstractNum w:abstractNumId="56">
    <w:nsid w:val="6AA78F7F"/>
    <w:multiLevelType w:val="hybridMultilevel"/>
    <w:lvl w:ilvl="0">
      <w:lvlJc w:val="left"/>
      <w:lvlText w:val="(%1)"/>
      <w:numFmt w:val="lowerLetter"/>
      <w:start w:val="2"/>
    </w:lvl>
  </w:abstractNum>
  <w:abstractNum w:abstractNumId="57">
    <w:nsid w:val="7672BD23"/>
    <w:multiLevelType w:val="hybridMultilevel"/>
    <w:lvl w:ilvl="0">
      <w:lvlJc w:val="left"/>
      <w:lvlText w:val="(%1)"/>
      <w:numFmt w:val="lowerLetter"/>
      <w:start w:val="2"/>
    </w:lvl>
  </w:abstractNum>
  <w:abstractNum w:abstractNumId="58">
    <w:nsid w:val="6FC75AF8"/>
    <w:multiLevelType w:val="hybridMultilevel"/>
    <w:lvl w:ilvl="0">
      <w:lvlJc w:val="left"/>
      <w:lvlText w:val="(%1)"/>
      <w:numFmt w:val="lowerLetter"/>
      <w:start w:val="61"/>
    </w:lvl>
    <w:lvl w:ilvl="1">
      <w:lvlJc w:val="left"/>
      <w:lvlText w:val="(%2)"/>
      <w:numFmt w:val="lowerLetter"/>
      <w:start w:val="3"/>
    </w:lvl>
  </w:abstractNum>
  <w:abstractNum w:abstractNumId="59">
    <w:nsid w:val="6A5F7029"/>
    <w:multiLevelType w:val="hybridMultilevel"/>
    <w:lvl w:ilvl="0">
      <w:lvlJc w:val="left"/>
      <w:lvlText w:val="(%1)"/>
      <w:numFmt w:val="lowerRoman"/>
      <w:start w:val="1"/>
    </w:lvl>
  </w:abstractNum>
  <w:abstractNum w:abstractNumId="60">
    <w:nsid w:val="7D5E18F8"/>
    <w:multiLevelType w:val="hybridMultilevel"/>
    <w:lvl w:ilvl="0">
      <w:lvlJc w:val="left"/>
      <w:lvlText w:val="(%1)"/>
      <w:numFmt w:val="lowerLetter"/>
      <w:start w:val="2"/>
    </w:lvl>
  </w:abstractNum>
  <w:abstractNum w:abstractNumId="61">
    <w:nsid w:val="5F3534A4"/>
    <w:multiLevelType w:val="hybridMultilevel"/>
    <w:lvl w:ilvl="0">
      <w:lvlJc w:val="left"/>
      <w:lvlText w:val="(%1)"/>
      <w:numFmt w:val="lowerLetter"/>
      <w:start w:val="3"/>
    </w:lvl>
  </w:abstractNum>
  <w:abstractNum w:abstractNumId="62">
    <w:nsid w:val="73A1821B"/>
    <w:multiLevelType w:val="hybridMultilevel"/>
    <w:lvl w:ilvl="0">
      <w:lvlJc w:val="left"/>
      <w:lvlText w:val="%1"/>
      <w:numFmt w:val="lowerRoman"/>
      <w:start w:val="1"/>
    </w:lvl>
    <w:lvl w:ilvl="1">
      <w:lvlJc w:val="left"/>
      <w:lvlText w:val="(%2)"/>
      <w:numFmt w:val="lowerLetter"/>
      <w:start w:val="2"/>
    </w:lvl>
  </w:abstractNum>
  <w:abstractNum w:abstractNumId="63">
    <w:nsid w:val="7DE67713"/>
    <w:multiLevelType w:val="hybridMultilevel"/>
    <w:lvl w:ilvl="0">
      <w:lvlJc w:val="left"/>
      <w:lvlText w:val="(%1)"/>
      <w:numFmt w:val="lowerRoman"/>
      <w:start w:val="7"/>
    </w:lvl>
    <w:lvl w:ilvl="1">
      <w:lvlJc w:val="left"/>
      <w:lvlText w:val="%2"/>
      <w:numFmt w:val="lowerLetter"/>
      <w:start w:val="1"/>
    </w:lvl>
  </w:abstractNum>
  <w:abstractNum w:abstractNumId="64">
    <w:nsid w:val="555C55B5"/>
    <w:multiLevelType w:val="hybridMultilevel"/>
    <w:lvl w:ilvl="0">
      <w:lvlJc w:val="left"/>
      <w:lvlText w:val="(%1)"/>
      <w:numFmt w:val="lowerRoman"/>
      <w:start w:val="11"/>
    </w:lvl>
    <w:lvl w:ilvl="1">
      <w:lvlJc w:val="left"/>
      <w:lvlText w:val="(%2)"/>
      <w:numFmt w:val="lowerLetter"/>
      <w:start w:val="3"/>
    </w:lvl>
  </w:abstractNum>
  <w:abstractNum w:abstractNumId="65">
    <w:nsid w:val="3FA62ACA"/>
    <w:multiLevelType w:val="hybridMultilevel"/>
    <w:lvl w:ilvl="0">
      <w:lvlJc w:val="left"/>
      <w:lvlText w:val="%1"/>
      <w:numFmt w:val="lowerLetter"/>
      <w:start w:val="1"/>
    </w:lvl>
    <w:lvl w:ilvl="1">
      <w:lvlJc w:val="left"/>
      <w:lvlText w:val="(%2)"/>
      <w:numFmt w:val="lowerLetter"/>
      <w:start w:val="2"/>
    </w:lvl>
  </w:abstractNum>
  <w:abstractNum w:abstractNumId="66">
    <w:nsid w:val="14FCE74E"/>
    <w:multiLevelType w:val="hybridMultilevel"/>
    <w:lvl w:ilvl="0">
      <w:lvlJc w:val="left"/>
      <w:lvlText w:val="(%1)"/>
      <w:numFmt w:val="lowerLetter"/>
      <w:start w:val="24"/>
    </w:lvl>
    <w:lvl w:ilvl="1">
      <w:lvlJc w:val="left"/>
      <w:lvlText w:val="(%2)"/>
      <w:numFmt w:val="lowerLetter"/>
      <w:start w:val="3"/>
    </w:lvl>
  </w:abstractNum>
  <w:abstractNum w:abstractNumId="67">
    <w:nsid w:val="6A3DD3E8"/>
    <w:multiLevelType w:val="hybridMultilevel"/>
    <w:lvl w:ilvl="0">
      <w:lvlJc w:val="left"/>
      <w:lvlText w:val="(%1)"/>
      <w:numFmt w:val="lowerLetter"/>
      <w:start w:val="2"/>
    </w:lvl>
  </w:abstractNum>
  <w:abstractNum w:abstractNumId="68">
    <w:nsid w:val="71C91298"/>
    <w:multiLevelType w:val="hybridMultilevel"/>
    <w:lvl w:ilvl="0">
      <w:lvlJc w:val="left"/>
      <w:lvlText w:val="(%1)"/>
      <w:numFmt w:val="lowerLetter"/>
      <w:start w:val="2"/>
    </w:lvl>
  </w:abstractNum>
  <w:abstractNum w:abstractNumId="69">
    <w:nsid w:val="9DAF632"/>
    <w:multiLevelType w:val="hybridMultilevel"/>
    <w:lvl w:ilvl="0">
      <w:lvlJc w:val="left"/>
      <w:lvlText w:val="(%1)"/>
      <w:numFmt w:val="lowerLetter"/>
      <w:start w:val="3"/>
    </w:lvl>
  </w:abstractNum>
  <w:abstractNum w:abstractNumId="70">
    <w:nsid w:val="53299938"/>
    <w:multiLevelType w:val="hybridMultilevel"/>
    <w:lvl w:ilvl="0">
      <w:lvlJc w:val="left"/>
      <w:lvlText w:val="(%1)"/>
      <w:numFmt w:val="lowerRoman"/>
      <w:start w:val="1"/>
    </w:lvl>
  </w:abstractNum>
  <w:abstractNum w:abstractNumId="71">
    <w:nsid w:val="1FBFE8E0"/>
    <w:multiLevelType w:val="hybridMultilevel"/>
    <w:lvl w:ilvl="0">
      <w:lvlJc w:val="left"/>
      <w:lvlText w:val="(%1)"/>
      <w:numFmt w:val="lowerLetter"/>
      <w:start w:val="1"/>
    </w:lvl>
  </w:abstractNum>
  <w:abstractNum w:abstractNumId="72">
    <w:nsid w:val="5092CA79"/>
    <w:multiLevelType w:val="hybridMultilevel"/>
    <w:lvl w:ilvl="0">
      <w:lvlJc w:val="left"/>
      <w:lvlText w:val="(%1)"/>
      <w:numFmt w:val="lowerLetter"/>
      <w:start w:val="2"/>
    </w:lvl>
  </w:abstractNum>
  <w:abstractNum w:abstractNumId="73">
    <w:nsid w:val="1D545C4D"/>
    <w:multiLevelType w:val="hybridMultilevel"/>
    <w:lvl w:ilvl="0">
      <w:lvlJc w:val="left"/>
      <w:lvlText w:val="(%1)"/>
      <w:numFmt w:val="lowerLetter"/>
      <w:start w:val="3"/>
    </w:lvl>
  </w:abstractNum>
  <w:abstractNum w:abstractNumId="74">
    <w:nsid w:val="59ADEA3D"/>
    <w:multiLevelType w:val="hybridMultilevel"/>
    <w:lvl w:ilvl="0">
      <w:lvlJc w:val="left"/>
      <w:lvlText w:val="(%1)"/>
      <w:numFmt w:val="lowerLetter"/>
      <w:start w:val="2"/>
    </w:lvl>
  </w:abstractNum>
  <w:abstractNum w:abstractNumId="75">
    <w:nsid w:val="288F1A34"/>
    <w:multiLevelType w:val="hybridMultilevel"/>
    <w:lvl w:ilvl="0">
      <w:lvlJc w:val="left"/>
      <w:lvlText w:val="(%1)"/>
      <w:numFmt w:val="lowerLetter"/>
      <w:start w:val="1"/>
    </w:lvl>
  </w:abstractNum>
  <w:abstractNum w:abstractNumId="76">
    <w:nsid w:val="2A155DBC"/>
    <w:multiLevelType w:val="hybridMultilevel"/>
    <w:lvl w:ilvl="0">
      <w:lvlJc w:val="left"/>
      <w:lvlText w:val="(%1)"/>
      <w:numFmt w:val="lowerLetter"/>
      <w:start w:val="3"/>
    </w:lvl>
  </w:abstractNum>
  <w:abstractNum w:abstractNumId="77">
    <w:nsid w:val="1D9F6E5F"/>
    <w:multiLevelType w:val="hybridMultilevel"/>
    <w:lvl w:ilvl="0">
      <w:lvlJc w:val="left"/>
      <w:lvlText w:val="(%1)"/>
      <w:numFmt w:val="lowerLetter"/>
      <w:start w:val="6"/>
    </w:lvl>
  </w:abstractNum>
  <w:abstractNum w:abstractNumId="78">
    <w:nsid w:val="97E1B4E"/>
    <w:multiLevelType w:val="hybridMultilevel"/>
    <w:lvl w:ilvl="0">
      <w:lvlJc w:val="left"/>
      <w:lvlText w:val="(%1)"/>
      <w:numFmt w:val="lowerLetter"/>
      <w:start w:val="1"/>
    </w:lvl>
  </w:abstractNum>
  <w:abstractNum w:abstractNumId="79">
    <w:nsid w:val="51088277"/>
    <w:multiLevelType w:val="hybridMultilevel"/>
    <w:lvl w:ilvl="0">
      <w:lvlJc w:val="left"/>
      <w:lvlText w:val="(%1)"/>
      <w:numFmt w:val="lowerLetter"/>
      <w:start w:val="22"/>
    </w:lvl>
    <w:lvl w:ilvl="1">
      <w:lvlJc w:val="left"/>
      <w:lvlText w:val="(%2)"/>
      <w:numFmt w:val="lowerLetter"/>
      <w:start w:val="5"/>
    </w:lvl>
  </w:abstractNum>
  <w:abstractNum w:abstractNumId="80">
    <w:nsid w:val="1CA0C5FA"/>
    <w:multiLevelType w:val="hybridMultilevel"/>
    <w:lvl w:ilvl="0">
      <w:lvlJc w:val="left"/>
      <w:lvlText w:val="(%1)"/>
      <w:numFmt w:val="lowerLetter"/>
      <w:start w:val="2"/>
    </w:lvl>
  </w:abstractNum>
  <w:abstractNum w:abstractNumId="81">
    <w:nsid w:val="53584BCB"/>
    <w:multiLevelType w:val="hybridMultilevel"/>
    <w:lvl w:ilvl="0">
      <w:lvlJc w:val="left"/>
      <w:lvlText w:val="(%1)"/>
      <w:numFmt w:val="lowerLetter"/>
      <w:start w:val="2"/>
    </w:lvl>
  </w:abstractNum>
  <w:abstractNum w:abstractNumId="82">
    <w:nsid w:val="415E286C"/>
    <w:multiLevelType w:val="hybridMultilevel"/>
    <w:lvl w:ilvl="0">
      <w:lvlJc w:val="left"/>
      <w:lvlText w:val="(%1)"/>
      <w:numFmt w:val="lowerLetter"/>
      <w:start w:val="2"/>
    </w:lvl>
  </w:abstractNum>
  <w:abstractNum w:abstractNumId="83">
    <w:nsid w:val="7C58FD05"/>
    <w:multiLevelType w:val="hybridMultilevel"/>
    <w:lvl w:ilvl="0">
      <w:lvlJc w:val="left"/>
      <w:lvlText w:val="(%1)"/>
      <w:numFmt w:val="lowerLetter"/>
      <w:start w:val="2"/>
    </w:lvl>
    <w:lvl w:ilvl="1">
      <w:lvlJc w:val="left"/>
      <w:lvlText w:val="(%2)"/>
      <w:numFmt w:val="lowerRoman"/>
      <w:start w:val="1"/>
    </w:lvl>
  </w:abstractNum>
  <w:abstractNum w:abstractNumId="84">
    <w:nsid w:val="23D86AAC"/>
    <w:multiLevelType w:val="hybridMultilevel"/>
    <w:lvl w:ilvl="0">
      <w:lvlJc w:val="left"/>
      <w:lvlText w:val="(%1)"/>
      <w:numFmt w:val="lowerLetter"/>
      <w:start w:val="22"/>
    </w:lvl>
    <w:lvl w:ilvl="1">
      <w:lvlJc w:val="left"/>
      <w:lvlText w:val="(%2)"/>
      <w:numFmt w:val="lowerRoman"/>
      <w:start w:val="2"/>
    </w:lvl>
  </w:abstractNum>
  <w:abstractNum w:abstractNumId="85">
    <w:nsid w:val="45E6D486"/>
    <w:multiLevelType w:val="hybridMultilevel"/>
    <w:lvl w:ilvl="0">
      <w:lvlJc w:val="left"/>
      <w:lvlText w:val="(%1)"/>
      <w:numFmt w:val="lowerLetter"/>
      <w:start w:val="3"/>
    </w:lvl>
  </w:abstractNum>
  <w:abstractNum w:abstractNumId="86">
    <w:nsid w:val="5C10FE21"/>
    <w:multiLevelType w:val="hybridMultilevel"/>
    <w:lvl w:ilvl="0">
      <w:lvlJc w:val="left"/>
      <w:lvlText w:val="(%1)"/>
      <w:numFmt w:val="lowerLetter"/>
      <w:start w:val="2"/>
    </w:lvl>
  </w:abstractNum>
  <w:abstractNum w:abstractNumId="87">
    <w:nsid w:val="E7FFA2B"/>
    <w:multiLevelType w:val="hybridMultilevel"/>
    <w:lvl w:ilvl="0">
      <w:lvlJc w:val="left"/>
      <w:lvlText w:val="(%1)"/>
      <w:numFmt w:val="lowerLetter"/>
      <w:start w:val="2"/>
    </w:lvl>
  </w:abstractNum>
  <w:abstractNum w:abstractNumId="88">
    <w:nsid w:val="3C5991AA"/>
    <w:multiLevelType w:val="hybridMultilevel"/>
    <w:lvl w:ilvl="0">
      <w:lvlJc w:val="left"/>
      <w:lvlText w:val="(%1)"/>
      <w:numFmt w:val="lowerLetter"/>
      <w:start w:val="3"/>
    </w:lvl>
  </w:abstractNum>
  <w:abstractNum w:abstractNumId="89">
    <w:nsid w:val="4BD8591A"/>
    <w:multiLevelType w:val="hybridMultilevel"/>
    <w:lvl w:ilvl="0">
      <w:lvlJc w:val="left"/>
      <w:lvlText w:val="(%1)"/>
      <w:numFmt w:val="lowerLetter"/>
      <w:start w:val="1"/>
    </w:lvl>
  </w:abstractNum>
  <w:abstractNum w:abstractNumId="90">
    <w:nsid w:val="78DF6A55"/>
    <w:multiLevelType w:val="hybridMultilevel"/>
    <w:lvl w:ilvl="0">
      <w:lvlJc w:val="left"/>
      <w:lvlText w:val="(%1)"/>
      <w:numFmt w:val="lowerLetter"/>
      <w:start w:val="1"/>
    </w:lvl>
  </w:abstractNum>
  <w:abstractNum w:abstractNumId="91">
    <w:nsid w:val="39B7AAA2"/>
    <w:multiLevelType w:val="hybridMultilevel"/>
    <w:lvl w:ilvl="0">
      <w:lvlJc w:val="left"/>
      <w:lvlText w:val="(%1)"/>
      <w:numFmt w:val="lowerLetter"/>
      <w:start w:val="1"/>
    </w:lvl>
  </w:abstractNum>
  <w:abstractNum w:abstractNumId="92">
    <w:nsid w:val="2B0D8DBE"/>
    <w:multiLevelType w:val="hybridMultilevel"/>
    <w:lvl w:ilvl="0">
      <w:lvlJc w:val="left"/>
      <w:lvlText w:val="(%1)"/>
      <w:numFmt w:val="lowerLetter"/>
      <w:start w:val="5"/>
    </w:lvl>
  </w:abstractNum>
  <w:abstractNum w:abstractNumId="93">
    <w:nsid w:val="6C80EC70"/>
    <w:multiLevelType w:val="hybridMultilevel"/>
    <w:lvl w:ilvl="0">
      <w:lvlJc w:val="left"/>
      <w:lvlText w:val="(%1)"/>
      <w:numFmt w:val="lowerLetter"/>
      <w:start w:val="1"/>
    </w:lvl>
    <w:lvl w:ilvl="1">
      <w:lvlJc w:val="left"/>
      <w:lvlText w:val="(%2)"/>
      <w:numFmt w:val="lowerRoman"/>
      <w:start w:val="1"/>
    </w:lvl>
  </w:abstractNum>
  <w:abstractNum w:abstractNumId="94">
    <w:nsid w:val="379E21B5"/>
    <w:multiLevelType w:val="hybridMultilevel"/>
    <w:lvl w:ilvl="0">
      <w:lvlJc w:val="left"/>
      <w:lvlText w:val="%1"/>
      <w:numFmt w:val="lowerLetter"/>
      <w:start w:val="1"/>
    </w:lvl>
    <w:lvl w:ilvl="1">
      <w:lvlJc w:val="left"/>
      <w:lvlText w:val="(%2)"/>
      <w:numFmt w:val="lowerRoman"/>
      <w:start w:val="7"/>
    </w:lvl>
  </w:abstractNum>
  <w:abstractNum w:abstractNumId="95">
    <w:nsid w:val="69E373"/>
    <w:multiLevelType w:val="hybridMultilevel"/>
    <w:lvl w:ilvl="0">
      <w:lvlJc w:val="left"/>
      <w:lvlText w:val="(%1)"/>
      <w:numFmt w:val="lowerLetter"/>
      <w:start w:val="2"/>
    </w:lvl>
    <w:lvl w:ilvl="1">
      <w:lvlJc w:val="left"/>
      <w:lvlText w:val="(%2)"/>
      <w:numFmt w:val="lowerRoman"/>
      <w:start w:val="1"/>
    </w:lvl>
  </w:abstractNum>
  <w:abstractNum w:abstractNumId="96">
    <w:nsid w:val="2C27173B"/>
    <w:multiLevelType w:val="hybridMultilevel"/>
    <w:lvl w:ilvl="0">
      <w:lvlJc w:val="left"/>
      <w:lvlText w:val="(%1)"/>
      <w:numFmt w:val="lowerLetter"/>
      <w:start w:val="1"/>
    </w:lvl>
  </w:abstractNum>
  <w:abstractNum w:abstractNumId="97">
    <w:nsid w:val="4C9B0904"/>
    <w:multiLevelType w:val="hybridMultilevel"/>
    <w:lvl w:ilvl="0">
      <w:lvlJc w:val="left"/>
      <w:lvlText w:val="(%1)"/>
      <w:numFmt w:val="lowerLetter"/>
      <w:start w:val="2"/>
    </w:lvl>
  </w:abstractNum>
  <w:abstractNum w:abstractNumId="98">
    <w:nsid w:val="6AA7B75C"/>
    <w:multiLevelType w:val="hybridMultilevel"/>
    <w:lvl w:ilvl="0">
      <w:lvlJc w:val="left"/>
      <w:lvlText w:val="%1."/>
      <w:numFmt w:val="decimal"/>
      <w:start w:val="1"/>
    </w:lvl>
  </w:abstractNum>
  <w:abstractNum w:abstractNumId="99">
    <w:nsid w:val="1DF029D3"/>
    <w:multiLevelType w:val="hybridMultilevel"/>
    <w:lvl w:ilvl="0">
      <w:lvlJc w:val="left"/>
      <w:lvlText w:val="%1."/>
      <w:numFmt w:val="decimal"/>
      <w:start w:val="2"/>
    </w:lvl>
  </w:abstractNum>
  <w:abstractNum w:abstractNumId="100">
    <w:nsid w:val="5675FF36"/>
    <w:multiLevelType w:val="hybridMultilevel"/>
    <w:lvl w:ilvl="0">
      <w:lvlJc w:val="left"/>
      <w:lvlText w:val="%1."/>
      <w:numFmt w:val="decimal"/>
      <w:start w:val="3"/>
    </w:lvl>
  </w:abstractNum>
  <w:abstractNum w:abstractNumId="101">
    <w:nsid w:val="3DD15094"/>
    <w:multiLevelType w:val="hybridMultilevel"/>
    <w:lvl w:ilvl="0">
      <w:lvlJc w:val="left"/>
      <w:lvlText w:val="%1."/>
      <w:numFmt w:val="decimal"/>
      <w:start w:val="1"/>
    </w:lvl>
  </w:abstractNum>
  <w:abstractNum w:abstractNumId="102">
    <w:nsid w:val="3DB012B3"/>
    <w:multiLevelType w:val="hybridMultilevel"/>
    <w:lvl w:ilvl="0">
      <w:lvlJc w:val="left"/>
      <w:lvlText w:val="%1."/>
      <w:numFmt w:val="decimal"/>
      <w:start w:val="5"/>
    </w:lvl>
  </w:abstractNum>
  <w:abstractNum w:abstractNumId="103">
    <w:nsid w:val="2708C9AF"/>
    <w:multiLevelType w:val="hybridMultilevel"/>
    <w:lvl w:ilvl="0">
      <w:lvlJc w:val="left"/>
      <w:lvlText w:val="(%1)"/>
      <w:numFmt w:val="lowerRoman"/>
      <w:start w:val="2"/>
    </w:lvl>
  </w:abstractNum>
  <w:abstractNum w:abstractNumId="104">
    <w:nsid w:val="5B25ACE2"/>
    <w:multiLevelType w:val="hybridMultilevel"/>
    <w:lvl w:ilvl="0">
      <w:lvlJc w:val="left"/>
      <w:lvlText w:val="(%1)"/>
      <w:numFmt w:val="lowerRoman"/>
      <w:start w:val="3"/>
    </w:lvl>
  </w:abstractNum>
  <w:abstractNum w:abstractNumId="105">
    <w:nsid w:val="175DFCF0"/>
    <w:multiLevelType w:val="hybridMultilevel"/>
    <w:lvl w:ilvl="0">
      <w:lvlJc w:val="left"/>
      <w:lvlText w:val="(%1)"/>
      <w:numFmt w:val="lowerLetter"/>
      <w:start w:val="1"/>
    </w:lvl>
  </w:abstractNum>
  <w:abstractNum w:abstractNumId="106">
    <w:nsid w:val="4F97E3E4"/>
    <w:multiLevelType w:val="hybridMultilevel"/>
    <w:lvl w:ilvl="0">
      <w:lvlJc w:val="left"/>
      <w:lvlText w:val="-"/>
      <w:numFmt w:val="bullet"/>
      <w:start w:val="1"/>
    </w:lvl>
  </w:abstractNum>
  <w:abstractNum w:abstractNumId="107">
    <w:nsid w:val="53B0A9E"/>
    <w:multiLevelType w:val="hybridMultilevel"/>
    <w:lvl w:ilvl="0">
      <w:lvlJc w:val="left"/>
      <w:lvlText w:val="-"/>
      <w:numFmt w:val="bullet"/>
      <w:start w:val="1"/>
    </w:lvl>
    <w:lvl w:ilvl="1">
      <w:lvlJc w:val="left"/>
      <w:lvlText w:val="*"/>
      <w:numFmt w:val="bullet"/>
      <w:start w:val="1"/>
    </w:lvl>
  </w:abstractNum>
  <w:abstractNum w:abstractNumId="108">
    <w:nsid w:val="34FD6B4F"/>
    <w:multiLevelType w:val="hybridMultilevel"/>
    <w:lvl w:ilvl="0">
      <w:lvlJc w:val="left"/>
      <w:lvlText w:val="-"/>
      <w:numFmt w:val="bullet"/>
      <w:start w:val="1"/>
    </w:lvl>
    <w:lvl w:ilvl="1">
      <w:lvlJc w:val="left"/>
      <w:lvlText w:val="**"/>
      <w:numFmt w:val="bullet"/>
      <w:start w:val="1"/>
    </w:lvl>
  </w:abstractNum>
  <w:abstractNum w:abstractNumId="109">
    <w:nsid w:val="5915FF32"/>
    <w:multiLevelType w:val="hybridMultilevel"/>
    <w:lvl w:ilvl="0">
      <w:lvlJc w:val="left"/>
      <w:lvlText w:val="%1"/>
      <w:numFmt w:val="decimal"/>
      <w:start w:val="910"/>
    </w:lvl>
  </w:abstractNum>
  <w:abstractNum w:abstractNumId="110">
    <w:nsid w:val="56438D15"/>
    <w:multiLevelType w:val="hybridMultilevel"/>
    <w:lvl w:ilvl="0">
      <w:lvlJc w:val="left"/>
      <w:lvlText w:val="(%1)"/>
      <w:numFmt w:val="lowerRoman"/>
      <w:start w:val="1"/>
    </w:lvl>
  </w:abstractNum>
  <w:abstractNum w:abstractNumId="111">
    <w:nsid w:val="519E3149"/>
    <w:multiLevelType w:val="hybridMultilevel"/>
    <w:lvl w:ilvl="0">
      <w:lvlJc w:val="left"/>
      <w:lvlText w:val="(%1)"/>
      <w:numFmt w:val="lowerLetter"/>
      <w:start w:val="1"/>
    </w:lvl>
  </w:abstractNum>
  <w:abstractNum w:abstractNumId="112">
    <w:nsid w:val="2C6E4AFD"/>
    <w:multiLevelType w:val="hybridMultilevel"/>
    <w:lvl w:ilvl="0">
      <w:lvlJc w:val="left"/>
      <w:lvlText w:val="(%1)"/>
      <w:numFmt w:val="lowerLetter"/>
      <w:start w:val="3"/>
    </w:lvl>
  </w:abstractNum>
  <w:abstractNum w:abstractNumId="113">
    <w:nsid w:val="17A1B582"/>
    <w:multiLevelType w:val="hybridMultilevel"/>
    <w:lvl w:ilvl="0">
      <w:lvlJc w:val="left"/>
      <w:lvlText w:val="%1."/>
      <w:numFmt w:val="decimal"/>
      <w:start w:val="1"/>
    </w:lvl>
  </w:abstractNum>
  <w:abstractNum w:abstractNumId="114">
    <w:nsid w:val="4DF72E4E"/>
    <w:multiLevelType w:val="hybridMultilevel"/>
    <w:lvl w:ilvl="0">
      <w:lvlJc w:val="left"/>
      <w:lvlText w:val="%1."/>
      <w:numFmt w:val="decimal"/>
      <w:start w:val="5"/>
    </w:lvl>
  </w:abstractNum>
  <w:abstractNum w:abstractNumId="115">
    <w:nsid w:val="5046B5A9"/>
    <w:multiLevelType w:val="hybridMultilevel"/>
    <w:lvl w:ilvl="0">
      <w:lvlJc w:val="left"/>
      <w:lvlText w:val="%1."/>
      <w:numFmt w:val="decimal"/>
      <w:start w:val="7"/>
    </w:lvl>
  </w:abstractNum>
  <w:abstractNum w:abstractNumId="116">
    <w:nsid w:val="5D888A08"/>
    <w:multiLevelType w:val="hybridMultilevel"/>
    <w:lvl w:ilvl="0">
      <w:lvlJc w:val="left"/>
      <w:lvlText w:val="%1."/>
      <w:numFmt w:val="decimal"/>
      <w:start w:val="11"/>
    </w:lvl>
  </w:abstractNum>
  <w:abstractNum w:abstractNumId="117">
    <w:nsid w:val="2A082C70"/>
    <w:multiLevelType w:val="hybridMultilevel"/>
    <w:lvl w:ilvl="0">
      <w:lvlJc w:val="left"/>
      <w:lvlText w:val="%1."/>
      <w:numFmt w:val="decimal"/>
      <w:start w:val="13"/>
    </w:lvl>
  </w:abstractNum>
  <w:abstractNum w:abstractNumId="118">
    <w:nsid w:val="5EC6AFD4"/>
    <w:multiLevelType w:val="hybridMultilevel"/>
    <w:lvl w:ilvl="0">
      <w:lvlJc w:val="left"/>
      <w:lvlText w:val="%1."/>
      <w:numFmt w:val="decimal"/>
      <w:start w:val="17"/>
    </w:lvl>
  </w:abstractNum>
  <w:abstractNum w:abstractNumId="119">
    <w:nsid w:val="19E21BB2"/>
    <w:multiLevelType w:val="hybridMultilevel"/>
    <w:lvl w:ilvl="0">
      <w:lvlJc w:val="left"/>
      <w:lvlText w:val="%1."/>
      <w:numFmt w:val="decimal"/>
      <w:start w:val="1"/>
    </w:lvl>
  </w:abstractNum>
  <w:abstractNum w:abstractNumId="120">
    <w:nsid w:val="75E0858A"/>
    <w:multiLevelType w:val="hybridMultilevel"/>
    <w:lvl w:ilvl="0">
      <w:lvlJc w:val="left"/>
      <w:lvlText w:val="%1."/>
      <w:numFmt w:val="decimal"/>
      <w:start w:val="4"/>
    </w:lvl>
  </w:abstractNum>
  <w:abstractNum w:abstractNumId="121">
    <w:nsid w:val="57A61A29"/>
    <w:multiLevelType w:val="hybridMultilevel"/>
    <w:lvl w:ilvl="0">
      <w:lvlJc w:val="left"/>
      <w:lvlText w:val="%1."/>
      <w:numFmt w:val="decimal"/>
      <w:start w:val="5"/>
    </w:lvl>
  </w:abstractNum>
  <w:abstractNum w:abstractNumId="122">
    <w:nsid w:val="5399C654"/>
    <w:multiLevelType w:val="hybridMultilevel"/>
    <w:lvl w:ilvl="0">
      <w:lvlJc w:val="left"/>
      <w:lvlText w:val="%1."/>
      <w:numFmt w:val="decimal"/>
      <w:start w:val="8"/>
    </w:lvl>
  </w:abstractNum>
  <w:abstractNum w:abstractNumId="123">
    <w:nsid w:val="20EE1348"/>
    <w:multiLevelType w:val="hybridMultilevel"/>
    <w:lvl w:ilvl="0">
      <w:lvlJc w:val="left"/>
      <w:lvlText w:val="%1."/>
      <w:numFmt w:val="decimal"/>
      <w:start w:val="13"/>
    </w:lvl>
  </w:abstractNum>
  <w:abstractNum w:abstractNumId="124">
    <w:nsid w:val="4427069A"/>
    <w:multiLevelType w:val="hybridMultilevel"/>
    <w:lvl w:ilvl="0">
      <w:lvlJc w:val="left"/>
      <w:lvlText w:val="%1."/>
      <w:numFmt w:val="decimal"/>
      <w:start w:val="15"/>
    </w:lvl>
  </w:abstractNum>
  <w:abstractNum w:abstractNumId="125">
    <w:nsid w:val="B37E80A"/>
    <w:multiLevelType w:val="hybridMultilevel"/>
    <w:lvl w:ilvl="0">
      <w:lvlJc w:val="left"/>
      <w:lvlText w:val="%1."/>
      <w:numFmt w:val="decimal"/>
      <w:start w:val="17"/>
    </w:lvl>
  </w:abstractNum>
  <w:abstractNum w:abstractNumId="126">
    <w:nsid w:val="2157F6BC"/>
    <w:multiLevelType w:val="hybridMultilevel"/>
    <w:lvl w:ilvl="0">
      <w:lvlJc w:val="left"/>
      <w:lvlText w:val="%1."/>
      <w:numFmt w:val="decimal"/>
      <w:start w:val="1"/>
    </w:lvl>
  </w:abstractNum>
  <w:abstractNum w:abstractNumId="127">
    <w:nsid w:val="704E1DD5"/>
    <w:multiLevelType w:val="hybridMultilevel"/>
    <w:lvl w:ilvl="0">
      <w:lvlJc w:val="left"/>
      <w:lvlText w:val="%1."/>
      <w:numFmt w:val="decimal"/>
      <w:start w:val="4"/>
    </w:lvl>
    <w:lvl w:ilvl="1">
      <w:lvlJc w:val="left"/>
      <w:lvlText w:val="(%2)"/>
      <w:numFmt w:val="lowerRoman"/>
      <w:start w:val="1"/>
    </w:lvl>
  </w:abstractNum>
  <w:abstractNum w:abstractNumId="128">
    <w:nsid w:val="57D2F10E"/>
    <w:multiLevelType w:val="hybridMultilevel"/>
    <w:lvl w:ilvl="0">
      <w:lvlJc w:val="left"/>
      <w:lvlText w:val="(%1)"/>
      <w:numFmt w:val="lowerLetter"/>
      <w:start w:val="2"/>
    </w:lvl>
  </w:abstractNum>
  <w:abstractNum w:abstractNumId="129">
    <w:nsid w:val="BFFAE18"/>
    <w:multiLevelType w:val="hybridMultilevel"/>
    <w:lvl w:ilvl="0">
      <w:lvlJc w:val="left"/>
      <w:lvlText w:val="(%1)"/>
      <w:numFmt w:val="lowerLetter"/>
      <w:start w:val="3"/>
    </w:lvl>
    <w:lvl w:ilvl="1">
      <w:lvlJc w:val="left"/>
      <w:lvlText w:val="(%2)"/>
      <w:numFmt w:val="lowerRoman"/>
      <w:start w:val="1"/>
    </w:lvl>
  </w:abstractNum>
  <w:abstractNum w:abstractNumId="130">
    <w:nsid w:val="E3E47A8"/>
    <w:multiLevelType w:val="hybridMultilevel"/>
    <w:lvl w:ilvl="0">
      <w:lvlJc w:val="left"/>
      <w:lvlText w:val="(%1)"/>
      <w:numFmt w:val="lowerLetter"/>
      <w:start w:val="4"/>
    </w:lvl>
  </w:abstractNum>
  <w:abstractNum w:abstractNumId="131">
    <w:nsid w:val="2E48F044"/>
    <w:multiLevelType w:val="hybridMultilevel"/>
    <w:lvl w:ilvl="0">
      <w:lvlJc w:val="left"/>
      <w:lvlText w:val="%1"/>
      <w:numFmt w:val="lowerRoman"/>
      <w:start w:val="1"/>
    </w:lvl>
    <w:lvl w:ilvl="1">
      <w:lvlJc w:val="left"/>
      <w:lvlText w:val="%2."/>
      <w:numFmt w:val="decimal"/>
      <w:start w:val="9"/>
    </w:lvl>
  </w:abstractNum>
  <w:abstractNum w:abstractNumId="132">
    <w:nsid w:val="49D0FEAC"/>
    <w:multiLevelType w:val="hybridMultilevel"/>
    <w:lvl w:ilvl="0">
      <w:lvlJc w:val="left"/>
      <w:lvlText w:val="(%1)"/>
      <w:numFmt w:val="lowerRoman"/>
      <w:start w:val="3"/>
    </w:lvl>
    <w:lvl w:ilvl="1">
      <w:lvlJc w:val="left"/>
      <w:lvlText w:val="%2"/>
      <w:numFmt w:val="decimal"/>
      <w:start w:val="1"/>
    </w:lvl>
  </w:abstractNum>
  <w:abstractNum w:abstractNumId="133">
    <w:nsid w:val="4BEE5A5B"/>
    <w:multiLevelType w:val="hybridMultilevel"/>
    <w:lvl w:ilvl="0">
      <w:lvlJc w:val="left"/>
      <w:lvlText w:val="(%1)"/>
      <w:numFmt w:val="lowerLetter"/>
      <w:start w:val="2"/>
    </w:lvl>
  </w:abstractNum>
  <w:abstractNum w:abstractNumId="134">
    <w:nsid w:val="5551B9F3"/>
    <w:multiLevelType w:val="hybridMultilevel"/>
    <w:lvl w:ilvl="0">
      <w:lvlJc w:val="left"/>
      <w:lvlText w:val="%1."/>
      <w:numFmt w:val="decimal"/>
      <w:start w:val="10"/>
    </w:lvl>
  </w:abstractNum>
  <w:abstractNum w:abstractNumId="135">
    <w:nsid w:val="24F6AB8E"/>
    <w:multiLevelType w:val="hybridMultilevel"/>
    <w:lvl w:ilvl="0">
      <w:lvlJc w:val="left"/>
      <w:lvlText w:val="(%1)"/>
      <w:numFmt w:val="lowerLetter"/>
      <w:start w:val="2"/>
    </w:lvl>
  </w:abstractNum>
  <w:abstractNum w:abstractNumId="136">
    <w:nsid w:val="634C574C"/>
    <w:multiLevelType w:val="hybridMultilevel"/>
    <w:lvl w:ilvl="0">
      <w:lvlJc w:val="left"/>
      <w:lvlText w:val="%1."/>
      <w:numFmt w:val="decimal"/>
      <w:start w:val="11"/>
    </w:lvl>
  </w:abstractNum>
  <w:abstractNum w:abstractNumId="137">
    <w:nsid w:val="24E99DD7"/>
    <w:multiLevelType w:val="hybridMultilevel"/>
    <w:lvl w:ilvl="0">
      <w:lvlJc w:val="left"/>
      <w:lvlText w:val="(%1)"/>
      <w:numFmt w:val="lowerLetter"/>
      <w:start w:val="2"/>
    </w:lvl>
  </w:abstractNum>
  <w:abstractNum w:abstractNumId="138">
    <w:nsid w:val="2A31B62D"/>
    <w:multiLevelType w:val="hybridMultilevel"/>
    <w:lvl w:ilvl="0">
      <w:lvlJc w:val="left"/>
      <w:lvlText w:val="(%1)"/>
      <w:numFmt w:val="lowerLetter"/>
      <w:start w:val="4"/>
    </w:lvl>
  </w:abstractNum>
  <w:abstractNum w:abstractNumId="139">
    <w:nsid w:val="1849C29B"/>
    <w:multiLevelType w:val="hybridMultilevel"/>
    <w:lvl w:ilvl="0">
      <w:lvlJc w:val="left"/>
      <w:lvlText w:val="(%1)"/>
      <w:numFmt w:val="decimal"/>
      <w:start w:val="7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2019-12-20T04:00:01Z</dcterms:created>
  <dcterms:modified xsi:type="dcterms:W3CDTF">2019-12-20T04:00:01Z</dcterms:modified>
</cp:coreProperties>
</file>