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ind w:right="-119"/>
        <w:spacing w:after="0"/>
        <w:rPr>
          <w:sz w:val="20"/>
          <w:szCs w:val="20"/>
          <w:color w:val="auto"/>
        </w:rPr>
      </w:pPr>
      <w:r>
        <w:rPr>
          <w:rFonts w:ascii="Arial" w:cs="Arial" w:eastAsia="Arial" w:hAnsi="Arial"/>
          <w:sz w:val="32"/>
          <w:szCs w:val="32"/>
          <w:b w:val="1"/>
          <w:bCs w:val="1"/>
          <w:color w:val="auto"/>
        </w:rPr>
        <w:drawing>
          <wp:anchor simplePos="0" relativeHeight="251657728" behindDoc="1" locked="0" layoutInCell="0" allowOverlap="1">
            <wp:simplePos x="0" y="0"/>
            <wp:positionH relativeFrom="page">
              <wp:posOffset>157480</wp:posOffset>
            </wp:positionH>
            <wp:positionV relativeFrom="page">
              <wp:posOffset>166370</wp:posOffset>
            </wp:positionV>
            <wp:extent cx="7246620" cy="88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page">
              <wp:posOffset>157480</wp:posOffset>
            </wp:positionH>
            <wp:positionV relativeFrom="page">
              <wp:posOffset>208915</wp:posOffset>
            </wp:positionV>
            <wp:extent cx="7246620" cy="889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246620" cy="8890"/>
                    </a:xfrm>
                    <a:prstGeom prst="rect">
                      <a:avLst/>
                    </a:prstGeom>
                    <a:noFill/>
                  </pic:spPr>
                </pic:pic>
              </a:graphicData>
            </a:graphic>
          </wp:anchor>
        </w:drawing>
        <w:t>SECURITIES AND EXCHANGE COMMISSION</w:t>
      </w:r>
    </w:p>
    <w:p>
      <w:pPr>
        <w:spacing w:after="0" w:line="34" w:lineRule="exact"/>
        <w:rPr>
          <w:sz w:val="24"/>
          <w:szCs w:val="24"/>
          <w:color w:val="auto"/>
        </w:rPr>
      </w:pPr>
    </w:p>
    <w:p>
      <w:pPr>
        <w:jc w:val="center"/>
        <w:ind w:right="-119"/>
        <w:spacing w:after="0"/>
        <w:rPr>
          <w:sz w:val="20"/>
          <w:szCs w:val="20"/>
          <w:color w:val="auto"/>
        </w:rPr>
      </w:pPr>
      <w:r>
        <w:rPr>
          <w:rFonts w:ascii="Arial" w:cs="Arial" w:eastAsia="Arial" w:hAnsi="Arial"/>
          <w:sz w:val="22"/>
          <w:szCs w:val="22"/>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2869565</wp:posOffset>
            </wp:positionH>
            <wp:positionV relativeFrom="paragraph">
              <wp:posOffset>227330</wp:posOffset>
            </wp:positionV>
            <wp:extent cx="1517650" cy="889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pacing w:after="0" w:line="200" w:lineRule="exact"/>
        <w:rPr>
          <w:sz w:val="24"/>
          <w:szCs w:val="24"/>
          <w:color w:val="auto"/>
        </w:rPr>
      </w:pPr>
    </w:p>
    <w:p>
      <w:pPr>
        <w:spacing w:after="0" w:line="327" w:lineRule="exact"/>
        <w:rPr>
          <w:sz w:val="24"/>
          <w:szCs w:val="24"/>
          <w:color w:val="auto"/>
        </w:rPr>
      </w:pPr>
    </w:p>
    <w:p>
      <w:pPr>
        <w:jc w:val="center"/>
        <w:ind w:right="-119"/>
        <w:spacing w:after="0"/>
        <w:rPr>
          <w:sz w:val="20"/>
          <w:szCs w:val="20"/>
          <w:color w:val="auto"/>
        </w:rPr>
      </w:pPr>
      <w:r>
        <w:rPr>
          <w:rFonts w:ascii="Arial" w:cs="Arial" w:eastAsia="Arial" w:hAnsi="Arial"/>
          <w:sz w:val="32"/>
          <w:szCs w:val="32"/>
          <w:b w:val="1"/>
          <w:bCs w:val="1"/>
          <w:color w:val="auto"/>
        </w:rPr>
        <w:t>FORM 8-K</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2869565</wp:posOffset>
            </wp:positionH>
            <wp:positionV relativeFrom="paragraph">
              <wp:posOffset>247015</wp:posOffset>
            </wp:positionV>
            <wp:extent cx="1517650"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pacing w:after="0" w:line="200" w:lineRule="exact"/>
        <w:rPr>
          <w:sz w:val="24"/>
          <w:szCs w:val="24"/>
          <w:color w:val="auto"/>
        </w:rPr>
      </w:pPr>
    </w:p>
    <w:p>
      <w:pPr>
        <w:spacing w:after="0" w:line="371" w:lineRule="exact"/>
        <w:rPr>
          <w:sz w:val="24"/>
          <w:szCs w:val="24"/>
          <w:color w:val="auto"/>
        </w:rPr>
      </w:pPr>
    </w:p>
    <w:p>
      <w:pPr>
        <w:jc w:val="center"/>
        <w:ind w:right="-119"/>
        <w:spacing w:after="0"/>
        <w:rPr>
          <w:sz w:val="20"/>
          <w:szCs w:val="20"/>
          <w:color w:val="auto"/>
        </w:rPr>
      </w:pPr>
      <w:r>
        <w:rPr>
          <w:rFonts w:ascii="Arial" w:cs="Arial" w:eastAsia="Arial" w:hAnsi="Arial"/>
          <w:sz w:val="22"/>
          <w:szCs w:val="22"/>
          <w:b w:val="1"/>
          <w:bCs w:val="1"/>
          <w:color w:val="auto"/>
        </w:rPr>
        <w:t>CURRENT REPORT</w:t>
      </w:r>
    </w:p>
    <w:p>
      <w:pPr>
        <w:spacing w:after="0" w:line="4" w:lineRule="exact"/>
        <w:rPr>
          <w:sz w:val="24"/>
          <w:szCs w:val="24"/>
          <w:color w:val="auto"/>
        </w:rPr>
      </w:pPr>
    </w:p>
    <w:p>
      <w:pPr>
        <w:jc w:val="center"/>
        <w:ind w:right="-119"/>
        <w:spacing w:after="0"/>
        <w:rPr>
          <w:sz w:val="20"/>
          <w:szCs w:val="20"/>
          <w:color w:val="auto"/>
        </w:rPr>
      </w:pPr>
      <w:r>
        <w:rPr>
          <w:rFonts w:ascii="Arial" w:cs="Arial" w:eastAsia="Arial" w:hAnsi="Arial"/>
          <w:sz w:val="22"/>
          <w:szCs w:val="22"/>
          <w:b w:val="1"/>
          <w:bCs w:val="1"/>
          <w:color w:val="auto"/>
        </w:rPr>
        <w:t>Pursuant to Section 13 or 15(d)</w:t>
      </w:r>
    </w:p>
    <w:p>
      <w:pPr>
        <w:jc w:val="center"/>
        <w:ind w:right="-119"/>
        <w:spacing w:after="0"/>
        <w:rPr>
          <w:sz w:val="20"/>
          <w:szCs w:val="20"/>
          <w:color w:val="auto"/>
        </w:rPr>
      </w:pPr>
      <w:r>
        <w:rPr>
          <w:rFonts w:ascii="Arial" w:cs="Arial" w:eastAsia="Arial" w:hAnsi="Arial"/>
          <w:sz w:val="22"/>
          <w:szCs w:val="22"/>
          <w:b w:val="1"/>
          <w:bCs w:val="1"/>
          <w:color w:val="auto"/>
        </w:rPr>
        <w:t>of the Securities Exchange Act of 1934</w:t>
      </w:r>
    </w:p>
    <w:p>
      <w:pPr>
        <w:spacing w:after="0" w:line="182" w:lineRule="exact"/>
        <w:rPr>
          <w:sz w:val="24"/>
          <w:szCs w:val="24"/>
          <w:color w:val="auto"/>
        </w:rPr>
      </w:pPr>
    </w:p>
    <w:p>
      <w:pPr>
        <w:jc w:val="center"/>
        <w:ind w:right="-119"/>
        <w:spacing w:after="0"/>
        <w:rPr>
          <w:sz w:val="20"/>
          <w:szCs w:val="20"/>
          <w:color w:val="auto"/>
        </w:rPr>
      </w:pPr>
      <w:r>
        <w:rPr>
          <w:rFonts w:ascii="Arial" w:cs="Arial" w:eastAsia="Arial" w:hAnsi="Arial"/>
          <w:sz w:val="22"/>
          <w:szCs w:val="22"/>
          <w:b w:val="1"/>
          <w:bCs w:val="1"/>
          <w:color w:val="auto"/>
        </w:rPr>
        <w:t>Date of Report (Date of earliest event reported): July 27, 2016</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2869565</wp:posOffset>
            </wp:positionH>
            <wp:positionV relativeFrom="paragraph">
              <wp:posOffset>234315</wp:posOffset>
            </wp:positionV>
            <wp:extent cx="1517650" cy="889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pacing w:after="0" w:line="200" w:lineRule="exact"/>
        <w:rPr>
          <w:sz w:val="24"/>
          <w:szCs w:val="24"/>
          <w:color w:val="auto"/>
        </w:rPr>
      </w:pPr>
    </w:p>
    <w:p>
      <w:pPr>
        <w:spacing w:after="0" w:line="335" w:lineRule="exact"/>
        <w:rPr>
          <w:sz w:val="24"/>
          <w:szCs w:val="24"/>
          <w:color w:val="auto"/>
        </w:rPr>
      </w:pPr>
    </w:p>
    <w:p>
      <w:pPr>
        <w:jc w:val="center"/>
        <w:ind w:right="-119"/>
        <w:spacing w:after="0"/>
        <w:rPr>
          <w:sz w:val="20"/>
          <w:szCs w:val="20"/>
          <w:color w:val="auto"/>
        </w:rPr>
      </w:pPr>
      <w:r>
        <w:rPr>
          <w:rFonts w:ascii="Arial" w:cs="Arial" w:eastAsia="Arial" w:hAnsi="Arial"/>
          <w:sz w:val="43"/>
          <w:szCs w:val="43"/>
          <w:b w:val="1"/>
          <w:bCs w:val="1"/>
          <w:color w:val="auto"/>
        </w:rPr>
        <w:t>Waste Management, Inc.</w:t>
      </w:r>
    </w:p>
    <w:p>
      <w:pPr>
        <w:spacing w:after="0" w:line="50" w:lineRule="exact"/>
        <w:rPr>
          <w:sz w:val="24"/>
          <w:szCs w:val="24"/>
          <w:color w:val="auto"/>
        </w:rPr>
      </w:pPr>
    </w:p>
    <w:p>
      <w:pPr>
        <w:jc w:val="center"/>
        <w:ind w:right="-119"/>
        <w:spacing w:after="0"/>
        <w:rPr>
          <w:sz w:val="20"/>
          <w:szCs w:val="20"/>
          <w:color w:val="auto"/>
        </w:rPr>
      </w:pPr>
      <w:r>
        <w:rPr>
          <w:rFonts w:ascii="Arial" w:cs="Arial" w:eastAsia="Arial" w:hAnsi="Arial"/>
          <w:sz w:val="18"/>
          <w:szCs w:val="18"/>
          <w:b w:val="1"/>
          <w:bCs w:val="1"/>
          <w:color w:val="auto"/>
        </w:rPr>
        <w:t>(Exact Name of Registrant as Specified in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2869565</wp:posOffset>
            </wp:positionH>
            <wp:positionV relativeFrom="paragraph">
              <wp:posOffset>236220</wp:posOffset>
            </wp:positionV>
            <wp:extent cx="1517650" cy="88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33" w:lineRule="exact"/>
        <w:rPr>
          <w:sz w:val="24"/>
          <w:szCs w:val="24"/>
          <w:color w:val="auto"/>
        </w:rPr>
      </w:pPr>
    </w:p>
    <w:tbl>
      <w:tblPr>
        <w:tblLayout w:type="fixed"/>
        <w:tblInd w:w="1100" w:type="dxa"/>
        <w:tblCellMar>
          <w:top w:w="0" w:type="dxa"/>
          <w:left w:w="0" w:type="dxa"/>
          <w:bottom w:w="0" w:type="dxa"/>
          <w:right w:w="0" w:type="dxa"/>
        </w:tblCellMar>
      </w:tblPr>
      <w:tr>
        <w:trPr>
          <w:trHeight w:val="212"/>
        </w:trPr>
        <w:tc>
          <w:tcPr>
            <w:tcW w:w="4140" w:type="dxa"/>
            <w:vAlign w:val="bottom"/>
          </w:tcPr>
          <w:p>
            <w:pPr>
              <w:jc w:val="center"/>
              <w:ind w:right="2381"/>
              <w:spacing w:after="0"/>
              <w:rPr>
                <w:sz w:val="20"/>
                <w:szCs w:val="20"/>
                <w:color w:val="auto"/>
              </w:rPr>
            </w:pPr>
            <w:r>
              <w:rPr>
                <w:rFonts w:ascii="Arial" w:cs="Arial" w:eastAsia="Arial" w:hAnsi="Arial"/>
                <w:sz w:val="18"/>
                <w:szCs w:val="18"/>
                <w:b w:val="1"/>
                <w:bCs w:val="1"/>
                <w:color w:val="auto"/>
                <w:w w:val="91"/>
              </w:rPr>
              <w:t>Delaware</w:t>
            </w:r>
          </w:p>
        </w:tc>
        <w:tc>
          <w:tcPr>
            <w:tcW w:w="2400" w:type="dxa"/>
            <w:vAlign w:val="bottom"/>
          </w:tcPr>
          <w:p>
            <w:pPr>
              <w:jc w:val="center"/>
              <w:ind w:right="1122"/>
              <w:spacing w:after="0"/>
              <w:rPr>
                <w:sz w:val="20"/>
                <w:szCs w:val="20"/>
                <w:color w:val="auto"/>
              </w:rPr>
            </w:pPr>
            <w:r>
              <w:rPr>
                <w:rFonts w:ascii="Arial" w:cs="Arial" w:eastAsia="Arial" w:hAnsi="Arial"/>
                <w:sz w:val="18"/>
                <w:szCs w:val="18"/>
                <w:b w:val="1"/>
                <w:bCs w:val="1"/>
                <w:color w:val="auto"/>
                <w:w w:val="90"/>
              </w:rPr>
              <w:t>1-12154</w:t>
            </w:r>
          </w:p>
        </w:tc>
        <w:tc>
          <w:tcPr>
            <w:tcW w:w="2520" w:type="dxa"/>
            <w:vAlign w:val="bottom"/>
          </w:tcPr>
          <w:p>
            <w:pPr>
              <w:jc w:val="right"/>
              <w:ind w:right="41"/>
              <w:spacing w:after="0"/>
              <w:rPr>
                <w:sz w:val="20"/>
                <w:szCs w:val="20"/>
                <w:color w:val="auto"/>
              </w:rPr>
            </w:pPr>
            <w:r>
              <w:rPr>
                <w:rFonts w:ascii="Arial" w:cs="Arial" w:eastAsia="Arial" w:hAnsi="Arial"/>
                <w:sz w:val="18"/>
                <w:szCs w:val="18"/>
                <w:b w:val="1"/>
                <w:bCs w:val="1"/>
                <w:color w:val="auto"/>
              </w:rPr>
              <w:t>73-1309529</w:t>
            </w:r>
          </w:p>
        </w:tc>
      </w:tr>
      <w:tr>
        <w:trPr>
          <w:trHeight w:val="149"/>
        </w:trPr>
        <w:tc>
          <w:tcPr>
            <w:tcW w:w="4140" w:type="dxa"/>
            <w:vAlign w:val="bottom"/>
          </w:tcPr>
          <w:p>
            <w:pPr>
              <w:jc w:val="center"/>
              <w:ind w:right="2361"/>
              <w:spacing w:after="0" w:line="149" w:lineRule="exact"/>
              <w:rPr>
                <w:sz w:val="20"/>
                <w:szCs w:val="20"/>
                <w:color w:val="auto"/>
              </w:rPr>
            </w:pPr>
            <w:r>
              <w:rPr>
                <w:rFonts w:ascii="Arial" w:cs="Arial" w:eastAsia="Arial" w:hAnsi="Arial"/>
                <w:sz w:val="14"/>
                <w:szCs w:val="14"/>
                <w:b w:val="1"/>
                <w:bCs w:val="1"/>
                <w:color w:val="auto"/>
                <w:w w:val="93"/>
              </w:rPr>
              <w:t>(State or Other Jurisdiction</w:t>
            </w:r>
          </w:p>
        </w:tc>
        <w:tc>
          <w:tcPr>
            <w:tcW w:w="2400" w:type="dxa"/>
            <w:vAlign w:val="bottom"/>
          </w:tcPr>
          <w:p>
            <w:pPr>
              <w:jc w:val="center"/>
              <w:ind w:right="1122"/>
              <w:spacing w:after="0" w:line="149" w:lineRule="exact"/>
              <w:rPr>
                <w:sz w:val="20"/>
                <w:szCs w:val="20"/>
                <w:color w:val="auto"/>
              </w:rPr>
            </w:pPr>
            <w:r>
              <w:rPr>
                <w:rFonts w:ascii="Arial" w:cs="Arial" w:eastAsia="Arial" w:hAnsi="Arial"/>
                <w:sz w:val="14"/>
                <w:szCs w:val="14"/>
                <w:b w:val="1"/>
                <w:bCs w:val="1"/>
                <w:color w:val="auto"/>
                <w:w w:val="90"/>
              </w:rPr>
              <w:t>(Commission</w:t>
            </w:r>
          </w:p>
        </w:tc>
        <w:tc>
          <w:tcPr>
            <w:tcW w:w="2520" w:type="dxa"/>
            <w:vAlign w:val="bottom"/>
          </w:tcPr>
          <w:p>
            <w:pPr>
              <w:jc w:val="center"/>
              <w:ind w:left="1321"/>
              <w:spacing w:after="0" w:line="149" w:lineRule="exact"/>
              <w:rPr>
                <w:sz w:val="20"/>
                <w:szCs w:val="20"/>
                <w:color w:val="auto"/>
              </w:rPr>
            </w:pPr>
            <w:r>
              <w:rPr>
                <w:rFonts w:ascii="Arial" w:cs="Arial" w:eastAsia="Arial" w:hAnsi="Arial"/>
                <w:sz w:val="14"/>
                <w:szCs w:val="14"/>
                <w:b w:val="1"/>
                <w:bCs w:val="1"/>
                <w:color w:val="auto"/>
                <w:w w:val="96"/>
              </w:rPr>
              <w:t>(IRS Employer</w:t>
            </w:r>
          </w:p>
        </w:tc>
      </w:tr>
      <w:tr>
        <w:trPr>
          <w:trHeight w:val="186"/>
        </w:trPr>
        <w:tc>
          <w:tcPr>
            <w:tcW w:w="4140" w:type="dxa"/>
            <w:vAlign w:val="bottom"/>
          </w:tcPr>
          <w:p>
            <w:pPr>
              <w:jc w:val="center"/>
              <w:ind w:right="2361"/>
              <w:spacing w:after="0"/>
              <w:rPr>
                <w:sz w:val="20"/>
                <w:szCs w:val="20"/>
                <w:color w:val="auto"/>
              </w:rPr>
            </w:pPr>
            <w:r>
              <w:rPr>
                <w:rFonts w:ascii="Arial" w:cs="Arial" w:eastAsia="Arial" w:hAnsi="Arial"/>
                <w:sz w:val="14"/>
                <w:szCs w:val="14"/>
                <w:b w:val="1"/>
                <w:bCs w:val="1"/>
                <w:color w:val="auto"/>
                <w:w w:val="94"/>
              </w:rPr>
              <w:t>of Incorporation)</w:t>
            </w:r>
          </w:p>
        </w:tc>
        <w:tc>
          <w:tcPr>
            <w:tcW w:w="2400" w:type="dxa"/>
            <w:vAlign w:val="bottom"/>
          </w:tcPr>
          <w:p>
            <w:pPr>
              <w:jc w:val="center"/>
              <w:ind w:right="1122"/>
              <w:spacing w:after="0"/>
              <w:rPr>
                <w:sz w:val="20"/>
                <w:szCs w:val="20"/>
                <w:color w:val="auto"/>
              </w:rPr>
            </w:pPr>
            <w:r>
              <w:rPr>
                <w:rFonts w:ascii="Arial" w:cs="Arial" w:eastAsia="Arial" w:hAnsi="Arial"/>
                <w:sz w:val="14"/>
                <w:szCs w:val="14"/>
                <w:b w:val="1"/>
                <w:bCs w:val="1"/>
                <w:color w:val="auto"/>
                <w:w w:val="98"/>
              </w:rPr>
              <w:t>File Number)</w:t>
            </w:r>
          </w:p>
        </w:tc>
        <w:tc>
          <w:tcPr>
            <w:tcW w:w="2520" w:type="dxa"/>
            <w:vAlign w:val="bottom"/>
          </w:tcPr>
          <w:p>
            <w:pPr>
              <w:jc w:val="center"/>
              <w:ind w:left="1321"/>
              <w:spacing w:after="0"/>
              <w:rPr>
                <w:sz w:val="20"/>
                <w:szCs w:val="20"/>
                <w:color w:val="auto"/>
              </w:rPr>
            </w:pPr>
            <w:r>
              <w:rPr>
                <w:rFonts w:ascii="Arial" w:cs="Arial" w:eastAsia="Arial" w:hAnsi="Arial"/>
                <w:sz w:val="14"/>
                <w:szCs w:val="14"/>
                <w:b w:val="1"/>
                <w:bCs w:val="1"/>
                <w:color w:val="auto"/>
                <w:w w:val="94"/>
              </w:rPr>
              <w:t>Identification No.)</w:t>
            </w:r>
          </w:p>
        </w:tc>
      </w:tr>
      <w:tr>
        <w:trPr>
          <w:trHeight w:val="408"/>
        </w:trPr>
        <w:tc>
          <w:tcPr>
            <w:tcW w:w="4140" w:type="dxa"/>
            <w:vAlign w:val="bottom"/>
          </w:tcPr>
          <w:p>
            <w:pPr>
              <w:jc w:val="center"/>
              <w:ind w:left="1241"/>
              <w:spacing w:after="0"/>
              <w:rPr>
                <w:sz w:val="20"/>
                <w:szCs w:val="20"/>
                <w:color w:val="auto"/>
              </w:rPr>
            </w:pPr>
            <w:r>
              <w:rPr>
                <w:rFonts w:ascii="Arial" w:cs="Arial" w:eastAsia="Arial" w:hAnsi="Arial"/>
                <w:sz w:val="18"/>
                <w:szCs w:val="18"/>
                <w:b w:val="1"/>
                <w:bCs w:val="1"/>
                <w:color w:val="auto"/>
                <w:w w:val="89"/>
              </w:rPr>
              <w:t>1001 Fannin, Houston, Texas</w:t>
            </w:r>
          </w:p>
        </w:tc>
        <w:tc>
          <w:tcPr>
            <w:tcW w:w="2400" w:type="dxa"/>
            <w:vAlign w:val="bottom"/>
          </w:tcPr>
          <w:p>
            <w:pPr>
              <w:spacing w:after="0"/>
              <w:rPr>
                <w:sz w:val="24"/>
                <w:szCs w:val="24"/>
                <w:color w:val="auto"/>
              </w:rPr>
            </w:pPr>
          </w:p>
        </w:tc>
        <w:tc>
          <w:tcPr>
            <w:tcW w:w="2520" w:type="dxa"/>
            <w:vAlign w:val="bottom"/>
          </w:tcPr>
          <w:p>
            <w:pPr>
              <w:jc w:val="right"/>
              <w:ind w:right="261"/>
              <w:spacing w:after="0"/>
              <w:rPr>
                <w:sz w:val="20"/>
                <w:szCs w:val="20"/>
                <w:color w:val="auto"/>
              </w:rPr>
            </w:pPr>
            <w:r>
              <w:rPr>
                <w:rFonts w:ascii="Arial" w:cs="Arial" w:eastAsia="Arial" w:hAnsi="Arial"/>
                <w:sz w:val="18"/>
                <w:szCs w:val="18"/>
                <w:b w:val="1"/>
                <w:bCs w:val="1"/>
                <w:color w:val="auto"/>
              </w:rPr>
              <w:t>77002</w:t>
            </w:r>
          </w:p>
        </w:tc>
      </w:tr>
      <w:tr>
        <w:trPr>
          <w:trHeight w:val="186"/>
        </w:trPr>
        <w:tc>
          <w:tcPr>
            <w:tcW w:w="4140" w:type="dxa"/>
            <w:vAlign w:val="bottom"/>
          </w:tcPr>
          <w:p>
            <w:pPr>
              <w:jc w:val="center"/>
              <w:ind w:left="1241"/>
              <w:spacing w:after="0"/>
              <w:rPr>
                <w:sz w:val="20"/>
                <w:szCs w:val="20"/>
                <w:color w:val="auto"/>
              </w:rPr>
            </w:pPr>
            <w:r>
              <w:rPr>
                <w:rFonts w:ascii="Arial" w:cs="Arial" w:eastAsia="Arial" w:hAnsi="Arial"/>
                <w:sz w:val="14"/>
                <w:szCs w:val="14"/>
                <w:b w:val="1"/>
                <w:bCs w:val="1"/>
                <w:color w:val="auto"/>
                <w:w w:val="92"/>
              </w:rPr>
              <w:t>(Address of Principal Executive Offices)</w:t>
            </w:r>
          </w:p>
        </w:tc>
        <w:tc>
          <w:tcPr>
            <w:tcW w:w="2400" w:type="dxa"/>
            <w:vAlign w:val="bottom"/>
          </w:tcPr>
          <w:p>
            <w:pPr>
              <w:spacing w:after="0"/>
              <w:rPr>
                <w:sz w:val="16"/>
                <w:szCs w:val="16"/>
                <w:color w:val="auto"/>
              </w:rPr>
            </w:pPr>
          </w:p>
        </w:tc>
        <w:tc>
          <w:tcPr>
            <w:tcW w:w="2520" w:type="dxa"/>
            <w:vAlign w:val="bottom"/>
          </w:tcPr>
          <w:p>
            <w:pPr>
              <w:jc w:val="center"/>
              <w:ind w:left="1321"/>
              <w:spacing w:after="0"/>
              <w:rPr>
                <w:sz w:val="20"/>
                <w:szCs w:val="20"/>
                <w:color w:val="auto"/>
              </w:rPr>
            </w:pPr>
            <w:r>
              <w:rPr>
                <w:rFonts w:ascii="Arial" w:cs="Arial" w:eastAsia="Arial" w:hAnsi="Arial"/>
                <w:sz w:val="14"/>
                <w:szCs w:val="14"/>
                <w:b w:val="1"/>
                <w:bCs w:val="1"/>
                <w:color w:val="auto"/>
                <w:w w:val="98"/>
              </w:rPr>
              <w:t>(Zip Code)</w:t>
            </w:r>
          </w:p>
        </w:tc>
      </w:tr>
    </w:tbl>
    <w:p>
      <w:pPr>
        <w:spacing w:after="0" w:line="183" w:lineRule="exact"/>
        <w:rPr>
          <w:sz w:val="24"/>
          <w:szCs w:val="24"/>
          <w:color w:val="auto"/>
        </w:rPr>
      </w:pPr>
    </w:p>
    <w:p>
      <w:pPr>
        <w:jc w:val="center"/>
        <w:ind w:right="-119"/>
        <w:spacing w:after="0"/>
        <w:rPr>
          <w:sz w:val="20"/>
          <w:szCs w:val="20"/>
          <w:color w:val="auto"/>
        </w:rPr>
      </w:pPr>
      <w:r>
        <w:rPr>
          <w:rFonts w:ascii="Arial" w:cs="Arial" w:eastAsia="Arial" w:hAnsi="Arial"/>
          <w:sz w:val="18"/>
          <w:szCs w:val="18"/>
          <w:b w:val="1"/>
          <w:bCs w:val="1"/>
          <w:color w:val="auto"/>
        </w:rPr>
        <w:t>Registrant’s Telephone number, including area code: (713) 512-6200</w:t>
      </w:r>
    </w:p>
    <w:p>
      <w:pPr>
        <w:spacing w:after="0" w:line="200" w:lineRule="exact"/>
        <w:rPr>
          <w:sz w:val="24"/>
          <w:szCs w:val="24"/>
          <w:color w:val="auto"/>
        </w:rPr>
      </w:pPr>
    </w:p>
    <w:p>
      <w:pPr>
        <w:spacing w:after="0" w:line="237" w:lineRule="exact"/>
        <w:rPr>
          <w:sz w:val="24"/>
          <w:szCs w:val="24"/>
          <w:color w:val="auto"/>
        </w:rPr>
      </w:pPr>
    </w:p>
    <w:p>
      <w:pPr>
        <w:jc w:val="center"/>
        <w:ind w:right="-119"/>
        <w:spacing w:after="0"/>
        <w:rPr>
          <w:sz w:val="20"/>
          <w:szCs w:val="20"/>
          <w:color w:val="auto"/>
        </w:rPr>
      </w:pPr>
      <w:r>
        <w:rPr>
          <w:rFonts w:ascii="Arial" w:cs="Arial" w:eastAsia="Arial" w:hAnsi="Arial"/>
          <w:sz w:val="14"/>
          <w:szCs w:val="14"/>
          <w:b w:val="1"/>
          <w:bCs w:val="1"/>
          <w:color w:val="auto"/>
        </w:rPr>
        <w:t>(Former Name or Former Address, if Changed Since Last Report)</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2869565</wp:posOffset>
            </wp:positionH>
            <wp:positionV relativeFrom="paragraph">
              <wp:posOffset>238125</wp:posOffset>
            </wp:positionV>
            <wp:extent cx="1517650"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1517650" cy="8890"/>
                    </a:xfrm>
                    <a:prstGeom prst="rect">
                      <a:avLst/>
                    </a:prstGeom>
                    <a:noFill/>
                  </pic:spPr>
                </pic:pic>
              </a:graphicData>
            </a:graphic>
          </wp:anchor>
        </w:drawing>
      </w:r>
    </w:p>
    <w:p>
      <w:pPr>
        <w:spacing w:after="0" w:line="200" w:lineRule="exact"/>
        <w:rPr>
          <w:sz w:val="24"/>
          <w:szCs w:val="24"/>
          <w:color w:val="auto"/>
        </w:rPr>
      </w:pPr>
    </w:p>
    <w:p>
      <w:pPr>
        <w:spacing w:after="0" w:line="370" w:lineRule="exact"/>
        <w:rPr>
          <w:sz w:val="24"/>
          <w:szCs w:val="24"/>
          <w:color w:val="auto"/>
        </w:rPr>
      </w:pPr>
    </w:p>
    <w:p>
      <w:pPr>
        <w:spacing w:after="0" w:line="277" w:lineRule="auto"/>
        <w:rPr>
          <w:sz w:val="20"/>
          <w:szCs w:val="20"/>
          <w:color w:val="auto"/>
        </w:rPr>
      </w:pPr>
      <w:r>
        <w:rPr>
          <w:rFonts w:ascii="Arial" w:cs="Arial" w:eastAsia="Arial" w:hAnsi="Arial"/>
          <w:sz w:val="18"/>
          <w:szCs w:val="18"/>
          <w:color w:val="auto"/>
        </w:rPr>
        <w:t>Check the appropriate box below if the Form 8-K filing is intended to simultaneously satisfy the filing obligation of the registrant under any of the following provisions:</w:t>
      </w:r>
    </w:p>
    <w:p>
      <w:pPr>
        <w:spacing w:after="0" w:line="76" w:lineRule="exact"/>
        <w:rPr>
          <w:sz w:val="24"/>
          <w:szCs w:val="24"/>
          <w:color w:val="auto"/>
        </w:rPr>
      </w:pPr>
    </w:p>
    <w:p>
      <w:pPr>
        <w:ind w:left="460" w:hanging="452"/>
        <w:spacing w:after="0"/>
        <w:tabs>
          <w:tab w:leader="none" w:pos="46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Written communications pursuant to Rule 425 under the Securities Act (17 CFR 230.425)</w:t>
      </w:r>
    </w:p>
    <w:p>
      <w:pPr>
        <w:spacing w:after="0" w:line="130" w:lineRule="exact"/>
        <w:rPr>
          <w:rFonts w:ascii="MS PGothic" w:cs="MS PGothic" w:eastAsia="MS PGothic" w:hAnsi="MS PGothic"/>
          <w:sz w:val="18"/>
          <w:szCs w:val="18"/>
          <w:color w:val="auto"/>
        </w:rPr>
      </w:pPr>
    </w:p>
    <w:p>
      <w:pPr>
        <w:ind w:left="460" w:hanging="452"/>
        <w:spacing w:after="0"/>
        <w:tabs>
          <w:tab w:leader="none" w:pos="46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Soliciting material pursuant to Rule 14a-12 under the Exchange Act (17 CFR 240.14a-12)</w:t>
      </w:r>
    </w:p>
    <w:p>
      <w:pPr>
        <w:spacing w:after="0" w:line="130" w:lineRule="exact"/>
        <w:rPr>
          <w:rFonts w:ascii="MS PGothic" w:cs="MS PGothic" w:eastAsia="MS PGothic" w:hAnsi="MS PGothic"/>
          <w:sz w:val="18"/>
          <w:szCs w:val="18"/>
          <w:color w:val="auto"/>
        </w:rPr>
      </w:pPr>
    </w:p>
    <w:p>
      <w:pPr>
        <w:ind w:left="460" w:hanging="452"/>
        <w:spacing w:after="0"/>
        <w:tabs>
          <w:tab w:leader="none" w:pos="46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Pre-commencement communications pursuant to Rule 14d-2(b) under the Exchange Act (17 CFR 240.14d-2(b))</w:t>
      </w:r>
    </w:p>
    <w:p>
      <w:pPr>
        <w:spacing w:after="0" w:line="130" w:lineRule="exact"/>
        <w:rPr>
          <w:rFonts w:ascii="MS PGothic" w:cs="MS PGothic" w:eastAsia="MS PGothic" w:hAnsi="MS PGothic"/>
          <w:sz w:val="18"/>
          <w:szCs w:val="18"/>
          <w:color w:val="auto"/>
        </w:rPr>
      </w:pPr>
    </w:p>
    <w:p>
      <w:pPr>
        <w:ind w:left="460" w:hanging="452"/>
        <w:spacing w:after="0"/>
        <w:tabs>
          <w:tab w:leader="none" w:pos="460" w:val="left"/>
        </w:tabs>
        <w:numPr>
          <w:ilvl w:val="0"/>
          <w:numId w:val="1"/>
        </w:numPr>
        <w:rPr>
          <w:rFonts w:ascii="MS PGothic" w:cs="MS PGothic" w:eastAsia="MS PGothic" w:hAnsi="MS PGothic"/>
          <w:sz w:val="18"/>
          <w:szCs w:val="18"/>
          <w:color w:val="auto"/>
        </w:rPr>
      </w:pPr>
      <w:r>
        <w:rPr>
          <w:rFonts w:ascii="Arial" w:cs="Arial" w:eastAsia="Arial" w:hAnsi="Arial"/>
          <w:sz w:val="18"/>
          <w:szCs w:val="18"/>
          <w:color w:val="auto"/>
        </w:rPr>
        <w:t>Pre-commencement communications pursuant to Rule 13e-4(c) under the Exchange Act (17 CFR 240.13e-4(c))</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160655</wp:posOffset>
            </wp:positionV>
            <wp:extent cx="7246620" cy="8890"/>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246620" cy="8890"/>
                    </a:xfrm>
                    <a:prstGeom prst="rect">
                      <a:avLst/>
                    </a:prstGeom>
                    <a:noFill/>
                  </pic:spPr>
                </pic:pic>
              </a:graphicData>
            </a:graphic>
          </wp:anchor>
        </w:drawing>
        <w:drawing>
          <wp:anchor simplePos="0" relativeHeight="251657728" behindDoc="1" locked="0" layoutInCell="0" allowOverlap="1">
            <wp:simplePos x="0" y="0"/>
            <wp:positionH relativeFrom="column">
              <wp:posOffset>5080</wp:posOffset>
            </wp:positionH>
            <wp:positionV relativeFrom="paragraph">
              <wp:posOffset>203835</wp:posOffset>
            </wp:positionV>
            <wp:extent cx="7246620" cy="8890"/>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246620" cy="8890"/>
                    </a:xfrm>
                    <a:prstGeom prst="rect">
                      <a:avLst/>
                    </a:prstGeom>
                    <a:noFill/>
                  </pic:spPr>
                </pic:pic>
              </a:graphicData>
            </a:graphic>
          </wp:anchor>
        </w:drawing>
      </w:r>
    </w:p>
    <w:p>
      <w:pPr>
        <w:sectPr>
          <w:pgSz w:w="11900" w:h="16838" w:orient="portrait"/>
          <w:cols w:equalWidth="0" w:num="1">
            <w:col w:w="11300"/>
          </w:cols>
          <w:pgMar w:left="240" w:top="368" w:right="359" w:bottom="1440" w:gutter="0" w:footer="0" w:header="0"/>
        </w:sectPr>
      </w:pPr>
    </w:p>
    <w:bookmarkStart w:id="1" w:name="page2"/>
    <w:bookmarkEnd w:id="1"/>
    <w:p>
      <w:pPr>
        <w:ind w:right="180"/>
        <w:spacing w:after="0" w:line="282" w:lineRule="auto"/>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289165" cy="38735"/>
                    </a:xfrm>
                    <a:prstGeom prst="rect">
                      <a:avLst/>
                    </a:prstGeom>
                    <a:noFill/>
                  </pic:spPr>
                </pic:pic>
              </a:graphicData>
            </a:graphic>
          </wp:anchor>
        </w:drawing>
        <w:t>Item 5.02. Departure of Directors or Principal Officers; Election of Directors; Appointment of Principal Officers; Compensatory Arrangements of Certain Officers.</w:t>
      </w:r>
    </w:p>
    <w:p>
      <w:pPr>
        <w:spacing w:after="0" w:line="58" w:lineRule="exact"/>
        <w:rPr>
          <w:sz w:val="20"/>
          <w:szCs w:val="20"/>
          <w:color w:val="auto"/>
        </w:rPr>
      </w:pPr>
    </w:p>
    <w:p>
      <w:pPr>
        <w:ind w:right="180" w:firstLine="456"/>
        <w:spacing w:after="0" w:line="286" w:lineRule="auto"/>
        <w:rPr>
          <w:sz w:val="20"/>
          <w:szCs w:val="20"/>
          <w:color w:val="auto"/>
        </w:rPr>
      </w:pPr>
      <w:r>
        <w:rPr>
          <w:rFonts w:ascii="Arial" w:cs="Arial" w:eastAsia="Arial" w:hAnsi="Arial"/>
          <w:sz w:val="17"/>
          <w:szCs w:val="17"/>
          <w:color w:val="auto"/>
        </w:rPr>
        <w:t>On July 27, 2016, Waste Management, Inc. (the “Company”) announced that its Board of Directors has promoted James C. Fish, Jr. to the position of President, reporting to Chief Executive Officer David Steiner who is resigning the position of President. Effective July 28, 2016, Mr. Fish will serve as President and Chief Financial Officer. In connection with the foregoing, Mr. Fish’s annual base salary has been increased to $700,000.</w:t>
      </w:r>
    </w:p>
    <w:p>
      <w:pPr>
        <w:spacing w:after="0" w:line="166" w:lineRule="exact"/>
        <w:rPr>
          <w:sz w:val="20"/>
          <w:szCs w:val="20"/>
          <w:color w:val="auto"/>
        </w:rPr>
      </w:pPr>
    </w:p>
    <w:p>
      <w:pPr>
        <w:ind w:right="80" w:firstLine="456"/>
        <w:spacing w:after="0" w:line="276" w:lineRule="auto"/>
        <w:rPr>
          <w:sz w:val="20"/>
          <w:szCs w:val="20"/>
          <w:color w:val="auto"/>
        </w:rPr>
      </w:pPr>
      <w:r>
        <w:rPr>
          <w:rFonts w:ascii="Arial" w:cs="Arial" w:eastAsia="Arial" w:hAnsi="Arial"/>
          <w:sz w:val="17"/>
          <w:szCs w:val="17"/>
          <w:color w:val="auto"/>
        </w:rPr>
        <w:t>Mr. Fish, age 54, joined Waste Management in 2001 as Director, Financial Planning and Analysis. Two years later, he was promoted to Vice President, Price Management and was responsible for running the Company’s pricing programs. Afterwards, he moved into field operations as Vice President, first serving as Market Area General Manager for the Rhode Island/Southern Massachusetts Market Area, then managing the larger Western Pennsylvania/West Virginia Market Area, and finally managing the expanded Pennsylvania/West Virginia Area until his promotion to Senior Vice President, Eastern Group in June 2011. Since July 2012, Mr. Fish has served as Executive Vice President and Chief Financial Officer.</w:t>
      </w:r>
    </w:p>
    <w:p>
      <w:pPr>
        <w:spacing w:after="0" w:line="173" w:lineRule="exact"/>
        <w:rPr>
          <w:sz w:val="20"/>
          <w:szCs w:val="20"/>
          <w:color w:val="auto"/>
        </w:rPr>
      </w:pPr>
    </w:p>
    <w:p>
      <w:pPr>
        <w:ind w:firstLine="456"/>
        <w:spacing w:after="0" w:line="286" w:lineRule="auto"/>
        <w:rPr>
          <w:sz w:val="20"/>
          <w:szCs w:val="20"/>
          <w:color w:val="auto"/>
        </w:rPr>
      </w:pPr>
      <w:r>
        <w:rPr>
          <w:rFonts w:ascii="Arial" w:cs="Arial" w:eastAsia="Arial" w:hAnsi="Arial"/>
          <w:sz w:val="17"/>
          <w:szCs w:val="17"/>
          <w:color w:val="auto"/>
        </w:rPr>
        <w:t>Mr. Fish earned a Bachelor of Science degree in accounting from Arizona State University and a MBA in finance from the University of Chicago. He is also a Certified Public Accountant. Prior to joining Waste Management, Mr. Fish held finance or revenue management positions at Westex, a Yellow Corporation subsidiary; Trans World Airlines, Inc; and America West Airlines, Inc. He began his professional career at KPMG Peat Marwick.</w:t>
      </w:r>
    </w:p>
    <w:p>
      <w:pPr>
        <w:spacing w:after="0" w:line="166" w:lineRule="exact"/>
        <w:rPr>
          <w:sz w:val="20"/>
          <w:szCs w:val="20"/>
          <w:color w:val="auto"/>
        </w:rPr>
      </w:pPr>
    </w:p>
    <w:p>
      <w:pPr>
        <w:ind w:left="460"/>
        <w:spacing w:after="0"/>
        <w:rPr>
          <w:sz w:val="20"/>
          <w:szCs w:val="20"/>
          <w:color w:val="auto"/>
        </w:rPr>
      </w:pPr>
      <w:r>
        <w:rPr>
          <w:rFonts w:ascii="Arial" w:cs="Arial" w:eastAsia="Arial" w:hAnsi="Arial"/>
          <w:sz w:val="18"/>
          <w:szCs w:val="18"/>
          <w:color w:val="auto"/>
        </w:rPr>
        <w:t>A copy of the press release announcing Mr. Fish’s promotion is filed as Exhibit 99.1 to this report.</w:t>
      </w:r>
    </w:p>
    <w:p>
      <w:pPr>
        <w:spacing w:after="0" w:line="32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Item 9.01. Financial Statements and Exhibits.</w:t>
      </w:r>
    </w:p>
    <w:p>
      <w:pPr>
        <w:spacing w:after="0" w:line="121" w:lineRule="exact"/>
        <w:rPr>
          <w:sz w:val="20"/>
          <w:szCs w:val="20"/>
          <w:color w:val="auto"/>
        </w:rPr>
      </w:pPr>
    </w:p>
    <w:p>
      <w:pPr>
        <w:spacing w:after="0"/>
        <w:rPr>
          <w:sz w:val="20"/>
          <w:szCs w:val="20"/>
          <w:color w:val="auto"/>
        </w:rPr>
      </w:pPr>
      <w:r>
        <w:rPr>
          <w:rFonts w:ascii="Arial" w:cs="Arial" w:eastAsia="Arial" w:hAnsi="Arial"/>
          <w:sz w:val="18"/>
          <w:szCs w:val="18"/>
          <w:color w:val="auto"/>
        </w:rPr>
        <w:t>(d) Exhibits</w:t>
      </w:r>
    </w:p>
    <w:p>
      <w:pPr>
        <w:spacing w:after="0" w:line="239" w:lineRule="exact"/>
        <w:rPr>
          <w:sz w:val="20"/>
          <w:szCs w:val="20"/>
          <w:color w:val="auto"/>
        </w:rPr>
      </w:pPr>
    </w:p>
    <w:p>
      <w:pPr>
        <w:spacing w:after="0"/>
        <w:tabs>
          <w:tab w:leader="none" w:pos="1480" w:val="left"/>
        </w:tabs>
        <w:rPr>
          <w:sz w:val="20"/>
          <w:szCs w:val="20"/>
          <w:color w:val="auto"/>
        </w:rPr>
      </w:pPr>
      <w:r>
        <w:rPr>
          <w:rFonts w:ascii="Arial" w:cs="Arial" w:eastAsia="Arial" w:hAnsi="Arial"/>
          <w:sz w:val="18"/>
          <w:szCs w:val="18"/>
          <w:color w:val="auto"/>
        </w:rPr>
        <w:t>Exhibit 99.1:</w:t>
      </w:r>
      <w:r>
        <w:rPr>
          <w:sz w:val="20"/>
          <w:szCs w:val="20"/>
          <w:color w:val="auto"/>
        </w:rPr>
        <w:tab/>
      </w:r>
      <w:r>
        <w:rPr>
          <w:rFonts w:ascii="Arial" w:cs="Arial" w:eastAsia="Arial" w:hAnsi="Arial"/>
          <w:sz w:val="15"/>
          <w:szCs w:val="15"/>
          <w:color w:val="auto"/>
        </w:rPr>
        <w:t>Press Release dated July 27, 2016</w:t>
      </w:r>
    </w:p>
    <w:p>
      <w:pPr>
        <w:spacing w:after="0" w:line="158"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2</w:t>
      </w:r>
    </w:p>
    <w:p>
      <w:pPr>
        <w:sectPr>
          <w:pgSz w:w="11900" w:h="16838" w:orient="portrait"/>
          <w:cols w:equalWidth="0" w:num="1">
            <w:col w:w="11400"/>
          </w:cols>
          <w:pgMar w:left="240" w:top="270" w:right="259" w:bottom="1440" w:gutter="0" w:footer="0" w:header="0"/>
        </w:sectPr>
      </w:pPr>
    </w:p>
    <w:bookmarkStart w:id="2" w:name="page3"/>
    <w:bookmarkEnd w:id="2"/>
    <w:p>
      <w:pPr>
        <w:jc w:val="center"/>
        <w:ind w:right="-79"/>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289165" cy="38735"/>
                    </a:xfrm>
                    <a:prstGeom prst="rect">
                      <a:avLst/>
                    </a:prstGeom>
                    <a:noFill/>
                  </pic:spPr>
                </pic:pic>
              </a:graphicData>
            </a:graphic>
          </wp:anchor>
        </w:drawing>
        <w:t>SIGNATURES</w:t>
      </w:r>
    </w:p>
    <w:p>
      <w:pPr>
        <w:spacing w:after="0" w:line="229" w:lineRule="exact"/>
        <w:rPr>
          <w:sz w:val="20"/>
          <w:szCs w:val="20"/>
          <w:color w:val="auto"/>
        </w:rPr>
      </w:pPr>
    </w:p>
    <w:p>
      <w:pPr>
        <w:ind w:firstLine="456"/>
        <w:spacing w:after="0" w:line="277" w:lineRule="auto"/>
        <w:rPr>
          <w:sz w:val="20"/>
          <w:szCs w:val="20"/>
          <w:color w:val="auto"/>
        </w:rPr>
      </w:pPr>
      <w:r>
        <w:rPr>
          <w:rFonts w:ascii="Arial" w:cs="Arial" w:eastAsia="Arial" w:hAnsi="Arial"/>
          <w:sz w:val="18"/>
          <w:szCs w:val="18"/>
          <w:color w:val="auto"/>
        </w:rPr>
        <w:t>Pursuant to the requirements of the Securities Exchange Act of 1934, the registrant has caused this report to be signed on its behalf by the undersigned, hereunto duly authorized.</w:t>
      </w:r>
    </w:p>
    <w:p>
      <w:pPr>
        <w:spacing w:after="0" w:line="197" w:lineRule="exact"/>
        <w:rPr>
          <w:sz w:val="20"/>
          <w:szCs w:val="20"/>
          <w:color w:val="auto"/>
        </w:rPr>
      </w:pPr>
    </w:p>
    <w:p>
      <w:pPr>
        <w:ind w:left="5900"/>
        <w:spacing w:after="0"/>
        <w:rPr>
          <w:sz w:val="20"/>
          <w:szCs w:val="20"/>
          <w:color w:val="auto"/>
        </w:rPr>
      </w:pPr>
      <w:r>
        <w:rPr>
          <w:rFonts w:ascii="Arial" w:cs="Arial" w:eastAsia="Arial" w:hAnsi="Arial"/>
          <w:sz w:val="18"/>
          <w:szCs w:val="18"/>
          <w:color w:val="auto"/>
        </w:rPr>
        <w:t>WASTE MANAGEMENT, INC.</w:t>
      </w:r>
    </w:p>
    <w:p>
      <w:pPr>
        <w:spacing w:after="0" w:line="225" w:lineRule="exact"/>
        <w:rPr>
          <w:sz w:val="20"/>
          <w:szCs w:val="20"/>
          <w:color w:val="auto"/>
        </w:rPr>
      </w:pPr>
    </w:p>
    <w:p>
      <w:pPr>
        <w:spacing w:after="0"/>
        <w:tabs>
          <w:tab w:leader="none" w:pos="5880" w:val="left"/>
        </w:tabs>
        <w:rPr>
          <w:sz w:val="20"/>
          <w:szCs w:val="20"/>
          <w:color w:val="auto"/>
        </w:rPr>
      </w:pPr>
      <w:r>
        <w:rPr>
          <w:rFonts w:ascii="Arial" w:cs="Arial" w:eastAsia="Arial" w:hAnsi="Arial"/>
          <w:sz w:val="18"/>
          <w:szCs w:val="18"/>
          <w:color w:val="auto"/>
        </w:rPr>
        <w:t>Date: July 27, 2016</w:t>
      </w:r>
      <w:r>
        <w:rPr>
          <w:sz w:val="20"/>
          <w:szCs w:val="20"/>
          <w:color w:val="auto"/>
        </w:rPr>
        <w:tab/>
      </w:r>
      <w:r>
        <w:rPr>
          <w:rFonts w:ascii="Arial" w:cs="Arial" w:eastAsia="Arial" w:hAnsi="Arial"/>
          <w:sz w:val="17"/>
          <w:szCs w:val="17"/>
          <w:color w:val="auto"/>
        </w:rPr>
        <w:t xml:space="preserve">By:  </w:t>
      </w:r>
      <w:r>
        <w:rPr>
          <w:rFonts w:ascii="Arial" w:cs="Arial" w:eastAsia="Arial" w:hAnsi="Arial"/>
          <w:sz w:val="17"/>
          <w:szCs w:val="17"/>
          <w:i w:val="1"/>
          <w:iCs w:val="1"/>
          <w:color w:val="auto"/>
        </w:rPr>
        <w:t>/s/ Barry H. Caldwell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3992880</wp:posOffset>
            </wp:positionH>
            <wp:positionV relativeFrom="paragraph">
              <wp:posOffset>14605</wp:posOffset>
            </wp:positionV>
            <wp:extent cx="3258820" cy="889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3258820" cy="8890"/>
                    </a:xfrm>
                    <a:prstGeom prst="rect">
                      <a:avLst/>
                    </a:prstGeom>
                    <a:noFill/>
                  </pic:spPr>
                </pic:pic>
              </a:graphicData>
            </a:graphic>
          </wp:anchor>
        </w:drawing>
      </w:r>
    </w:p>
    <w:p>
      <w:pPr>
        <w:spacing w:after="0" w:line="16" w:lineRule="exact"/>
        <w:rPr>
          <w:sz w:val="20"/>
          <w:szCs w:val="20"/>
          <w:color w:val="auto"/>
        </w:rPr>
      </w:pPr>
    </w:p>
    <w:p>
      <w:pPr>
        <w:ind w:left="6280"/>
        <w:spacing w:after="0"/>
        <w:rPr>
          <w:sz w:val="20"/>
          <w:szCs w:val="20"/>
          <w:color w:val="auto"/>
        </w:rPr>
      </w:pPr>
      <w:r>
        <w:rPr>
          <w:rFonts w:ascii="Arial" w:cs="Arial" w:eastAsia="Arial" w:hAnsi="Arial"/>
          <w:sz w:val="18"/>
          <w:szCs w:val="18"/>
          <w:color w:val="auto"/>
        </w:rPr>
        <w:t>Barry H. Caldwell</w:t>
      </w:r>
    </w:p>
    <w:p>
      <w:pPr>
        <w:spacing w:after="0" w:line="23" w:lineRule="exact"/>
        <w:rPr>
          <w:sz w:val="20"/>
          <w:szCs w:val="20"/>
          <w:color w:val="auto"/>
        </w:rPr>
      </w:pPr>
    </w:p>
    <w:p>
      <w:pPr>
        <w:ind w:left="6280"/>
        <w:spacing w:after="0"/>
        <w:rPr>
          <w:sz w:val="20"/>
          <w:szCs w:val="20"/>
          <w:color w:val="auto"/>
        </w:rPr>
      </w:pPr>
      <w:r>
        <w:rPr>
          <w:rFonts w:ascii="Arial" w:cs="Arial" w:eastAsia="Arial" w:hAnsi="Arial"/>
          <w:sz w:val="18"/>
          <w:szCs w:val="18"/>
          <w:color w:val="auto"/>
        </w:rPr>
        <w:t>Senior Vice President, Corporate Affairs</w:t>
      </w:r>
    </w:p>
    <w:p>
      <w:pPr>
        <w:spacing w:after="0" w:line="9" w:lineRule="exact"/>
        <w:rPr>
          <w:sz w:val="20"/>
          <w:szCs w:val="20"/>
          <w:color w:val="auto"/>
        </w:rPr>
      </w:pPr>
    </w:p>
    <w:p>
      <w:pPr>
        <w:ind w:left="6280"/>
        <w:spacing w:after="0"/>
        <w:rPr>
          <w:sz w:val="20"/>
          <w:szCs w:val="20"/>
          <w:color w:val="auto"/>
        </w:rPr>
      </w:pPr>
      <w:r>
        <w:rPr>
          <w:rFonts w:ascii="Arial" w:cs="Arial" w:eastAsia="Arial" w:hAnsi="Arial"/>
          <w:sz w:val="18"/>
          <w:szCs w:val="18"/>
          <w:color w:val="auto"/>
        </w:rPr>
        <w:t>Chief Legal Officer</w:t>
      </w:r>
    </w:p>
    <w:p>
      <w:pPr>
        <w:spacing w:after="0" w:line="157" w:lineRule="exact"/>
        <w:rPr>
          <w:sz w:val="20"/>
          <w:szCs w:val="20"/>
          <w:color w:val="auto"/>
        </w:rPr>
      </w:pPr>
    </w:p>
    <w:p>
      <w:pPr>
        <w:jc w:val="center"/>
        <w:ind w:right="-79"/>
        <w:spacing w:after="0"/>
        <w:rPr>
          <w:sz w:val="20"/>
          <w:szCs w:val="20"/>
          <w:color w:val="auto"/>
        </w:rPr>
      </w:pPr>
      <w:r>
        <w:rPr>
          <w:rFonts w:ascii="Arial" w:cs="Arial" w:eastAsia="Arial" w:hAnsi="Arial"/>
          <w:sz w:val="18"/>
          <w:szCs w:val="18"/>
          <w:color w:val="auto"/>
        </w:rPr>
        <w:t>3</w:t>
      </w:r>
    </w:p>
    <w:p>
      <w:pPr>
        <w:sectPr>
          <w:pgSz w:w="11900" w:h="16838" w:orient="portrait"/>
          <w:cols w:equalWidth="0" w:num="1">
            <w:col w:w="11340"/>
          </w:cols>
          <w:pgMar w:left="240" w:top="270" w:right="319" w:bottom="1440" w:gutter="0" w:footer="0" w:header="0"/>
        </w:sectPr>
      </w:pPr>
    </w:p>
    <w:bookmarkStart w:id="3" w:name="page4"/>
    <w:bookmarkEnd w:id="3"/>
    <w:p>
      <w:pPr>
        <w:jc w:val="right"/>
        <w:ind w:right="3979"/>
        <w:spacing w:after="0"/>
        <w:rPr>
          <w:sz w:val="20"/>
          <w:szCs w:val="20"/>
          <w:color w:val="auto"/>
        </w:rPr>
      </w:pPr>
      <w:r>
        <w:rPr>
          <w:rFonts w:ascii="Arial" w:cs="Arial" w:eastAsia="Arial" w:hAnsi="Arial"/>
          <w:sz w:val="18"/>
          <w:szCs w:val="18"/>
          <w:b w:val="1"/>
          <w:bCs w:val="1"/>
          <w:u w:val="single" w:color="auto"/>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289165" cy="38735"/>
                    </a:xfrm>
                    <a:prstGeom prst="rect">
                      <a:avLst/>
                    </a:prstGeom>
                    <a:noFill/>
                  </pic:spPr>
                </pic:pic>
              </a:graphicData>
            </a:graphic>
          </wp:anchor>
        </w:drawing>
        <w:t>Exhibit Index</w:t>
      </w:r>
    </w:p>
    <w:p>
      <w:pPr>
        <w:spacing w:after="0" w:line="248" w:lineRule="exact"/>
        <w:rPr>
          <w:sz w:val="20"/>
          <w:szCs w:val="20"/>
          <w:color w:val="auto"/>
        </w:rPr>
      </w:pPr>
    </w:p>
    <w:p>
      <w:pPr>
        <w:ind w:left="40"/>
        <w:spacing w:after="0"/>
        <w:rPr>
          <w:sz w:val="20"/>
          <w:szCs w:val="20"/>
          <w:color w:val="auto"/>
        </w:rPr>
      </w:pPr>
      <w:r>
        <w:rPr>
          <w:rFonts w:ascii="Arial" w:cs="Arial" w:eastAsia="Arial" w:hAnsi="Arial"/>
          <w:sz w:val="14"/>
          <w:szCs w:val="14"/>
          <w:b w:val="1"/>
          <w:bCs w:val="1"/>
          <w:color w:val="auto"/>
        </w:rPr>
        <w:t>Exhibit</w:t>
      </w:r>
    </w:p>
    <w:p>
      <w:pPr>
        <w:spacing w:after="0" w:line="180" w:lineRule="auto"/>
        <w:tabs>
          <w:tab w:leader="none" w:pos="1060" w:val="left"/>
        </w:tabs>
        <w:rPr>
          <w:sz w:val="20"/>
          <w:szCs w:val="20"/>
          <w:color w:val="auto"/>
        </w:rPr>
      </w:pPr>
      <w:r>
        <w:rPr>
          <w:rFonts w:ascii="Arial" w:cs="Arial" w:eastAsia="Arial" w:hAnsi="Arial"/>
          <w:sz w:val="22"/>
          <w:szCs w:val="22"/>
          <w:b w:val="1"/>
          <w:bCs w:val="1"/>
          <w:u w:val="single" w:color="auto"/>
          <w:color w:val="auto"/>
          <w:vertAlign w:val="superscript"/>
        </w:rPr>
        <w:t>Number</w:t>
      </w:r>
      <w:r>
        <w:rPr>
          <w:sz w:val="20"/>
          <w:szCs w:val="20"/>
          <w:color w:val="auto"/>
        </w:rPr>
        <w:tab/>
      </w:r>
      <w:r>
        <w:rPr>
          <w:rFonts w:ascii="Arial" w:cs="Arial" w:eastAsia="Arial" w:hAnsi="Arial"/>
          <w:sz w:val="12"/>
          <w:szCs w:val="12"/>
          <w:b w:val="1"/>
          <w:bCs w:val="1"/>
          <w:u w:val="single" w:color="auto"/>
          <w:color w:val="auto"/>
        </w:rPr>
        <w:t>Description</w:t>
      </w:r>
    </w:p>
    <w:p>
      <w:pPr>
        <w:spacing w:after="0" w:line="119" w:lineRule="exact"/>
        <w:rPr>
          <w:sz w:val="20"/>
          <w:szCs w:val="20"/>
          <w:color w:val="auto"/>
        </w:rPr>
      </w:pPr>
    </w:p>
    <w:p>
      <w:pPr>
        <w:spacing w:after="0"/>
        <w:tabs>
          <w:tab w:leader="none" w:pos="1060" w:val="left"/>
        </w:tabs>
        <w:rPr>
          <w:sz w:val="20"/>
          <w:szCs w:val="20"/>
          <w:color w:val="auto"/>
        </w:rPr>
      </w:pPr>
      <w:r>
        <w:rPr>
          <w:rFonts w:ascii="Arial" w:cs="Arial" w:eastAsia="Arial" w:hAnsi="Arial"/>
          <w:sz w:val="18"/>
          <w:szCs w:val="18"/>
          <w:color w:val="auto"/>
        </w:rPr>
        <w:t>99.1</w:t>
      </w:r>
      <w:r>
        <w:rPr>
          <w:sz w:val="20"/>
          <w:szCs w:val="20"/>
          <w:color w:val="auto"/>
        </w:rPr>
        <w:tab/>
      </w:r>
      <w:r>
        <w:rPr>
          <w:rFonts w:ascii="Arial" w:cs="Arial" w:eastAsia="Arial" w:hAnsi="Arial"/>
          <w:sz w:val="15"/>
          <w:szCs w:val="15"/>
          <w:color w:val="auto"/>
        </w:rPr>
        <w:t>Press Release dated July 27, 2016</w:t>
      </w:r>
    </w:p>
    <w:p>
      <w:pPr>
        <w:spacing w:after="0" w:line="142" w:lineRule="exact"/>
        <w:rPr>
          <w:sz w:val="20"/>
          <w:szCs w:val="20"/>
          <w:color w:val="auto"/>
        </w:rPr>
      </w:pPr>
    </w:p>
    <w:p>
      <w:pPr>
        <w:ind w:left="5660"/>
        <w:spacing w:after="0"/>
        <w:rPr>
          <w:sz w:val="20"/>
          <w:szCs w:val="20"/>
          <w:color w:val="auto"/>
        </w:rPr>
      </w:pPr>
      <w:r>
        <w:rPr>
          <w:rFonts w:ascii="Arial" w:cs="Arial" w:eastAsia="Arial" w:hAnsi="Arial"/>
          <w:sz w:val="18"/>
          <w:szCs w:val="18"/>
          <w:color w:val="auto"/>
        </w:rPr>
        <w:t>4</w:t>
      </w:r>
    </w:p>
    <w:p>
      <w:pPr>
        <w:sectPr>
          <w:pgSz w:w="11900" w:h="16838" w:orient="portrait"/>
          <w:cols w:equalWidth="0" w:num="1">
            <w:col w:w="10219"/>
          </w:cols>
          <w:pgMar w:left="240" w:top="270" w:right="1440" w:bottom="1440" w:gutter="0" w:footer="0" w:header="0"/>
        </w:sectPr>
      </w:pPr>
    </w:p>
    <w:bookmarkStart w:id="4" w:name="page5"/>
    <w:bookmarkEnd w:id="4"/>
    <w:p>
      <w:pPr>
        <w:jc w:val="right"/>
        <w:spacing w:after="0"/>
        <w:rPr>
          <w:sz w:val="20"/>
          <w:szCs w:val="20"/>
          <w:color w:val="auto"/>
        </w:rPr>
      </w:pPr>
      <w:r>
        <w:rPr>
          <w:rFonts w:ascii="Arial" w:cs="Arial" w:eastAsia="Arial" w:hAnsi="Arial"/>
          <w:sz w:val="18"/>
          <w:szCs w:val="18"/>
          <w:b w:val="1"/>
          <w:bCs w:val="1"/>
          <w:color w:val="auto"/>
        </w:rPr>
        <w:t>Exhibit 99.1</w:t>
      </w:r>
    </w:p>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FOR IMMEDIATE RELEASE</w:t>
      </w:r>
    </w:p>
    <w:p>
      <w:pPr>
        <w:spacing w:after="0" w:line="225" w:lineRule="exact"/>
        <w:rPr>
          <w:sz w:val="20"/>
          <w:szCs w:val="20"/>
          <w:color w:val="auto"/>
        </w:rPr>
      </w:pPr>
    </w:p>
    <w:p>
      <w:pPr>
        <w:ind w:left="9060"/>
        <w:spacing w:after="0"/>
        <w:rPr>
          <w:sz w:val="20"/>
          <w:szCs w:val="20"/>
          <w:color w:val="auto"/>
        </w:rPr>
      </w:pPr>
      <w:r>
        <w:rPr>
          <w:rFonts w:ascii="Arial" w:cs="Arial" w:eastAsia="Arial" w:hAnsi="Arial"/>
          <w:sz w:val="18"/>
          <w:szCs w:val="18"/>
          <w:b w:val="1"/>
          <w:bCs w:val="1"/>
          <w:color w:val="auto"/>
        </w:rPr>
        <w:t>FOR MORE INFORMATION</w:t>
      </w:r>
    </w:p>
    <w:p>
      <w:pPr>
        <w:spacing w:after="0" w:line="229" w:lineRule="exact"/>
        <w:rPr>
          <w:sz w:val="20"/>
          <w:szCs w:val="20"/>
          <w:color w:val="auto"/>
        </w:rPr>
      </w:pPr>
    </w:p>
    <w:p>
      <w:pPr>
        <w:ind w:left="9500"/>
        <w:spacing w:after="0"/>
        <w:rPr>
          <w:sz w:val="20"/>
          <w:szCs w:val="20"/>
          <w:color w:val="auto"/>
        </w:rPr>
      </w:pPr>
      <w:r>
        <w:rPr>
          <w:rFonts w:ascii="Arial" w:cs="Arial" w:eastAsia="Arial" w:hAnsi="Arial"/>
          <w:sz w:val="16"/>
          <w:szCs w:val="16"/>
          <w:i w:val="1"/>
          <w:iCs w:val="1"/>
          <w:color w:val="auto"/>
        </w:rPr>
        <w:t xml:space="preserve">Investor Relations: </w:t>
      </w:r>
      <w:r>
        <w:rPr>
          <w:rFonts w:ascii="Arial" w:cs="Arial" w:eastAsia="Arial" w:hAnsi="Arial"/>
          <w:sz w:val="16"/>
          <w:szCs w:val="16"/>
          <w:color w:val="auto"/>
        </w:rPr>
        <w:t>Ed Egl</w:t>
      </w:r>
    </w:p>
    <w:p>
      <w:pPr>
        <w:spacing w:after="0" w:line="46" w:lineRule="exact"/>
        <w:rPr>
          <w:sz w:val="20"/>
          <w:szCs w:val="20"/>
          <w:color w:val="auto"/>
        </w:rPr>
      </w:pPr>
    </w:p>
    <w:p>
      <w:pPr>
        <w:ind w:left="10400"/>
        <w:spacing w:after="0"/>
        <w:rPr>
          <w:sz w:val="20"/>
          <w:szCs w:val="20"/>
          <w:color w:val="auto"/>
        </w:rPr>
      </w:pPr>
      <w:r>
        <w:rPr>
          <w:rFonts w:ascii="Arial" w:cs="Arial" w:eastAsia="Arial" w:hAnsi="Arial"/>
          <w:sz w:val="16"/>
          <w:szCs w:val="16"/>
          <w:color w:val="auto"/>
        </w:rPr>
        <w:t>713-265-1656</w:t>
      </w:r>
    </w:p>
    <w:p>
      <w:pPr>
        <w:spacing w:after="0" w:line="32" w:lineRule="exact"/>
        <w:rPr>
          <w:sz w:val="20"/>
          <w:szCs w:val="20"/>
          <w:color w:val="auto"/>
        </w:rPr>
      </w:pPr>
    </w:p>
    <w:p>
      <w:pPr>
        <w:ind w:left="10360"/>
        <w:spacing w:after="0"/>
        <w:rPr>
          <w:sz w:val="20"/>
          <w:szCs w:val="20"/>
          <w:color w:val="auto"/>
        </w:rPr>
      </w:pPr>
      <w:r>
        <w:rPr>
          <w:rFonts w:ascii="Arial" w:cs="Arial" w:eastAsia="Arial" w:hAnsi="Arial"/>
          <w:sz w:val="15"/>
          <w:szCs w:val="15"/>
          <w:i w:val="1"/>
          <w:iCs w:val="1"/>
          <w:u w:val="single" w:color="auto"/>
          <w:color w:val="auto"/>
        </w:rPr>
        <w:t>eegl@wm.com</w:t>
      </w:r>
    </w:p>
    <w:p>
      <w:pPr>
        <w:spacing w:after="0" w:line="245" w:lineRule="exact"/>
        <w:rPr>
          <w:sz w:val="20"/>
          <w:szCs w:val="20"/>
          <w:color w:val="auto"/>
        </w:rPr>
      </w:pPr>
    </w:p>
    <w:p>
      <w:pPr>
        <w:jc w:val="right"/>
        <w:spacing w:after="0"/>
        <w:rPr>
          <w:sz w:val="20"/>
          <w:szCs w:val="20"/>
          <w:color w:val="auto"/>
        </w:rPr>
      </w:pPr>
      <w:r>
        <w:rPr>
          <w:rFonts w:ascii="Arial" w:cs="Arial" w:eastAsia="Arial" w:hAnsi="Arial"/>
          <w:sz w:val="18"/>
          <w:szCs w:val="18"/>
          <w:color w:val="auto"/>
        </w:rPr>
        <w:t xml:space="preserve">Media: </w:t>
      </w:r>
      <w:r>
        <w:rPr>
          <w:rFonts w:ascii="Arial" w:cs="Arial" w:eastAsia="Arial" w:hAnsi="Arial"/>
          <w:sz w:val="18"/>
          <w:szCs w:val="18"/>
          <w:i w:val="1"/>
          <w:iCs w:val="1"/>
          <w:color w:val="auto"/>
        </w:rPr>
        <w:t>Toni Beck</w:t>
      </w:r>
    </w:p>
    <w:p>
      <w:pPr>
        <w:spacing w:after="0" w:line="23" w:lineRule="exact"/>
        <w:rPr>
          <w:sz w:val="20"/>
          <w:szCs w:val="20"/>
          <w:color w:val="auto"/>
        </w:rPr>
      </w:pPr>
    </w:p>
    <w:p>
      <w:pPr>
        <w:jc w:val="right"/>
        <w:spacing w:after="0"/>
        <w:rPr>
          <w:sz w:val="20"/>
          <w:szCs w:val="20"/>
          <w:color w:val="auto"/>
        </w:rPr>
      </w:pPr>
      <w:r>
        <w:rPr>
          <w:rFonts w:ascii="Arial" w:cs="Arial" w:eastAsia="Arial" w:hAnsi="Arial"/>
          <w:sz w:val="18"/>
          <w:szCs w:val="18"/>
          <w:i w:val="1"/>
          <w:iCs w:val="1"/>
          <w:color w:val="auto"/>
        </w:rPr>
        <w:t>713-394-5093</w:t>
      </w:r>
    </w:p>
    <w:p>
      <w:pPr>
        <w:spacing w:after="0" w:line="9" w:lineRule="exact"/>
        <w:rPr>
          <w:sz w:val="20"/>
          <w:szCs w:val="20"/>
          <w:color w:val="auto"/>
        </w:rPr>
      </w:pPr>
    </w:p>
    <w:p>
      <w:pPr>
        <w:jc w:val="right"/>
        <w:spacing w:after="0"/>
        <w:rPr>
          <w:sz w:val="20"/>
          <w:szCs w:val="20"/>
          <w:color w:val="auto"/>
        </w:rPr>
      </w:pPr>
      <w:r>
        <w:rPr>
          <w:rFonts w:ascii="Arial" w:cs="Arial" w:eastAsia="Arial" w:hAnsi="Arial"/>
          <w:sz w:val="18"/>
          <w:szCs w:val="18"/>
          <w:i w:val="1"/>
          <w:iCs w:val="1"/>
          <w:u w:val="single" w:color="auto"/>
          <w:color w:val="auto"/>
        </w:rPr>
        <w:t>Tbeck3@wm.com</w:t>
      </w:r>
    </w:p>
    <w:p>
      <w:pPr>
        <w:spacing w:after="0" w:line="20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Waste Management Names James C. (Jim) Fish, Jr. President</w:t>
      </w:r>
    </w:p>
    <w:p>
      <w:pPr>
        <w:spacing w:after="0" w:line="225" w:lineRule="exact"/>
        <w:rPr>
          <w:sz w:val="20"/>
          <w:szCs w:val="20"/>
          <w:color w:val="auto"/>
        </w:rPr>
      </w:pPr>
    </w:p>
    <w:p>
      <w:pPr>
        <w:jc w:val="both"/>
        <w:ind w:right="40"/>
        <w:spacing w:after="0" w:line="266" w:lineRule="auto"/>
        <w:rPr>
          <w:sz w:val="20"/>
          <w:szCs w:val="20"/>
          <w:color w:val="auto"/>
        </w:rPr>
      </w:pPr>
      <w:r>
        <w:rPr>
          <w:rFonts w:ascii="Arial" w:cs="Arial" w:eastAsia="Arial" w:hAnsi="Arial"/>
          <w:sz w:val="18"/>
          <w:szCs w:val="18"/>
          <w:b w:val="1"/>
          <w:bCs w:val="1"/>
          <w:color w:val="auto"/>
        </w:rPr>
        <w:t xml:space="preserve">HOUSTON – JULY 27, 2016 – </w:t>
      </w:r>
      <w:r>
        <w:rPr>
          <w:rFonts w:ascii="Arial" w:cs="Arial" w:eastAsia="Arial" w:hAnsi="Arial"/>
          <w:sz w:val="18"/>
          <w:szCs w:val="18"/>
          <w:color w:val="auto"/>
        </w:rPr>
        <w:t>Waste Management, Inc. (NYSE: WM) today announced that its Board of Directors has appointed James C. (Jim) Fish, Jr. to</w:t>
      </w:r>
      <w:r>
        <w:rPr>
          <w:rFonts w:ascii="Arial" w:cs="Arial" w:eastAsia="Arial" w:hAnsi="Arial"/>
          <w:sz w:val="18"/>
          <w:szCs w:val="18"/>
          <w:b w:val="1"/>
          <w:bCs w:val="1"/>
          <w:color w:val="auto"/>
        </w:rPr>
        <w:t xml:space="preserve"> </w:t>
      </w:r>
      <w:r>
        <w:rPr>
          <w:rFonts w:ascii="Arial" w:cs="Arial" w:eastAsia="Arial" w:hAnsi="Arial"/>
          <w:sz w:val="18"/>
          <w:szCs w:val="18"/>
          <w:color w:val="auto"/>
        </w:rPr>
        <w:t>the position of President, reporting to David Steiner, the company’s Chief Executive Officer. Fish retains his existing role as Chief Financial Officer while the Company conducts a search to fill that role.</w:t>
      </w:r>
    </w:p>
    <w:p>
      <w:pPr>
        <w:spacing w:after="0" w:line="180" w:lineRule="exact"/>
        <w:rPr>
          <w:sz w:val="20"/>
          <w:szCs w:val="20"/>
          <w:color w:val="auto"/>
        </w:rPr>
      </w:pPr>
    </w:p>
    <w:p>
      <w:pPr>
        <w:ind w:right="240"/>
        <w:spacing w:after="0" w:line="286" w:lineRule="auto"/>
        <w:rPr>
          <w:sz w:val="20"/>
          <w:szCs w:val="20"/>
          <w:color w:val="auto"/>
        </w:rPr>
      </w:pPr>
      <w:r>
        <w:rPr>
          <w:rFonts w:ascii="Arial" w:cs="Arial" w:eastAsia="Arial" w:hAnsi="Arial"/>
          <w:sz w:val="17"/>
          <w:szCs w:val="17"/>
          <w:color w:val="auto"/>
        </w:rPr>
        <w:t>The new Chief Financial Officer will report to Fish, who will maintain his responsibility for all financial affairs for Waste Management, including treasury, audit, accounting, financial planning, tax and investor relations. He will also continue to oversee the information technology group and several of the Company’s growth areas, including strategic business development and the Company’s organic growth group.</w:t>
      </w:r>
    </w:p>
    <w:p>
      <w:pPr>
        <w:spacing w:after="0" w:line="166" w:lineRule="exact"/>
        <w:rPr>
          <w:sz w:val="20"/>
          <w:szCs w:val="20"/>
          <w:color w:val="auto"/>
        </w:rPr>
      </w:pPr>
    </w:p>
    <w:p>
      <w:pPr>
        <w:ind w:right="340"/>
        <w:spacing w:after="0" w:line="277" w:lineRule="auto"/>
        <w:rPr>
          <w:sz w:val="20"/>
          <w:szCs w:val="20"/>
          <w:color w:val="auto"/>
        </w:rPr>
      </w:pPr>
      <w:r>
        <w:rPr>
          <w:rFonts w:ascii="Arial" w:cs="Arial" w:eastAsia="Arial" w:hAnsi="Arial"/>
          <w:sz w:val="18"/>
          <w:szCs w:val="18"/>
          <w:color w:val="auto"/>
        </w:rPr>
        <w:t>“The Board of Directors and I have a strong and ongoing focus on succession planning, and the next logical step in that process is for Jim to be appointed President,” said David P. Steiner, Chief Executive Officer of Waste Management.</w:t>
      </w:r>
    </w:p>
    <w:p>
      <w:pPr>
        <w:spacing w:after="0" w:line="170" w:lineRule="exact"/>
        <w:rPr>
          <w:sz w:val="20"/>
          <w:szCs w:val="20"/>
          <w:color w:val="auto"/>
        </w:rPr>
      </w:pPr>
    </w:p>
    <w:p>
      <w:pPr>
        <w:ind w:right="360"/>
        <w:spacing w:after="0" w:line="259" w:lineRule="auto"/>
        <w:rPr>
          <w:sz w:val="20"/>
          <w:szCs w:val="20"/>
          <w:color w:val="auto"/>
        </w:rPr>
      </w:pPr>
      <w:r>
        <w:rPr>
          <w:rFonts w:ascii="Arial" w:cs="Arial" w:eastAsia="Arial" w:hAnsi="Arial"/>
          <w:sz w:val="18"/>
          <w:szCs w:val="18"/>
          <w:color w:val="auto"/>
        </w:rPr>
        <w:t>“In his 15 years with the company, Jim has been pivotal to the success of our business, and this appointment is extremely well deserved. He is a talented leader with tremendous knowledge of and expertise in all aspects of our business and has an impressive track record of delivering results and driving shareholder value. The Senior Leadership Team and I look forward to continuing our work alongside Jim in his added role as President as we execute our strategy to drive profitable growth and create value for our shareholders,” Steiner added.</w:t>
      </w:r>
    </w:p>
    <w:p>
      <w:pPr>
        <w:spacing w:after="0" w:line="187" w:lineRule="exact"/>
        <w:rPr>
          <w:sz w:val="20"/>
          <w:szCs w:val="20"/>
          <w:color w:val="auto"/>
        </w:rPr>
      </w:pPr>
    </w:p>
    <w:p>
      <w:pPr>
        <w:ind w:right="120"/>
        <w:spacing w:after="0" w:line="264" w:lineRule="auto"/>
        <w:rPr>
          <w:sz w:val="20"/>
          <w:szCs w:val="20"/>
          <w:color w:val="auto"/>
        </w:rPr>
      </w:pPr>
      <w:r>
        <w:rPr>
          <w:rFonts w:ascii="Arial" w:cs="Arial" w:eastAsia="Arial" w:hAnsi="Arial"/>
          <w:sz w:val="18"/>
          <w:szCs w:val="18"/>
          <w:color w:val="auto"/>
        </w:rPr>
        <w:t>“I am excited to take on this role and humbled by the confidence David and the Board of Directors have demonstrated in me,” said Fish. “Our Company’s future is bright, our business plan is solid and I look forward to continue working with our field and corporate teams to successfully execute on all aspects of that plan.”</w:t>
      </w:r>
    </w:p>
    <w:p>
      <w:pPr>
        <w:spacing w:after="0" w:line="181" w:lineRule="exact"/>
        <w:rPr>
          <w:sz w:val="20"/>
          <w:szCs w:val="20"/>
          <w:color w:val="auto"/>
        </w:rPr>
      </w:pPr>
    </w:p>
    <w:p>
      <w:pPr>
        <w:jc w:val="both"/>
        <w:ind w:right="20"/>
        <w:spacing w:after="0" w:line="264" w:lineRule="auto"/>
        <w:rPr>
          <w:sz w:val="20"/>
          <w:szCs w:val="20"/>
          <w:color w:val="auto"/>
        </w:rPr>
      </w:pPr>
      <w:r>
        <w:rPr>
          <w:rFonts w:ascii="Arial" w:cs="Arial" w:eastAsia="Arial" w:hAnsi="Arial"/>
          <w:sz w:val="18"/>
          <w:szCs w:val="18"/>
          <w:color w:val="auto"/>
        </w:rPr>
        <w:t>Fish, 54, joined Waste Management in 2001. Prior to becoming CFO, he held several key positions with the Company, including Senior Vice President for the Company’s Eastern Group, Area Vice President for Pennsylvania and West Virginia, Market Area General Manager for Massachusetts and Rhode Island, Vice President of Price Management and Director of Financial Planning and Analysis.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81280</wp:posOffset>
            </wp:positionV>
            <wp:extent cx="1097915" cy="42862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1097915" cy="428625"/>
                    </a:xfrm>
                    <a:prstGeom prst="rect">
                      <a:avLst/>
                    </a:prstGeom>
                    <a:noFill/>
                  </pic:spPr>
                </pic:pic>
              </a:graphicData>
            </a:graphic>
          </wp:anchor>
        </w:drawing>
        <w:drawing>
          <wp:anchor simplePos="0" relativeHeight="251657728" behindDoc="1" locked="0" layoutInCell="0" allowOverlap="1">
            <wp:simplePos x="0" y="0"/>
            <wp:positionH relativeFrom="column">
              <wp:posOffset>6248400</wp:posOffset>
            </wp:positionH>
            <wp:positionV relativeFrom="paragraph">
              <wp:posOffset>313055</wp:posOffset>
            </wp:positionV>
            <wp:extent cx="1003300" cy="19748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1003300" cy="197485"/>
                    </a:xfrm>
                    <a:prstGeom prst="rect">
                      <a:avLst/>
                    </a:prstGeom>
                    <a:noFill/>
                  </pic:spPr>
                </pic:pic>
              </a:graphicData>
            </a:graphic>
          </wp:anchor>
        </w:drawing>
      </w:r>
    </w:p>
    <w:p>
      <w:pPr>
        <w:sectPr>
          <w:pgSz w:w="11900" w:h="16838" w:orient="portrait"/>
          <w:cols w:equalWidth="0" w:num="1">
            <w:col w:w="11420"/>
          </w:cols>
          <w:pgMar w:left="240" w:top="121" w:right="239" w:bottom="1440" w:gutter="0" w:footer="0" w:header="0"/>
        </w:sectPr>
      </w:pPr>
    </w:p>
    <w:bookmarkStart w:id="5" w:name="page6"/>
    <w:bookmarkEnd w:id="5"/>
    <w:p>
      <w:pPr>
        <w:ind w:right="40"/>
        <w:spacing w:after="0" w:line="264" w:lineRule="auto"/>
        <w:rPr>
          <w:sz w:val="20"/>
          <w:szCs w:val="20"/>
          <w:color w:val="auto"/>
        </w:rPr>
      </w:pPr>
      <w:r>
        <w:rPr>
          <w:rFonts w:ascii="Arial" w:cs="Arial" w:eastAsia="Arial" w:hAnsi="Arial"/>
          <w:sz w:val="18"/>
          <w:szCs w:val="18"/>
          <w:color w:val="auto"/>
        </w:rPr>
        <w:drawing>
          <wp:anchor simplePos="0" relativeHeight="251657728" behindDoc="1" locked="0" layoutInCell="0" allowOverlap="1">
            <wp:simplePos x="0" y="0"/>
            <wp:positionH relativeFrom="page">
              <wp:posOffset>144780</wp:posOffset>
            </wp:positionH>
            <wp:positionV relativeFrom="page">
              <wp:posOffset>88900</wp:posOffset>
            </wp:positionV>
            <wp:extent cx="7289165" cy="3873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289165" cy="38735"/>
                    </a:xfrm>
                    <a:prstGeom prst="rect">
                      <a:avLst/>
                    </a:prstGeom>
                    <a:noFill/>
                  </pic:spPr>
                </pic:pic>
              </a:graphicData>
            </a:graphic>
          </wp:anchor>
        </w:drawing>
        <w:t>Before joining Waste Management, Fish held finance or revenue management positions at Westex, a Yellow-Roadway subsidiary; Trans World Airlines; and America West Airlines. He began his professional career at KPMG Peat Marwick. Fish earned a Bachelor of Science in accounting from Arizona State University and an MBA in finance from the University of Chicago. He is also a Certified Public Accountant.</w:t>
      </w:r>
    </w:p>
    <w:p>
      <w:pPr>
        <w:spacing w:after="0" w:line="28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ABOUT WASTE MANAGEMENT</w:t>
      </w:r>
    </w:p>
    <w:p>
      <w:pPr>
        <w:spacing w:after="0" w:line="121" w:lineRule="exact"/>
        <w:rPr>
          <w:sz w:val="20"/>
          <w:szCs w:val="20"/>
          <w:color w:val="auto"/>
        </w:rPr>
      </w:pPr>
    </w:p>
    <w:p>
      <w:pPr>
        <w:spacing w:after="0" w:line="279" w:lineRule="auto"/>
        <w:rPr>
          <w:sz w:val="20"/>
          <w:szCs w:val="20"/>
          <w:color w:val="auto"/>
        </w:rPr>
      </w:pPr>
      <w:r>
        <w:rPr>
          <w:rFonts w:ascii="Arial" w:cs="Arial" w:eastAsia="Arial" w:hAnsi="Arial"/>
          <w:sz w:val="17"/>
          <w:szCs w:val="17"/>
          <w:color w:val="auto"/>
        </w:rPr>
        <w:t xml:space="preserve">Waste Management, based in Houston, Texas, is the leading provider of comprehensive waste management services in North America. Through its subsidiaries, the company provides collection, transfer, recycling and resource recovery, and disposal services. It is also a leading developer, operator and owner of landfill gas-to-energy facilities in the United States. The company’s customers include residential, commercial, industrial, and municipal customers throughout North America. To learn more information about Waste Management visit </w:t>
      </w:r>
      <w:r>
        <w:rPr>
          <w:rFonts w:ascii="Arial" w:cs="Arial" w:eastAsia="Arial" w:hAnsi="Arial"/>
          <w:sz w:val="17"/>
          <w:szCs w:val="17"/>
          <w:u w:val="single" w:color="auto"/>
          <w:color w:val="auto"/>
        </w:rPr>
        <w:t>www.wm.com</w:t>
      </w:r>
      <w:r>
        <w:rPr>
          <w:rFonts w:ascii="Arial" w:cs="Arial" w:eastAsia="Arial" w:hAnsi="Arial"/>
          <w:sz w:val="17"/>
          <w:szCs w:val="17"/>
          <w:color w:val="auto"/>
        </w:rPr>
        <w:t xml:space="preserve"> or </w:t>
      </w:r>
      <w:r>
        <w:rPr>
          <w:rFonts w:ascii="Arial" w:cs="Arial" w:eastAsia="Arial" w:hAnsi="Arial"/>
          <w:sz w:val="17"/>
          <w:szCs w:val="17"/>
          <w:u w:val="single" w:color="auto"/>
          <w:color w:val="auto"/>
        </w:rPr>
        <w:t>www.thinkgreen.com</w:t>
      </w:r>
      <w:r>
        <w:rPr>
          <w:rFonts w:ascii="Arial" w:cs="Arial" w:eastAsia="Arial" w:hAnsi="Arial"/>
          <w:sz w:val="17"/>
          <w:szCs w:val="17"/>
          <w:color w:val="auto"/>
        </w:rPr>
        <w:t>.</w:t>
      </w:r>
    </w:p>
    <w:p>
      <w:pPr>
        <w:spacing w:after="0" w:line="171" w:lineRule="exact"/>
        <w:rPr>
          <w:sz w:val="20"/>
          <w:szCs w:val="20"/>
          <w:color w:val="auto"/>
        </w:rPr>
      </w:pPr>
    </w:p>
    <w:p>
      <w:pPr>
        <w:jc w:val="center"/>
        <w:ind w:right="-119"/>
        <w:spacing w:after="0"/>
        <w:rPr>
          <w:sz w:val="20"/>
          <w:szCs w:val="20"/>
          <w:color w:val="auto"/>
        </w:rPr>
      </w:pPr>
      <w:r>
        <w:rPr>
          <w:rFonts w:ascii="Arial" w:cs="Arial" w:eastAsia="Arial" w:hAnsi="Arial"/>
          <w:sz w:val="18"/>
          <w:szCs w:val="18"/>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109220</wp:posOffset>
            </wp:positionV>
            <wp:extent cx="1097915" cy="42862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1097915" cy="428625"/>
                    </a:xfrm>
                    <a:prstGeom prst="rect">
                      <a:avLst/>
                    </a:prstGeom>
                    <a:noFill/>
                  </pic:spPr>
                </pic:pic>
              </a:graphicData>
            </a:graphic>
          </wp:anchor>
        </w:drawing>
        <w:drawing>
          <wp:anchor simplePos="0" relativeHeight="251657728" behindDoc="1" locked="0" layoutInCell="0" allowOverlap="1">
            <wp:simplePos x="0" y="0"/>
            <wp:positionH relativeFrom="column">
              <wp:posOffset>6248400</wp:posOffset>
            </wp:positionH>
            <wp:positionV relativeFrom="paragraph">
              <wp:posOffset>340995</wp:posOffset>
            </wp:positionV>
            <wp:extent cx="1003300" cy="19748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1003300" cy="197485"/>
                    </a:xfrm>
                    <a:prstGeom prst="rect">
                      <a:avLst/>
                    </a:prstGeom>
                    <a:noFill/>
                  </pic:spPr>
                </pic:pic>
              </a:graphicData>
            </a:graphic>
          </wp:anchor>
        </w:drawing>
      </w:r>
    </w:p>
    <w:sectPr>
      <w:pgSz w:w="11900" w:h="16838" w:orient="portrait"/>
      <w:cols w:equalWidth="0" w:num="1">
        <w:col w:w="11320"/>
      </w:cols>
      <w:pgMar w:left="240" w:top="274"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327B23C6"/>
    <w:multiLevelType w:val="hybridMultilevel"/>
    <w:lvl w:ilvl="0">
      <w:lvlJc w:val="left"/>
      <w:lvlText w:val="☐"/>
      <w:numFmt w:val="bullet"/>
      <w:start w:val="1"/>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jpeg"/><Relationship Id="rId22" Type="http://schemas.openxmlformats.org/officeDocument/2006/relationships/image" Target="media/image15.jpeg"/><Relationship Id="rId23" Type="http://schemas.openxmlformats.org/officeDocument/2006/relationships/image" Target="media/image16.png"/><Relationship Id="rId24" Type="http://schemas.openxmlformats.org/officeDocument/2006/relationships/image" Target="media/image17.jpeg"/><Relationship Id="rId25" Type="http://schemas.openxmlformats.org/officeDocument/2006/relationships/image" Target="media/image18.jpe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2019-12-05T20:24:26Z</dcterms:created>
  <dcterms:modified xsi:type="dcterms:W3CDTF">2019-12-05T20:24:26Z</dcterms:modified>
</cp:coreProperties>
</file>