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ind w:left="4840"/>
        <w:spacing w:after="0"/>
        <w:rPr>
          <w:sz w:val="20"/>
          <w:szCs w:val="20"/>
          <w:color w:val="auto"/>
        </w:rPr>
      </w:pPr>
      <w:r>
        <w:rPr>
          <w:rFonts w:ascii="Courier New" w:cs="Courier New" w:eastAsia="Courier New" w:hAnsi="Courier New"/>
          <w:sz w:val="17"/>
          <w:szCs w:val="17"/>
          <w:color w:val="auto"/>
        </w:rPr>
        <w:t>Filed Pursuant to Rule 424(b)(5)</w:t>
      </w:r>
    </w:p>
    <w:p>
      <w:pPr>
        <w:spacing w:after="0" w:line="5" w:lineRule="exact"/>
        <w:rPr>
          <w:sz w:val="24"/>
          <w:szCs w:val="24"/>
          <w:color w:val="auto"/>
        </w:rPr>
      </w:pPr>
    </w:p>
    <w:p>
      <w:pPr>
        <w:ind w:left="4840"/>
        <w:spacing w:after="0"/>
        <w:rPr>
          <w:sz w:val="20"/>
          <w:szCs w:val="20"/>
          <w:color w:val="auto"/>
        </w:rPr>
      </w:pPr>
      <w:r>
        <w:rPr>
          <w:rFonts w:ascii="Courier New" w:cs="Courier New" w:eastAsia="Courier New" w:hAnsi="Courier New"/>
          <w:sz w:val="17"/>
          <w:szCs w:val="17"/>
          <w:color w:val="auto"/>
        </w:rPr>
        <w:t>Registration No. 333-32471</w:t>
      </w:r>
    </w:p>
    <w:p>
      <w:pPr>
        <w:spacing w:after="0" w:line="203" w:lineRule="exact"/>
        <w:rPr>
          <w:sz w:val="24"/>
          <w:szCs w:val="24"/>
          <w:color w:val="auto"/>
        </w:rPr>
      </w:pPr>
    </w:p>
    <w:p>
      <w:pPr>
        <w:ind w:right="5020" w:firstLine="1750"/>
        <w:spacing w:after="0" w:line="246" w:lineRule="auto"/>
        <w:rPr>
          <w:sz w:val="20"/>
          <w:szCs w:val="20"/>
          <w:color w:val="auto"/>
        </w:rPr>
      </w:pPr>
      <w:r>
        <w:rPr>
          <w:rFonts w:ascii="Courier New" w:cs="Courier New" w:eastAsia="Courier New" w:hAnsi="Courier New"/>
          <w:sz w:val="17"/>
          <w:szCs w:val="17"/>
          <w:color w:val="auto"/>
        </w:rPr>
        <w:t>SUBJECT TO COMPLETION, DATED SEPTEMBER 8, 1997 PROSPECTUS SUPPLEMENT</w:t>
      </w:r>
    </w:p>
    <w:p>
      <w:pPr>
        <w:spacing w:after="0" w:line="1"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 1997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AUGUST 14, 1997)</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$600,000,000</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USA WASTE SERVICES, INC.</w:t>
      </w:r>
    </w:p>
    <w:p>
      <w:pPr>
        <w:sectPr>
          <w:pgSz w:w="11900" w:h="16875" w:orient="portrait"/>
          <w:cols w:equalWidth="0" w:num="1">
            <w:col w:w="11520"/>
          </w:cols>
          <w:pgMar w:left="240" w:top="247" w:right="139" w:bottom="0" w:gutter="0" w:footer="0" w:header="0"/>
        </w:sectPr>
      </w:pP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$300,000,000</w:t>
      </w:r>
    </w:p>
    <w:p>
      <w:pPr>
        <w:spacing w:after="0" w:line="5"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$300,000,000</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SENIOR NOTES DUE 2004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SENIOR NOTES DUE 2007</w:t>
      </w:r>
    </w:p>
    <w:p>
      <w:pPr>
        <w:spacing w:after="0" w:line="200" w:lineRule="exact"/>
        <w:rPr>
          <w:sz w:val="24"/>
          <w:szCs w:val="24"/>
          <w:color w:val="auto"/>
        </w:rPr>
      </w:pPr>
    </w:p>
    <w:p>
      <w:pPr>
        <w:sectPr>
          <w:pgSz w:w="11900" w:h="16875" w:orient="portrait"/>
          <w:cols w:equalWidth="0" w:num="2">
            <w:col w:w="3300" w:space="520"/>
            <w:col w:w="7700"/>
          </w:cols>
          <w:pgMar w:left="240" w:top="247" w:right="139" w:bottom="0" w:gutter="0" w:footer="0" w:header="0"/>
          <w:type w:val="continuous"/>
        </w:sectPr>
      </w:pPr>
    </w:p>
    <w:p>
      <w:pPr>
        <w:spacing w:after="0" w:line="3" w:lineRule="exact"/>
        <w:rPr>
          <w:sz w:val="24"/>
          <w:szCs w:val="24"/>
          <w:color w:val="auto"/>
        </w:rPr>
      </w:pPr>
    </w:p>
    <w:p>
      <w:pPr>
        <w:ind w:left="520"/>
        <w:spacing w:after="0"/>
        <w:tabs>
          <w:tab w:leader="none" w:pos="1120" w:val="left"/>
          <w:tab w:leader="none" w:pos="4620" w:val="left"/>
        </w:tabs>
        <w:rPr>
          <w:sz w:val="20"/>
          <w:szCs w:val="20"/>
          <w:color w:val="auto"/>
        </w:rPr>
      </w:pPr>
      <w:r>
        <w:rPr>
          <w:rFonts w:ascii="Courier New" w:cs="Courier New" w:eastAsia="Courier New" w:hAnsi="Courier New"/>
          <w:sz w:val="17"/>
          <w:szCs w:val="17"/>
          <w:color w:val="auto"/>
        </w:rPr>
        <w:t>The</w:t>
      </w:r>
      <w:r>
        <w:rPr>
          <w:sz w:val="20"/>
          <w:szCs w:val="20"/>
          <w:color w:val="auto"/>
        </w:rPr>
        <w:tab/>
      </w:r>
      <w:r>
        <w:rPr>
          <w:rFonts w:ascii="Courier New" w:cs="Courier New" w:eastAsia="Courier New" w:hAnsi="Courier New"/>
          <w:sz w:val="17"/>
          <w:szCs w:val="17"/>
          <w:color w:val="auto"/>
        </w:rPr>
        <w:t>% Senior Notes due 2004 and the</w:t>
      </w:r>
      <w:r>
        <w:rPr>
          <w:sz w:val="20"/>
          <w:szCs w:val="20"/>
          <w:color w:val="auto"/>
        </w:rPr>
        <w:tab/>
      </w:r>
      <w:r>
        <w:rPr>
          <w:rFonts w:ascii="Courier New" w:cs="Courier New" w:eastAsia="Courier New" w:hAnsi="Courier New"/>
          <w:sz w:val="17"/>
          <w:szCs w:val="17"/>
          <w:color w:val="auto"/>
        </w:rPr>
        <w:t>% Senior Notes due 2007 are being</w:t>
      </w:r>
    </w:p>
    <w:p>
      <w:pPr>
        <w:sectPr>
          <w:pgSz w:w="11900" w:h="16875" w:orient="portrait"/>
          <w:cols w:equalWidth="0" w:num="1">
            <w:col w:w="11520"/>
          </w:cols>
          <w:pgMar w:left="240" w:top="247" w:right="139" w:bottom="0" w:gutter="0" w:footer="0" w:header="0"/>
          <w:type w:val="continuous"/>
        </w:sectPr>
      </w:pPr>
    </w:p>
    <w:p>
      <w:pPr>
        <w:spacing w:after="0" w:line="5" w:lineRule="exact"/>
        <w:rPr>
          <w:sz w:val="24"/>
          <w:szCs w:val="24"/>
          <w:color w:val="auto"/>
        </w:rPr>
      </w:pPr>
    </w:p>
    <w:p>
      <w:pPr>
        <w:spacing w:after="0"/>
        <w:tabs>
          <w:tab w:leader="none" w:pos="8020" w:val="left"/>
        </w:tabs>
        <w:rPr>
          <w:sz w:val="20"/>
          <w:szCs w:val="20"/>
          <w:color w:val="auto"/>
        </w:rPr>
      </w:pPr>
      <w:r>
        <w:rPr>
          <w:rFonts w:ascii="Courier New" w:cs="Courier New" w:eastAsia="Courier New" w:hAnsi="Courier New"/>
          <w:sz w:val="17"/>
          <w:szCs w:val="17"/>
          <w:color w:val="auto"/>
        </w:rPr>
        <w:t>issued by USA Waste Services, Inc., a Delaware corporation. Interest on the</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15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Notes due 2004</w:t>
            </w:r>
          </w:p>
        </w:tc>
        <w:tc>
          <w:tcPr>
            <w:tcW w:w="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the</w:t>
            </w:r>
          </w:p>
        </w:tc>
        <w:tc>
          <w:tcPr>
            <w:tcW w:w="1040" w:type="dxa"/>
            <w:vAlign w:val="bottom"/>
          </w:tcPr>
          <w:p>
            <w:pPr>
              <w:ind w:left="160"/>
              <w:spacing w:after="0"/>
              <w:rPr>
                <w:sz w:val="20"/>
                <w:szCs w:val="20"/>
                <w:color w:val="auto"/>
              </w:rPr>
            </w:pPr>
            <w:r>
              <w:rPr>
                <w:rFonts w:ascii="Courier New" w:cs="Courier New" w:eastAsia="Courier New" w:hAnsi="Courier New"/>
                <w:sz w:val="17"/>
                <w:szCs w:val="17"/>
                <w:color w:val="auto"/>
              </w:rPr>
              <w:t>% Senior</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Notes due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2007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is payable</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w w:val="99"/>
              </w:rPr>
              <w:t>semi-annually</w:t>
            </w:r>
          </w:p>
        </w:tc>
      </w:tr>
      <w:tr>
        <w:trPr>
          <w:trHeight w:val="198"/>
        </w:trPr>
        <w:tc>
          <w:tcPr>
            <w:tcW w:w="1300" w:type="dxa"/>
            <w:vAlign w:val="bottom"/>
            <w:gridSpan w:val="2"/>
          </w:tcPr>
          <w:p>
            <w:pPr>
              <w:spacing w:after="0"/>
              <w:rPr>
                <w:sz w:val="20"/>
                <w:szCs w:val="20"/>
                <w:color w:val="auto"/>
              </w:rPr>
            </w:pPr>
            <w:r>
              <w:rPr>
                <w:rFonts w:ascii="Courier New" w:cs="Courier New" w:eastAsia="Courier New" w:hAnsi="Courier New"/>
                <w:sz w:val="17"/>
                <w:szCs w:val="17"/>
                <w:color w:val="auto"/>
              </w:rPr>
              <w:t>on October 1</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April 1</w:t>
            </w:r>
          </w:p>
        </w:tc>
        <w:tc>
          <w:tcPr>
            <w:tcW w:w="43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of each year commencing on April 1, 1998.</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The   %</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Notes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due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2004</w:t>
            </w:r>
          </w:p>
        </w:tc>
        <w:tc>
          <w:tcPr>
            <w:tcW w:w="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the</w:t>
            </w:r>
          </w:p>
        </w:tc>
        <w:tc>
          <w:tcPr>
            <w:tcW w:w="1040" w:type="dxa"/>
            <w:vAlign w:val="bottom"/>
          </w:tcPr>
          <w:p>
            <w:pPr>
              <w:ind w:left="160"/>
              <w:spacing w:after="0"/>
              <w:rPr>
                <w:sz w:val="20"/>
                <w:szCs w:val="20"/>
                <w:color w:val="auto"/>
              </w:rPr>
            </w:pPr>
            <w:r>
              <w:rPr>
                <w:rFonts w:ascii="Courier New" w:cs="Courier New" w:eastAsia="Courier New" w:hAnsi="Courier New"/>
                <w:sz w:val="17"/>
                <w:szCs w:val="17"/>
                <w:color w:val="auto"/>
              </w:rPr>
              <w:t>% Senior</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Notes due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2007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constitute</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senior and</w:t>
            </w:r>
          </w:p>
        </w:tc>
      </w:tr>
      <w:tr>
        <w:trPr>
          <w:trHeight w:val="198"/>
        </w:trPr>
        <w:tc>
          <w:tcPr>
            <w:tcW w:w="2220" w:type="dxa"/>
            <w:vAlign w:val="bottom"/>
            <w:gridSpan w:val="4"/>
          </w:tcPr>
          <w:p>
            <w:pPr>
              <w:spacing w:after="0"/>
              <w:rPr>
                <w:sz w:val="20"/>
                <w:szCs w:val="20"/>
                <w:color w:val="auto"/>
              </w:rPr>
            </w:pPr>
            <w:r>
              <w:rPr>
                <w:rFonts w:ascii="Courier New" w:cs="Courier New" w:eastAsia="Courier New" w:hAnsi="Courier New"/>
                <w:sz w:val="17"/>
                <w:szCs w:val="17"/>
                <w:color w:val="auto"/>
              </w:rPr>
              <w:t>unsecured obligations</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2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Company, ranking pari</w:t>
            </w:r>
          </w:p>
        </w:tc>
        <w:tc>
          <w:tcPr>
            <w:tcW w:w="30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passu in right of payment</w:t>
            </w:r>
          </w:p>
        </w:tc>
      </w:tr>
    </w:tbl>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with all</w:t>
            </w:r>
          </w:p>
        </w:tc>
        <w:tc>
          <w:tcPr>
            <w:tcW w:w="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other</w:t>
            </w:r>
          </w:p>
        </w:tc>
        <w:tc>
          <w:tcPr>
            <w:tcW w:w="2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senior and unsecured</w:t>
            </w:r>
          </w:p>
        </w:tc>
        <w:tc>
          <w:tcPr>
            <w:tcW w:w="19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obligations of the</w:t>
            </w:r>
          </w:p>
        </w:tc>
        <w:tc>
          <w:tcPr>
            <w:tcW w:w="2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Company. See "Description</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of Notes</w:t>
            </w:r>
          </w:p>
        </w:tc>
        <w:tc>
          <w:tcPr>
            <w:tcW w:w="128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8"/>
              </w:rPr>
              <w:t>-- General."</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96"/>
        </w:trPr>
        <w:tc>
          <w:tcPr>
            <w:tcW w:w="880" w:type="dxa"/>
            <w:vAlign w:val="bottom"/>
          </w:tcPr>
          <w:p>
            <w:pPr>
              <w:ind w:left="520"/>
              <w:spacing w:after="0"/>
              <w:rPr>
                <w:sz w:val="20"/>
                <w:szCs w:val="20"/>
                <w:color w:val="auto"/>
              </w:rPr>
            </w:pPr>
            <w:r>
              <w:rPr>
                <w:rFonts w:ascii="Courier New" w:cs="Courier New" w:eastAsia="Courier New" w:hAnsi="Courier New"/>
                <w:sz w:val="17"/>
                <w:szCs w:val="17"/>
                <w:color w:val="auto"/>
              </w:rPr>
              <w:t>The</w:t>
            </w:r>
          </w:p>
        </w:tc>
        <w:tc>
          <w:tcPr>
            <w:tcW w:w="200" w:type="dxa"/>
            <w:vAlign w:val="bottom"/>
          </w:tcPr>
          <w:p>
            <w:pPr>
              <w:spacing w:after="0"/>
              <w:rPr>
                <w:sz w:val="24"/>
                <w:szCs w:val="24"/>
                <w:color w:val="auto"/>
              </w:rPr>
            </w:pPr>
          </w:p>
        </w:tc>
        <w:tc>
          <w:tcPr>
            <w:tcW w:w="35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 Senior Notes due 2004 and the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7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Senior Notes due 2007 are</w:t>
            </w:r>
          </w:p>
        </w:tc>
        <w:tc>
          <w:tcPr>
            <w:tcW w:w="660" w:type="dxa"/>
            <w:vAlign w:val="bottom"/>
          </w:tcPr>
          <w:p>
            <w:pPr>
              <w:spacing w:after="0"/>
              <w:rPr>
                <w:sz w:val="24"/>
                <w:szCs w:val="24"/>
                <w:color w:val="auto"/>
              </w:rPr>
            </w:pPr>
          </w:p>
        </w:tc>
      </w:tr>
      <w:tr>
        <w:trPr>
          <w:trHeight w:val="198"/>
        </w:trPr>
        <w:tc>
          <w:tcPr>
            <w:tcW w:w="1500" w:type="dxa"/>
            <w:vAlign w:val="bottom"/>
            <w:gridSpan w:val="3"/>
          </w:tcPr>
          <w:p>
            <w:pPr>
              <w:spacing w:after="0"/>
              <w:rPr>
                <w:sz w:val="20"/>
                <w:szCs w:val="20"/>
                <w:color w:val="auto"/>
              </w:rPr>
            </w:pPr>
            <w:r>
              <w:rPr>
                <w:rFonts w:ascii="Courier New" w:cs="Courier New" w:eastAsia="Courier New" w:hAnsi="Courier New"/>
                <w:sz w:val="17"/>
                <w:szCs w:val="17"/>
                <w:color w:val="auto"/>
              </w:rPr>
              <w:t>redeemable, in</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whole</w:t>
            </w:r>
          </w:p>
        </w:tc>
        <w:tc>
          <w:tcPr>
            <w:tcW w:w="1500" w:type="dxa"/>
            <w:vAlign w:val="bottom"/>
          </w:tcPr>
          <w:p>
            <w:pPr>
              <w:spacing w:after="0"/>
              <w:rPr>
                <w:sz w:val="20"/>
                <w:szCs w:val="20"/>
                <w:color w:val="auto"/>
              </w:rPr>
            </w:pPr>
            <w:r>
              <w:rPr>
                <w:rFonts w:ascii="Courier New" w:cs="Courier New" w:eastAsia="Courier New" w:hAnsi="Courier New"/>
                <w:sz w:val="17"/>
                <w:szCs w:val="17"/>
                <w:color w:val="auto"/>
              </w:rPr>
              <w:t>or in part, at</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option</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the Company at any time</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r>
      <w:tr>
        <w:trPr>
          <w:trHeight w:val="198"/>
        </w:trPr>
        <w:tc>
          <w:tcPr>
            <w:tcW w:w="2160" w:type="dxa"/>
            <w:vAlign w:val="bottom"/>
            <w:gridSpan w:val="4"/>
          </w:tcPr>
          <w:p>
            <w:pPr>
              <w:spacing w:after="0"/>
              <w:rPr>
                <w:sz w:val="20"/>
                <w:szCs w:val="20"/>
                <w:color w:val="auto"/>
              </w:rPr>
            </w:pPr>
            <w:r>
              <w:rPr>
                <w:rFonts w:ascii="Courier New" w:cs="Courier New" w:eastAsia="Courier New" w:hAnsi="Courier New"/>
                <w:sz w:val="17"/>
                <w:szCs w:val="17"/>
                <w:color w:val="auto"/>
              </w:rPr>
              <w:t>from time to time at</w:t>
            </w:r>
          </w:p>
        </w:tc>
        <w:tc>
          <w:tcPr>
            <w:tcW w:w="54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a redemption price equal to the Make-Whole Price set</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forth</w:t>
            </w:r>
          </w:p>
        </w:tc>
      </w:tr>
      <w:tr>
        <w:trPr>
          <w:trHeight w:val="198"/>
        </w:trPr>
        <w:tc>
          <w:tcPr>
            <w:tcW w:w="5620" w:type="dxa"/>
            <w:vAlign w:val="bottom"/>
            <w:gridSpan w:val="8"/>
          </w:tcPr>
          <w:p>
            <w:pPr>
              <w:spacing w:after="0"/>
              <w:rPr>
                <w:sz w:val="20"/>
                <w:szCs w:val="20"/>
                <w:color w:val="auto"/>
              </w:rPr>
            </w:pPr>
            <w:r>
              <w:rPr>
                <w:rFonts w:ascii="Courier New" w:cs="Courier New" w:eastAsia="Courier New" w:hAnsi="Courier New"/>
                <w:sz w:val="17"/>
                <w:szCs w:val="17"/>
                <w:color w:val="auto"/>
              </w:rPr>
              <w:t>herein. See "Description of Notes -- Redemption at the</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Company's Option."</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198"/>
        </w:trPr>
        <w:tc>
          <w:tcPr>
            <w:tcW w:w="10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 Senior</w:t>
            </w:r>
          </w:p>
        </w:tc>
        <w:tc>
          <w:tcPr>
            <w:tcW w:w="10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Notes due</w:t>
            </w:r>
          </w:p>
        </w:tc>
        <w:tc>
          <w:tcPr>
            <w:tcW w:w="1500" w:type="dxa"/>
            <w:vAlign w:val="bottom"/>
          </w:tcPr>
          <w:p>
            <w:pPr>
              <w:spacing w:after="0"/>
              <w:rPr>
                <w:sz w:val="20"/>
                <w:szCs w:val="20"/>
                <w:color w:val="auto"/>
              </w:rPr>
            </w:pPr>
            <w:r>
              <w:rPr>
                <w:rFonts w:ascii="Courier New" w:cs="Courier New" w:eastAsia="Courier New" w:hAnsi="Courier New"/>
                <w:sz w:val="17"/>
                <w:szCs w:val="17"/>
                <w:color w:val="auto"/>
              </w:rPr>
              <w:t>2004 and the</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 Senior</w:t>
            </w:r>
          </w:p>
        </w:tc>
        <w:tc>
          <w:tcPr>
            <w:tcW w:w="1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Notes due</w:t>
            </w:r>
          </w:p>
        </w:tc>
        <w:tc>
          <w:tcPr>
            <w:tcW w:w="2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2007 will not be subject</w:t>
            </w:r>
          </w:p>
        </w:tc>
      </w:tr>
      <w:tr>
        <w:trPr>
          <w:trHeight w:val="198"/>
        </w:trPr>
        <w:tc>
          <w:tcPr>
            <w:tcW w:w="1500" w:type="dxa"/>
            <w:vAlign w:val="bottom"/>
            <w:gridSpan w:val="3"/>
          </w:tcPr>
          <w:p>
            <w:pPr>
              <w:spacing w:after="0"/>
              <w:rPr>
                <w:sz w:val="20"/>
                <w:szCs w:val="20"/>
                <w:color w:val="auto"/>
              </w:rPr>
            </w:pPr>
            <w:r>
              <w:rPr>
                <w:rFonts w:ascii="Courier New" w:cs="Courier New" w:eastAsia="Courier New" w:hAnsi="Courier New"/>
                <w:sz w:val="17"/>
                <w:szCs w:val="17"/>
                <w:color w:val="auto"/>
              </w:rPr>
              <w:t>to any sinking</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fund.</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96"/>
        </w:trPr>
        <w:tc>
          <w:tcPr>
            <w:tcW w:w="880" w:type="dxa"/>
            <w:vAlign w:val="bottom"/>
          </w:tcPr>
          <w:p>
            <w:pPr>
              <w:ind w:left="520"/>
              <w:spacing w:after="0"/>
              <w:rPr>
                <w:sz w:val="20"/>
                <w:szCs w:val="20"/>
                <w:color w:val="auto"/>
              </w:rPr>
            </w:pPr>
            <w:r>
              <w:rPr>
                <w:rFonts w:ascii="Courier New" w:cs="Courier New" w:eastAsia="Courier New" w:hAnsi="Courier New"/>
                <w:sz w:val="17"/>
                <w:szCs w:val="17"/>
                <w:color w:val="auto"/>
              </w:rPr>
              <w:t>The</w:t>
            </w:r>
          </w:p>
        </w:tc>
        <w:tc>
          <w:tcPr>
            <w:tcW w:w="200" w:type="dxa"/>
            <w:vAlign w:val="bottom"/>
          </w:tcPr>
          <w:p>
            <w:pPr>
              <w:spacing w:after="0"/>
              <w:rPr>
                <w:sz w:val="24"/>
                <w:szCs w:val="24"/>
                <w:color w:val="auto"/>
              </w:rPr>
            </w:pPr>
          </w:p>
        </w:tc>
        <w:tc>
          <w:tcPr>
            <w:tcW w:w="35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 Senior Notes due 2004 and the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Senior Notes due 2007 will</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r>
      <w:tr>
        <w:trPr>
          <w:trHeight w:val="198"/>
        </w:trPr>
        <w:tc>
          <w:tcPr>
            <w:tcW w:w="1500" w:type="dxa"/>
            <w:vAlign w:val="bottom"/>
            <w:gridSpan w:val="3"/>
          </w:tcPr>
          <w:p>
            <w:pPr>
              <w:spacing w:after="0"/>
              <w:rPr>
                <w:sz w:val="20"/>
                <w:szCs w:val="20"/>
                <w:color w:val="auto"/>
              </w:rPr>
            </w:pPr>
            <w:r>
              <w:rPr>
                <w:rFonts w:ascii="Courier New" w:cs="Courier New" w:eastAsia="Courier New" w:hAnsi="Courier New"/>
                <w:sz w:val="17"/>
                <w:szCs w:val="17"/>
                <w:color w:val="auto"/>
              </w:rPr>
              <w:t>be represented</w:t>
            </w:r>
          </w:p>
        </w:tc>
        <w:tc>
          <w:tcPr>
            <w:tcW w:w="2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a Global Security</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registered</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the name of the nominee</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w w:val="97"/>
              </w:rPr>
              <w:t>of The</w:t>
            </w:r>
          </w:p>
        </w:tc>
      </w:tr>
      <w:tr>
        <w:trPr>
          <w:trHeight w:val="198"/>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Depository</w:t>
            </w:r>
          </w:p>
        </w:tc>
        <w:tc>
          <w:tcPr>
            <w:tcW w:w="454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Trust Company, which will act as securities</w:t>
            </w:r>
          </w:p>
        </w:tc>
        <w:tc>
          <w:tcPr>
            <w:tcW w:w="2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depositary. Beneficial</w:t>
            </w:r>
          </w:p>
        </w:tc>
      </w:tr>
    </w:tbl>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520" w:type="dxa"/>
            <w:vAlign w:val="bottom"/>
            <w:gridSpan w:val="3"/>
          </w:tcPr>
          <w:p>
            <w:pPr>
              <w:spacing w:after="0"/>
              <w:rPr>
                <w:sz w:val="20"/>
                <w:szCs w:val="20"/>
                <w:color w:val="auto"/>
              </w:rPr>
            </w:pPr>
            <w:r>
              <w:rPr>
                <w:rFonts w:ascii="Courier New" w:cs="Courier New" w:eastAsia="Courier New" w:hAnsi="Courier New"/>
                <w:sz w:val="17"/>
                <w:szCs w:val="17"/>
                <w:color w:val="auto"/>
              </w:rPr>
              <w:t>interests in such Global</w:t>
            </w:r>
          </w:p>
        </w:tc>
        <w:tc>
          <w:tcPr>
            <w:tcW w:w="1960" w:type="dxa"/>
            <w:vAlign w:val="bottom"/>
          </w:tcPr>
          <w:p>
            <w:pPr>
              <w:ind w:left="60"/>
              <w:spacing w:after="0"/>
              <w:rPr>
                <w:sz w:val="20"/>
                <w:szCs w:val="20"/>
                <w:color w:val="auto"/>
              </w:rPr>
            </w:pPr>
            <w:r>
              <w:rPr>
                <w:rFonts w:ascii="Courier New" w:cs="Courier New" w:eastAsia="Courier New" w:hAnsi="Courier New"/>
                <w:sz w:val="17"/>
                <w:szCs w:val="17"/>
                <w:color w:val="auto"/>
              </w:rPr>
              <w:t>Securities will be</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shown on, and transfers</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thereof will</w:t>
            </w:r>
          </w:p>
        </w:tc>
      </w:tr>
      <w:tr>
        <w:trPr>
          <w:trHeight w:val="198"/>
        </w:trPr>
        <w:tc>
          <w:tcPr>
            <w:tcW w:w="4900" w:type="dxa"/>
            <w:vAlign w:val="bottom"/>
            <w:gridSpan w:val="5"/>
          </w:tcPr>
          <w:p>
            <w:pPr>
              <w:spacing w:after="0"/>
              <w:rPr>
                <w:sz w:val="20"/>
                <w:szCs w:val="20"/>
                <w:color w:val="auto"/>
              </w:rPr>
            </w:pPr>
            <w:r>
              <w:rPr>
                <w:rFonts w:ascii="Courier New" w:cs="Courier New" w:eastAsia="Courier New" w:hAnsi="Courier New"/>
                <w:sz w:val="17"/>
                <w:szCs w:val="17"/>
                <w:color w:val="auto"/>
              </w:rPr>
              <w:t>be effected only through, records maintained by</w:t>
            </w:r>
          </w:p>
        </w:tc>
        <w:tc>
          <w:tcPr>
            <w:tcW w:w="3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Depository Trust Company and</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its direct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34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indirect participants. Except as</w:t>
            </w:r>
          </w:p>
        </w:tc>
        <w:tc>
          <w:tcPr>
            <w:tcW w:w="2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described herein, the</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 Senior</w:t>
            </w:r>
          </w:p>
        </w:tc>
      </w:tr>
      <w:tr>
        <w:trPr>
          <w:trHeight w:val="198"/>
        </w:trPr>
        <w:tc>
          <w:tcPr>
            <w:tcW w:w="1500" w:type="dxa"/>
            <w:vAlign w:val="bottom"/>
            <w:gridSpan w:val="2"/>
          </w:tcPr>
          <w:p>
            <w:pPr>
              <w:spacing w:after="0"/>
              <w:rPr>
                <w:sz w:val="20"/>
                <w:szCs w:val="20"/>
                <w:color w:val="auto"/>
              </w:rPr>
            </w:pPr>
            <w:r>
              <w:rPr>
                <w:rFonts w:ascii="Courier New" w:cs="Courier New" w:eastAsia="Courier New" w:hAnsi="Courier New"/>
                <w:sz w:val="17"/>
                <w:szCs w:val="17"/>
                <w:color w:val="auto"/>
              </w:rPr>
              <w:t>Notes due 2004</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and the</w:t>
            </w:r>
          </w:p>
        </w:tc>
        <w:tc>
          <w:tcPr>
            <w:tcW w:w="1960" w:type="dxa"/>
            <w:vAlign w:val="bottom"/>
          </w:tcPr>
          <w:p>
            <w:pPr>
              <w:ind w:left="60"/>
              <w:spacing w:after="0"/>
              <w:rPr>
                <w:sz w:val="20"/>
                <w:szCs w:val="20"/>
                <w:color w:val="auto"/>
              </w:rPr>
            </w:pPr>
            <w:r>
              <w:rPr>
                <w:rFonts w:ascii="Courier New" w:cs="Courier New" w:eastAsia="Courier New" w:hAnsi="Courier New"/>
                <w:sz w:val="17"/>
                <w:szCs w:val="17"/>
                <w:color w:val="auto"/>
              </w:rPr>
              <w:t>% Senior Notes due</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2007 will not be issued</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920" w:type="dxa"/>
            <w:vAlign w:val="bottom"/>
          </w:tcPr>
          <w:p>
            <w:pPr>
              <w:spacing w:after="0"/>
              <w:rPr>
                <w:sz w:val="17"/>
                <w:szCs w:val="17"/>
                <w:color w:val="auto"/>
              </w:rPr>
            </w:pP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definitive</w:t>
            </w:r>
          </w:p>
        </w:tc>
        <w:tc>
          <w:tcPr>
            <w:tcW w:w="7160" w:type="dxa"/>
            <w:vAlign w:val="bottom"/>
            <w:gridSpan w:val="7"/>
          </w:tcPr>
          <w:p>
            <w:pPr>
              <w:ind w:left="60"/>
              <w:spacing w:after="0"/>
              <w:rPr>
                <w:sz w:val="20"/>
                <w:szCs w:val="20"/>
                <w:color w:val="auto"/>
              </w:rPr>
            </w:pPr>
            <w:r>
              <w:rPr>
                <w:rFonts w:ascii="Courier New" w:cs="Courier New" w:eastAsia="Courier New" w:hAnsi="Courier New"/>
                <w:sz w:val="17"/>
                <w:szCs w:val="17"/>
                <w:color w:val="auto"/>
              </w:rPr>
              <w:t>form. See "Description of Notes -- Book-Entry, Delivery and Form."</w:t>
            </w:r>
          </w:p>
        </w:tc>
      </w:tr>
    </w:tbl>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 AND</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EXCHANGE COMMISSION OR ANY STATE SECURITIES COMMISSION NOR HAS THE SECURITIES</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AND EXCHANGE COMMISSION OR ANY STATE SECURITIES COMMISSION PASSED UPON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ACCURACY OR ADEQUACY OF THIS PROSPECTUS. ANY REPRESENTATION TO THE CONTRARY IS A</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CRIMINAL OFFENSE.</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jc w:val="both"/>
        <w:ind w:left="4440" w:right="920" w:firstLine="103"/>
        <w:spacing w:after="0" w:line="246" w:lineRule="auto"/>
        <w:rPr>
          <w:sz w:val="20"/>
          <w:szCs w:val="20"/>
          <w:color w:val="auto"/>
        </w:rPr>
      </w:pPr>
      <w:r>
        <w:rPr>
          <w:rFonts w:ascii="Courier New" w:cs="Courier New" w:eastAsia="Courier New" w:hAnsi="Courier New"/>
          <w:sz w:val="17"/>
          <w:szCs w:val="17"/>
          <w:color w:val="auto"/>
        </w:rPr>
        <w:t>PRICE TO UNDERWRITING PROCEEDS TO PUBLIC(1) DISCOUNT(2) COMPANY(3)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300" w:type="dxa"/>
            <w:vAlign w:val="bottom"/>
          </w:tcPr>
          <w:p>
            <w:pPr>
              <w:jc w:val="right"/>
              <w:ind w:right="41"/>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Senior</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Note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due</w:t>
            </w:r>
          </w:p>
        </w:tc>
        <w:tc>
          <w:tcPr>
            <w:tcW w:w="17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2004......</w:t>
            </w:r>
          </w:p>
        </w:tc>
        <w:tc>
          <w:tcPr>
            <w:tcW w:w="200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25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Total</w:t>
            </w:r>
          </w:p>
        </w:tc>
        <w:tc>
          <w:tcPr>
            <w:tcW w:w="9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91"/>
              </w:rPr>
              <w:t>.............................</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25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300" w:type="dxa"/>
            <w:vAlign w:val="bottom"/>
          </w:tcPr>
          <w:p>
            <w:pPr>
              <w:jc w:val="right"/>
              <w:ind w:right="41"/>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Senior</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Note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due</w:t>
            </w:r>
          </w:p>
        </w:tc>
        <w:tc>
          <w:tcPr>
            <w:tcW w:w="17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2007......</w:t>
            </w:r>
          </w:p>
        </w:tc>
        <w:tc>
          <w:tcPr>
            <w:tcW w:w="200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25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Total</w:t>
            </w:r>
          </w:p>
        </w:tc>
        <w:tc>
          <w:tcPr>
            <w:tcW w:w="9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91"/>
              </w:rPr>
              <w:t>.............................</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25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01" w:lineRule="exact"/>
        <w:rPr>
          <w:sz w:val="24"/>
          <w:szCs w:val="24"/>
          <w:color w:val="auto"/>
        </w:rPr>
      </w:pPr>
    </w:p>
    <w:p>
      <w:pPr>
        <w:ind w:left="420" w:hanging="414"/>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accrued interest, if any, from the date of issuance.</w:t>
      </w:r>
    </w:p>
    <w:p>
      <w:pPr>
        <w:spacing w:after="0" w:line="5" w:lineRule="exact"/>
        <w:rPr>
          <w:rFonts w:ascii="Courier New" w:cs="Courier New" w:eastAsia="Courier New" w:hAnsi="Courier New"/>
          <w:sz w:val="17"/>
          <w:szCs w:val="17"/>
          <w:color w:val="auto"/>
        </w:rPr>
      </w:pPr>
    </w:p>
    <w:p>
      <w:pPr>
        <w:ind w:left="420" w:right="3800" w:hanging="414"/>
        <w:spacing w:after="0" w:line="246"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agreed to indemnify the Underwriters against certain liabilities, including liabilities under the Securities Act of 1933, as amended. See "Underwriting."</w:t>
      </w:r>
    </w:p>
    <w:p>
      <w:pPr>
        <w:spacing w:after="0" w:line="1"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expenses payable by the Company estimated at $300,000.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The</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 Senior Notes due 2004 and the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Senior Notes due</w:t>
            </w: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2007 are offered</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by the</w:t>
            </w:r>
          </w:p>
        </w:tc>
        <w:tc>
          <w:tcPr>
            <w:tcW w:w="3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several Underwriters when, as and</w:t>
            </w:r>
          </w:p>
        </w:tc>
        <w:tc>
          <w:tcPr>
            <w:tcW w:w="412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if delivered to and accepted by them,</w:t>
            </w:r>
          </w:p>
        </w:tc>
      </w:tr>
      <w:tr>
        <w:trPr>
          <w:trHeight w:val="198"/>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subject to</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certain conditions, including</w:t>
            </w:r>
          </w:p>
        </w:tc>
        <w:tc>
          <w:tcPr>
            <w:tcW w:w="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their</w:t>
            </w:r>
          </w:p>
        </w:tc>
        <w:tc>
          <w:tcPr>
            <w:tcW w:w="20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rights to withdraw,</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cancel or</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reject</w:t>
            </w:r>
          </w:p>
        </w:tc>
        <w:tc>
          <w:tcPr>
            <w:tcW w:w="3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orders in whole or in part. It is</w:t>
            </w:r>
          </w:p>
        </w:tc>
        <w:tc>
          <w:tcPr>
            <w:tcW w:w="242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expected that delivery</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the   %</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3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due 2004 and the   % Senior</w:t>
            </w:r>
          </w:p>
        </w:tc>
        <w:tc>
          <w:tcPr>
            <w:tcW w:w="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due</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2007 will be</w:t>
            </w: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made in New</w:t>
            </w:r>
          </w:p>
        </w:tc>
      </w:tr>
      <w:tr>
        <w:trPr>
          <w:trHeight w:val="198"/>
        </w:trPr>
        <w:tc>
          <w:tcPr>
            <w:tcW w:w="4120" w:type="dxa"/>
            <w:vAlign w:val="bottom"/>
            <w:gridSpan w:val="3"/>
          </w:tcPr>
          <w:p>
            <w:pPr>
              <w:spacing w:after="0"/>
              <w:rPr>
                <w:sz w:val="20"/>
                <w:szCs w:val="20"/>
                <w:color w:val="auto"/>
              </w:rPr>
            </w:pPr>
            <w:r>
              <w:rPr>
                <w:rFonts w:ascii="Courier New" w:cs="Courier New" w:eastAsia="Courier New" w:hAnsi="Courier New"/>
                <w:sz w:val="17"/>
                <w:szCs w:val="17"/>
                <w:color w:val="auto"/>
              </w:rPr>
              <w:t>York, New York, on or about September</w:t>
            </w:r>
          </w:p>
        </w:tc>
        <w:tc>
          <w:tcPr>
            <w:tcW w:w="108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 1997, in</w:t>
            </w:r>
          </w:p>
        </w:tc>
        <w:tc>
          <w:tcPr>
            <w:tcW w:w="1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book-entry form</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through the</w:t>
            </w:r>
          </w:p>
        </w:tc>
      </w:tr>
      <w:tr>
        <w:trPr>
          <w:trHeight w:val="198"/>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facilities</w:t>
            </w:r>
          </w:p>
        </w:tc>
        <w:tc>
          <w:tcPr>
            <w:tcW w:w="41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of The Depository Trust Company against</w:t>
            </w:r>
          </w:p>
        </w:tc>
        <w:tc>
          <w:tcPr>
            <w:tcW w:w="30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payment therefor in</w:t>
            </w:r>
          </w:p>
        </w:tc>
      </w:tr>
      <w:tr>
        <w:trPr>
          <w:trHeight w:val="198"/>
        </w:trPr>
        <w:tc>
          <w:tcPr>
            <w:tcW w:w="4120" w:type="dxa"/>
            <w:vAlign w:val="bottom"/>
            <w:gridSpan w:val="3"/>
          </w:tcPr>
          <w:p>
            <w:pPr>
              <w:spacing w:after="0"/>
              <w:rPr>
                <w:sz w:val="20"/>
                <w:szCs w:val="20"/>
                <w:color w:val="auto"/>
              </w:rPr>
            </w:pPr>
            <w:r>
              <w:rPr>
                <w:rFonts w:ascii="Courier New" w:cs="Courier New" w:eastAsia="Courier New" w:hAnsi="Courier New"/>
                <w:sz w:val="17"/>
                <w:szCs w:val="17"/>
                <w:color w:val="auto"/>
              </w:rPr>
              <w:t>immediately available funds.</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DONALDSON, LUFKIN &amp; JENRETTE</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SECURITIES CORPORATION</w:t>
      </w: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MERRILL LYNCH &amp; CO.</w:t>
      </w:r>
    </w:p>
    <w:p>
      <w:pPr>
        <w:spacing w:after="0" w:line="203"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J.P. MORGAN &amp; CO.</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BT ALEX. BROWN</w:t>
      </w:r>
    </w:p>
    <w:p>
      <w:pPr>
        <w:sectPr>
          <w:pgSz w:w="11900" w:h="16875" w:orient="portrait"/>
          <w:cols w:equalWidth="0" w:num="1">
            <w:col w:w="11520"/>
          </w:cols>
          <w:pgMar w:left="240" w:top="247" w:right="139" w:bottom="0" w:gutter="0" w:footer="0" w:header="0"/>
          <w:type w:val="continuous"/>
        </w:sectPr>
      </w:pPr>
    </w:p>
    <w:bookmarkStart w:id="1" w:name="page2"/>
    <w:bookmarkEnd w:id="1"/>
    <w:p>
      <w:pPr>
        <w:ind w:left="4420"/>
        <w:spacing w:after="0"/>
        <w:rPr>
          <w:sz w:val="20"/>
          <w:szCs w:val="20"/>
          <w:color w:val="auto"/>
        </w:rPr>
      </w:pPr>
      <w:r>
        <w:rPr>
          <w:rFonts w:ascii="Courier New" w:cs="Courier New" w:eastAsia="Courier New" w:hAnsi="Courier New"/>
          <w:sz w:val="17"/>
          <w:szCs w:val="17"/>
          <w:color w:val="auto"/>
        </w:rPr>
        <w:t>DEUTSCHE MORGAN GRENFELL</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INFORMATION CONTAINED HEREIN IS SUBJECT TO COMPLETION OR AMENDMENT. THIS PROSPECTUS SUPPLEMENT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9699"/>
          </w:cols>
          <w:pgMar w:left="760" w:top="340"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313"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PROSPECTUS SUPPLEMENT SUMMARY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summary is qualified in its entirety by the more detailed information, including the Selected Consolidated Financial Data, the Summary Supplemental Consolidated Financial Data, the Consolidated Financial Statements and Notes thereto, and the USA Waste Services, Inc. Supplemental Unaudited Condensed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commercial, industrial, municipal and residential customers in various locations in the United States, Canada, Puerto Rico and Mexico. The Company's solid waste management services include collection, transfer and disposal operations and, to a lesser extent, recycling and certain other waste management services. On August 26, 1997, USA Waste acquired United Waste Systems, Inc. ("United"), which was the sixth largest provider of integrated, non-hazardous solid waste management services in the United States, as measured by 1996 revenues. As of August 31, 1997, USA Waste owned or operated 164 landfills, 163 transfer stations and 352 collection companies and served more than 3.5 million commercial, industrial, municipal and residential customers.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believes that providing fully-integrated waste management services gives it a competitive advantage in its markets and allows for a relatively higher level of waste internalization and profitability. As adjusted for the acquisition of United, for the six months ended June 30, 1997, approximately 61% of the Company's revenues was attributable to collection operations, approximately 25% was attributable to landfill operations, approximately 10% was attributable to transfer operations, and approximately 4% was attributable to recycling and other waste management services. In addition, approximately 55% of the waste collected by the Company was disposed of at the Company's landfills during such period.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operates on a decentralized basis through five geographic regions with a diversified customer base. As adjusted for the acquisition of United, based on collection revenues for the six months ended June 30, 1997, the Company's customers were approximately 40% commercial, 30% industrial and 30% municipal and residential.</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Company's strategy includes the following key elements: (i) increasing productivity and operating efficiencies in existing and acquired operations,</w:t>
      </w:r>
    </w:p>
    <w:p>
      <w:pPr>
        <w:spacing w:after="0" w:line="1" w:lineRule="exact"/>
        <w:rPr>
          <w:sz w:val="20"/>
          <w:szCs w:val="20"/>
          <w:color w:val="auto"/>
        </w:rPr>
      </w:pPr>
    </w:p>
    <w:p>
      <w:pPr>
        <w:ind w:right="1979" w:firstLine="6"/>
        <w:spacing w:after="0" w:line="246" w:lineRule="auto"/>
        <w:tabs>
          <w:tab w:leader="none" w:pos="5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pursues acquisitions in new markets where the Company believes it can strengthen its overall competitive position as a national provider of integrated solid waste management services.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313"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RECENT DEVELOPMENTS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Effective August 7, 1997, the Company entered into a new senior revolving credit facility (the "Credit Facility") for $2.0 billion with the same general terms, covenants and limitations as its prior credit facility. Loans under the Credit Facility bear interest at customary rates with a customary facility fee. The Credit Facility has been guaranteed by United and Sanifill, Inc. ("Sanifill"), both of which are wholly-owned subsidiaries of the Company.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a wholly-owned subsidiary of USA Waste merged with and into United (the "Merger") and each outstanding share of United common stock was converted into the right to receive 1.075 shares of common stock of USA Waste ("USA Waste Common Stock"). Based upon the closing price of USA Waste Common Stock on August 26, 1997, the aggregate purchase price paid to holders of United common stock in the Merger was approximately $2.2 billion. As of such date, Messrs. Richard D. Kinder and Jerome B. York joined the Company's Board of Directors. Mr. Kinder serves as Chairman and Chief Executive Officer of Kinder Morgan Energy Partners, L.P., and served as President and Chief Operating Officer of Enron Corp. from 1990 to 1996. Mr. York is Vice Chairman of Tracinda Corporation, and served as Senior Vice President and Chief Financial Officer of IBM Corporation from 1993 to 1995.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4800" w:type="dxa"/>
            <w:vAlign w:val="bottom"/>
          </w:tcPr>
          <w:p>
            <w:pPr>
              <w:ind w:left="260"/>
              <w:spacing w:after="0"/>
              <w:rPr>
                <w:sz w:val="20"/>
                <w:szCs w:val="20"/>
                <w:color w:val="auto"/>
              </w:rPr>
            </w:pPr>
            <w:r>
              <w:rPr>
                <w:rFonts w:ascii="Courier New" w:cs="Courier New" w:eastAsia="Courier New" w:hAnsi="Courier New"/>
                <w:sz w:val="17"/>
                <w:szCs w:val="17"/>
                <w:color w:val="auto"/>
              </w:rPr>
              <w:t>THE OFFERING</w:t>
            </w:r>
          </w:p>
        </w:tc>
        <w:tc>
          <w:tcPr>
            <w:tcW w:w="200" w:type="dxa"/>
            <w:vAlign w:val="bottom"/>
          </w:tcPr>
          <w:p>
            <w:pPr>
              <w:spacing w:after="0"/>
              <w:rPr>
                <w:sz w:val="16"/>
                <w:szCs w:val="16"/>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Securities Offered............</w:t>
            </w: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$300,000,000 aggregate principal amount of</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Senior Notes due 2004 ("2004 Notes"); and</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$300,000,000 aggregate principal amount of</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Senior Notes due 2007 ("2007 Notes")</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(collectively, the "Notes").</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Maturity......................</w:t>
            </w: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October 1, 2004 with respect to the 2004 Notes,</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and October 1, 2007 with respect to the 2007</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Notes.</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Interest Payment Dates........</w:t>
            </w: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October 1 and April 1 of each year, commencing</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April 1, 1998.</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Optional Redemption...........</w:t>
            </w: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The Notes are redeemable, in whole or in part,</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at the option of the Company at any time and</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from time to time at a redemption price equal</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to the Make-Whole Price (as defined herein).</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See "Description of Notes -- Redemption at the</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Company's Option."</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Sinking Fund..................</w:t>
            </w: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None.</w:t>
            </w:r>
          </w:p>
        </w:tc>
        <w:tc>
          <w:tcPr>
            <w:tcW w:w="200" w:type="dxa"/>
            <w:vAlign w:val="bottom"/>
          </w:tcPr>
          <w:p>
            <w:pPr>
              <w:spacing w:after="0"/>
              <w:rPr>
                <w:sz w:val="24"/>
                <w:szCs w:val="24"/>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Ranking.......................</w:t>
            </w: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The Notes constitute senior and unsecured</w:t>
            </w:r>
          </w:p>
        </w:tc>
        <w:tc>
          <w:tcPr>
            <w:tcW w:w="200" w:type="dxa"/>
            <w:vAlign w:val="bottom"/>
          </w:tcPr>
          <w:p>
            <w:pPr>
              <w:spacing w:after="0"/>
              <w:rPr>
                <w:sz w:val="24"/>
                <w:szCs w:val="24"/>
                <w:color w:val="auto"/>
              </w:rPr>
            </w:pPr>
          </w:p>
        </w:tc>
      </w:tr>
      <w:tr>
        <w:trPr>
          <w:trHeight w:val="198"/>
        </w:trPr>
        <w:tc>
          <w:tcPr>
            <w:tcW w:w="324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obligations of the Company, ranking pari passu</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in right of payment with all other senior and</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unsecured obligations of the Company. See</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"Description of Notes -- General."</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Covenants.....................</w:t>
            </w: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The indenture governing the Notes will contain</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covenants, including, but not limited to,</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covenants limiting (i) the creation of liens</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securing indebtedness, and (ii) sale and</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leaseback transactions.</w:t>
            </w:r>
          </w:p>
        </w:tc>
        <w:tc>
          <w:tcPr>
            <w:tcW w:w="20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The net proceeds from the sale of the Notes in</w:t>
            </w:r>
          </w:p>
        </w:tc>
      </w:tr>
      <w:tr>
        <w:trPr>
          <w:trHeight w:val="198"/>
        </w:trPr>
        <w:tc>
          <w:tcPr>
            <w:tcW w:w="324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this offering (the "Offering") are expected to</w:t>
            </w:r>
          </w:p>
        </w:tc>
      </w:tr>
      <w:tr>
        <w:trPr>
          <w:trHeight w:val="198"/>
        </w:trPr>
        <w:tc>
          <w:tcPr>
            <w:tcW w:w="324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be used to repay outstanding indebtedness under</w:t>
            </w:r>
          </w:p>
        </w:tc>
      </w:tr>
      <w:tr>
        <w:trPr>
          <w:trHeight w:val="198"/>
        </w:trPr>
        <w:tc>
          <w:tcPr>
            <w:tcW w:w="3240" w:type="dxa"/>
            <w:vAlign w:val="bottom"/>
          </w:tcPr>
          <w:p>
            <w:pPr>
              <w:spacing w:after="0"/>
              <w:rPr>
                <w:sz w:val="17"/>
                <w:szCs w:val="17"/>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7"/>
                <w:szCs w:val="17"/>
                <w:color w:val="auto"/>
              </w:rPr>
              <w:t>the Credit Facility. Amounts repaid on the</w:t>
            </w:r>
          </w:p>
        </w:tc>
        <w:tc>
          <w:tcPr>
            <w:tcW w:w="2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Credit Facility may be reborrowed from time to</w:t>
            </w:r>
          </w:p>
        </w:tc>
      </w:tr>
    </w:tbl>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time for capital expenditures and other general</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corporate purposes, including possible future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acquisitions. See "Use of Proceeds."</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10219"/>
          </w:cols>
          <w:pgMar w:left="240" w:top="313"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The proceeds to the Company from the sale of the Notes in this Offering, after deducting underwriting discounts and commissions and estimated offering expenses, are estimated to be $595.9 million.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net proceeds of this Offering are expected to be used to repay outstanding indebtedness under the Credit Facility. At September 2, 1997, the aggregate outstanding balance of loans and letters of credit under the Credit Facility was $1.7 billion ($463.0 million of which were letters of credit). Borrowings under the Credit Facility bear interest at a rate (currently 5.86%) equal to the Eurodollar rate plus an amount not in excess of 0.575% per annum and mature on August 7, 2002. Morgan Guaranty Trust Company of New York, an affiliate of J.P. Morgan Securities Inc., expects to receive up to $29.8 million of repayment under the Credit Facility from the proceeds of this Offering. Deutsche Bank AG New York Branch, an affiliate of Deutsche Morgan Grenfell Inc., expects to receive up to $25.3 million of repayment under the Credit Facility from the proceeds of this Offering. See "Underwriting." Amounts currently outstanding under the Credit Facility were incurred to refinance existing indebtedness and for capital expenditures and other general corporate purposes, including acquisitions. Amounts repaid on the Credit Facility may be reborrowed from time to time for capital expenditures and other general corporate purposes, including possible future acquisitions.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313"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CAPITALIZATION</w:t>
      </w:r>
    </w:p>
    <w:p>
      <w:pPr>
        <w:spacing w:after="0" w:line="203" w:lineRule="exact"/>
        <w:rPr>
          <w:sz w:val="20"/>
          <w:szCs w:val="20"/>
          <w:color w:val="auto"/>
        </w:rPr>
      </w:pPr>
    </w:p>
    <w:p>
      <w:pPr>
        <w:ind w:right="2260" w:firstLine="515"/>
        <w:spacing w:after="0" w:line="246" w:lineRule="auto"/>
        <w:rPr>
          <w:sz w:val="20"/>
          <w:szCs w:val="20"/>
          <w:color w:val="auto"/>
        </w:rPr>
      </w:pPr>
      <w:r>
        <w:rPr>
          <w:rFonts w:ascii="Courier New" w:cs="Courier New" w:eastAsia="Courier New" w:hAnsi="Courier New"/>
          <w:sz w:val="17"/>
          <w:szCs w:val="17"/>
          <w:color w:val="auto"/>
        </w:rPr>
        <w:t>The following table sets forth the consolidated cash and cash equivalents and capitalization of the Company as of June 30, 1997 (i) on a supplemental basis which has been derived from USA Waste and United historical financial statements using the "pooling of interests" method of accounting pursuant to Opinion No. 16 of the Accounting Principles Board and related interpretations thereof; (ii) "As Adjusted" to reflect (a) the repayment of a note payable to a bank of $160,000,000, (b) the retirement of senior notes outstanding at June 30, 1997 of $182,500,000, the related make-whole premium of approximately $8,074,000 (with an after-tax impact of approximately $4,844,000), and (c) additional borrowings of the Credit Facility of approximately $110,000,000 that occurred from July 1, 1997 through September 2, 1997; and (iii) "As Further Adjusted" to give effect to this Offering and the anticipated application of the estimated aggregate net proceeds of $595,875,000. See "Use of Proceeds." This table should be read in conjunction with and is qualified by reference to the Company's and United's Consolidated Financial Statements and Notes thereto and the USA Waste Services, Inc. Supplemental Unaudited Condensed Consolidated Financial Statements and Notes thereto included or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 OF JUNE 30, 1997</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5980" w:type="dxa"/>
            <w:vAlign w:val="bottom"/>
          </w:tcPr>
          <w:p>
            <w:pPr>
              <w:spacing w:after="0"/>
              <w:rPr>
                <w:sz w:val="17"/>
                <w:szCs w:val="17"/>
                <w:color w:val="auto"/>
              </w:rPr>
            </w:pPr>
          </w:p>
        </w:tc>
        <w:tc>
          <w:tcPr>
            <w:tcW w:w="4520" w:type="dxa"/>
            <w:vAlign w:val="bottom"/>
            <w:gridSpan w:val="6"/>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AS FURTHER</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c>
          <w:tcPr>
            <w:tcW w:w="20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 ADJUSTED</w:t>
            </w:r>
          </w:p>
        </w:tc>
        <w:tc>
          <w:tcPr>
            <w:tcW w:w="1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ADJUSTED</w:t>
            </w:r>
          </w:p>
        </w:tc>
      </w:tr>
      <w:tr>
        <w:trPr>
          <w:trHeight w:val="198"/>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(IN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69,760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Long-term debt (including current maturities):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Revolving credit facility..............................</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820,000</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$1,280,574</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684,699</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Senior notes, maturing through 2005....................</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182,500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 payable to bank...................................</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Senior Notes due 2004..............................</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Senior Notes due 2007..............................</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 Convertible subordinated debentures due 2006........</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115,000</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 1/2% Convertible subordinated notes due 2001.........</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150,000</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 Convertible subordinated notes due 2002.............</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535,275</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535,275</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535,275</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Subordinated debt, maturing through 2008...............</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5,496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5,496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5,496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Industrial revenue bonds...............................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231,014</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231,014</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231,014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128,126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128,126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128,126</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Total long-term debt, including current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maturities...................................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2,327,411</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2,445,485</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2,449,610</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3734"/>
              <w:spacing w:after="0"/>
              <w:rPr>
                <w:sz w:val="20"/>
                <w:szCs w:val="20"/>
                <w:color w:val="auto"/>
              </w:rPr>
            </w:pPr>
            <w:r>
              <w:rPr>
                <w:rFonts w:ascii="Courier New" w:cs="Courier New" w:eastAsia="Courier New" w:hAnsi="Courier New"/>
                <w:sz w:val="17"/>
                <w:szCs w:val="17"/>
                <w:color w:val="auto"/>
                <w:w w:val="99"/>
              </w:rPr>
              <w:t>Stockholders' equity:</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Preferred stock, 10,000,000 shares authorized, none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issued..............................................</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Common stock, 500,000,000 shares authorized,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208,614,703 shares issued(1)........................</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2,086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Additional paid-in capital.............................</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2,218,763</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2,218,763</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2,218,763</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131,723</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126,879</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126,879</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Foreign currency translation adjustment................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(15,858)</w:t>
            </w:r>
          </w:p>
        </w:tc>
        <w:tc>
          <w:tcPr>
            <w:tcW w:w="62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(15,858)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(15,858)</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Less treasury stock at cost, 23,485 shares.............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c>
          <w:tcPr>
            <w:tcW w:w="62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stockholders' equity.....................</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2,336,230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2,331,386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2,331,386</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capitalization.........................</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$4,663,641</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$4,776,871</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$4,780,996</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260" w:hanging="414"/>
        <w:spacing w:after="0" w:line="246"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the number of shares of USA Waste Common Stock outstanding as of June 30, 1997. Does not include (i) 12,288,223 shares issuable upon conversion of the Company's outstanding 4% Convertible Subordinated Notes due 2002 at a conversion price of $43.56 per share, (ii) 4,961,958 shares issuable upon conversion of the Company's outstanding 4 1/2% Convertible Subordinated Notes due June 1, 2001 at a conversion price of $30.23 per share, (iii) 4,062,168 shares issuable upon conversion of the Company's outstanding 5% Convertible Subordinated Debentures due 2006 at a conversion price of $28.31 per share, (iv) 18,580,750 shares issuable upon exercise of outstanding stock options under the Company's stock option plans and outstanding stock purchase warrants, including outstanding stock purchase warrants of United as of such date which were assumed as part of the Merger, and (v) 3,593,146 stock options of United outstanding as of such date which were subsequently cancelled and exchanged for 1,682,396 shares of USA Waste Common Stock in connection with the Merger.</w:t>
      </w:r>
    </w:p>
    <w:p>
      <w:pPr>
        <w:sectPr>
          <w:pgSz w:w="11900" w:h="16838" w:orient="portrait"/>
          <w:cols w:equalWidth="0" w:num="1">
            <w:col w:w="10500"/>
          </w:cols>
          <w:pgMar w:left="240" w:top="313" w:right="1159" w:bottom="0" w:gutter="0" w:footer="0" w:header="0"/>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9019"/>
          </w:cols>
          <w:pgMar w:left="1440" w:top="340"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7"/>
          <w:szCs w:val="17"/>
          <w:color w:val="auto"/>
        </w:rPr>
        <w:t>SUMMARY SUPPLEMENTAL CONSOLIDATED FINANCIAL DATA</w:t>
      </w:r>
    </w:p>
    <w:p>
      <w:pPr>
        <w:spacing w:after="0" w:line="203" w:lineRule="exact"/>
        <w:rPr>
          <w:sz w:val="20"/>
          <w:szCs w:val="20"/>
          <w:color w:val="auto"/>
        </w:rPr>
      </w:pPr>
    </w:p>
    <w:p>
      <w:pPr>
        <w:ind w:right="2980" w:firstLine="515"/>
        <w:spacing w:after="0" w:line="246" w:lineRule="auto"/>
        <w:rPr>
          <w:sz w:val="20"/>
          <w:szCs w:val="20"/>
          <w:color w:val="auto"/>
        </w:rPr>
      </w:pPr>
      <w:r>
        <w:rPr>
          <w:rFonts w:ascii="Courier New" w:cs="Courier New" w:eastAsia="Courier New" w:hAnsi="Courier New"/>
          <w:sz w:val="17"/>
          <w:szCs w:val="17"/>
          <w:color w:val="auto"/>
        </w:rPr>
        <w:t>The following summary supplemental consolidated financial data of the Company as of December 31, 1994, 1995 and 1996, and for each of the three years in the period ended December 31, 1996 and as of and for the six months ended June 30, 1996 and 1997, present the supplemental unaudited condensed consolidated financial data of the Company as of and for such periods after accounting for the Merger using the "pooling of interests" method of accounting pursuant to Opinion No. 16 of the Accounting Principles Board and related interpretations thereof. Such information has been derived from USA Waste and United historical financial data. Generally accepted accounting principles proscribe giving effect to a consummated business combination accounted for by the pooling of interests method of accounting in financial statements that do not include the date of consummation. This summary supplemental consolidated financial information does not extend through the date of consummation of the Merger; however, this data will become the historical consolidated financial information of the Company after financial statements covering the date of consummation of the Merger are issued. In the opinion of the Company, the following summary supplemental consolidated financial data reflect all adjustments, consisting only of conforming adjustments necessary to account for the Merger as a pooling of interests, and with respect to the interim financial data, normal recurring adjustments, necessary for a fair presentation of the Company's supplemental financial condition and supplemental results of operations as of such date and for such periods. This information should be read in conjunction with the Company's and United's Consolidated Financial Statements and Notes thereto and the USA Waste Services, Inc. Supplemental Unaudited Condensed Consolidated Financial Statements and Notes thereto included or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six months ended June 30, 1997 are not necessarily indicative of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gridSpan w:val="5"/>
          </w:tcPr>
          <w:p>
            <w:pPr>
              <w:jc w:val="right"/>
              <w:ind w:right="754"/>
              <w:spacing w:after="0"/>
              <w:rPr>
                <w:sz w:val="20"/>
                <w:szCs w:val="20"/>
                <w:color w:val="auto"/>
              </w:rPr>
            </w:pPr>
            <w:r>
              <w:rPr>
                <w:rFonts w:ascii="Courier New" w:cs="Courier New" w:eastAsia="Courier New" w:hAnsi="Courier New"/>
                <w:sz w:val="17"/>
                <w:szCs w:val="17"/>
                <w:color w:val="auto"/>
              </w:rPr>
              <w:t>YEARS ENDED DECEMBER 31,</w:t>
            </w:r>
          </w:p>
        </w:tc>
        <w:tc>
          <w:tcPr>
            <w:tcW w:w="3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1996</w:t>
            </w:r>
          </w:p>
        </w:tc>
        <w:tc>
          <w:tcPr>
            <w:tcW w:w="3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(IN THOUSANDS, EXCEPT PER SHARE AND RATIO DATA)</w:t>
            </w:r>
          </w:p>
        </w:tc>
        <w:tc>
          <w:tcPr>
            <w:tcW w:w="860" w:type="dxa"/>
            <w:vAlign w:val="bottom"/>
          </w:tcPr>
          <w:p>
            <w:pPr>
              <w:spacing w:after="0"/>
              <w:rPr>
                <w:sz w:val="17"/>
                <w:szCs w:val="17"/>
                <w:color w:val="auto"/>
              </w:rPr>
            </w:pP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$1,043,687</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$1,216,082</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$1,649,131</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762,105</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$1,116,709</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596,868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672,117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881,401</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418,320</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581,465</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159,097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169,686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200,101</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96,061</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125,407</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127,108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143,878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191,044</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87,549</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131,584</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3,782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26,539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126,626</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40,296</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5,259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8,863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4,733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63,800</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12,952</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895,718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1,016,953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1,462,972</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655,178</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843,715</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147,969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199,129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186,159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106,927</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272,994</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Shareholder litigation settlement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litigation related costs..........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(79,400)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Nonrecurring interest...................</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(10,994)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(54,102)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(58,619)</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(60,497)</w:t>
            </w:r>
          </w:p>
        </w:tc>
        <w:tc>
          <w:tcPr>
            <w:tcW w:w="3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(29,663)</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(41,272)</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5,085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6,682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6,699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3,260</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3,748</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4,891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6,376</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512</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7,689</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(127,042)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(58,040)</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(47,422)</w:t>
            </w:r>
          </w:p>
        </w:tc>
        <w:tc>
          <w:tcPr>
            <w:tcW w:w="3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(25,891)</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(29,835)</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20,927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141,089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138,737</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81,036</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243,159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8,959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60,313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70,398</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42,585</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97,901</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11,968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80,776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68,339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38,451</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dividends.........................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1,840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available to common shareholders.....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10,128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80,403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68,339</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38,451</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0.37</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0.70</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313" w:right="4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Fully diluted earnings per common</w:t>
      </w:r>
    </w:p>
    <w:p>
      <w:pPr>
        <w:spacing w:after="0" w:line="5" w:lineRule="exact"/>
        <w:rPr>
          <w:sz w:val="20"/>
          <w:szCs w:val="20"/>
          <w:color w:val="auto"/>
        </w:rPr>
      </w:pPr>
    </w:p>
    <w:p>
      <w:pPr>
        <w:ind w:left="220"/>
        <w:spacing w:after="0"/>
        <w:tabs>
          <w:tab w:leader="none" w:pos="4720" w:val="left"/>
          <w:tab w:leader="none" w:pos="5340" w:val="left"/>
          <w:tab w:leader="none" w:pos="6060" w:val="left"/>
          <w:tab w:leader="none" w:pos="6680" w:val="left"/>
          <w:tab w:leader="none" w:pos="7400" w:val="left"/>
          <w:tab w:leader="none" w:pos="8020" w:val="left"/>
          <w:tab w:leader="none" w:pos="8740" w:val="left"/>
          <w:tab w:leader="none" w:pos="9360" w:val="left"/>
          <w:tab w:leader="none" w:pos="10080" w:val="left"/>
          <w:tab w:leader="none" w:pos="10700" w:val="left"/>
        </w:tabs>
        <w:rPr>
          <w:sz w:val="20"/>
          <w:szCs w:val="20"/>
          <w:color w:val="auto"/>
        </w:rPr>
      </w:pPr>
      <w:r>
        <w:rPr>
          <w:rFonts w:ascii="Courier New" w:cs="Courier New" w:eastAsia="Courier New" w:hAnsi="Courier New"/>
          <w:sz w:val="17"/>
          <w:szCs w:val="17"/>
          <w:color w:val="auto"/>
        </w:rPr>
        <w:t>share(1)..................................</w:t>
        <w:tab/>
        <w:t>$</w:t>
      </w:r>
      <w:r>
        <w:rPr>
          <w:sz w:val="20"/>
          <w:szCs w:val="20"/>
          <w:color w:val="auto"/>
        </w:rPr>
        <w:tab/>
      </w:r>
      <w:r>
        <w:rPr>
          <w:rFonts w:ascii="Courier New" w:cs="Courier New" w:eastAsia="Courier New" w:hAnsi="Courier New"/>
          <w:sz w:val="17"/>
          <w:szCs w:val="17"/>
          <w:color w:val="auto"/>
        </w:rPr>
        <w:t>0.08</w:t>
        <w:tab/>
        <w:t>$</w:t>
      </w:r>
      <w:r>
        <w:rPr>
          <w:sz w:val="20"/>
          <w:szCs w:val="20"/>
          <w:color w:val="auto"/>
        </w:rPr>
        <w:tab/>
      </w:r>
      <w:r>
        <w:rPr>
          <w:rFonts w:ascii="Courier New" w:cs="Courier New" w:eastAsia="Courier New" w:hAnsi="Courier New"/>
          <w:sz w:val="17"/>
          <w:szCs w:val="17"/>
          <w:color w:val="auto"/>
        </w:rPr>
        <w:t>0.54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0.37</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0.22</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0.69</w:t>
      </w:r>
    </w:p>
    <w:p>
      <w:pPr>
        <w:spacing w:after="0" w:line="5" w:lineRule="exact"/>
        <w:rPr>
          <w:sz w:val="20"/>
          <w:szCs w:val="20"/>
          <w:color w:val="auto"/>
        </w:rPr>
      </w:pPr>
    </w:p>
    <w:p>
      <w:pPr>
        <w:ind w:left="4740"/>
        <w:spacing w:after="0"/>
        <w:tabs>
          <w:tab w:leader="none" w:pos="6060" w:val="left"/>
          <w:tab w:leader="none" w:pos="7400" w:val="left"/>
          <w:tab w:leader="none" w:pos="8740" w:val="left"/>
          <w:tab w:leader="none" w:pos="10080" w:val="left"/>
        </w:tabs>
        <w:rPr>
          <w:sz w:val="20"/>
          <w:szCs w:val="20"/>
          <w:color w:val="auto"/>
        </w:rPr>
      </w:pP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7100"/>
        <w:spacing w:after="0"/>
        <w:rPr>
          <w:sz w:val="20"/>
          <w:szCs w:val="20"/>
          <w:color w:val="auto"/>
        </w:rPr>
      </w:pPr>
      <w:r>
        <w:rPr>
          <w:rFonts w:ascii="Courier New" w:cs="Courier New" w:eastAsia="Courier New" w:hAnsi="Courier New"/>
          <w:sz w:val="17"/>
          <w:szCs w:val="17"/>
          <w:color w:val="auto"/>
        </w:rPr>
        <w:t>(continued)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1120"/>
          </w:cols>
          <w:pgMar w:left="240" w:top="142" w:right="5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8</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94"/>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gridSpan w:val="5"/>
          </w:tcPr>
          <w:p>
            <w:pPr>
              <w:jc w:val="right"/>
              <w:ind w:right="754"/>
              <w:spacing w:after="0"/>
              <w:rPr>
                <w:sz w:val="20"/>
                <w:szCs w:val="20"/>
                <w:color w:val="auto"/>
              </w:rPr>
            </w:pPr>
            <w:r>
              <w:rPr>
                <w:rFonts w:ascii="Courier New" w:cs="Courier New" w:eastAsia="Courier New" w:hAnsi="Courier New"/>
                <w:sz w:val="17"/>
                <w:szCs w:val="17"/>
                <w:color w:val="auto"/>
              </w:rPr>
              <w:t>YEARS ENDED DECEMBER 31,</w:t>
            </w:r>
          </w:p>
        </w:tc>
        <w:tc>
          <w:tcPr>
            <w:tcW w:w="200" w:type="dxa"/>
            <w:vAlign w:val="bottom"/>
          </w:tcPr>
          <w:p>
            <w:pPr>
              <w:spacing w:after="0"/>
              <w:rPr>
                <w:sz w:val="17"/>
                <w:szCs w:val="17"/>
                <w:color w:val="auto"/>
              </w:rPr>
            </w:pPr>
          </w:p>
        </w:tc>
        <w:tc>
          <w:tcPr>
            <w:tcW w:w="2360" w:type="dxa"/>
            <w:vAlign w:val="bottom"/>
            <w:gridSpan w:val="3"/>
          </w:tcPr>
          <w:p>
            <w:pPr>
              <w:jc w:val="right"/>
              <w:ind w:right="8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46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80" w:type="dxa"/>
            <w:vAlign w:val="bottom"/>
            <w:gridSpan w:val="9"/>
          </w:tcPr>
          <w:p>
            <w:pPr>
              <w:jc w:val="right"/>
              <w:ind w:right="834"/>
              <w:spacing w:after="0"/>
              <w:rPr>
                <w:sz w:val="20"/>
                <w:szCs w:val="20"/>
                <w:color w:val="auto"/>
              </w:rPr>
            </w:pPr>
            <w:r>
              <w:rPr>
                <w:rFonts w:ascii="Courier New" w:cs="Courier New" w:eastAsia="Courier New" w:hAnsi="Courier New"/>
                <w:sz w:val="17"/>
                <w:szCs w:val="17"/>
                <w:color w:val="auto"/>
              </w:rPr>
              <w:t>(IN THOUSANDS, EXCEPT PER SHARE AND RATIO DATA)</w:t>
            </w: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BALANCE SHEET DATA (AT END OF PERIOD):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1,901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26,134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31,842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149,383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163,267</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250,551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433,944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804,251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553,291</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1,296,644</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1,833,099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2,455,102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3,631,547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3,071,473</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5,559,109</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Long-term debt, including current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maturities................................</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759,123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909,050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1,504,888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1,238,949</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2,327,411</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688,603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1,149,885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1,473,990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1,328,525</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2,336,230</w:t>
            </w: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charges(2):</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1.1x</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2.4x</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2.3x</w:t>
            </w:r>
          </w:p>
        </w:tc>
        <w:tc>
          <w:tcPr>
            <w:tcW w:w="200" w:type="dxa"/>
            <w:vAlign w:val="bottom"/>
          </w:tcPr>
          <w:p>
            <w:pPr>
              <w:spacing w:after="0"/>
              <w:rPr>
                <w:sz w:val="17"/>
                <w:szCs w:val="17"/>
                <w:color w:val="auto"/>
              </w:rPr>
            </w:pPr>
          </w:p>
        </w:tc>
        <w:tc>
          <w:tcPr>
            <w:tcW w:w="11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2.7x</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5.1x</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EBITDA(3):</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275,077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343,007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377,203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194,476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404,578</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287,722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374,279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567,629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247,724</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409,837</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EBITDA Margin(3):</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26.4%</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22.9%</w:t>
            </w:r>
          </w:p>
        </w:tc>
        <w:tc>
          <w:tcPr>
            <w:tcW w:w="200" w:type="dxa"/>
            <w:vAlign w:val="bottom"/>
          </w:tcPr>
          <w:p>
            <w:pPr>
              <w:spacing w:after="0"/>
              <w:rPr>
                <w:sz w:val="17"/>
                <w:szCs w:val="17"/>
                <w:color w:val="auto"/>
              </w:rPr>
            </w:pPr>
          </w:p>
        </w:tc>
        <w:tc>
          <w:tcPr>
            <w:tcW w:w="11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25.5%</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36.2%</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30.8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32.5</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36.7</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420" w:right="3400"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Notes to USA Waste Services, Inc. Supplemental Unaudited Condensed Consolidated Financial Statements included elsewhere herein for a description of the calculation of primary and fully diluted earnings per common share amounts.</w:t>
      </w:r>
    </w:p>
    <w:p>
      <w:pPr>
        <w:spacing w:after="0" w:line="200" w:lineRule="exact"/>
        <w:rPr>
          <w:rFonts w:ascii="Courier New" w:cs="Courier New" w:eastAsia="Courier New" w:hAnsi="Courier New"/>
          <w:sz w:val="17"/>
          <w:szCs w:val="17"/>
          <w:color w:val="auto"/>
        </w:rPr>
      </w:pPr>
    </w:p>
    <w:p>
      <w:pPr>
        <w:ind w:left="420" w:right="2980"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computing the supplemental ratio of earnings to fixed charges, earnings consist of income available to common shareholders, taxes and fixed charges, excluding capitalized interest. Fixed charges consist of interest, whether expensed or capitalized, amortization of debt expense and discount on premium relating to indebtedness, whether expensed or capitalized, and such portion of rental expenses that can be demonstrated to be representative of the interest factor in the particular case. For purposes of computing the supplemental - as adjusted ratio of earnings to fixed charges, merger costs, unusual items, shareholder litigation settlement and other litigation related costs and nonrecurring interest expense are excluded.</w:t>
      </w:r>
    </w:p>
    <w:p>
      <w:pPr>
        <w:spacing w:after="0" w:line="204" w:lineRule="exact"/>
        <w:rPr>
          <w:rFonts w:ascii="Courier New" w:cs="Courier New" w:eastAsia="Courier New" w:hAnsi="Courier New"/>
          <w:sz w:val="17"/>
          <w:szCs w:val="17"/>
          <w:color w:val="auto"/>
        </w:rPr>
      </w:pPr>
    </w:p>
    <w:p>
      <w:pPr>
        <w:ind w:left="420" w:right="2980"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means income from operations plus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 as adjusted EBITDA, merger costs and unusual items are excluded. The EBITDA Margin is computed by dividing the supplemental and the supplemental - as adjusted EBITDA by operating revenues for the respective periods.</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1220"/>
          </w:cols>
          <w:pgMar w:left="240" w:top="313" w:right="439"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DESCRIPTION OF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2004 Notes and the 2007 Notes each constitute a series of Senior Debt Securities described in the accompanying Prospectus that will be issued under an indenture, dated as of , 1997 (the "Senior Indenture"), between the Company and Texas Commerce Bank National Association, as trustee (the</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Notes offered by this Prospectus Supplement will be limited in aggregate principal amount to $600,000,000. The Notes constitute senior and unsecured obligations of the Company, ranking pari passu in right of payment with all other senior and unsecured obligations of the Company. The Notes are not guaranteed by any subsidiaries of the Company; however, the Company's obligations under the Credit Facility are guaranteed by United and Sanifill.</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Substantially all of the Company's operating income and cash flow is generated by its subsidiaries. As a result, funds necessary to meet the Company's debt service obligations are provided in part by distributions or advances from its subsidiaries. Under certain circumstances, contractual and legal restrictions, as well as the financial condition and operating requirements of the Company's subsidiaries, could limit the Company's ability to obtain cash from its subsidiaries for the purpose of meeting its debt service obligations, including the payment of principal and interest on the Notes. The claims of creditors of the subsidiaries (including holders of the $150.0 million aggregate principal amount of outstanding 4 1/2% Convertible Subordinated Notes due June 1, 2001 of United and $115.0 million aggregate principal amount of outstanding 5% Convertible Subordinated Debentures due March 1, 2006 of Sanifill, and the lenders under the Company's current Credit Facility) will effectively have priority with respect to the assets and earnings of such subsidiaries, over the claims of creditors of the Company, including the holders of the Notes. The Credit Facility has certain limitations on additional indebtedness that can be incurred at the subsidiary level. As of June 30, 1997, the Company's aggregate subsidiary indebtedness was approximately $570.0 million, including approximately $265.0 million of convertible subordinated notes and approximately $232.0 million of tax exempt bonds.</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2004 Notes will mature October 1, 2004 and will be limited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$300,000,000 aggregate principal amount; and the 2007 Notes will mature October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2007 and will be limited to $300,000,000 aggregate principal amount.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series of Notes will bear interest at the respective rates per annum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the front cover of this Prospectus Supplement. Interest on the 2004 Notes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2007 Notes will be payable semiannually on October 1 and April 1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commencing April 1, 1998, to the persons in whose names such 2004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2007 Notes are registered at the close of business on the September 15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15 immediately preceding such Interest Payment Date. Interest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calculated on the basis of a 360-day year consisting of twelve 30-day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will be issued only in fully registered form, without coupons,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denominations of $1,000 and integral multiples thereof. There is no sinking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applicable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AT THE COMPANY'S OPTION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will be redeemable at the option of the Company at any time and from time to time, in whole or in part, upon not less than 30 nor more than 60 days notice to each Holder of Notes, at a redemption price equal to the Make-Whole Price. "Make-Whole Price" means an amount equal to the greater of (i) 100% of</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9"/>
          </w:cols>
          <w:pgMar w:left="240" w:top="313"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principal amount of such Notes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thereon to the date of redemption. Unless the Company defaults in payment of the redemption price, on and after the date of redemption, interest will cease to accrue on the Notes or portions thereof called for redemption.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"Adjusted</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Treasury</w:t>
            </w:r>
          </w:p>
        </w:tc>
        <w:tc>
          <w:tcPr>
            <w:tcW w:w="3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Rate" means, with respect to any</w:t>
            </w:r>
          </w:p>
        </w:tc>
        <w:tc>
          <w:tcPr>
            <w:tcW w:w="2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date of redemption, the</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rate per</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annum</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equal to</w:t>
            </w:r>
          </w:p>
        </w:tc>
        <w:tc>
          <w:tcPr>
            <w:tcW w:w="3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semi-annual equivalent yield</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to maturity of</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the</w:t>
            </w:r>
          </w:p>
        </w:tc>
      </w:tr>
      <w:tr>
        <w:trPr>
          <w:trHeight w:val="198"/>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Comparable</w:t>
            </w:r>
          </w:p>
        </w:tc>
        <w:tc>
          <w:tcPr>
            <w:tcW w:w="16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Treasury Issue,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assuming a price</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for the</w:t>
            </w:r>
          </w:p>
        </w:tc>
        <w:tc>
          <w:tcPr>
            <w:tcW w:w="2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Comparable Treasury</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Issue</w:t>
            </w:r>
          </w:p>
        </w:tc>
      </w:tr>
      <w:tr>
        <w:trPr>
          <w:trHeight w:val="198"/>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(expressed</w:t>
            </w:r>
          </w:p>
        </w:tc>
        <w:tc>
          <w:tcPr>
            <w:tcW w:w="16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as a percentage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of its principal</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amount)</w:t>
            </w:r>
          </w:p>
        </w:tc>
        <w:tc>
          <w:tcPr>
            <w:tcW w:w="294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equal to the Comparable</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Treasury</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Price</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for such</w:t>
            </w:r>
          </w:p>
        </w:tc>
        <w:tc>
          <w:tcPr>
            <w:tcW w:w="2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date of redemption,</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plus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"Comparable Treasury Issue"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"Comparable Treasury Price" means, with respect to any date of redemption,</w:t>
      </w:r>
    </w:p>
    <w:p>
      <w:pPr>
        <w:spacing w:after="0" w:line="5" w:lineRule="exact"/>
        <w:rPr>
          <w:sz w:val="20"/>
          <w:szCs w:val="20"/>
          <w:color w:val="auto"/>
        </w:rPr>
      </w:pPr>
    </w:p>
    <w:p>
      <w:pPr>
        <w:ind w:right="1979" w:firstLine="6"/>
        <w:spacing w:after="0" w:line="246" w:lineRule="auto"/>
        <w:tabs>
          <w:tab w:leader="none" w:pos="4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205"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"Independent Investment Banker" means one of the Reference Treasury Dealers appointed by the Trustee after consultation with the Company.</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Treasury Dealer" means, for the 2004 Notes, each of Donaldson, Lufkin &amp; Jenrette Securities Corporation, Merrill Lynch, Pierce, Fenner &amp; Smith Incorporated, J.P. Morgan Securities Inc. and BT Alex. Brown Incorporated and their respective successors, and for the 2007 Notes, each of Donaldson, Lufkin &amp; Jenrette Securities Corporation, Merrill Lynch, Pierce, Fenner &amp; Smith Incorporated, J.P. Morgan Securities Inc. and Deutsche Morgan Grenfell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may purchase the Notes in the open market, by tender or otherwise. Notes so purchased may be held, resold or surrendered to the Trustee for cancellation. If applicable, the Company will comply with the requirements of Rule 14e-1 under the Securities Exchange Act of 1934, as amended (the "Exchange Act"), and other securities laws and regulations in connection with any such purchase. The Notes may be defeased in the manner provided in the Senior 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DELIVERY AND FORM</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313" w:right="1440" w:bottom="721"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Depositary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21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21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such Notes.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such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 as shown on the records of the Depositary. Payments by the Participants and the Indirect</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313" w:right="1440" w:bottom="721"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Participants to the beneficial owners of Notes will be governed by standing instructions and customary practice and will be the sole responsibility of the Participants or the Indirect Participants.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Because transactions in any Note which is represented by a Global Note (a "Book-Entry Security") can be effected only through the Depositary, Participants and Indirect Participants, the ability of a beneficial owner of Book-Entry Securities to pledge such Book-Entry Security to persons or entities that do not participate in the Depositary, or otherwise to take action in respect of such Book-Entry Security, may be limited due to the lack of a physical certificate representing such Book-Entry Security. Issuance of the Book-Entry Securities in book-entry form may reduce the liquidity of such Book-Entry Securities in the secondary trading market because investors may be unwilling to purchase Book-Entry Securities for which they cannot obtain physical certificates.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CERTIFICATED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a series of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SAME-DAY FUNDS SETTLEMENT AND PAYMENT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313"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13</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UNDERWRITING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terms and conditions contained in separate Underwriting Agreements relating to the 2004 Notes and the 2007 Notes (the "Underwriting Agreements"), the Company has agreed to sell to the several Underwriters named below (the "Underwriters"), and the several Underwriters have agreed to purchase from the Company, the principal amounts of 2004 Notes and 2007 Notes set forth opposite their names below:</w:t>
      </w:r>
    </w:p>
    <w:p>
      <w:pPr>
        <w:spacing w:after="0" w:line="200" w:lineRule="exact"/>
        <w:rPr>
          <w:sz w:val="20"/>
          <w:szCs w:val="20"/>
          <w:color w:val="auto"/>
        </w:rPr>
      </w:pPr>
    </w:p>
    <w:p>
      <w:pPr>
        <w:spacing w:after="0" w:line="397"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PRINCIPAL AMOUNT OF</w:t>
      </w:r>
    </w:p>
    <w:p>
      <w:pPr>
        <w:spacing w:after="0" w:line="5"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 NOTES DUE 2004</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Donaldson, Lufkin &amp; Jenrette 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BT Alex. Brown Incorporated.................................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10" w:lineRule="exact"/>
        <w:rPr>
          <w:sz w:val="20"/>
          <w:szCs w:val="20"/>
          <w:color w:val="auto"/>
        </w:rPr>
      </w:pPr>
    </w:p>
    <w:p>
      <w:pPr>
        <w:sectPr>
          <w:pgSz w:w="11900" w:h="16838" w:orient="portrait"/>
          <w:cols w:equalWidth="0" w:num="2">
            <w:col w:w="6180" w:space="520"/>
            <w:col w:w="3519"/>
          </w:cols>
          <w:pgMar w:left="240" w:top="313" w:right="1440" w:bottom="0" w:gutter="0" w:footer="0" w:header="0"/>
          <w:type w:val="continuous"/>
        </w:sectPr>
      </w:pP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180" w:space="520"/>
            <w:col w:w="3519"/>
          </w:cols>
          <w:pgMar w:left="240" w:top="313" w:right="1440" w:bottom="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PRINCIPAL AMOUNT OF</w:t>
      </w:r>
    </w:p>
    <w:p>
      <w:pPr>
        <w:spacing w:after="0" w:line="5"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 NOTES DUE 2007</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Donaldson, Lufkin &amp; Jenrette 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Deutsche Morgan Grenfell Inc................................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08" w:lineRule="exact"/>
        <w:rPr>
          <w:sz w:val="20"/>
          <w:szCs w:val="20"/>
          <w:color w:val="auto"/>
        </w:rPr>
      </w:pPr>
    </w:p>
    <w:p>
      <w:pPr>
        <w:sectPr>
          <w:pgSz w:w="11900" w:h="16838" w:orient="portrait"/>
          <w:cols w:equalWidth="0" w:num="2">
            <w:col w:w="6180" w:space="520"/>
            <w:col w:w="3519"/>
          </w:cols>
          <w:pgMar w:left="240" w:top="313" w:right="1440" w:bottom="0" w:gutter="0" w:footer="0" w:header="0"/>
          <w:type w:val="continuous"/>
        </w:sectPr>
      </w:pP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180" w:space="520"/>
            <w:col w:w="3519"/>
          </w:cols>
          <w:pgMar w:left="240" w:top="313" w:right="1440" w:bottom="0" w:gutter="0" w:footer="0" w:header="0"/>
          <w:type w:val="continuous"/>
        </w:sectPr>
      </w:pPr>
    </w:p>
    <w:p>
      <w:pPr>
        <w:spacing w:after="0" w:line="201"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The Underwriting Agreements provide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Agreements, all such Notes must be purchased.</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Underwriters have advised the Company that they propose initially to</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tcPr>
          <w:p>
            <w:pPr>
              <w:spacing w:after="0"/>
              <w:rPr>
                <w:sz w:val="20"/>
                <w:szCs w:val="20"/>
                <w:color w:val="auto"/>
              </w:rPr>
            </w:pPr>
            <w:r>
              <w:rPr>
                <w:rFonts w:ascii="Courier New" w:cs="Courier New" w:eastAsia="Courier New" w:hAnsi="Courier New"/>
                <w:sz w:val="17"/>
                <w:szCs w:val="17"/>
                <w:color w:val="auto"/>
              </w:rPr>
              <w:t>offer the 2004 Notes to</w:t>
            </w:r>
          </w:p>
        </w:tc>
        <w:tc>
          <w:tcPr>
            <w:tcW w:w="51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public at the public offering price set forth</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w w:val="97"/>
              </w:rPr>
              <w:t>on the</w:t>
            </w:r>
          </w:p>
        </w:tc>
      </w:tr>
      <w:tr>
        <w:trPr>
          <w:trHeight w:val="198"/>
        </w:trPr>
        <w:tc>
          <w:tcPr>
            <w:tcW w:w="7580" w:type="dxa"/>
            <w:vAlign w:val="bottom"/>
            <w:gridSpan w:val="5"/>
          </w:tcPr>
          <w:p>
            <w:pPr>
              <w:spacing w:after="0"/>
              <w:rPr>
                <w:sz w:val="20"/>
                <w:szCs w:val="20"/>
                <w:color w:val="auto"/>
              </w:rPr>
            </w:pPr>
            <w:r>
              <w:rPr>
                <w:rFonts w:ascii="Courier New" w:cs="Courier New" w:eastAsia="Courier New" w:hAnsi="Courier New"/>
                <w:sz w:val="17"/>
                <w:szCs w:val="17"/>
                <w:color w:val="auto"/>
              </w:rPr>
              <w:t>cover page of this Prospectus Supplement, and to certain dealers (who may</w:t>
            </w:r>
          </w:p>
        </w:tc>
        <w:tc>
          <w:tcPr>
            <w:tcW w:w="660" w:type="dxa"/>
            <w:vAlign w:val="bottom"/>
          </w:tcPr>
          <w:p>
            <w:pPr>
              <w:spacing w:after="0"/>
              <w:rPr>
                <w:sz w:val="17"/>
                <w:szCs w:val="17"/>
                <w:color w:val="auto"/>
              </w:rPr>
            </w:pP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include the Underwriters) at such price,</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less a</w:t>
            </w:r>
          </w:p>
        </w:tc>
        <w:tc>
          <w:tcPr>
            <w:tcW w:w="3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concession not in excess of</w:t>
            </w:r>
          </w:p>
        </w:tc>
      </w:tr>
      <w:tr>
        <w:trPr>
          <w:trHeight w:val="198"/>
        </w:trPr>
        <w:tc>
          <w:tcPr>
            <w:tcW w:w="2420" w:type="dxa"/>
            <w:vAlign w:val="bottom"/>
          </w:tcPr>
          <w:p>
            <w:pPr>
              <w:ind w:left="520"/>
              <w:spacing w:after="0"/>
              <w:rPr>
                <w:sz w:val="20"/>
                <w:szCs w:val="20"/>
                <w:color w:val="auto"/>
              </w:rPr>
            </w:pPr>
            <w:r>
              <w:rPr>
                <w:rFonts w:ascii="Courier New" w:cs="Courier New" w:eastAsia="Courier New" w:hAnsi="Courier New"/>
                <w:sz w:val="17"/>
                <w:szCs w:val="17"/>
                <w:color w:val="auto"/>
              </w:rPr>
              <w:t>% of the principal</w:t>
            </w:r>
          </w:p>
        </w:tc>
        <w:tc>
          <w:tcPr>
            <w:tcW w:w="58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amount of the 2004 Notes. The Underwriters may allow,</w:t>
            </w: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and such dealers may re-allow, discounts</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not in</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excess of</w:t>
            </w:r>
          </w:p>
        </w:tc>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 of the</w:t>
            </w:r>
          </w:p>
        </w:tc>
        <w:tc>
          <w:tcPr>
            <w:tcW w:w="660" w:type="dxa"/>
            <w:vAlign w:val="bottom"/>
          </w:tcPr>
          <w:p>
            <w:pPr>
              <w:spacing w:after="0"/>
              <w:rPr>
                <w:sz w:val="17"/>
                <w:szCs w:val="17"/>
                <w:color w:val="auto"/>
              </w:rPr>
            </w:pP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principal amount of the</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2004 Notes to any other</w:t>
            </w:r>
          </w:p>
        </w:tc>
        <w:tc>
          <w:tcPr>
            <w:tcW w:w="3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Underwriter and certain other</w:t>
            </w: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dealers. After the initial offering, the</w:t>
            </w:r>
          </w:p>
        </w:tc>
        <w:tc>
          <w:tcPr>
            <w:tcW w:w="34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offering price and other selling</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terms</w:t>
            </w:r>
          </w:p>
        </w:tc>
      </w:tr>
      <w:tr>
        <w:trPr>
          <w:trHeight w:val="198"/>
        </w:trPr>
        <w:tc>
          <w:tcPr>
            <w:tcW w:w="6180" w:type="dxa"/>
            <w:vAlign w:val="bottom"/>
            <w:gridSpan w:val="4"/>
          </w:tcPr>
          <w:p>
            <w:pPr>
              <w:spacing w:after="0"/>
              <w:rPr>
                <w:sz w:val="20"/>
                <w:szCs w:val="20"/>
                <w:color w:val="auto"/>
              </w:rPr>
            </w:pPr>
            <w:r>
              <w:rPr>
                <w:rFonts w:ascii="Courier New" w:cs="Courier New" w:eastAsia="Courier New" w:hAnsi="Courier New"/>
                <w:sz w:val="17"/>
                <w:szCs w:val="17"/>
                <w:color w:val="auto"/>
              </w:rPr>
              <w:t>of the 2004 Notes may be changed by the Underwriters.</w:t>
            </w: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96"/>
        </w:trPr>
        <w:tc>
          <w:tcPr>
            <w:tcW w:w="8240" w:type="dxa"/>
            <w:vAlign w:val="bottom"/>
            <w:gridSpan w:val="6"/>
          </w:tcPr>
          <w:p>
            <w:pPr>
              <w:ind w:left="520"/>
              <w:spacing w:after="0"/>
              <w:rPr>
                <w:sz w:val="20"/>
                <w:szCs w:val="20"/>
                <w:color w:val="auto"/>
              </w:rPr>
            </w:pPr>
            <w:r>
              <w:rPr>
                <w:rFonts w:ascii="Courier New" w:cs="Courier New" w:eastAsia="Courier New" w:hAnsi="Courier New"/>
                <w:sz w:val="17"/>
                <w:szCs w:val="17"/>
                <w:color w:val="auto"/>
              </w:rPr>
              <w:t>The Underwriters have advised the Company that they propose initially to</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offer the 2007 Notes to</w:t>
            </w:r>
          </w:p>
        </w:tc>
        <w:tc>
          <w:tcPr>
            <w:tcW w:w="51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public at the public offering price set forth</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w w:val="97"/>
              </w:rPr>
              <w:t>on the</w:t>
            </w:r>
          </w:p>
        </w:tc>
      </w:tr>
      <w:tr>
        <w:trPr>
          <w:trHeight w:val="198"/>
        </w:trPr>
        <w:tc>
          <w:tcPr>
            <w:tcW w:w="7580" w:type="dxa"/>
            <w:vAlign w:val="bottom"/>
            <w:gridSpan w:val="5"/>
          </w:tcPr>
          <w:p>
            <w:pPr>
              <w:spacing w:after="0"/>
              <w:rPr>
                <w:sz w:val="20"/>
                <w:szCs w:val="20"/>
                <w:color w:val="auto"/>
              </w:rPr>
            </w:pPr>
            <w:r>
              <w:rPr>
                <w:rFonts w:ascii="Courier New" w:cs="Courier New" w:eastAsia="Courier New" w:hAnsi="Courier New"/>
                <w:sz w:val="17"/>
                <w:szCs w:val="17"/>
                <w:color w:val="auto"/>
              </w:rPr>
              <w:t>cover page of this Prospectus Supplement, and to certain dealers (who may</w:t>
            </w:r>
          </w:p>
        </w:tc>
        <w:tc>
          <w:tcPr>
            <w:tcW w:w="660" w:type="dxa"/>
            <w:vAlign w:val="bottom"/>
          </w:tcPr>
          <w:p>
            <w:pPr>
              <w:spacing w:after="0"/>
              <w:rPr>
                <w:sz w:val="17"/>
                <w:szCs w:val="17"/>
                <w:color w:val="auto"/>
              </w:rPr>
            </w:pP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include the Underwriters) at such price,</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less a</w:t>
            </w:r>
          </w:p>
        </w:tc>
        <w:tc>
          <w:tcPr>
            <w:tcW w:w="3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concession not in excess of</w:t>
            </w:r>
          </w:p>
        </w:tc>
      </w:tr>
      <w:tr>
        <w:trPr>
          <w:trHeight w:val="198"/>
        </w:trPr>
        <w:tc>
          <w:tcPr>
            <w:tcW w:w="2420" w:type="dxa"/>
            <w:vAlign w:val="bottom"/>
          </w:tcPr>
          <w:p>
            <w:pPr>
              <w:ind w:left="520"/>
              <w:spacing w:after="0"/>
              <w:rPr>
                <w:sz w:val="20"/>
                <w:szCs w:val="20"/>
                <w:color w:val="auto"/>
              </w:rPr>
            </w:pPr>
            <w:r>
              <w:rPr>
                <w:rFonts w:ascii="Courier New" w:cs="Courier New" w:eastAsia="Courier New" w:hAnsi="Courier New"/>
                <w:sz w:val="17"/>
                <w:szCs w:val="17"/>
                <w:color w:val="auto"/>
              </w:rPr>
              <w:t>% of the principal</w:t>
            </w:r>
          </w:p>
        </w:tc>
        <w:tc>
          <w:tcPr>
            <w:tcW w:w="58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amount of the 2007 Notes. The Underwriters may allow,</w:t>
            </w: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and such dealers may re-allow, discounts</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not in</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excess of</w:t>
            </w:r>
          </w:p>
        </w:tc>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 of the</w:t>
            </w:r>
          </w:p>
        </w:tc>
        <w:tc>
          <w:tcPr>
            <w:tcW w:w="660" w:type="dxa"/>
            <w:vAlign w:val="bottom"/>
          </w:tcPr>
          <w:p>
            <w:pPr>
              <w:spacing w:after="0"/>
              <w:rPr>
                <w:sz w:val="17"/>
                <w:szCs w:val="17"/>
                <w:color w:val="auto"/>
              </w:rPr>
            </w:pP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principal amount of the</w:t>
            </w:r>
          </w:p>
        </w:tc>
        <w:tc>
          <w:tcPr>
            <w:tcW w:w="2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2007 Notes to any other</w:t>
            </w:r>
          </w:p>
        </w:tc>
        <w:tc>
          <w:tcPr>
            <w:tcW w:w="3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Underwriter and certain other</w:t>
            </w:r>
          </w:p>
        </w:tc>
      </w:tr>
      <w:tr>
        <w:trPr>
          <w:trHeight w:val="198"/>
        </w:trPr>
        <w:tc>
          <w:tcPr>
            <w:tcW w:w="4180" w:type="dxa"/>
            <w:vAlign w:val="bottom"/>
            <w:gridSpan w:val="2"/>
          </w:tcPr>
          <w:p>
            <w:pPr>
              <w:spacing w:after="0"/>
              <w:rPr>
                <w:sz w:val="20"/>
                <w:szCs w:val="20"/>
                <w:color w:val="auto"/>
              </w:rPr>
            </w:pPr>
            <w:r>
              <w:rPr>
                <w:rFonts w:ascii="Courier New" w:cs="Courier New" w:eastAsia="Courier New" w:hAnsi="Courier New"/>
                <w:sz w:val="17"/>
                <w:szCs w:val="17"/>
                <w:color w:val="auto"/>
              </w:rPr>
              <w:t>dealers. After the initial offering, the</w:t>
            </w:r>
          </w:p>
        </w:tc>
        <w:tc>
          <w:tcPr>
            <w:tcW w:w="34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offering price and other selling</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terms</w:t>
            </w:r>
          </w:p>
        </w:tc>
      </w:tr>
      <w:tr>
        <w:trPr>
          <w:trHeight w:val="198"/>
        </w:trPr>
        <w:tc>
          <w:tcPr>
            <w:tcW w:w="6180" w:type="dxa"/>
            <w:vAlign w:val="bottom"/>
            <w:gridSpan w:val="4"/>
          </w:tcPr>
          <w:p>
            <w:pPr>
              <w:spacing w:after="0"/>
              <w:rPr>
                <w:sz w:val="20"/>
                <w:szCs w:val="20"/>
                <w:color w:val="auto"/>
              </w:rPr>
            </w:pPr>
            <w:r>
              <w:rPr>
                <w:rFonts w:ascii="Courier New" w:cs="Courier New" w:eastAsia="Courier New" w:hAnsi="Courier New"/>
                <w:sz w:val="17"/>
                <w:szCs w:val="17"/>
                <w:color w:val="auto"/>
              </w:rPr>
              <w:t>of the 2007 Notes may be changed by the Underwriters.</w:t>
            </w: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Offering, the Underwriters may engage in transactions that stabilize, maintain or otherwise affect the price of any series of the Notes. Specifically, the Underwriters may overallot the Offering, creating a syndicate short position. Underwriters may bid for and purchase any series of the Notes in the open market to cover such a syndicate short position. In addition, the Underwriters may bid for and purchase any</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313" w:right="1440" w:bottom="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series of the Notes in the open market to stabilize the price of any series of the Notes. These activities may stabilize or maintain the market price of any series of the Notes above independent market levels. The Underwriters are not required to engage in these activities, and may end these activities at any time.</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its merger with United and was paid customary fees in connection therewith. Donaldson, Lufkin &amp; Jenrette Securities Corporation was lead manager, and Deutsche Morgan Grenfell Inc. and Merrill Lynch, Pierce, Fenner &amp; Smith Incorporated were co-managers in a public offering of USA Waste Common Stock and Convertible Subordinated Notes completed in February 1997. Affiliates of J.P. Morgan Securities Inc. and Deutsche Morgan Grenfell Inc. are lenders under the Credit Facility. An affiliate of J.P. Morgan Securities Inc. serves as the agent under the Credit Facility and receives customary compensation therefor. See "Use of Proceeds."</w:t>
      </w:r>
    </w:p>
    <w:p>
      <w:pPr>
        <w:spacing w:after="0" w:line="206"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LEGAL MATTERS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313"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INDEX TO FINANCIAL STATEMENTS</w:t>
            </w:r>
          </w:p>
        </w:tc>
        <w:tc>
          <w:tcPr>
            <w:tcW w:w="520" w:type="dxa"/>
            <w:vAlign w:val="bottom"/>
          </w:tcPr>
          <w:p>
            <w:pPr>
              <w:spacing w:after="0"/>
              <w:rPr>
                <w:sz w:val="16"/>
                <w:szCs w:val="16"/>
                <w:color w:val="auto"/>
              </w:rPr>
            </w:pPr>
          </w:p>
        </w:tc>
      </w:tr>
      <w:tr>
        <w:trPr>
          <w:trHeight w:val="792"/>
        </w:trPr>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PAGE</w:t>
            </w:r>
          </w:p>
        </w:tc>
      </w:tr>
      <w:tr>
        <w:trPr>
          <w:trHeight w:val="198"/>
        </w:trPr>
        <w:tc>
          <w:tcPr>
            <w:tcW w:w="28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2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USA Waste Services, Inc. Supplemental Unaudited Condensed</w:t>
            </w:r>
          </w:p>
        </w:tc>
        <w:tc>
          <w:tcPr>
            <w:tcW w:w="520" w:type="dxa"/>
            <w:vAlign w:val="bottom"/>
          </w:tcPr>
          <w:p>
            <w:pPr>
              <w:spacing w:after="0"/>
              <w:rPr>
                <w:sz w:val="24"/>
                <w:szCs w:val="24"/>
                <w:color w:val="auto"/>
              </w:rPr>
            </w:pPr>
          </w:p>
        </w:tc>
      </w:tr>
      <w:tr>
        <w:trPr>
          <w:trHeight w:val="198"/>
        </w:trPr>
        <w:tc>
          <w:tcPr>
            <w:tcW w:w="6280" w:type="dxa"/>
            <w:vAlign w:val="bottom"/>
            <w:gridSpan w:val="2"/>
          </w:tcPr>
          <w:p>
            <w:pPr>
              <w:jc w:val="right"/>
              <w:ind w:right="2474"/>
              <w:spacing w:after="0"/>
              <w:rPr>
                <w:sz w:val="20"/>
                <w:szCs w:val="20"/>
                <w:color w:val="auto"/>
              </w:rPr>
            </w:pPr>
            <w:r>
              <w:rPr>
                <w:rFonts w:ascii="Courier New" w:cs="Courier New" w:eastAsia="Courier New" w:hAnsi="Courier New"/>
                <w:sz w:val="17"/>
                <w:szCs w:val="17"/>
                <w:color w:val="auto"/>
              </w:rPr>
              <w:t>Consolidated Financial Statements:</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General................................................</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F-2</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Condensed Consolidated Balance</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Sheet as of June 30, 1997.............................</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F-3</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F-4</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1996..................................................</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F-5</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1996....</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F-6</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1995....</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F-7</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1994....</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F-8</w:t>
            </w:r>
          </w:p>
        </w:tc>
      </w:tr>
      <w:tr>
        <w:trPr>
          <w:trHeight w:val="198"/>
        </w:trPr>
        <w:tc>
          <w:tcPr>
            <w:tcW w:w="62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Notes to Supplemental Unaudited Condensed Consolidated</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F-9</w:t>
            </w:r>
          </w:p>
        </w:tc>
      </w:tr>
      <w:tr>
        <w:trPr>
          <w:trHeight w:val="594"/>
        </w:trPr>
        <w:tc>
          <w:tcPr>
            <w:tcW w:w="2880" w:type="dxa"/>
            <w:vAlign w:val="bottom"/>
          </w:tcPr>
          <w:p>
            <w:pPr>
              <w:spacing w:after="0"/>
              <w:rPr>
                <w:sz w:val="24"/>
                <w:szCs w:val="24"/>
                <w:color w:val="auto"/>
              </w:rPr>
            </w:pPr>
          </w:p>
        </w:tc>
        <w:tc>
          <w:tcPr>
            <w:tcW w:w="3400" w:type="dxa"/>
            <w:vAlign w:val="bottom"/>
          </w:tcPr>
          <w:p>
            <w:pPr>
              <w:jc w:val="right"/>
              <w:ind w:right="1874"/>
              <w:spacing w:after="0"/>
              <w:rPr>
                <w:sz w:val="20"/>
                <w:szCs w:val="20"/>
                <w:color w:val="auto"/>
              </w:rPr>
            </w:pPr>
            <w:r>
              <w:rPr>
                <w:rFonts w:ascii="Courier New" w:cs="Courier New" w:eastAsia="Courier New" w:hAnsi="Courier New"/>
                <w:sz w:val="17"/>
                <w:szCs w:val="17"/>
                <w:color w:val="auto"/>
              </w:rPr>
              <w:t>F-1</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3"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16</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the Company consummated a merger transaction with United which was accounted for as a "pooling of interests" pursuant to Opinion No. 16 of the Accounting Principles Board and related interpretations thereof. Pursuant to the Merger, the Company issued 1.075 shares of its Common Stock in exchange for each issued and outstanding share of United common stock. The pooling of interests method of accounting assumes that the combining companies have been merged from their inception, and the historical financial statements for periods prior to consummation of the Merger are restated as though the companies have been combined since their inception. The following supplemental unaudited condensed consolidated financial statements are based upon the historical consolidated financial statements of USA Waste and United and should be read in conjunction with those consolidated financial statements and related notes thereto. Such historical financial statements have been previously filed with the Commission under the Securities Exchange Act of 1934, as amended, and are incorporated by reference in this Prospectus Supplement and the accompanying Prospectus. Generally accepted accounting principles proscribe giving effect to a consummated business combination accounted for by the pooling of interests method in financial statements that do not include the date of consummation. These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w:t>
      </w:r>
    </w:p>
    <w:p>
      <w:pPr>
        <w:spacing w:after="0" w:line="21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opinion of the Company, the following supplemental unaudited condensed consolidated financial statements reflect all adjustments, consisting only of conforming adjustments necessary to account for the Merger as a pooling of interests, and with respect to the interim financial statements, normal recurring adjustments, necessary for a fair presentation of the Company's supplemental financial condition and supplemental results of operations as of such date and for such periods. These supplemental unaudited condensed consolidated financial statements are not necessarily indicative of the operating results that would have been achieved had the Merger been consummated as of the beginning of the periods presented and should not be construed as indicative of future operating results.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313"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17</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AS OF JUNE 30, 1997</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AS REPORTED</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8"/>
        </w:trPr>
        <w:tc>
          <w:tcPr>
            <w:tcW w:w="4940" w:type="dxa"/>
            <w:vAlign w:val="bottom"/>
          </w:tcPr>
          <w:p>
            <w:pPr>
              <w:spacing w:after="0"/>
              <w:rPr>
                <w:sz w:val="17"/>
                <w:szCs w:val="17"/>
                <w:color w:val="auto"/>
              </w:rPr>
            </w:pPr>
          </w:p>
        </w:tc>
        <w:tc>
          <w:tcPr>
            <w:tcW w:w="2420" w:type="dxa"/>
            <w:vAlign w:val="bottom"/>
            <w:gridSpan w:val="3"/>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USA WASTE</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UNITED</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(IN THOUSANDS, EXCEPT SHARE AND PER SHARE</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DATA)</w:t>
            </w:r>
          </w:p>
        </w:tc>
      </w:tr>
      <w:tr>
        <w:trPr>
          <w:trHeight w:val="396"/>
        </w:trPr>
        <w:tc>
          <w:tcPr>
            <w:tcW w:w="49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43,937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$ 25,823</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receivable,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327,707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68,824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396,531</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Notes and other receivables..................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61,206</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8,883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70,089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income taxes........................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31,980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9,613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41,593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Prepaid expenses and other...................</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56,628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10,675</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67,303</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assets.................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521,458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123,818</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645,276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Notes and other receivables....................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56,345</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56,345</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Property and equipment,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2,917,497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438,172</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3,355,669</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business,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873,189</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333,339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1,206,528</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intangible assets,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85,146</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4,970</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90,116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assets...................................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164,207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40,968</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205,175</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assets.........................</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$4,617,842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$941,267</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$5,559,109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payable.............................</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153,231</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$ 25,448</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178,679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Accrued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145,121</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48,723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193,844</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revenues............................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38,968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13,959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52,927</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Current maturities of long-term debt.........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49,520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7,039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56,559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386,840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95,169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482,009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Long-term debt.................................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1,996,958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273,894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2,270,852</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income taxes..........................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132,478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39,326</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171,804</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Closure, post-closure and other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235,429</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62,785</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298,214</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2,751,705</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471,174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3,222,879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Commitments and contingencies..................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USA Waste: $1.00 par value; 10,000,000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shares authorized; none issued..........</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United: $.001 par value; 5,000,000 shares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authorized; none 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Common stock:</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USA Waste: $.01 par value; 500,000,000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shares authorized; historical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160,702,719 shares (208,614,703</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supplemental shares) issued and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479(a)</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United: $.001 par value; 75,000,000 shares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authorized; 44,569,287 shares issued and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(45)(a)</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Additional paid-in capital...................</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1,845,112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374,085</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(434)(a)</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2,218,763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35,760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95,963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131,723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Foreign currency translation adjustment......</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(15,858)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(15,858)</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Less treasury stock at cost, 23,485 shares...</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(484)</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stockholders' equity...........</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1,866,137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470,093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2,336,230</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Total liabilities and stockholders'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equity.............................</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$4,617,842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$941,267</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$5,559,109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313" w:right="1440" w:bottom="325"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18</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AS REPORTED</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4180" w:type="dxa"/>
            <w:vAlign w:val="bottom"/>
          </w:tcPr>
          <w:p>
            <w:pPr>
              <w:spacing w:after="0"/>
              <w:rPr>
                <w:sz w:val="17"/>
                <w:szCs w:val="17"/>
                <w:color w:val="auto"/>
              </w:rPr>
            </w:pPr>
          </w:p>
        </w:tc>
        <w:tc>
          <w:tcPr>
            <w:tcW w:w="3180" w:type="dxa"/>
            <w:vAlign w:val="bottom"/>
            <w:gridSpan w:val="4"/>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UNITED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16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ENDED</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ENDED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JUNE 30, 1997</w:t>
            </w:r>
          </w:p>
        </w:tc>
        <w:tc>
          <w:tcPr>
            <w:tcW w:w="16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JUNE 30, 1997</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80" w:type="dxa"/>
            <w:vAlign w:val="bottom"/>
            <w:gridSpan w:val="6"/>
          </w:tcPr>
          <w:p>
            <w:pPr>
              <w:ind w:left="620"/>
              <w:spacing w:after="0"/>
              <w:rPr>
                <w:sz w:val="20"/>
                <w:szCs w:val="20"/>
                <w:color w:val="auto"/>
              </w:rPr>
            </w:pPr>
            <w:r>
              <w:rPr>
                <w:rFonts w:ascii="Courier New" w:cs="Courier New" w:eastAsia="Courier New" w:hAnsi="Courier New"/>
                <w:sz w:val="17"/>
                <w:szCs w:val="17"/>
                <w:color w:val="auto"/>
              </w:rPr>
              <w:t>(IN THOUSANDS, EXCEPT PER SHARE AMOUNTS)</w:t>
            </w:r>
          </w:p>
        </w:tc>
        <w:tc>
          <w:tcPr>
            <w:tcW w:w="880" w:type="dxa"/>
            <w:vAlign w:val="bottom"/>
          </w:tcPr>
          <w:p>
            <w:pPr>
              <w:spacing w:after="0"/>
              <w:rPr>
                <w:sz w:val="17"/>
                <w:szCs w:val="17"/>
                <w:color w:val="auto"/>
              </w:rPr>
            </w:pPr>
          </w:p>
        </w:tc>
      </w:tr>
      <w:tr>
        <w:trPr>
          <w:trHeight w:val="3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$900,090</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$216,619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$1,116,709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Operating (exclusive of depreciation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and amortization shown below)......</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463,403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136,200</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(18,138)(b)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581,465</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General and administrative............</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102,614</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33,295</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(5,243)(b)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125,407</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(5,259)(c)</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Depreciation and amortization.........</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108,203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23,381(b)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131,584</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Merger costs..........................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5,259(c)</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5,259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674,220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169,495</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843,715</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Income from operations..................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225,870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47,124</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272,994</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(33,373)</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(7,899)</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(41,272)</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Interest income.......................</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2,139</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1,609(d)</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3,748</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Other income (expense), net...........</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7,713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1,585</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(1,609)(d)</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7,689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(23,521)</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(6,314)</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(29,835)</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Income before income taxes..............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202,349</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40,810</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243,159</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Provision for income taxes..............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80,940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16,961</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97,901</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$121,409</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$ 23,849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Primary earnings per common 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0.75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0.54</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0.70</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Fully diluted earnings per common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0.75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0.53</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313"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19</w:t>
      </w:r>
    </w:p>
    <w:p>
      <w:pPr>
        <w:spacing w:after="0" w:line="203"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20" w:type="dxa"/>
            <w:vAlign w:val="bottom"/>
            <w:gridSpan w:val="3"/>
          </w:tcPr>
          <w:p>
            <w:pPr>
              <w:jc w:val="right"/>
              <w:ind w:right="994"/>
              <w:spacing w:after="0"/>
              <w:rPr>
                <w:sz w:val="20"/>
                <w:szCs w:val="20"/>
                <w:color w:val="auto"/>
              </w:rPr>
            </w:pPr>
            <w:r>
              <w:rPr>
                <w:rFonts w:ascii="Courier New" w:cs="Courier New" w:eastAsia="Courier New" w:hAnsi="Courier New"/>
                <w:sz w:val="17"/>
                <w:szCs w:val="17"/>
                <w:color w:val="auto"/>
              </w:rPr>
              <w:t>AS REPORTED</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8"/>
        </w:trPr>
        <w:tc>
          <w:tcPr>
            <w:tcW w:w="4640" w:type="dxa"/>
            <w:vAlign w:val="bottom"/>
          </w:tcPr>
          <w:p>
            <w:pPr>
              <w:spacing w:after="0"/>
              <w:rPr>
                <w:sz w:val="17"/>
                <w:szCs w:val="17"/>
                <w:color w:val="auto"/>
              </w:rPr>
            </w:pPr>
          </w:p>
        </w:tc>
        <w:tc>
          <w:tcPr>
            <w:tcW w:w="3240" w:type="dxa"/>
            <w:vAlign w:val="bottom"/>
            <w:gridSpan w:val="4"/>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UNITED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16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center"/>
              <w:ind w:right="394"/>
              <w:spacing w:after="0"/>
              <w:rPr>
                <w:sz w:val="20"/>
                <w:szCs w:val="20"/>
                <w:color w:val="auto"/>
              </w:rPr>
            </w:pPr>
            <w:r>
              <w:rPr>
                <w:rFonts w:ascii="Courier New" w:cs="Courier New" w:eastAsia="Courier New" w:hAnsi="Courier New"/>
                <w:sz w:val="17"/>
                <w:szCs w:val="17"/>
                <w:color w:val="auto"/>
                <w:w w:val="97"/>
              </w:rPr>
              <w:t>ENDED</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ENDED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JUNE 30, 1996</w:t>
            </w:r>
          </w:p>
        </w:tc>
        <w:tc>
          <w:tcPr>
            <w:tcW w:w="16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JUNE 30, 1996</w:t>
            </w:r>
          </w:p>
        </w:tc>
        <w:tc>
          <w:tcPr>
            <w:tcW w:w="15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c>
          <w:tcPr>
            <w:tcW w:w="940" w:type="dxa"/>
            <w:vAlign w:val="bottom"/>
          </w:tcPr>
          <w:p>
            <w:pPr>
              <w:spacing w:after="0"/>
              <w:rPr>
                <w:sz w:val="17"/>
                <w:szCs w:val="17"/>
                <w:color w:val="auto"/>
              </w:rPr>
            </w:pPr>
          </w:p>
        </w:tc>
      </w:tr>
      <w:tr>
        <w:trPr>
          <w:trHeight w:val="396"/>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Operating revenues..........................</w:t>
            </w: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$610,267</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$151,838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$762,105</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Operating (exclusive of depreciation and</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amortization shown below)..............</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336,211</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96,480</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(14,371)(b)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418,320</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76,853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24,778</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(3,374)(b)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96,061</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(2,196)(c)</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69,804</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17,745(b)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87,549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38,100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2,196(c)</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40,296</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12,952</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12,952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533,920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121,258</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655,178</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76,347</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30,580</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106,927</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expense..........................</w:t>
            </w:r>
          </w:p>
        </w:tc>
        <w:tc>
          <w:tcPr>
            <w:tcW w:w="4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(22,457)</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(7,206)</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(29,663)</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2,998</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262(d)</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3,260</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(expense), net...............</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2,542</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(1,768)</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(262)(d)</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(16,917)</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(8,974)</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(25,891)</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59,430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21,606</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81,036</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33,846</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8,739</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42,585</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$ 25,584</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$ 12,867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$ 38,451</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0.19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0.33</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Fully diluted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0.19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0.33</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720"/>
          </w:cols>
          <w:pgMar w:left="240" w:top="313" w:right="939"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20</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3"/>
          </w:tcPr>
          <w:p>
            <w:pPr>
              <w:jc w:val="right"/>
              <w:ind w:right="1034"/>
              <w:spacing w:after="0"/>
              <w:rPr>
                <w:sz w:val="20"/>
                <w:szCs w:val="20"/>
                <w:color w:val="auto"/>
              </w:rPr>
            </w:pPr>
            <w:r>
              <w:rPr>
                <w:rFonts w:ascii="Courier New" w:cs="Courier New" w:eastAsia="Courier New" w:hAnsi="Courier New"/>
                <w:sz w:val="17"/>
                <w:szCs w:val="17"/>
                <w:color w:val="auto"/>
              </w:rPr>
              <w:t>AS REPORTED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4440" w:type="dxa"/>
            <w:vAlign w:val="bottom"/>
          </w:tcPr>
          <w:p>
            <w:pPr>
              <w:spacing w:after="0"/>
              <w:rPr>
                <w:sz w:val="17"/>
                <w:szCs w:val="17"/>
                <w:color w:val="auto"/>
              </w:rPr>
            </w:pPr>
          </w:p>
        </w:tc>
        <w:tc>
          <w:tcPr>
            <w:tcW w:w="318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240" w:type="dxa"/>
            <w:vAlign w:val="bottom"/>
          </w:tcPr>
          <w:p>
            <w:pPr>
              <w:jc w:val="center"/>
              <w:ind w:right="534"/>
              <w:spacing w:after="0"/>
              <w:rPr>
                <w:sz w:val="20"/>
                <w:szCs w:val="20"/>
                <w:color w:val="auto"/>
              </w:rPr>
            </w:pPr>
            <w:r>
              <w:rPr>
                <w:rFonts w:ascii="Courier New" w:cs="Courier New" w:eastAsia="Courier New" w:hAnsi="Courier New"/>
                <w:sz w:val="17"/>
                <w:szCs w:val="17"/>
                <w:color w:val="auto"/>
              </w:rPr>
              <w:t>UNITED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YEAR ENDED</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YEAR ENDED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DECEMBER 31,</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1996</w:t>
            </w:r>
          </w:p>
        </w:tc>
        <w:tc>
          <w:tcPr>
            <w:tcW w:w="460" w:type="dxa"/>
            <w:vAlign w:val="bottom"/>
          </w:tcPr>
          <w:p>
            <w:pPr>
              <w:spacing w:after="0"/>
              <w:rPr>
                <w:sz w:val="17"/>
                <w:szCs w:val="17"/>
                <w:color w:val="auto"/>
              </w:rPr>
            </w:pPr>
          </w:p>
        </w:tc>
        <w:tc>
          <w:tcPr>
            <w:tcW w:w="1240" w:type="dxa"/>
            <w:vAlign w:val="bottom"/>
          </w:tcPr>
          <w:p>
            <w:pPr>
              <w:jc w:val="center"/>
              <w:ind w:right="514"/>
              <w:spacing w:after="0"/>
              <w:rPr>
                <w:sz w:val="20"/>
                <w:szCs w:val="20"/>
                <w:color w:val="auto"/>
              </w:rPr>
            </w:pPr>
            <w:r>
              <w:rPr>
                <w:rFonts w:ascii="Courier New" w:cs="Courier New" w:eastAsia="Courier New" w:hAnsi="Courier New"/>
                <w:sz w:val="17"/>
                <w:szCs w:val="17"/>
                <w:color w:val="auto"/>
                <w:w w:val="97"/>
              </w:rPr>
              <w:t>1996</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w:t>
            </w:r>
          </w:p>
        </w:tc>
        <w:tc>
          <w:tcPr>
            <w:tcW w:w="28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PER SHARE AMOUNTS)</w:t>
            </w:r>
          </w:p>
        </w:tc>
      </w:tr>
      <w:tr>
        <w:trPr>
          <w:trHeight w:val="396"/>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revenues........................</w:t>
            </w: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$1,313,388</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$335,743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$1,649,131</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704,917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206,786</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(30,302)(b)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881,401</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160,539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53,106</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(7,574)(b)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200,101</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(5,970)(c)</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153,168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37,876(b)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191,044</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120,656</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5,970(c)</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126,626</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63,800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63,800</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1,203,080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259,892</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1,462,972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110,308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75,851</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186,159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(45,547)</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(14,950)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(60,497)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5,267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1,432(d)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6,699</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income (expense), net.............</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8,060</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(252)</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(1,432)(d)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6,376</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(32,220)</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(15,202)</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(47,422)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before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78,088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60,649</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138,737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45,142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25,256</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70,398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32,946</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$ 35,393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68,339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Primary earnings per common 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0.89</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Fully diluted earnings per common 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0.88</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500"/>
          </w:cols>
          <w:pgMar w:left="240" w:top="313" w:right="1159"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21</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REPORTED</w:t>
            </w: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4220" w:type="dxa"/>
            <w:vAlign w:val="bottom"/>
          </w:tcPr>
          <w:p>
            <w:pPr>
              <w:spacing w:after="0"/>
              <w:rPr>
                <w:sz w:val="17"/>
                <w:szCs w:val="17"/>
                <w:color w:val="auto"/>
              </w:rPr>
            </w:pPr>
          </w:p>
        </w:tc>
        <w:tc>
          <w:tcPr>
            <w:tcW w:w="3200" w:type="dxa"/>
            <w:vAlign w:val="bottom"/>
            <w:gridSpan w:val="4"/>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USA WASTE</w:t>
            </w:r>
          </w:p>
        </w:tc>
        <w:tc>
          <w:tcPr>
            <w:tcW w:w="500" w:type="dxa"/>
            <w:vAlign w:val="bottom"/>
          </w:tcPr>
          <w:p>
            <w:pPr>
              <w:spacing w:after="0"/>
              <w:rPr>
                <w:sz w:val="17"/>
                <w:szCs w:val="17"/>
                <w:color w:val="auto"/>
              </w:rPr>
            </w:pPr>
          </w:p>
        </w:tc>
        <w:tc>
          <w:tcPr>
            <w:tcW w:w="114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UNITED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YEAR ENDED</w:t>
            </w:r>
          </w:p>
        </w:tc>
        <w:tc>
          <w:tcPr>
            <w:tcW w:w="16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YEAR ENDED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DECEMBER 31,</w:t>
            </w:r>
          </w:p>
        </w:tc>
        <w:tc>
          <w:tcPr>
            <w:tcW w:w="16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1995</w:t>
            </w:r>
          </w:p>
        </w:tc>
        <w:tc>
          <w:tcPr>
            <w:tcW w:w="500" w:type="dxa"/>
            <w:vAlign w:val="bottom"/>
          </w:tcPr>
          <w:p>
            <w:pPr>
              <w:spacing w:after="0"/>
              <w:rPr>
                <w:sz w:val="17"/>
                <w:szCs w:val="17"/>
                <w:color w:val="auto"/>
              </w:rPr>
            </w:pPr>
          </w:p>
        </w:tc>
        <w:tc>
          <w:tcPr>
            <w:tcW w:w="114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1995</w:t>
            </w:r>
          </w:p>
        </w:tc>
        <w:tc>
          <w:tcPr>
            <w:tcW w:w="17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c>
          <w:tcPr>
            <w:tcW w:w="1020" w:type="dxa"/>
            <w:vAlign w:val="bottom"/>
          </w:tcPr>
          <w:p>
            <w:pPr>
              <w:spacing w:after="0"/>
              <w:rPr>
                <w:sz w:val="17"/>
                <w:szCs w:val="17"/>
                <w:color w:val="auto"/>
              </w:rPr>
            </w:pP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$987,705</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$228,377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$1,216,082</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Operating (exclusive of depreciation</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and amortization shown below)......</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551,305</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140,814</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(20,002)(b)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672,117</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140,051</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34,841</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(4,306)(b)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169,686</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(900)(c)</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119,570</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24,308(b)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143,878</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25,639</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900(c)</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26,539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4,733</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4,733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841,298</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175,655</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1,016,953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146,407</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52,722</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199,129</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Nonrecurring.......................</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(10,994)</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(10,994)</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(48,558)</w:t>
            </w:r>
          </w:p>
        </w:tc>
        <w:tc>
          <w:tcPr>
            <w:tcW w:w="5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(10,061)</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(58,619)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5,482</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1,200(d)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6,682</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net.....................</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5,143</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948</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(1,200)(d)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4,891</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(48,927)</w:t>
            </w:r>
          </w:p>
        </w:tc>
        <w:tc>
          <w:tcPr>
            <w:tcW w:w="5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(9,113)</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(58,040)</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97,480</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43,609</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141,089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44,992</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15,321</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60,313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52,488</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28,288</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80,776</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dividends.....................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373</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available to common</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shareholders..........................</w:t>
            </w: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$ 52,488</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$ 27,915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80,403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0.82</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0.54</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Fully diluted earnings per common</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0.81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0.54</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500"/>
          </w:cols>
          <w:pgMar w:left="240" w:top="313" w:right="1159"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22</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3"/>
          </w:tcPr>
          <w:p>
            <w:pPr>
              <w:jc w:val="right"/>
              <w:ind w:right="1034"/>
              <w:spacing w:after="0"/>
              <w:rPr>
                <w:sz w:val="20"/>
                <w:szCs w:val="20"/>
                <w:color w:val="auto"/>
              </w:rPr>
            </w:pPr>
            <w:r>
              <w:rPr>
                <w:rFonts w:ascii="Courier New" w:cs="Courier New" w:eastAsia="Courier New" w:hAnsi="Courier New"/>
                <w:sz w:val="17"/>
                <w:szCs w:val="17"/>
                <w:color w:val="auto"/>
              </w:rPr>
              <w:t>AS REPORTED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440" w:type="dxa"/>
            <w:vAlign w:val="bottom"/>
          </w:tcPr>
          <w:p>
            <w:pPr>
              <w:spacing w:after="0"/>
              <w:rPr>
                <w:sz w:val="17"/>
                <w:szCs w:val="17"/>
                <w:color w:val="auto"/>
              </w:rPr>
            </w:pPr>
          </w:p>
        </w:tc>
        <w:tc>
          <w:tcPr>
            <w:tcW w:w="318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240" w:type="dxa"/>
            <w:vAlign w:val="bottom"/>
          </w:tcPr>
          <w:p>
            <w:pPr>
              <w:jc w:val="center"/>
              <w:ind w:right="534"/>
              <w:spacing w:after="0"/>
              <w:rPr>
                <w:sz w:val="20"/>
                <w:szCs w:val="20"/>
                <w:color w:val="auto"/>
              </w:rPr>
            </w:pPr>
            <w:r>
              <w:rPr>
                <w:rFonts w:ascii="Courier New" w:cs="Courier New" w:eastAsia="Courier New" w:hAnsi="Courier New"/>
                <w:sz w:val="17"/>
                <w:szCs w:val="17"/>
                <w:color w:val="auto"/>
              </w:rPr>
              <w:t>UNITED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YEAR ENDED</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YEAR ENDED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DECEMBER 31,</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7"/>
                <w:szCs w:val="17"/>
                <w:color w:val="auto"/>
              </w:rPr>
            </w:pPr>
          </w:p>
        </w:tc>
        <w:tc>
          <w:tcPr>
            <w:tcW w:w="1240" w:type="dxa"/>
            <w:vAlign w:val="bottom"/>
          </w:tcPr>
          <w:p>
            <w:pPr>
              <w:jc w:val="center"/>
              <w:ind w:right="514"/>
              <w:spacing w:after="0"/>
              <w:rPr>
                <w:sz w:val="20"/>
                <w:szCs w:val="20"/>
                <w:color w:val="auto"/>
              </w:rPr>
            </w:pPr>
            <w:r>
              <w:rPr>
                <w:rFonts w:ascii="Courier New" w:cs="Courier New" w:eastAsia="Courier New" w:hAnsi="Courier New"/>
                <w:sz w:val="17"/>
                <w:szCs w:val="17"/>
                <w:color w:val="auto"/>
                <w:w w:val="97"/>
              </w:rPr>
              <w:t>1994</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w:t>
            </w:r>
          </w:p>
        </w:tc>
        <w:tc>
          <w:tcPr>
            <w:tcW w:w="19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PER SHARE AMOUNTS)</w:t>
            </w:r>
          </w:p>
        </w:tc>
        <w:tc>
          <w:tcPr>
            <w:tcW w:w="920" w:type="dxa"/>
            <w:vAlign w:val="bottom"/>
          </w:tcPr>
          <w:p>
            <w:pPr>
              <w:spacing w:after="0"/>
              <w:rPr>
                <w:sz w:val="17"/>
                <w:szCs w:val="17"/>
                <w:color w:val="auto"/>
              </w:rPr>
            </w:pP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$ 897,644</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$146,043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$1,043,687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520,255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88,612</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(11,999)(b)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596,868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138,819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22,527</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(2,249)(b)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159,097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112,860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14,248(b)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127,108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3,782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3,782</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8,863</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8,863</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784,579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111,139</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895,718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113,065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34,904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147,969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Shareholder litigation settlement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related costs..................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(79,400)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(79,400)</w:t>
            </w: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Nonrecurring.........................</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(1,254)</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(1,254)</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(47,678)</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(6,424)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(54,102)</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4,670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415(d)</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5,085</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2,570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474</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(415)(d)</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2,629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(121,092)</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(5,950)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(127,042)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(loss) before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(8,027)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28,954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20,927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1,015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7,944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8,959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Net income (loss).........................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(9,042)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21,010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11,968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Preferred dividends.......................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565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1,275</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1,840</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shareholders............................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(9,607)</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$ 19,735</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10,128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Primary earnings (loss) per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0.76</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Fully diluted earnings (loss) per common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0.72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500"/>
          </w:cols>
          <w:pgMar w:left="240" w:top="313" w:right="1159"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23</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NOTES TO SUPPLEMENTAL UNAUDITED CONDENSED CONSOLIDATED</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the Company consummated a merger transaction with United which was accounted for as a "pooling of interests" pursuant to Opinion No. 16 of the Accounting Principles Board and related interpretations thereof. Pursuant to the Merger the Company issued 1.075 shares of its Common Stock in exchange for each issued and outstanding share of United common stock. The pooling of interests method of accounting assumes that the combining companies have been merged from their inception, and the historical financial statements for periods prior to consummation of the Merger are restated as though the companies have been combined since their inception. The supplemental unaudited condensed consolidated financial statements are based upon the historical consolidated financial statements of USA Waste and United and should be read in conjunction with those consolidated financial statements and related notes thereto. Such historical financial statements have been previously filed with the Commission under the Securities Exchange Act of 1934, as amended, and are incorporated by reference in this Prospectus Supplement and the accompanying Prospectus. Generally accepted accounting principles proscribe giving effect to a consummated business combination accounted for by the pooling of interests method in financial statements that do not include the date of consummation. The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w:t>
      </w:r>
    </w:p>
    <w:p>
      <w:pPr>
        <w:spacing w:after="0" w:line="21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the opinion of the Company, the supplemental unaudited condensed consolidated financial statements reflect all adjustments, consisting only of conforming adjustments necessary to account for the Merger as a pooling of interests, and with respect to the interim financial statements, normal recurring adjustments, necessary for a fair presentation of the Company's supplemental financial condition and supplemental results of operations as of such date and for such periods. The supplemental unaudited condensed consolidated financial statements do not include any adjustments for estimated nonrecurring costs directly related to the Merger which are expected to be included in operations of the Company within twelve months succeeding the consummation of the Merger.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Certain reclassifications have been made to the historical financial statements of USA Waste and United to conform to this supplemental presentation. Such reclassifications are not material to the supplemental unaudited condensed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ADJUSTMENTS</w:t>
      </w:r>
    </w:p>
    <w:p>
      <w:pPr>
        <w:spacing w:after="0" w:line="203" w:lineRule="exact"/>
        <w:rPr>
          <w:sz w:val="20"/>
          <w:szCs w:val="20"/>
          <w:color w:val="auto"/>
        </w:rPr>
      </w:pPr>
    </w:p>
    <w:p>
      <w:pPr>
        <w:ind w:right="1979" w:firstLine="6"/>
        <w:spacing w:after="0" w:line="246" w:lineRule="auto"/>
        <w:tabs>
          <w:tab w:leader="none" w:pos="41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equity accounts have been adjusted to reflect the issuance of 47,911,984 shares of USA Waste Common Stock for all issued and outstanding shares of United common stock (based on an exchange ratio of 1.075 shares of USA Waste Common Stock for each share of United common stock outstanding as of June 30, 1997). The actual number of shares of USA Waste Common Stock (approximately 51,900,000 shares) issued pursuant to the Merger was based on the number of shares of United common stock issued and outstanding immediately prior to the consummation of the Merger, including the exchange of approximately 1,900,000 shares of USA Waste Common Stock for all outstanding options to purchase United common stock having a market value equal to the fair value of such options as determined by an independent third party.</w:t>
      </w:r>
    </w:p>
    <w:p>
      <w:pPr>
        <w:spacing w:after="0" w:line="204"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depreciation and amortization from operating expenses and general and administrative expenses to a separate line item to conform to the presentation of USA Waste.</w:t>
      </w:r>
    </w:p>
    <w:p>
      <w:pPr>
        <w:spacing w:after="0" w:line="199"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merger costs from general and administrative expenses to a separate line item to conform to the presentation of USA Waste.</w:t>
      </w:r>
    </w:p>
    <w:p>
      <w:pPr>
        <w:spacing w:after="0" w:line="199"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interest income from other income (expense), net to a separate line item to conform to the presentation of USA Waste.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313" w:right="1440" w:bottom="919"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SUPPLEMENTAL EARNINGS PER COMMON SHARE</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Supplemental primary and fully diluted earnings per common share amounts are calculated as follows for the periods indicated:</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six months ended June 30, 1997</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Primary -- based on (i) net income plus the after-tax interest expense of approximately $5,033,000 on the Company's 4% convertible subordinated notes that are considered to be common stock equivalents based upon the yield test at the time of issuance, and (ii) the primary weighted average number of common and dilutive common equivalent shares outstanding of 215,338,000.</w:t>
      </w:r>
    </w:p>
    <w:p>
      <w:pPr>
        <w:spacing w:after="0" w:line="202"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Fully diluted -- based on (i) net income plus (a) the after-tax interest expense of approximately $5,033,000 on the above mentioned 4% convertible subordinated notes, (b) the after-tax interest expense of approximately $2,030,000 on the Company's 4 1/2% convertible subordinated notes, and (c) the after-tax interest expense of approximately $1,710,000 on the Company's 5% convertible subordinated debentures, and (ii) the fully diluted weighted average number of common and dilutive common equivalent shares outstanding of 224,723,000.</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six months ended June 30, 1996</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178,340,000.</w:t>
      </w:r>
    </w:p>
    <w:p>
      <w:pPr>
        <w:spacing w:after="0" w:line="198" w:lineRule="exact"/>
        <w:rPr>
          <w:sz w:val="20"/>
          <w:szCs w:val="20"/>
          <w:color w:val="auto"/>
        </w:rPr>
      </w:pPr>
    </w:p>
    <w:p>
      <w:pPr>
        <w:ind w:left="520" w:right="21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six months ended June 30, 1996 and therefore presented as equal to primary earnings per common share.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1996</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182,680,000.</w:t>
      </w:r>
    </w:p>
    <w:p>
      <w:pPr>
        <w:spacing w:after="0" w:line="198" w:lineRule="exact"/>
        <w:rPr>
          <w:sz w:val="20"/>
          <w:szCs w:val="20"/>
          <w:color w:val="auto"/>
        </w:rPr>
      </w:pPr>
    </w:p>
    <w:p>
      <w:pPr>
        <w:ind w:left="520" w:right="19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year ended December 31, 1996 and therefore presented as equal to primary earnings per common share.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1995</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150,575,000.</w:t>
      </w:r>
    </w:p>
    <w:p>
      <w:pPr>
        <w:spacing w:after="0" w:line="198" w:lineRule="exact"/>
        <w:rPr>
          <w:sz w:val="20"/>
          <w:szCs w:val="20"/>
          <w:color w:val="auto"/>
        </w:rPr>
      </w:pPr>
    </w:p>
    <w:p>
      <w:pPr>
        <w:ind w:left="520" w:right="2079" w:firstLine="515"/>
        <w:spacing w:after="0" w:line="246" w:lineRule="auto"/>
        <w:rPr>
          <w:sz w:val="20"/>
          <w:szCs w:val="20"/>
          <w:color w:val="auto"/>
        </w:rPr>
      </w:pPr>
      <w:r>
        <w:rPr>
          <w:rFonts w:ascii="Courier New" w:cs="Courier New" w:eastAsia="Courier New" w:hAnsi="Courier New"/>
          <w:sz w:val="17"/>
          <w:szCs w:val="17"/>
          <w:color w:val="auto"/>
        </w:rPr>
        <w:t>Fully diluted -- based on net income and the fully diluted weighted average number of common and dilutive common equivalent shares outstanding of 150,846,000.</w:t>
      </w:r>
    </w:p>
    <w:p>
      <w:pPr>
        <w:spacing w:after="0" w:line="200"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In accordance with Opinion No. 15 of the Accounting Principles Board, convertible preferred stock is considered a common stock equivalent to be included in computing both primary and fully diluted earnings per common share if inclusion of such convertible preferred stock is dilutive based on the "If-Converted Method." Since the convertible preferred stock is dilutive for both primary and fully diluted earnings per common share for the year ended December 31, 1995, dividends of $373,000 on the convertible preferred stock are not included as a reduction to net income.</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1994</w:t>
      </w:r>
    </w:p>
    <w:p>
      <w:pPr>
        <w:spacing w:after="0" w:line="203" w:lineRule="exact"/>
        <w:rPr>
          <w:sz w:val="20"/>
          <w:szCs w:val="20"/>
          <w:color w:val="auto"/>
        </w:rPr>
      </w:pPr>
    </w:p>
    <w:p>
      <w:pPr>
        <w:ind w:left="520" w:right="2399" w:firstLine="515"/>
        <w:spacing w:after="0" w:line="246" w:lineRule="auto"/>
        <w:rPr>
          <w:sz w:val="20"/>
          <w:szCs w:val="20"/>
          <w:color w:val="auto"/>
        </w:rPr>
      </w:pPr>
      <w:r>
        <w:rPr>
          <w:rFonts w:ascii="Courier New" w:cs="Courier New" w:eastAsia="Courier New" w:hAnsi="Courier New"/>
          <w:sz w:val="17"/>
          <w:szCs w:val="17"/>
          <w:color w:val="auto"/>
        </w:rPr>
        <w:t>Primary -- based on (i) net income less dividends of $1,840,000 on convertible preferred stock which are antidilutive for the year ended December 31, 1994 based on the If-Converted Method discussed above, and</w:t>
      </w:r>
    </w:p>
    <w:p>
      <w:pPr>
        <w:spacing w:after="0" w:line="2" w:lineRule="exact"/>
        <w:rPr>
          <w:sz w:val="20"/>
          <w:szCs w:val="20"/>
          <w:color w:val="auto"/>
        </w:rPr>
      </w:pPr>
    </w:p>
    <w:p>
      <w:pPr>
        <w:ind w:left="520" w:right="2499"/>
        <w:spacing w:after="0" w:line="247" w:lineRule="auto"/>
        <w:tabs>
          <w:tab w:leader="none" w:pos="103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primary weighted average number of common and dilutive common equivalent shares outstanding of 131,454,000.</w:t>
      </w:r>
    </w:p>
    <w:p>
      <w:pPr>
        <w:spacing w:after="0" w:line="198" w:lineRule="exact"/>
        <w:rPr>
          <w:sz w:val="20"/>
          <w:szCs w:val="20"/>
          <w:color w:val="auto"/>
        </w:rPr>
      </w:pPr>
    </w:p>
    <w:p>
      <w:pPr>
        <w:ind w:left="520" w:right="19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year ended December 31, 1994 and therefore presented as equal to primary earnings per common share.</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313"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USA WASTE SERVICES, INC.</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DEBT SECURITIES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$1,500,000,000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202"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Common Stock is traded on the New York Stock Exchange under the symbol "UW." Any Common Stock sold pursuant to a Prospectus Supplement will be listed on such exchange, subject to official notice of issuance.</w:t>
      </w:r>
    </w:p>
    <w:p>
      <w:pPr>
        <w:spacing w:after="0" w:line="20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right="2399" w:hanging="102"/>
        <w:spacing w:after="0" w:line="24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w:t>
      </w:r>
    </w:p>
    <w:p>
      <w:pPr>
        <w:spacing w:after="0" w:line="1" w:lineRule="exact"/>
        <w:rPr>
          <w:sz w:val="20"/>
          <w:szCs w:val="20"/>
          <w:color w:val="auto"/>
        </w:rPr>
      </w:pPr>
    </w:p>
    <w:p>
      <w:pPr>
        <w:ind w:left="320" w:right="2999" w:hanging="102"/>
        <w:spacing w:after="0" w:line="246" w:lineRule="auto"/>
        <w:rPr>
          <w:sz w:val="20"/>
          <w:szCs w:val="20"/>
          <w:color w:val="auto"/>
        </w:rPr>
      </w:pPr>
      <w:r>
        <w:rPr>
          <w:rFonts w:ascii="Courier New" w:cs="Courier New" w:eastAsia="Courier New" w:hAnsi="Courier New"/>
          <w:sz w:val="17"/>
          <w:szCs w:val="17"/>
          <w:color w:val="auto"/>
        </w:rPr>
        <w:t>THE SECURITIES AND EXCHANGE COMMISSION OR ANY STATE SECURITIES COMMISSION PASSED UPON THE ACCURACY OR ADEQUACY OF THIS PROSPECTUS.</w:t>
      </w:r>
    </w:p>
    <w:p>
      <w:pPr>
        <w:spacing w:after="0" w:line="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ANY REPRESENTATION TO THE CONTRARY IS A CRIMINAL OFFENSE.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This Prospectus may not be used to consummate sales of the Securities unless accompanied by a Prospectus Supplement.</w:t>
      </w:r>
    </w:p>
    <w:p>
      <w:pPr>
        <w:spacing w:after="0" w:line="198"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THE DATE OF THIS PROSPECTUS IS AUGUST 14, 1997.</w:t>
      </w:r>
    </w:p>
    <w:p>
      <w:pPr>
        <w:sectPr>
          <w:pgSz w:w="11900" w:h="16838" w:orient="portrait"/>
          <w:cols w:equalWidth="0" w:num="1">
            <w:col w:w="10219"/>
          </w:cols>
          <w:pgMar w:left="240" w:top="313"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26</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AVAILABLE INFORMATION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documents filed by the Company with the Commission under the Exchange Act (File No. 1-12154) are incorporated by reference in this Prospectus:</w:t>
      </w:r>
    </w:p>
    <w:p>
      <w:pPr>
        <w:spacing w:after="0" w:line="200" w:lineRule="exact"/>
        <w:rPr>
          <w:sz w:val="20"/>
          <w:szCs w:val="20"/>
          <w:color w:val="auto"/>
        </w:rPr>
      </w:pPr>
    </w:p>
    <w:p>
      <w:pPr>
        <w:ind w:left="940" w:right="2079" w:hanging="420"/>
        <w:spacing w:after="0" w:line="246" w:lineRule="auto"/>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December 31, 1996 as amended by its Annual Report on Form 10-K/A (Amendment No.</w:t>
      </w:r>
    </w:p>
    <w:p>
      <w:pPr>
        <w:spacing w:after="0" w:line="1" w:lineRule="exact"/>
        <w:rPr>
          <w:rFonts w:ascii="Courier New" w:cs="Courier New" w:eastAsia="Courier New" w:hAnsi="Courier New"/>
          <w:sz w:val="17"/>
          <w:szCs w:val="17"/>
          <w:color w:val="auto"/>
        </w:rPr>
      </w:pPr>
    </w:p>
    <w:p>
      <w:pPr>
        <w:ind w:left="1240" w:hanging="308"/>
        <w:spacing w:after="0"/>
        <w:tabs>
          <w:tab w:leader="none" w:pos="12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April 30, 1997;</w:t>
      </w:r>
    </w:p>
    <w:p>
      <w:pPr>
        <w:spacing w:after="0" w:line="203" w:lineRule="exact"/>
        <w:rPr>
          <w:rFonts w:ascii="Courier New" w:cs="Courier New" w:eastAsia="Courier New" w:hAnsi="Courier New"/>
          <w:sz w:val="17"/>
          <w:szCs w:val="17"/>
          <w:color w:val="auto"/>
        </w:rPr>
      </w:pPr>
    </w:p>
    <w:p>
      <w:pPr>
        <w:ind w:left="940" w:right="2079" w:hanging="420"/>
        <w:spacing w:after="0" w:line="247" w:lineRule="auto"/>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three months ended March 31, 1997;</w:t>
      </w:r>
    </w:p>
    <w:p>
      <w:pPr>
        <w:spacing w:after="0" w:line="197" w:lineRule="exact"/>
        <w:rPr>
          <w:rFonts w:ascii="Courier New" w:cs="Courier New" w:eastAsia="Courier New" w:hAnsi="Courier New"/>
          <w:sz w:val="17"/>
          <w:szCs w:val="17"/>
          <w:color w:val="auto"/>
        </w:rPr>
      </w:pPr>
    </w:p>
    <w:p>
      <w:pPr>
        <w:ind w:left="940" w:right="2079" w:hanging="420"/>
        <w:spacing w:after="0" w:line="246" w:lineRule="auto"/>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filed January 13, 1997, January 24, 1997, February 6, 1997, February 7, 1997, March 27, 1997 (as amended by its Current Reports on Form 8-K/A filed April 15, 1997, and July 23, 1997) and April 17, 1997;</w:t>
      </w:r>
    </w:p>
    <w:p>
      <w:pPr>
        <w:spacing w:after="0" w:line="200" w:lineRule="exact"/>
        <w:rPr>
          <w:rFonts w:ascii="Courier New" w:cs="Courier New" w:eastAsia="Courier New" w:hAnsi="Courier New"/>
          <w:sz w:val="17"/>
          <w:szCs w:val="17"/>
          <w:color w:val="auto"/>
        </w:rPr>
      </w:pPr>
    </w:p>
    <w:p>
      <w:pPr>
        <w:ind w:left="940" w:right="2279" w:hanging="420"/>
        <w:spacing w:after="0" w:line="246" w:lineRule="auto"/>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Joint Proxy Statement and Prospectus, which is part of the Company's Registration Statement on Form S-4 (Registration No.</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333-31979) filed on July 24, 1997; and</w:t>
      </w:r>
    </w:p>
    <w:p>
      <w:pPr>
        <w:spacing w:after="0" w:line="203" w:lineRule="exact"/>
        <w:rPr>
          <w:rFonts w:ascii="Courier New" w:cs="Courier New" w:eastAsia="Courier New" w:hAnsi="Courier New"/>
          <w:sz w:val="17"/>
          <w:szCs w:val="17"/>
          <w:color w:val="auto"/>
        </w:rPr>
      </w:pPr>
    </w:p>
    <w:p>
      <w:pPr>
        <w:ind w:left="940" w:right="2079" w:hanging="420"/>
        <w:spacing w:after="0" w:line="246" w:lineRule="auto"/>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Stock contained in the Registration Statement on Form 8-A dated July 1, 1993, as amended by Form 8-B dated July 13, 1995.</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ectPr>
          <w:pgSz w:w="11900" w:h="16838" w:orient="portrait"/>
          <w:cols w:equalWidth="0" w:num="1">
            <w:col w:w="10219"/>
          </w:cols>
          <w:pgMar w:left="240" w:top="313" w:right="1440" w:bottom="534" w:gutter="0" w:footer="0" w:header="0"/>
        </w:sect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3" w:right="1440" w:bottom="534"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27</w:t>
      </w:r>
    </w:p>
    <w:p>
      <w:pPr>
        <w:spacing w:after="0" w:line="203" w:lineRule="exact"/>
        <w:rPr>
          <w:sz w:val="20"/>
          <w:szCs w:val="20"/>
          <w:color w:val="auto"/>
        </w:rPr>
      </w:pPr>
    </w:p>
    <w:p>
      <w:pPr>
        <w:ind w:right="1240" w:firstLine="515"/>
        <w:spacing w:after="0" w:line="246" w:lineRule="auto"/>
        <w:rPr>
          <w:sz w:val="20"/>
          <w:szCs w:val="20"/>
          <w:color w:val="auto"/>
        </w:rPr>
      </w:pPr>
      <w:r>
        <w:rPr>
          <w:rFonts w:ascii="Courier New" w:cs="Courier New" w:eastAsia="Courier New" w:hAnsi="Courier New"/>
          <w:sz w:val="17"/>
          <w:szCs w:val="17"/>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512-6200.</w:t>
      </w:r>
    </w:p>
    <w:p>
      <w:pPr>
        <w:spacing w:after="0" w:line="203"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1240" w:firstLine="515"/>
        <w:spacing w:after="0" w:line="246"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206" w:lineRule="exact"/>
        <w:rPr>
          <w:sz w:val="20"/>
          <w:szCs w:val="20"/>
          <w:color w:val="auto"/>
        </w:rPr>
      </w:pPr>
    </w:p>
    <w:p>
      <w:pPr>
        <w:ind w:right="1340" w:firstLine="515"/>
        <w:spacing w:after="0" w:line="246" w:lineRule="auto"/>
        <w:rPr>
          <w:sz w:val="20"/>
          <w:szCs w:val="20"/>
          <w:color w:val="auto"/>
        </w:rPr>
      </w:pPr>
      <w:r>
        <w:rPr>
          <w:rFonts w:ascii="Courier New" w:cs="Courier New" w:eastAsia="Courier New" w:hAnsi="Courier New"/>
          <w:sz w:val="17"/>
          <w:szCs w:val="17"/>
          <w:color w:val="auto"/>
        </w:rPr>
        <w:t>USA Waste has entered into a definitive merger agreement with United Waste Systems, Inc. ("United"). 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A Joint Proxy Statement and Prospectus has been distributed to shareholders of both USA Waste and United for their approval of the merger, and the merger is expected to close in August 1997.</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1340" w:firstLine="515"/>
        <w:spacing w:after="0" w:line="246" w:lineRule="auto"/>
        <w:rPr>
          <w:sz w:val="20"/>
          <w:szCs w:val="20"/>
          <w:color w:val="auto"/>
        </w:rPr>
      </w:pPr>
      <w:r>
        <w:rPr>
          <w:rFonts w:ascii="Courier New" w:cs="Courier New" w:eastAsia="Courier New" w:hAnsi="Courier New"/>
          <w:sz w:val="17"/>
          <w:szCs w:val="17"/>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20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03" w:lineRule="exact"/>
        <w:rPr>
          <w:sz w:val="20"/>
          <w:szCs w:val="20"/>
          <w:color w:val="auto"/>
        </w:rPr>
      </w:pPr>
    </w:p>
    <w:p>
      <w:pPr>
        <w:ind w:right="2060" w:firstLine="515"/>
        <w:spacing w:after="0" w:line="247"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32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YEAR ENDED DECEMBER 31,</w:t>
            </w:r>
          </w:p>
        </w:tc>
        <w:tc>
          <w:tcPr>
            <w:tcW w:w="1140" w:type="dxa"/>
            <w:vAlign w:val="bottom"/>
          </w:tcPr>
          <w:p>
            <w:pPr>
              <w:spacing w:after="0"/>
              <w:rPr>
                <w:sz w:val="16"/>
                <w:szCs w:val="16"/>
                <w:color w:val="auto"/>
              </w:rPr>
            </w:pPr>
          </w:p>
        </w:tc>
      </w:tr>
      <w:tr>
        <w:trPr>
          <w:trHeight w:val="198"/>
        </w:trPr>
        <w:tc>
          <w:tcPr>
            <w:tcW w:w="2780" w:type="dxa"/>
            <w:vAlign w:val="bottom"/>
          </w:tcPr>
          <w:p>
            <w:pPr>
              <w:spacing w:after="0"/>
              <w:rPr>
                <w:sz w:val="17"/>
                <w:szCs w:val="17"/>
                <w:color w:val="auto"/>
              </w:rPr>
            </w:pPr>
          </w:p>
        </w:tc>
        <w:tc>
          <w:tcPr>
            <w:tcW w:w="6700" w:type="dxa"/>
            <w:vAlign w:val="bottom"/>
            <w:gridSpan w:val="5"/>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78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1992</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1994</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78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780" w:type="dxa"/>
            <w:vAlign w:val="bottom"/>
          </w:tcPr>
          <w:p>
            <w:pPr>
              <w:spacing w:after="0"/>
              <w:rPr>
                <w:sz w:val="20"/>
                <w:szCs w:val="20"/>
                <w:color w:val="auto"/>
              </w:rPr>
            </w:pPr>
            <w:r>
              <w:rPr>
                <w:rFonts w:ascii="Courier New" w:cs="Courier New" w:eastAsia="Courier New" w:hAnsi="Courier New"/>
                <w:sz w:val="17"/>
                <w:szCs w:val="17"/>
                <w:color w:val="auto"/>
              </w:rPr>
              <w:t>Actual....................</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(0.20)x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1.68x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0.73x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2.09x</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1.81x</w:t>
            </w:r>
          </w:p>
        </w:tc>
      </w:tr>
    </w:tbl>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Company's consolidated ratios of earnings to fixed charges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computed by dividing earnings by fixed charges. For this purpose, earnings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sum of income (loss) from continuing operations, taxes, and fixed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excluding capitalized interest. Fixed charges are interest, whether expensed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capitalized, amortization of debt expense and discount on premium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indebtedness, whether expensed or capitalized, and such portion of rental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that can be demonstrated to be representative of the interest factor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particular case. For the years ended December 31, 1992 and 1994, 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insufficient to cover fixed charges as evidenced by a less than one-to-one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coverage ratio as shown above. Additional earnings of $78,473,000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$17,855,000 were necessary for the years ended December 31, 1992 and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ind w:left="420" w:right="200" w:hanging="308"/>
        <w:spacing w:after="0" w:line="246" w:lineRule="auto"/>
        <w:rPr>
          <w:sz w:val="20"/>
          <w:szCs w:val="20"/>
          <w:color w:val="auto"/>
        </w:rPr>
      </w:pPr>
      <w:r>
        <w:rPr>
          <w:rFonts w:ascii="Courier New" w:cs="Courier New" w:eastAsia="Courier New" w:hAnsi="Courier New"/>
          <w:sz w:val="17"/>
          <w:szCs w:val="17"/>
          <w:color w:val="auto"/>
        </w:rPr>
        <w:t>MARCH 31,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5.11x</w:t>
      </w:r>
    </w:p>
    <w:p>
      <w:pPr>
        <w:spacing w:after="0" w:line="2971" w:lineRule="exact"/>
        <w:rPr>
          <w:sz w:val="20"/>
          <w:szCs w:val="20"/>
          <w:color w:val="auto"/>
        </w:rPr>
      </w:pPr>
    </w:p>
    <w:p>
      <w:pPr>
        <w:sectPr>
          <w:pgSz w:w="11900" w:h="16838" w:orient="portrait"/>
          <w:cols w:equalWidth="0" w:num="2">
            <w:col w:w="9480" w:space="300"/>
            <w:col w:w="1240"/>
          </w:cols>
          <w:pgMar w:left="240" w:top="313" w:right="639" w:bottom="930" w:gutter="0" w:footer="0" w:header="0"/>
        </w:sectPr>
      </w:pP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20"/>
          </w:cols>
          <w:pgMar w:left="240" w:top="313" w:right="639" w:bottom="93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28</w:t>
      </w:r>
    </w:p>
    <w:p>
      <w:pPr>
        <w:spacing w:after="0" w:line="203" w:lineRule="exact"/>
        <w:rPr>
          <w:sz w:val="20"/>
          <w:szCs w:val="20"/>
          <w:color w:val="auto"/>
        </w:rPr>
      </w:pPr>
    </w:p>
    <w:p>
      <w:pPr>
        <w:ind w:right="2980"/>
        <w:spacing w:after="0" w:line="247" w:lineRule="auto"/>
        <w:rPr>
          <w:sz w:val="20"/>
          <w:szCs w:val="20"/>
          <w:color w:val="auto"/>
        </w:rPr>
      </w:pPr>
      <w:r>
        <w:rPr>
          <w:rFonts w:ascii="Courier New" w:cs="Courier New" w:eastAsia="Courier New" w:hAnsi="Courier New"/>
          <w:sz w:val="17"/>
          <w:szCs w:val="17"/>
          <w:color w:val="auto"/>
        </w:rPr>
        <w:t>to provide a one-to-one coverage ratio. Nonrecurring costs, as discussed below, caused the less than one-to-one coverage in each of these periods.</w:t>
      </w:r>
    </w:p>
    <w:p>
      <w:pPr>
        <w:spacing w:after="0" w:line="198" w:lineRule="exact"/>
        <w:rPr>
          <w:sz w:val="20"/>
          <w:szCs w:val="20"/>
          <w:color w:val="auto"/>
        </w:rPr>
      </w:pPr>
    </w:p>
    <w:p>
      <w:pPr>
        <w:ind w:right="3700" w:firstLine="515"/>
        <w:spacing w:after="0" w:line="246"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7"/>
                <w:szCs w:val="17"/>
                <w:color w:val="auto"/>
                <w:w w:val="99"/>
              </w:rPr>
              <w:t>THREE MONTHS</w:t>
            </w:r>
          </w:p>
        </w:tc>
      </w:tr>
      <w:tr>
        <w:trPr>
          <w:trHeight w:val="198"/>
        </w:trPr>
        <w:tc>
          <w:tcPr>
            <w:tcW w:w="2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YEAR ENDED DECEMBER 31,</w:t>
            </w:r>
          </w:p>
        </w:tc>
        <w:tc>
          <w:tcPr>
            <w:tcW w:w="1300" w:type="dxa"/>
            <w:vAlign w:val="bottom"/>
          </w:tcPr>
          <w:p>
            <w:pPr>
              <w:spacing w:after="0"/>
              <w:rPr>
                <w:sz w:val="17"/>
                <w:szCs w:val="17"/>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2880" w:type="dxa"/>
            <w:vAlign w:val="bottom"/>
          </w:tcPr>
          <w:p>
            <w:pPr>
              <w:spacing w:after="0"/>
              <w:rPr>
                <w:sz w:val="17"/>
                <w:szCs w:val="17"/>
                <w:color w:val="auto"/>
              </w:rPr>
            </w:pPr>
          </w:p>
        </w:tc>
        <w:tc>
          <w:tcPr>
            <w:tcW w:w="268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MARCH 31,</w:t>
            </w:r>
          </w:p>
        </w:tc>
      </w:tr>
      <w:tr>
        <w:trPr>
          <w:trHeight w:val="198"/>
        </w:trPr>
        <w:tc>
          <w:tcPr>
            <w:tcW w:w="288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1994</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880" w:type="dxa"/>
            <w:vAlign w:val="bottom"/>
          </w:tcPr>
          <w:p>
            <w:pPr>
              <w:spacing w:after="0"/>
              <w:rPr>
                <w:sz w:val="17"/>
                <w:szCs w:val="17"/>
                <w:color w:val="auto"/>
              </w:rPr>
            </w:pPr>
          </w:p>
        </w:tc>
        <w:tc>
          <w:tcPr>
            <w:tcW w:w="15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2880" w:type="dxa"/>
            <w:vAlign w:val="bottom"/>
          </w:tcPr>
          <w:p>
            <w:pPr>
              <w:spacing w:after="0"/>
              <w:rPr>
                <w:sz w:val="20"/>
                <w:szCs w:val="20"/>
                <w:color w:val="auto"/>
              </w:rPr>
            </w:pPr>
            <w:r>
              <w:rPr>
                <w:rFonts w:ascii="Courier New" w:cs="Courier New" w:eastAsia="Courier New" w:hAnsi="Courier New"/>
                <w:sz w:val="17"/>
                <w:szCs w:val="17"/>
                <w:color w:val="auto"/>
              </w:rPr>
              <w:t>Supplemental...............</w:t>
            </w:r>
          </w:p>
        </w:tc>
        <w:tc>
          <w:tcPr>
            <w:tcW w:w="1560" w:type="dxa"/>
            <w:vAlign w:val="bottom"/>
          </w:tcPr>
          <w:p>
            <w:pPr>
              <w:ind w:left="320"/>
              <w:spacing w:after="0"/>
              <w:rPr>
                <w:sz w:val="20"/>
                <w:szCs w:val="20"/>
                <w:color w:val="auto"/>
              </w:rPr>
            </w:pPr>
            <w:r>
              <w:rPr>
                <w:rFonts w:ascii="Courier New" w:cs="Courier New" w:eastAsia="Courier New" w:hAnsi="Courier New"/>
                <w:sz w:val="17"/>
                <w:szCs w:val="17"/>
                <w:color w:val="auto"/>
              </w:rPr>
              <w:t>1.07X</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1.81X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2.15X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2.88X</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4.36X</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5.11X</w:t>
            </w:r>
          </w:p>
        </w:tc>
      </w:tr>
    </w:tbl>
    <w:p>
      <w:pPr>
        <w:spacing w:after="0" w:line="200" w:lineRule="exact"/>
        <w:rPr>
          <w:sz w:val="20"/>
          <w:szCs w:val="20"/>
          <w:color w:val="auto"/>
        </w:rPr>
      </w:pPr>
    </w:p>
    <w:p>
      <w:pPr>
        <w:spacing w:after="0" w:line="201" w:lineRule="exact"/>
        <w:rPr>
          <w:sz w:val="20"/>
          <w:szCs w:val="20"/>
          <w:color w:val="auto"/>
        </w:rPr>
      </w:pPr>
    </w:p>
    <w:p>
      <w:pPr>
        <w:ind w:right="2880" w:firstLine="515"/>
        <w:spacing w:after="0" w:line="246" w:lineRule="auto"/>
        <w:rPr>
          <w:sz w:val="20"/>
          <w:szCs w:val="20"/>
          <w:color w:val="auto"/>
        </w:rPr>
      </w:pPr>
      <w:r>
        <w:rPr>
          <w:rFonts w:ascii="Courier New" w:cs="Courier New" w:eastAsia="Courier New" w:hAnsi="Courier New"/>
          <w:sz w:val="17"/>
          <w:szCs w:val="17"/>
          <w:color w:val="auto"/>
        </w:rPr>
        <w:t>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 Nonrecurring items in 1992 primarily represent various restructuring charges and charges to asset reserves by Western and Chambers.</w:t>
      </w:r>
    </w:p>
    <w:p>
      <w:pPr>
        <w:spacing w:after="0" w:line="209"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7"/>
          <w:szCs w:val="17"/>
          <w:color w:val="auto"/>
        </w:rPr>
        <w:t>DESCRIPTION OF DEBT SECURITIES</w:t>
      </w:r>
    </w:p>
    <w:p>
      <w:pPr>
        <w:spacing w:after="0" w:line="203" w:lineRule="exact"/>
        <w:rPr>
          <w:sz w:val="20"/>
          <w:szCs w:val="20"/>
          <w:color w:val="auto"/>
        </w:rPr>
      </w:pPr>
    </w:p>
    <w:p>
      <w:pPr>
        <w:ind w:right="2880" w:firstLine="515"/>
        <w:spacing w:after="0" w:line="246" w:lineRule="auto"/>
        <w:rPr>
          <w:sz w:val="20"/>
          <w:szCs w:val="20"/>
          <w:color w:val="auto"/>
        </w:rPr>
      </w:pPr>
      <w:r>
        <w:rPr>
          <w:rFonts w:ascii="Courier New" w:cs="Courier New" w:eastAsia="Courier New" w:hAnsi="Courier New"/>
          <w:sz w:val="17"/>
          <w:szCs w:val="17"/>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("Texas Commerce Bank"), and in the form that has been filed as an exhibit to the Registration Statement of which this Prospectus is a part, subject to such amendments or supplements as may be adopted from time to time. The Company previously has entered into a Subordinated Indenture dated as of February 1, 1997 with Texas Commerce Bank in the form filed as an exhibit to the Company's Current Report on Form 8-K (file no. 1-12154) filed with the Commission on February 7, 1997. See "Provisions Applicable Solely to Subordinated Debt Securities." The Senior Debt Indenture and the Subordinated Debt Indenture, as amended or supplemented from time to time, are sometimes hereinafter referred to individually as an "Indenture" and collectively as the "Indentures." Texas Commerce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216" w:lineRule="exact"/>
        <w:rPr>
          <w:sz w:val="20"/>
          <w:szCs w:val="20"/>
          <w:color w:val="auto"/>
        </w:rPr>
      </w:pPr>
    </w:p>
    <w:p>
      <w:pPr>
        <w:ind w:right="2980" w:firstLine="515"/>
        <w:spacing w:after="0" w:line="246" w:lineRule="auto"/>
        <w:rPr>
          <w:sz w:val="20"/>
          <w:szCs w:val="20"/>
          <w:color w:val="auto"/>
        </w:rPr>
      </w:pPr>
      <w:r>
        <w:rPr>
          <w:rFonts w:ascii="Courier New" w:cs="Courier New" w:eastAsia="Courier New" w:hAnsi="Courier New"/>
          <w:sz w:val="17"/>
          <w:szCs w:val="17"/>
          <w:color w:val="auto"/>
        </w:rPr>
        <w:t>The Debt Securities may be issued from time to time in one or more series. The following description of the Debt Securities sets forth certain general terms and provisions of the Debt Securities of all series. The</w:t>
      </w:r>
    </w:p>
    <w:p>
      <w:pPr>
        <w:sectPr>
          <w:pgSz w:w="11900" w:h="16838" w:orient="portrait"/>
          <w:cols w:equalWidth="0" w:num="1">
            <w:col w:w="11120"/>
          </w:cols>
          <w:pgMar w:left="240" w:top="313" w:right="539" w:bottom="336" w:gutter="0" w:footer="0" w:header="0"/>
        </w:sectPr>
      </w:pP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20"/>
          </w:cols>
          <w:pgMar w:left="240" w:top="313" w:right="539" w:bottom="336"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29</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particular terms of each series of Debt Securities offered by any Prospectus Supplement will be described therein.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TO BOTH SENIOR AND SUBORDINATED DEBT SECURITIES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2" w:lineRule="exact"/>
        <w:rPr>
          <w:sz w:val="20"/>
          <w:szCs w:val="20"/>
          <w:color w:val="auto"/>
        </w:rPr>
      </w:pPr>
    </w:p>
    <w:p>
      <w:pPr>
        <w:ind w:right="1979" w:firstLine="6"/>
        <w:spacing w:after="0" w:line="246" w:lineRule="auto"/>
        <w:tabs>
          <w:tab w:leader="none" w:pos="6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w:t>
      </w:r>
    </w:p>
    <w:p>
      <w:pPr>
        <w:spacing w:after="0" w:line="25" w:lineRule="exact"/>
        <w:rPr>
          <w:rFonts w:ascii="Courier New" w:cs="Courier New" w:eastAsia="Courier New" w:hAnsi="Courier New"/>
          <w:sz w:val="17"/>
          <w:szCs w:val="17"/>
          <w:color w:val="auto"/>
        </w:rPr>
      </w:pPr>
    </w:p>
    <w:p>
      <w:pPr>
        <w:ind w:right="2079" w:firstLine="6"/>
        <w:spacing w:after="0" w:line="246" w:lineRule="auto"/>
        <w:tabs>
          <w:tab w:leader="none" w:pos="82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the Debt Securities not inconsistent with the provisions of the Indentures. (Section 301) Any such Prospectus Supplement will also describe any special provisions for the payment of additional amounts with respect to the Debt Securities.</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3" w:right="1440" w:bottom="732"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30</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6" w:lineRule="exact"/>
        <w:rPr>
          <w:sz w:val="20"/>
          <w:szCs w:val="20"/>
          <w:color w:val="auto"/>
        </w:rPr>
      </w:pPr>
    </w:p>
    <w:p>
      <w:pPr>
        <w:ind w:right="1979" w:firstLine="6"/>
        <w:spacing w:after="0" w:line="246" w:lineRule="auto"/>
        <w:tabs>
          <w:tab w:leader="none" w:pos="51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19"/>
          </w:cols>
          <w:pgMar w:left="240" w:top="313" w:right="1440" w:bottom="930" w:gutter="0" w:footer="0" w:header="0"/>
        </w:sect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3" w:right="1440" w:bottom="93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31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w:t>
      </w:r>
    </w:p>
    <w:p>
      <w:pPr>
        <w:sectPr>
          <w:pgSz w:w="11900" w:h="16838" w:orient="portrait"/>
          <w:cols w:equalWidth="0" w:num="1">
            <w:col w:w="10219"/>
          </w:cols>
          <w:pgMar w:left="240" w:top="313" w:right="1440" w:bottom="732" w:gutter="0" w:footer="0" w:header="0"/>
        </w:sect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3" w:right="1440" w:bottom="732"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205"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specific terms of the depository arrangement with respect to a series of Debt Securities in the form of one or more global Debt Securities will be described in the Prospectus Supplement relating to such series.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w:t>
      </w:r>
    </w:p>
    <w:p>
      <w:pPr>
        <w:sectPr>
          <w:pgSz w:w="11900" w:h="16838" w:orient="portrait"/>
          <w:cols w:equalWidth="0" w:num="1">
            <w:col w:w="10219"/>
          </w:cols>
          <w:pgMar w:left="240" w:top="313" w:right="1440" w:bottom="732" w:gutter="0" w:footer="0" w:header="0"/>
        </w:sect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3" w:right="1440" w:bottom="732"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7"/>
          <w:szCs w:val="17"/>
          <w:color w:val="auto"/>
        </w:rPr>
        <w:t>33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 Provisions Applicable Solely to Senior Debt</w:t>
      </w: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 Limitation on Liens" and "--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w:t>
      </w:r>
    </w:p>
    <w:p>
      <w:pPr>
        <w:sectPr>
          <w:pgSz w:w="11900" w:h="16838" w:orient="portrait"/>
          <w:cols w:equalWidth="0" w:num="1">
            <w:col w:w="10219"/>
          </w:cols>
          <w:pgMar w:left="240" w:top="313" w:right="1440" w:bottom="93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3" w:right="1440" w:bottom="93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34</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20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The Subordinated Debt Indenture may not be amended to alter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 of any outstanding Subordinated Debt Securities without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each holder of Senior Indebtedness (as defined below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Provisions Applicable Solely to Subordinated Debt Securities") then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that would be adversely affected thereby. (Section 907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 Indenture)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21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w:t>
      </w:r>
    </w:p>
    <w:p>
      <w:pPr>
        <w:sectPr>
          <w:pgSz w:w="11900" w:h="16838" w:orient="portrait"/>
          <w:cols w:equalWidth="0" w:num="1">
            <w:col w:w="10219"/>
          </w:cols>
          <w:pgMar w:left="240" w:top="313" w:right="1440" w:bottom="732"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3" w:right="1440" w:bottom="732"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Securities will be given by first-class mail to the addresses of such Holders as they appear in the Security Register. (Section 106)</w:t>
      </w:r>
    </w:p>
    <w:p>
      <w:pPr>
        <w:spacing w:after="0" w:line="198" w:lineRule="exact"/>
        <w:rPr>
          <w:sz w:val="20"/>
          <w:szCs w:val="20"/>
          <w:color w:val="auto"/>
        </w:rPr>
      </w:pPr>
    </w:p>
    <w:p>
      <w:pPr>
        <w:jc w:val="both"/>
        <w:ind w:right="2499" w:firstLine="515"/>
        <w:spacing w:after="0" w:line="246" w:lineRule="auto"/>
        <w:rPr>
          <w:sz w:val="20"/>
          <w:szCs w:val="20"/>
          <w:color w:val="auto"/>
        </w:rPr>
      </w:pPr>
      <w:r>
        <w:rPr>
          <w:rFonts w:ascii="Courier New" w:cs="Courier New" w:eastAsia="Courier New" w:hAnsi="Courier New"/>
          <w:sz w:val="17"/>
          <w:szCs w:val="17"/>
          <w:color w:val="auto"/>
        </w:rPr>
        <w:t>Governing Law. The Indentures, the Debt Securities and coupons will be governed by, and construed in accordance with, the laws of the State of New York. (Section 113)</w:t>
      </w:r>
    </w:p>
    <w:p>
      <w:pPr>
        <w:spacing w:after="0" w:line="200" w:lineRule="exact"/>
        <w:rPr>
          <w:sz w:val="20"/>
          <w:szCs w:val="20"/>
          <w:color w:val="auto"/>
        </w:rPr>
      </w:pPr>
    </w:p>
    <w:p>
      <w:pPr>
        <w:ind w:right="2799" w:firstLine="515"/>
        <w:spacing w:after="0" w:line="246" w:lineRule="auto"/>
        <w:rPr>
          <w:sz w:val="20"/>
          <w:szCs w:val="20"/>
          <w:color w:val="auto"/>
        </w:rPr>
      </w:pPr>
      <w:r>
        <w:rPr>
          <w:rFonts w:ascii="Courier New" w:cs="Courier New" w:eastAsia="Courier New" w:hAnsi="Courier New"/>
          <w:sz w:val="17"/>
          <w:szCs w:val="17"/>
          <w:color w:val="auto"/>
        </w:rPr>
        <w:t>Regarding the Trustee. The Trustee appointed and serving as trustee pursuant to each of the Senior Debt Indenture and the Subordinated Debt Indenture is Texas Commerce Bank.</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Texas Commerce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Texas Commerce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SENIOR DEBT SECURITIES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Certain Definitions. For purposes of the following discussion, the following definitions are applicable (Section 1008 and 1009 of the Senior Debt Indenture).</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1979" w:firstLine="6"/>
        <w:spacing w:after="0" w:line="246" w:lineRule="auto"/>
        <w:tabs>
          <w:tab w:leader="none" w:pos="51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w:t>
      </w:r>
    </w:p>
    <w:p>
      <w:pPr>
        <w:sectPr>
          <w:pgSz w:w="11900" w:h="16838" w:orient="portrait"/>
          <w:cols w:equalWidth="0" w:num="1">
            <w:col w:w="10219"/>
          </w:cols>
          <w:pgMar w:left="240" w:top="313" w:right="1440" w:bottom="336"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3" w:right="1440" w:bottom="336"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"Indebtedness" of any Person shall mean</w:t>
      </w:r>
    </w:p>
    <w:p>
      <w:pPr>
        <w:spacing w:after="0" w:line="203" w:lineRule="exact"/>
        <w:rPr>
          <w:sz w:val="20"/>
          <w:szCs w:val="20"/>
          <w:color w:val="auto"/>
        </w:rPr>
      </w:pPr>
    </w:p>
    <w:p>
      <w:pPr>
        <w:ind w:left="520" w:right="2079" w:firstLine="515"/>
        <w:spacing w:after="0" w:line="246" w:lineRule="auto"/>
        <w:tabs>
          <w:tab w:leader="none" w:pos="144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1"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0" w:lineRule="exact"/>
        <w:rPr>
          <w:rFonts w:ascii="Courier New" w:cs="Courier New" w:eastAsia="Courier New" w:hAnsi="Courier New"/>
          <w:sz w:val="17"/>
          <w:szCs w:val="17"/>
          <w:color w:val="auto"/>
        </w:rPr>
      </w:pPr>
    </w:p>
    <w:p>
      <w:pPr>
        <w:ind w:left="520" w:right="2599" w:firstLine="515"/>
        <w:spacing w:after="0" w:line="247" w:lineRule="auto"/>
        <w:tabs>
          <w:tab w:leader="none" w:pos="144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so included as liabilities in accordance with generally accepted accounting principles,</w:t>
      </w:r>
    </w:p>
    <w:p>
      <w:pPr>
        <w:spacing w:after="0" w:line="197" w:lineRule="exact"/>
        <w:rPr>
          <w:rFonts w:ascii="Courier New" w:cs="Courier New" w:eastAsia="Courier New" w:hAnsi="Courier New"/>
          <w:sz w:val="17"/>
          <w:szCs w:val="17"/>
          <w:color w:val="auto"/>
        </w:rPr>
      </w:pPr>
    </w:p>
    <w:p>
      <w:pPr>
        <w:ind w:left="820" w:right="1979" w:firstLine="524"/>
        <w:spacing w:after="0" w:line="246" w:lineRule="auto"/>
        <w:tabs>
          <w:tab w:leader="none" w:pos="1747"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0" w:lineRule="exact"/>
        <w:rPr>
          <w:rFonts w:ascii="Courier New" w:cs="Courier New" w:eastAsia="Courier New" w:hAnsi="Courier New"/>
          <w:sz w:val="17"/>
          <w:szCs w:val="17"/>
          <w:color w:val="auto"/>
        </w:rPr>
      </w:pPr>
    </w:p>
    <w:p>
      <w:pPr>
        <w:ind w:left="1860" w:hanging="516"/>
        <w:spacing w:after="0"/>
        <w:tabs>
          <w:tab w:leader="none" w:pos="186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Guaranties of such Person.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4" w:lineRule="exact"/>
        <w:rPr>
          <w:sz w:val="20"/>
          <w:szCs w:val="20"/>
          <w:color w:val="auto"/>
        </w:rPr>
      </w:pPr>
    </w:p>
    <w:p>
      <w:pPr>
        <w:ind w:right="2279" w:firstLine="6"/>
        <w:spacing w:after="0" w:line="247" w:lineRule="auto"/>
        <w:tabs>
          <w:tab w:leader="none" w:pos="51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the Board of Directors determines in good faith is not of material importance to the total business</w:t>
      </w:r>
    </w:p>
    <w:p>
      <w:pPr>
        <w:sectPr>
          <w:pgSz w:w="11900" w:h="16838" w:orient="portrait"/>
          <w:cols w:equalWidth="0" w:num="1">
            <w:col w:w="10219"/>
          </w:cols>
          <w:pgMar w:left="240" w:top="313" w:right="1440" w:bottom="13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3" w:right="1440" w:bottom="138"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37</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conducted, or assets owned, by the Company and its Subsidiaries as an entirety, or (b) any portion of such plant or facility which the Board of Directors determines in good faith not to be of material importance to the use or operation thereof.</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1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200" w:lineRule="exact"/>
        <w:rPr>
          <w:sz w:val="20"/>
          <w:szCs w:val="20"/>
          <w:color w:val="auto"/>
        </w:rPr>
      </w:pPr>
    </w:p>
    <w:p>
      <w:pPr>
        <w:ind w:left="520" w:right="1979" w:firstLine="515"/>
        <w:spacing w:after="0" w:line="246"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Senior Debt Security of that series when it becomes due and payable, and continuance of such default for a period of 30 days; or</w:t>
      </w:r>
    </w:p>
    <w:p>
      <w:pPr>
        <w:spacing w:after="0" w:line="199" w:lineRule="exact"/>
        <w:rPr>
          <w:rFonts w:ascii="Courier New" w:cs="Courier New" w:eastAsia="Courier New" w:hAnsi="Courier New"/>
          <w:sz w:val="17"/>
          <w:szCs w:val="17"/>
          <w:color w:val="auto"/>
        </w:rPr>
      </w:pPr>
    </w:p>
    <w:p>
      <w:pPr>
        <w:jc w:val="both"/>
        <w:ind w:left="520" w:right="1979" w:firstLine="515"/>
        <w:spacing w:after="0" w:line="246"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0"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Senior Debt Security of that series; or</w:t>
      </w:r>
    </w:p>
    <w:p>
      <w:pPr>
        <w:sectPr>
          <w:pgSz w:w="11900" w:h="16838" w:orient="portrait"/>
          <w:cols w:equalWidth="0" w:num="1">
            <w:col w:w="10219"/>
          </w:cols>
          <w:pgMar w:left="240" w:top="313" w:right="1440" w:bottom="112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3" w:right="1440" w:bottom="1128"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38</w:t>
      </w:r>
    </w:p>
    <w:p>
      <w:pPr>
        <w:spacing w:after="0" w:line="203" w:lineRule="exact"/>
        <w:rPr>
          <w:sz w:val="20"/>
          <w:szCs w:val="20"/>
          <w:color w:val="auto"/>
        </w:rPr>
      </w:pPr>
    </w:p>
    <w:p>
      <w:pPr>
        <w:ind w:left="520" w:right="1979" w:firstLine="515"/>
        <w:spacing w:after="0" w:line="246" w:lineRule="auto"/>
        <w:tabs>
          <w:tab w:leader="none" w:pos="144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207"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with respect to Senior Debt Securities of that series. (Section 501 of the Senior Debt Indenture)</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5" w:lineRule="exact"/>
        <w:rPr>
          <w:sz w:val="20"/>
          <w:szCs w:val="20"/>
          <w:color w:val="auto"/>
        </w:rPr>
      </w:pPr>
    </w:p>
    <w:p>
      <w:pPr>
        <w:ind w:right="1979" w:firstLine="6"/>
        <w:spacing w:after="0" w:line="247"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Events of Default with respect to Senior Debt Securities of that series, other than the</w:t>
      </w:r>
    </w:p>
    <w:p>
      <w:pPr>
        <w:sectPr>
          <w:pgSz w:w="11900" w:h="16838" w:orient="portrait"/>
          <w:cols w:equalWidth="0" w:num="1">
            <w:col w:w="10219"/>
          </w:cols>
          <w:pgMar w:left="240" w:top="313" w:right="1440" w:bottom="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3" w:right="1440" w:bottom="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non-payment of the principal of Senior Debt Securities of that series which has become due solely by such 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1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1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default occurs under the Senior Debt Indenture with respect to Senior Debt Securities of any series, the Trustee shall give the Holders of Senior Debt Securities of such series notice of such default as and to the</w:t>
      </w:r>
    </w:p>
    <w:p>
      <w:pPr>
        <w:sectPr>
          <w:pgSz w:w="11900" w:h="16838" w:orient="portrait"/>
          <w:cols w:equalWidth="0" w:num="1">
            <w:col w:w="10219"/>
          </w:cols>
          <w:pgMar w:left="240" w:top="313" w:right="1440" w:bottom="534"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3" w:right="1440" w:bottom="534"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40</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right="1979" w:firstLine="6"/>
        <w:spacing w:after="0" w:line="246" w:lineRule="auto"/>
        <w:tabs>
          <w:tab w:leader="none" w:pos="4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209"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is required to furnish to the Trustee annually a statement as to the compliance by the Company with all conditions and covenants under the Senior Debt Indenture. (Section 1006)</w:t>
      </w:r>
    </w:p>
    <w:p>
      <w:pPr>
        <w:spacing w:after="0" w:line="200"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Limitation on Liens. Unless provided otherwise in the applicable Prospectus Supplement, the provisions of this covenant shall apply to each series of Senior Debt Securities issued under the Senior Debt Indenture:</w:t>
      </w:r>
    </w:p>
    <w:p>
      <w:pPr>
        <w:spacing w:after="0" w:line="200" w:lineRule="exact"/>
        <w:rPr>
          <w:sz w:val="20"/>
          <w:szCs w:val="20"/>
          <w:color w:val="auto"/>
        </w:rPr>
      </w:pPr>
    </w:p>
    <w:p>
      <w:pPr>
        <w:ind w:right="19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w:t>
      </w:r>
    </w:p>
    <w:p>
      <w:pPr>
        <w:sectPr>
          <w:pgSz w:w="11900" w:h="16838" w:orient="portrait"/>
          <w:cols w:equalWidth="0" w:num="1">
            <w:col w:w="10219"/>
          </w:cols>
          <w:pgMar w:left="240" w:top="313" w:right="1440" w:bottom="732" w:gutter="0" w:footer="0" w:header="0"/>
        </w:sect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3" w:right="1440" w:bottom="732"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41</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200" w:lineRule="exact"/>
        <w:rPr>
          <w:sz w:val="20"/>
          <w:szCs w:val="20"/>
          <w:color w:val="auto"/>
        </w:rPr>
      </w:pPr>
    </w:p>
    <w:p>
      <w:pPr>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 "-- Provisions Applicable Solely to Senior Debt Securities -- 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214" w:lineRule="exact"/>
        <w:rPr>
          <w:rFonts w:ascii="Courier New" w:cs="Courier New" w:eastAsia="Courier New" w:hAnsi="Courier New"/>
          <w:sz w:val="17"/>
          <w:szCs w:val="17"/>
          <w:color w:val="auto"/>
        </w:rPr>
      </w:pPr>
    </w:p>
    <w:p>
      <w:pPr>
        <w:jc w:val="both"/>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99"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202"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0"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(including judgment liens) arising in connection with legal proceedings so long as such proceedings are being contested in good faith and, in the case of judgment liens, execution thereon is stayed; or</w:t>
      </w:r>
    </w:p>
    <w:p>
      <w:pPr>
        <w:spacing w:after="0" w:line="199" w:lineRule="exact"/>
        <w:rPr>
          <w:rFonts w:ascii="Courier New" w:cs="Courier New" w:eastAsia="Courier New" w:hAnsi="Courier New"/>
          <w:sz w:val="17"/>
          <w:szCs w:val="17"/>
          <w:color w:val="auto"/>
        </w:rPr>
      </w:pPr>
    </w:p>
    <w:p>
      <w:pPr>
        <w:ind w:right="2079" w:firstLine="520"/>
        <w:spacing w:after="0" w:line="247"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liens on fixtures located on premises leased by the Company or any Restricted Subsidiary in the ordinary course of business; or</w:t>
      </w:r>
    </w:p>
    <w:p>
      <w:pPr>
        <w:spacing w:after="0" w:line="197" w:lineRule="exact"/>
        <w:rPr>
          <w:rFonts w:ascii="Courier New" w:cs="Courier New" w:eastAsia="Courier New" w:hAnsi="Courier New"/>
          <w:sz w:val="17"/>
          <w:szCs w:val="17"/>
          <w:color w:val="auto"/>
        </w:rPr>
      </w:pPr>
    </w:p>
    <w:p>
      <w:pPr>
        <w:ind w:right="249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 favor of any governmental authority in connection with the financing of the cost of construction or acquisition of property; or</w:t>
      </w:r>
    </w:p>
    <w:p>
      <w:pPr>
        <w:spacing w:after="0" w:line="199" w:lineRule="exact"/>
        <w:rPr>
          <w:rFonts w:ascii="Courier New" w:cs="Courier New" w:eastAsia="Courier New" w:hAnsi="Courier New"/>
          <w:sz w:val="17"/>
          <w:szCs w:val="17"/>
          <w:color w:val="auto"/>
        </w:rPr>
      </w:pPr>
    </w:p>
    <w:p>
      <w:pPr>
        <w:ind w:right="249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to qualify the Company or any Restricted Subsidiary to conduct business, to maintain self-insurance, or to obtain the benefit of, or comply with, laws; or</w:t>
      </w:r>
    </w:p>
    <w:p>
      <w:pPr>
        <w:spacing w:after="0" w:line="199" w:lineRule="exact"/>
        <w:rPr>
          <w:rFonts w:ascii="Courier New" w:cs="Courier New" w:eastAsia="Courier New" w:hAnsi="Courier New"/>
          <w:sz w:val="17"/>
          <w:szCs w:val="17"/>
          <w:color w:val="auto"/>
        </w:rPr>
      </w:pPr>
    </w:p>
    <w:p>
      <w:pPr>
        <w:ind w:right="239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that secures any Indebtedness of a Restricted Subsidiary owing to the Company or another Restricted Subsidiary or by the Company to a Restricted Subsidiary; or</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3"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42</w:t>
      </w:r>
    </w:p>
    <w:p>
      <w:pPr>
        <w:spacing w:after="0" w:line="203" w:lineRule="exact"/>
        <w:rPr>
          <w:sz w:val="20"/>
          <w:szCs w:val="20"/>
          <w:color w:val="auto"/>
        </w:rPr>
      </w:pPr>
    </w:p>
    <w:p>
      <w:pPr>
        <w:ind w:right="2179" w:firstLine="520"/>
        <w:spacing w:after="0" w:line="247" w:lineRule="auto"/>
        <w:tabs>
          <w:tab w:leader="none" w:pos="1029"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incurred in connection with pollution control, sewage or solid waste disposal, industrial revenue or similar financing; or</w:t>
      </w:r>
    </w:p>
    <w:p>
      <w:pPr>
        <w:spacing w:after="0" w:line="197"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 Securities -- Limitations on Sale and Leaseback Transactions" and other than Sale and Leaseback Transactions between the Company and any Restricted Subsidiary) does not exceed 15% of Consolidated Net Tangible Assets. (Section 1008 of the Senior Debt Indenture)</w:t>
      </w:r>
    </w:p>
    <w:p>
      <w:pPr>
        <w:spacing w:after="0" w:line="209" w:lineRule="exact"/>
        <w:rPr>
          <w:sz w:val="20"/>
          <w:szCs w:val="20"/>
          <w:color w:val="auto"/>
        </w:rPr>
      </w:pPr>
    </w:p>
    <w:p>
      <w:pPr>
        <w:ind w:right="1979" w:firstLine="520"/>
        <w:spacing w:after="0" w:line="246" w:lineRule="auto"/>
        <w:tabs>
          <w:tab w:leader="none" w:pos="927"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 prior to all liens other than any liens theretofore existing thereon by a supplemental indenture or otherwise.</w:t>
      </w:r>
    </w:p>
    <w:p>
      <w:pPr>
        <w:spacing w:after="0" w:line="207"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 (a) the Company or such Restricted Subsidiary would be entitled, pursuant to the covenant described in "-- Provisions Applicable</w:t>
      </w:r>
    </w:p>
    <w:p>
      <w:pPr>
        <w:sectPr>
          <w:pgSz w:w="11900" w:h="16838" w:orient="portrait"/>
          <w:cols w:equalWidth="0" w:num="1">
            <w:col w:w="10219"/>
          </w:cols>
          <w:pgMar w:left="240" w:top="313" w:right="1440" w:bottom="534" w:gutter="0" w:footer="0" w:header="0"/>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3" w:right="1440" w:bottom="534"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43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Solely to Senior Debt Securities -- 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9"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Notwithstanding the foregoing, the Company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SUBORDINATED DEBT SECURITIES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1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0" w:lineRule="exact"/>
        <w:rPr>
          <w:sz w:val="20"/>
          <w:szCs w:val="20"/>
          <w:color w:val="auto"/>
        </w:rPr>
      </w:pPr>
    </w:p>
    <w:p>
      <w:pPr>
        <w:ind w:left="520" w:right="19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3" w:right="1440" w:bottom="732"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44</w:t>
      </w:r>
    </w:p>
    <w:p>
      <w:pPr>
        <w:spacing w:after="0" w:line="203" w:lineRule="exact"/>
        <w:rPr>
          <w:sz w:val="20"/>
          <w:szCs w:val="20"/>
          <w:color w:val="auto"/>
        </w:rPr>
      </w:pPr>
    </w:p>
    <w:p>
      <w:pPr>
        <w:ind w:left="520" w:right="2279" w:firstLine="515"/>
        <w:spacing w:after="0" w:line="246"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0"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Subordinated Debt Security of that series; or</w:t>
      </w:r>
    </w:p>
    <w:p>
      <w:pPr>
        <w:spacing w:after="0" w:line="197"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206"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207" w:lineRule="exact"/>
        <w:rPr>
          <w:rFonts w:ascii="Courier New" w:cs="Courier New" w:eastAsia="Courier New" w:hAnsi="Courier New"/>
          <w:sz w:val="17"/>
          <w:szCs w:val="17"/>
          <w:color w:val="auto"/>
        </w:rPr>
      </w:pPr>
    </w:p>
    <w:p>
      <w:pPr>
        <w:ind w:left="520" w:right="2179" w:firstLine="515"/>
        <w:spacing w:after="0" w:line="246" w:lineRule="auto"/>
        <w:tabs>
          <w:tab w:leader="none" w:pos="14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with respect to Subordinated Debt Securities of that series. (Section 501 of the Subordinated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w:t>
      </w:r>
    </w:p>
    <w:p>
      <w:pPr>
        <w:sectPr>
          <w:pgSz w:w="11900" w:h="16838" w:orient="portrait"/>
          <w:cols w:equalWidth="0" w:num="1">
            <w:col w:w="10219"/>
          </w:cols>
          <w:pgMar w:left="240" w:top="313" w:right="1440" w:bottom="138" w:gutter="0" w:footer="0" w:header="0"/>
        </w:sect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3" w:right="1440" w:bottom="138"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45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1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w:t>
      </w:r>
    </w:p>
    <w:p>
      <w:pPr>
        <w:sectPr>
          <w:pgSz w:w="11900" w:h="16838" w:orient="portrait"/>
          <w:cols w:equalWidth="0" w:num="1">
            <w:col w:w="10219"/>
          </w:cols>
          <w:pgMar w:left="240" w:top="313" w:right="1440" w:bottom="732" w:gutter="0" w:footer="0" w:header="0"/>
        </w:sect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3" w:right="1440" w:bottom="732"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46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21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ectPr>
          <w:pgSz w:w="11900" w:h="16838" w:orient="portrait"/>
          <w:cols w:equalWidth="0" w:num="1">
            <w:col w:w="10219"/>
          </w:cols>
          <w:pgMar w:left="240" w:top="313" w:right="1440" w:bottom="1128"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3" w:right="1440" w:bottom="1128"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47</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1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w:t>
      </w:r>
    </w:p>
    <w:p>
      <w:pPr>
        <w:sectPr>
          <w:pgSz w:w="11900" w:h="16838" w:orient="portrait"/>
          <w:cols w:equalWidth="0" w:num="1">
            <w:col w:w="10219"/>
          </w:cols>
          <w:pgMar w:left="240" w:top="313" w:right="1440" w:bottom="732" w:gutter="0" w:footer="0" w:header="0"/>
        </w:sect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3" w:right="1440" w:bottom="732"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7"/>
          <w:szCs w:val="17"/>
          <w:color w:val="auto"/>
        </w:rPr>
        <w:t>48</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2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Prospectus Supplement respecting any series of Subordinated Debt Securities will set forth any subordination provisions applicable to such series in addition to or different from those described above.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marshalling of assets or liabilities of the Company and its Subsidiaries,</w:t>
      </w:r>
    </w:p>
    <w:p>
      <w:pPr>
        <w:sectPr>
          <w:pgSz w:w="11900" w:h="16838" w:orient="portrait"/>
          <w:cols w:equalWidth="0" w:num="1">
            <w:col w:w="10219"/>
          </w:cols>
          <w:pgMar w:left="240" w:top="313" w:right="1440" w:bottom="336"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3" w:right="1440" w:bottom="336"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49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1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case of any consolidation or merger of the Company (with certain exceptions) or any conveyance, transfer or lease of the properties and assets of the Company substantially as an entirety to any Person, each</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13" w:right="1440" w:bottom="732"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7"/>
          <w:szCs w:val="17"/>
          <w:color w:val="auto"/>
        </w:rPr>
        <w:t>50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DESCRIPTION OF CAPITAL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currently authorized to issue 300,000,000 shares of its Common Stock, par value $.01 per share, of which 161,270,883 shares were outstanding on June 27, 1997 and 10,000,000 shares of Preferred Stock, par value $.01 per share (the "Preferred Stock"), none of which were outstanding on such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Holders of Common Stock have no conversion, redemption or preemptive rights. All outstanding shares of Common Stock are, and the Common Stock to be issued hereunder will be, validly issued, fully paid and nonassessable.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BUT UNISSUED SHARES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transfer agent and registrar for the Common Stock is Boston EquiServe, Boston, Massachusetts.</w:t>
      </w:r>
    </w:p>
    <w:p>
      <w:pPr>
        <w:sectPr>
          <w:pgSz w:w="11900" w:h="16838" w:orient="portrait"/>
          <w:cols w:equalWidth="0" w:num="1">
            <w:col w:w="10219"/>
          </w:cols>
          <w:pgMar w:left="240" w:top="31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3" w:right="1440"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51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 ANTI-TAKEOVER LAW</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4" w:lineRule="exact"/>
        <w:rPr>
          <w:sz w:val="20"/>
          <w:szCs w:val="20"/>
          <w:color w:val="auto"/>
        </w:rPr>
      </w:pPr>
    </w:p>
    <w:p>
      <w:pPr>
        <w:ind w:right="1979" w:firstLine="6"/>
        <w:spacing w:after="0" w:line="246" w:lineRule="auto"/>
        <w:tabs>
          <w:tab w:leader="none" w:pos="412"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20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PLAN OF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Company may sell Securities to or through underwriters or dealers, and also may sell Securities directly to other purchasers or through agents.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DELAYED DELIVERY ARRANGEMENT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If so indicated in the applicable Prospectus Supplement, the Company will authorize underwriters or other persons acting as the Company's agents to solicit offers by certain institutions to purchase Debt</w:t>
      </w:r>
    </w:p>
    <w:p>
      <w:pPr>
        <w:sectPr>
          <w:pgSz w:w="11900" w:h="16838" w:orient="portrait"/>
          <w:cols w:equalWidth="0" w:num="1">
            <w:col w:w="10219"/>
          </w:cols>
          <w:pgMar w:left="240" w:top="313" w:right="1440" w:bottom="1128"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3" w:right="1440" w:bottom="1128"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52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204"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VALIDITY OF SECURITIES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Prospectus, have been incorporated herein in reliance on the report of Coopers &amp; Lybrand L.L.P., independent accountants, given on the authority of that firm as experts in accounting and auditing.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13"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7"/>
          <w:szCs w:val="17"/>
          <w:color w:val="auto"/>
        </w:rPr>
        <w:t>53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NO DEALER, SALESPERSON OR OTHER PERSON HAS</w:t>
            </w:r>
          </w:p>
        </w:tc>
        <w:tc>
          <w:tcPr>
            <w:tcW w:w="3300" w:type="dxa"/>
            <w:vAlign w:val="bottom"/>
          </w:tcPr>
          <w:p>
            <w:pPr>
              <w:spacing w:after="0"/>
              <w:rPr>
                <w:sz w:val="20"/>
                <w:szCs w:val="20"/>
                <w:color w:val="auto"/>
              </w:rPr>
            </w:pPr>
            <w:r>
              <w:rPr>
                <w:rFonts w:ascii="Courier New" w:cs="Courier New" w:eastAsia="Courier New" w:hAnsi="Courier New"/>
                <w:sz w:val="17"/>
                <w:szCs w:val="17"/>
                <w:color w:val="auto"/>
              </w:rPr>
              <w:t>BEEN AUTHORIZED TO GIVE ANY</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INFORMATION OR TO MAKE ANY REPRESENTATIONS OTHER THAN THOSE CONTAINED OR</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INCORPORATED BY REFERENCE IN THIS PROSPECTUS SUPPLEMENT AND THE PROSPECTUS AND,</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IF GIVEN OR MADE, SUCH INFORMATION OR REPRESENTATIONS MUST NOT BE RELIED UPON AS</w:t>
            </w:r>
          </w:p>
        </w:tc>
      </w:tr>
      <w:tr>
        <w:trPr>
          <w:trHeight w:val="198"/>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HAVING BEEN AUTHORIZED BY THE COMPANY OR ANY OF</w:t>
            </w:r>
          </w:p>
        </w:tc>
        <w:tc>
          <w:tcPr>
            <w:tcW w:w="3300" w:type="dxa"/>
            <w:vAlign w:val="bottom"/>
          </w:tcPr>
          <w:p>
            <w:pPr>
              <w:spacing w:after="0"/>
              <w:rPr>
                <w:sz w:val="20"/>
                <w:szCs w:val="20"/>
                <w:color w:val="auto"/>
              </w:rPr>
            </w:pPr>
            <w:r>
              <w:rPr>
                <w:rFonts w:ascii="Courier New" w:cs="Courier New" w:eastAsia="Courier New" w:hAnsi="Courier New"/>
                <w:sz w:val="17"/>
                <w:szCs w:val="17"/>
                <w:color w:val="auto"/>
              </w:rPr>
              <w:t>THE UNDERWRITERS. THIS</w:t>
            </w:r>
          </w:p>
        </w:tc>
      </w:tr>
      <w:tr>
        <w:trPr>
          <w:trHeight w:val="198"/>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PROSPECTUS SUPPLEMENT AND THE PROSPECTUS DO NOT</w:t>
            </w:r>
          </w:p>
        </w:tc>
        <w:tc>
          <w:tcPr>
            <w:tcW w:w="3300" w:type="dxa"/>
            <w:vAlign w:val="bottom"/>
          </w:tcPr>
          <w:p>
            <w:pPr>
              <w:spacing w:after="0"/>
              <w:rPr>
                <w:sz w:val="20"/>
                <w:szCs w:val="20"/>
                <w:color w:val="auto"/>
              </w:rPr>
            </w:pPr>
            <w:r>
              <w:rPr>
                <w:rFonts w:ascii="Courier New" w:cs="Courier New" w:eastAsia="Courier New" w:hAnsi="Courier New"/>
                <w:sz w:val="17"/>
                <w:szCs w:val="17"/>
                <w:color w:val="auto"/>
              </w:rPr>
              <w:t>CONSTITUTE AN OFFER TO SELL OR A</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SOLICITATION OF AN OFFER TO BUY THE SECURITIES OFFERED HEREBY BY ANYONE IN ANY</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JURISDICTION IN WHICH SUCH OFFER OR SOLICITATION IS NOT AUTHORIZED, OR IN WHICH</w:t>
            </w:r>
          </w:p>
        </w:tc>
      </w:tr>
      <w:tr>
        <w:trPr>
          <w:trHeight w:val="198"/>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THE PERSON MAKING SUCH OFFER OR SOLICITATION IS</w:t>
            </w:r>
          </w:p>
        </w:tc>
        <w:tc>
          <w:tcPr>
            <w:tcW w:w="3300" w:type="dxa"/>
            <w:vAlign w:val="bottom"/>
          </w:tcPr>
          <w:p>
            <w:pPr>
              <w:spacing w:after="0"/>
              <w:rPr>
                <w:sz w:val="20"/>
                <w:szCs w:val="20"/>
                <w:color w:val="auto"/>
              </w:rPr>
            </w:pPr>
            <w:r>
              <w:rPr>
                <w:rFonts w:ascii="Courier New" w:cs="Courier New" w:eastAsia="Courier New" w:hAnsi="Courier New"/>
                <w:sz w:val="17"/>
                <w:szCs w:val="17"/>
                <w:color w:val="auto"/>
              </w:rPr>
              <w:t>NOT QUALIFIED TO DO SO OR TO ANY</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PERSON TO WHOM IT IS UNLAWFUL TO MAKE SUCH OFFER OR SOLICITATION. NEITHER THE</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DELIVERY OF THIS PROSPECTUS SUPPLEMENT AND THE PROSPECTUS NOR ANY SALE MADE</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HEREUNDER AND THEREUNDER SHALL CREATE ANY IMPLICATION THAT THE INFORMATION</w:t>
            </w:r>
          </w:p>
        </w:tc>
      </w:tr>
      <w:tr>
        <w:trPr>
          <w:trHeight w:val="198"/>
        </w:trPr>
        <w:tc>
          <w:tcPr>
            <w:tcW w:w="8240" w:type="dxa"/>
            <w:vAlign w:val="bottom"/>
            <w:gridSpan w:val="3"/>
          </w:tcPr>
          <w:p>
            <w:pPr>
              <w:spacing w:after="0"/>
              <w:rPr>
                <w:sz w:val="20"/>
                <w:szCs w:val="20"/>
                <w:color w:val="auto"/>
              </w:rPr>
            </w:pPr>
            <w:r>
              <w:rPr>
                <w:rFonts w:ascii="Courier New" w:cs="Courier New" w:eastAsia="Courier New" w:hAnsi="Courier New"/>
                <w:sz w:val="17"/>
                <w:szCs w:val="17"/>
                <w:color w:val="auto"/>
              </w:rPr>
              <w:t>CONTAINED HEREIN IS CORRECT AS OF ANY TIME SUBSEQUENT TO ITS DATE.</w:t>
            </w:r>
          </w:p>
        </w:tc>
      </w:tr>
      <w:tr>
        <w:trPr>
          <w:trHeight w:val="198"/>
        </w:trPr>
        <w:tc>
          <w:tcPr>
            <w:tcW w:w="8240" w:type="dxa"/>
            <w:vAlign w:val="bottom"/>
            <w:gridSpan w:val="3"/>
          </w:tcPr>
          <w:p>
            <w:pPr>
              <w:ind w:left="3000"/>
              <w:spacing w:after="0"/>
              <w:rPr>
                <w:sz w:val="20"/>
                <w:szCs w:val="20"/>
                <w:color w:val="auto"/>
              </w:rPr>
            </w:pPr>
            <w:r>
              <w:rPr>
                <w:rFonts w:ascii="Courier New" w:cs="Courier New" w:eastAsia="Courier New" w:hAnsi="Courier New"/>
                <w:sz w:val="17"/>
                <w:szCs w:val="17"/>
                <w:color w:val="auto"/>
              </w:rPr>
              <w:t>---------------------</w:t>
            </w:r>
          </w:p>
        </w:tc>
      </w:tr>
      <w:tr>
        <w:trPr>
          <w:trHeight w:val="396"/>
        </w:trPr>
        <w:tc>
          <w:tcPr>
            <w:tcW w:w="4940" w:type="dxa"/>
            <w:vAlign w:val="bottom"/>
            <w:gridSpan w:val="2"/>
          </w:tcPr>
          <w:p>
            <w:pPr>
              <w:ind w:left="3200"/>
              <w:spacing w:after="0"/>
              <w:rPr>
                <w:sz w:val="20"/>
                <w:szCs w:val="20"/>
                <w:color w:val="auto"/>
              </w:rPr>
            </w:pPr>
            <w:r>
              <w:rPr>
                <w:rFonts w:ascii="Courier New" w:cs="Courier New" w:eastAsia="Courier New" w:hAnsi="Courier New"/>
                <w:sz w:val="17"/>
                <w:szCs w:val="17"/>
                <w:color w:val="auto"/>
                <w:w w:val="99"/>
              </w:rPr>
              <w:t>TABLE OF CONTENTS</w:t>
            </w:r>
          </w:p>
        </w:tc>
        <w:tc>
          <w:tcPr>
            <w:tcW w:w="3300" w:type="dxa"/>
            <w:vAlign w:val="bottom"/>
          </w:tcPr>
          <w:p>
            <w:pPr>
              <w:spacing w:after="0"/>
              <w:rPr>
                <w:sz w:val="24"/>
                <w:szCs w:val="24"/>
                <w:color w:val="auto"/>
              </w:rPr>
            </w:pPr>
          </w:p>
        </w:tc>
      </w:tr>
      <w:tr>
        <w:trPr>
          <w:trHeight w:val="792"/>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PROSPECTUS SUPPLEMENT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PAGE</w:t>
            </w:r>
          </w:p>
        </w:tc>
        <w:tc>
          <w:tcPr>
            <w:tcW w:w="3300" w:type="dxa"/>
            <w:vAlign w:val="bottom"/>
          </w:tcPr>
          <w:p>
            <w:pPr>
              <w:spacing w:after="0"/>
              <w:rPr>
                <w:sz w:val="24"/>
                <w:szCs w:val="24"/>
                <w:color w:val="auto"/>
              </w:rPr>
            </w:pP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Prospectus Supplement Summary..........</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S-3</w:t>
            </w:r>
          </w:p>
        </w:tc>
        <w:tc>
          <w:tcPr>
            <w:tcW w:w="3300" w:type="dxa"/>
            <w:vAlign w:val="bottom"/>
          </w:tcPr>
          <w:p>
            <w:pPr>
              <w:spacing w:after="0"/>
              <w:rPr>
                <w:sz w:val="24"/>
                <w:szCs w:val="24"/>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S-5</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S-6</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Summary Supplemental Consolidated</w:t>
            </w: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Financial Data.......................</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S-7</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Description of Notes...................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S-9</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Underwriting...........................</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S-13</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Legal Matters..........................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S-14</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Index to Financial Statements..........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F-1</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PROSPECTUS</w:t>
            </w: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w:t>
            </w: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Reference............................</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Ratios of Earnings to Fixed Charges....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Description of Debt Securities.........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Description of Capital Stock...........</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Validity of Securities.................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w:t>
            </w:r>
          </w:p>
        </w:tc>
        <w:tc>
          <w:tcPr>
            <w:tcW w:w="3300" w:type="dxa"/>
            <w:vAlign w:val="bottom"/>
          </w:tcPr>
          <w:p>
            <w:pPr>
              <w:spacing w:after="0"/>
              <w:rPr>
                <w:sz w:val="17"/>
                <w:szCs w:val="17"/>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w:t>
            </w:r>
          </w:p>
        </w:tc>
        <w:tc>
          <w:tcPr>
            <w:tcW w:w="330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$600,000,000</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USA WASTE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SERVICES, INC.</w:t>
      </w:r>
    </w:p>
    <w:p>
      <w:pPr>
        <w:spacing w:after="0" w:line="5" w:lineRule="exact"/>
        <w:rPr>
          <w:sz w:val="20"/>
          <w:szCs w:val="20"/>
          <w:color w:val="auto"/>
        </w:rPr>
      </w:pPr>
    </w:p>
    <w:p>
      <w:pPr>
        <w:ind w:left="3300" w:hanging="206"/>
        <w:spacing w:after="0"/>
        <w:tabs>
          <w:tab w:leader="none" w:pos="33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SENIOR NOTES DUE 2004</w:t>
      </w:r>
    </w:p>
    <w:p>
      <w:pPr>
        <w:spacing w:after="0" w:line="203" w:lineRule="exact"/>
        <w:rPr>
          <w:rFonts w:ascii="Courier New" w:cs="Courier New" w:eastAsia="Courier New" w:hAnsi="Courier New"/>
          <w:sz w:val="17"/>
          <w:szCs w:val="17"/>
          <w:color w:val="auto"/>
        </w:rPr>
      </w:pPr>
    </w:p>
    <w:p>
      <w:pPr>
        <w:ind w:left="3300" w:hanging="206"/>
        <w:spacing w:after="0"/>
        <w:tabs>
          <w:tab w:leader="none" w:pos="33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SENIOR NOTES DUE 2007</w:t>
      </w:r>
    </w:p>
    <w:p>
      <w:pPr>
        <w:spacing w:after="0" w:line="5" w:lineRule="exact"/>
        <w:rPr>
          <w:rFonts w:ascii="Courier New" w:cs="Courier New" w:eastAsia="Courier New" w:hAnsi="Courier New"/>
          <w:sz w:val="17"/>
          <w:szCs w:val="17"/>
          <w:color w:val="auto"/>
        </w:rPr>
      </w:pPr>
    </w:p>
    <w:p>
      <w:pPr>
        <w:ind w:left="1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PROSPECTUS SUPPLEMENT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DONALDSON, LUFKIN &amp; JENRETTE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CORPORATION</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MERRILL LYNCH &amp; CO.</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J.P. MORGAN &amp; CO.</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BT ALEX. BROWN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DEUTSCHE MORGAN GRENFELL</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lowerRoman"/>
      <w:start w:val="2"/>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1)"/>
      <w:numFmt w:val="lowerLetter"/>
      <w:start w:val="1"/>
    </w:lvl>
    <w:lvl w:ilvl="1">
      <w:lvlJc w:val="left"/>
      <w:lvlText w:val="%2)"/>
      <w:numFmt w:val="decimal"/>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lowerRoman"/>
      <w:start w:val="18"/>
    </w:lvl>
  </w:abstractNum>
  <w:abstractNum w:abstractNumId="10">
    <w:nsid w:val="3F2DBA31"/>
    <w:multiLevelType w:val="hybridMultilevel"/>
    <w:lvl w:ilvl="0">
      <w:lvlJc w:val="left"/>
      <w:lvlText w:val="%1)"/>
      <w:numFmt w:val="decimal"/>
      <w:start w:val="305"/>
    </w:lvl>
  </w:abstractNum>
  <w:abstractNum w:abstractNumId="11">
    <w:nsid w:val="7C83E458"/>
    <w:multiLevelType w:val="hybridMultilevel"/>
    <w:lvl w:ilvl="0">
      <w:lvlJc w:val="left"/>
      <w:lvlText w:val="(%1)"/>
      <w:numFmt w:val="lowerRoman"/>
      <w:start w:val="2"/>
    </w:lvl>
  </w:abstractNum>
  <w:abstractNum w:abstractNumId="12">
    <w:nsid w:val="257130A3"/>
    <w:multiLevelType w:val="hybridMultilevel"/>
    <w:lvl w:ilvl="0">
      <w:lvlJc w:val="left"/>
      <w:lvlText w:val="(%1)"/>
      <w:numFmt w:val="lowerLetter"/>
      <w:start w:val="1"/>
    </w:lvl>
    <w:lvl w:ilvl="1">
      <w:lvlJc w:val="left"/>
      <w:lvlText w:val="(%2)"/>
      <w:numFmt w:val="lowerRoman"/>
      <w:start w:val="1"/>
    </w:lvl>
  </w:abstractNum>
  <w:abstractNum w:abstractNumId="13">
    <w:nsid w:val="62BBD95A"/>
    <w:multiLevelType w:val="hybridMultilevel"/>
    <w:lvl w:ilvl="0">
      <w:lvlJc w:val="left"/>
      <w:lvlText w:val="(%1)"/>
      <w:numFmt w:val="lowerRoman"/>
      <w:start w:val="2"/>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2019-12-20T04:00:57Z</dcterms:created>
  <dcterms:modified xsi:type="dcterms:W3CDTF">2019-12-20T04:00:57Z</dcterms:modified>
</cp:coreProperties>
</file>