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221" w:lineRule="exact"/>
        <w:rPr>
          <w:sz w:val="20"/>
          <w:szCs w:val="20"/>
          <w:color w:val="auto"/>
        </w:rPr>
      </w:pPr>
    </w:p>
    <w:p>
      <w:pPr>
        <w:ind w:left="1840" w:right="180" w:hanging="1170"/>
        <w:spacing w:after="0" w:line="501" w:lineRule="auto"/>
        <w:tabs>
          <w:tab w:leader="none" w:pos="1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2005</w:t>
      </w: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840" w:hanging="1134"/>
        <w:spacing w:after="0"/>
        <w:tabs>
          <w:tab w:leader="none" w:pos="18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180"/>
          </w:cols>
          <w:pgMar w:left="240" w:top="122" w:right="479" w:bottom="1440" w:gutter="0" w:footer="0" w:header="0"/>
        </w:sectPr>
      </w:pPr>
    </w:p>
    <w:p>
      <w:pPr>
        <w:spacing w:after="0" w:line="39" w:lineRule="exact"/>
        <w:rPr>
          <w:sz w:val="20"/>
          <w:szCs w:val="20"/>
          <w:color w:val="auto"/>
        </w:rPr>
      </w:pPr>
    </w:p>
    <w:p>
      <w:pPr>
        <w:ind w:left="1840"/>
        <w:spacing w:after="0"/>
        <w:tabs>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180"/>
          </w:cols>
          <w:pgMar w:left="240" w:top="122" w:right="479" w:bottom="1440" w:gutter="0" w:footer="0" w:header="0"/>
          <w:type w:val="continuous"/>
        </w:sectPr>
      </w:pPr>
    </w:p>
    <w:p>
      <w:pPr>
        <w:spacing w:after="0" w:line="153"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Commission file number 1-12154</w:t>
      </w:r>
    </w:p>
    <w:p>
      <w:pPr>
        <w:sectPr>
          <w:pgSz w:w="11900" w:h="16838" w:orient="portrait"/>
          <w:cols w:equalWidth="0" w:num="1">
            <w:col w:w="11180"/>
          </w:cols>
          <w:pgMar w:left="240" w:top="122" w:right="479" w:bottom="1440" w:gutter="0" w:footer="0" w:header="0"/>
          <w:type w:val="continuous"/>
        </w:sectPr>
      </w:pPr>
    </w:p>
    <w:p>
      <w:pPr>
        <w:spacing w:after="0" w:line="61" w:lineRule="exact"/>
        <w:rPr>
          <w:sz w:val="20"/>
          <w:szCs w:val="20"/>
          <w:color w:val="auto"/>
        </w:rPr>
      </w:pPr>
    </w:p>
    <w:p>
      <w:pPr>
        <w:jc w:val="center"/>
        <w:ind w:right="-239"/>
        <w:spacing w:after="0"/>
        <w:rPr>
          <w:sz w:val="20"/>
          <w:szCs w:val="20"/>
          <w:color w:val="auto"/>
        </w:rPr>
      </w:pPr>
      <w:r>
        <w:rPr>
          <w:rFonts w:ascii="Arial" w:cs="Arial" w:eastAsia="Arial" w:hAnsi="Arial"/>
          <w:sz w:val="39"/>
          <w:szCs w:val="39"/>
          <w:b w:val="1"/>
          <w:bCs w:val="1"/>
          <w:color w:val="auto"/>
        </w:rPr>
        <w:t>Waste Management, Inc.</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180"/>
          </w:cols>
          <w:pgMar w:left="240" w:top="122" w:right="479" w:bottom="1440" w:gutter="0" w:footer="0" w:header="0"/>
          <w:type w:val="continuous"/>
        </w:sectPr>
      </w:pPr>
    </w:p>
    <w:p>
      <w:pPr>
        <w:spacing w:after="0" w:line="20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38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0"/>
          <w:szCs w:val="20"/>
          <w:color w:val="auto"/>
        </w:rPr>
      </w:pPr>
    </w:p>
    <w:p>
      <w:pPr>
        <w:jc w:val="center"/>
        <w:ind w:right="1380"/>
        <w:spacing w:after="0"/>
        <w:rPr>
          <w:sz w:val="20"/>
          <w:szCs w:val="20"/>
          <w:color w:val="auto"/>
        </w:rPr>
      </w:pPr>
      <w:r>
        <w:rPr>
          <w:rFonts w:ascii="Arial" w:cs="Arial" w:eastAsia="Arial" w:hAnsi="Arial"/>
          <w:sz w:val="16"/>
          <w:szCs w:val="16"/>
          <w:i w:val="1"/>
          <w:iCs w:val="1"/>
          <w:color w:val="auto"/>
        </w:rPr>
        <w:t>Identification No.)</w:t>
      </w:r>
    </w:p>
    <w:p>
      <w:pPr>
        <w:spacing w:after="0" w:line="175" w:lineRule="exact"/>
        <w:rPr>
          <w:sz w:val="20"/>
          <w:szCs w:val="20"/>
          <w:color w:val="auto"/>
        </w:rPr>
      </w:pPr>
    </w:p>
    <w:p>
      <w:pPr>
        <w:sectPr>
          <w:pgSz w:w="11900" w:h="16838" w:orient="portrait"/>
          <w:cols w:equalWidth="0" w:num="2">
            <w:col w:w="7760" w:space="720"/>
            <w:col w:w="2700"/>
          </w:cols>
          <w:pgMar w:left="240" w:top="122" w:right="479" w:bottom="1440" w:gutter="0" w:footer="0" w:header="0"/>
          <w:type w:val="continuous"/>
        </w:sectPr>
      </w:pPr>
    </w:p>
    <w:p>
      <w:pPr>
        <w:jc w:val="center"/>
        <w:ind w:right="-239"/>
        <w:spacing w:after="0"/>
        <w:rPr>
          <w:sz w:val="20"/>
          <w:szCs w:val="20"/>
          <w:color w:val="auto"/>
        </w:rPr>
      </w:pPr>
      <w:r>
        <w:rPr>
          <w:rFonts w:ascii="Arial" w:cs="Arial" w:eastAsia="Arial" w:hAnsi="Arial"/>
          <w:sz w:val="18"/>
          <w:szCs w:val="18"/>
          <w:b w:val="1"/>
          <w:bCs w:val="1"/>
          <w:color w:val="auto"/>
        </w:rPr>
        <w:t>1001 Fannin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Houston, Texas 77002</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3"/>
          <w:szCs w:val="13"/>
          <w:i w:val="1"/>
          <w:iCs w:val="1"/>
          <w:color w:val="auto"/>
        </w:rPr>
        <w:t>(Registrant’s telephone number, including area code)</w:t>
      </w:r>
    </w:p>
    <w:p>
      <w:pPr>
        <w:sectPr>
          <w:pgSz w:w="11900" w:h="16838" w:orient="portrait"/>
          <w:cols w:equalWidth="0" w:num="1">
            <w:col w:w="11180"/>
          </w:cols>
          <w:pgMar w:left="240" w:top="122" w:right="479" w:bottom="1440" w:gutter="0" w:footer="0" w:header="0"/>
          <w:type w:val="continuous"/>
        </w:sectPr>
      </w:pPr>
    </w:p>
    <w:p>
      <w:pPr>
        <w:spacing w:after="0" w:line="262"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700" w:firstLine="270"/>
        <w:spacing w:after="0" w:line="233"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July 25, 2005 was 562,101,115 (excluding treasury shares of 68,181,346).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2" w:right="47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spacing w:after="0"/>
        <w:rPr>
          <w:rFonts w:ascii="Arial" w:cs="Arial" w:eastAsia="Arial" w:hAnsi="Arial"/>
          <w:sz w:val="19"/>
          <w:szCs w:val="19"/>
          <w:u w:val="single" w:color="auto"/>
          <w:color w:val="0000EE"/>
        </w:rPr>
      </w:pPr>
      <w:hyperlink w:anchor="page35">
        <w:r>
          <w:rPr>
            <w:rFonts w:ascii="Arial" w:cs="Arial" w:eastAsia="Arial" w:hAnsi="Arial"/>
            <w:sz w:val="19"/>
            <w:szCs w:val="19"/>
            <w:u w:val="single" w:color="auto"/>
            <w:color w:val="0000EE"/>
          </w:rPr>
          <w:t>Item 2. Management’s Discussion and Analysis of Financial Condition and Results of Operations.</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Item 4. Controls and Procedures.</w:t>
        </w:r>
      </w:hyperlink>
    </w:p>
    <w:p>
      <w:pPr>
        <w:spacing w:after="0" w:line="230"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PART II.</w:t>
        </w:r>
      </w:hyperlink>
    </w:p>
    <w:p>
      <w:pPr>
        <w:ind w:left="320"/>
        <w:spacing w:after="0" w:line="231"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1. Legal Proceedings.</w:t>
        </w:r>
      </w:hyperlink>
    </w:p>
    <w:p>
      <w:pPr>
        <w:ind w:left="320"/>
        <w:spacing w:after="0"/>
        <w:rPr>
          <w:rFonts w:ascii="Arial" w:cs="Arial" w:eastAsia="Arial" w:hAnsi="Arial"/>
          <w:sz w:val="21"/>
          <w:szCs w:val="21"/>
          <w:u w:val="single" w:color="auto"/>
          <w:color w:val="0000EE"/>
        </w:rPr>
      </w:pPr>
      <w:hyperlink w:anchor="page54">
        <w:r>
          <w:rPr>
            <w:rFonts w:ascii="Arial" w:cs="Arial" w:eastAsia="Arial" w:hAnsi="Arial"/>
            <w:sz w:val="21"/>
            <w:szCs w:val="21"/>
            <w:u w:val="single" w:color="auto"/>
            <w:color w:val="0000EE"/>
          </w:rPr>
          <w:t>Item 2. Changes in Securities, Use of Proceeds and Issuer Purchases of Equity Securities.</w:t>
        </w:r>
      </w:hyperlink>
    </w:p>
    <w:p>
      <w:pPr>
        <w:ind w:left="320"/>
        <w:spacing w:after="0" w:line="232" w:lineRule="auto"/>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Item 4. Submission of Matters to a Vote of Security Holders.</w:t>
        </w:r>
      </w:hyperlink>
    </w:p>
    <w:p>
      <w:pPr>
        <w:ind w:left="320"/>
        <w:spacing w:after="0" w:line="230" w:lineRule="auto"/>
        <w:rPr>
          <w:rFonts w:ascii="Arial" w:cs="Arial" w:eastAsia="Arial" w:hAnsi="Arial"/>
          <w:sz w:val="22"/>
          <w:szCs w:val="22"/>
          <w:u w:val="single" w:color="auto"/>
          <w:color w:val="0000EE"/>
        </w:rPr>
      </w:pPr>
      <w:hyperlink w:anchor="page56">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57">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INDEX TO EXHIBITS</w:t>
        </w:r>
      </w:hyperlink>
    </w:p>
    <w:p>
      <w:pPr>
        <w:ind w:right="4599"/>
        <w:spacing w:after="0" w:line="245" w:lineRule="auto"/>
        <w:rPr>
          <w:sz w:val="20"/>
          <w:szCs w:val="20"/>
          <w:color w:val="auto"/>
        </w:rPr>
      </w:pPr>
      <w:r>
        <w:rPr>
          <w:rFonts w:ascii="Arial" w:cs="Arial" w:eastAsia="Arial" w:hAnsi="Arial"/>
          <w:sz w:val="21"/>
          <w:szCs w:val="21"/>
          <w:u w:val="single" w:color="auto"/>
          <w:color w:val="0000EE"/>
        </w:rPr>
        <w:t>Computation of Ratio of Earnings to Fixed Charges Certification of CEO Pursuant to Rule 15d-14(a) Certification of Sr. VP &amp; CFO Pursuant to Rule 15d-14(a) Certification of CEO Pursuant to Section 1350 Certification of Sr. VP &amp; CFO Pursuant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126365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Share and Par Value Amounts)</w:t>
      </w:r>
    </w:p>
    <w:p>
      <w:pPr>
        <w:sectPr>
          <w:pgSz w:w="11900" w:h="16838" w:orient="portrait"/>
          <w:cols w:equalWidth="0" w:num="1">
            <w:col w:w="11420"/>
          </w:cols>
          <w:pgMar w:left="240" w:top="419" w:right="23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5440"/>
              <w:spacing w:after="0"/>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67"/>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6"/>
              </w:rPr>
              <w:t>2005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00" w:type="dxa"/>
            <w:vAlign w:val="bottom"/>
            <w:vMerge w:val="restart"/>
          </w:tcPr>
          <w:p>
            <w:pPr>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108"/>
              <w:spacing w:after="0"/>
              <w:rPr>
                <w:sz w:val="20"/>
                <w:szCs w:val="20"/>
                <w:color w:val="auto"/>
              </w:rPr>
            </w:pPr>
            <w:r>
              <w:rPr>
                <w:rFonts w:ascii="Arial" w:cs="Arial" w:eastAsia="Arial" w:hAnsi="Arial"/>
                <w:sz w:val="14"/>
                <w:szCs w:val="14"/>
                <w:color w:val="auto"/>
                <w:w w:val="95"/>
              </w:rPr>
              <w:t>(Unaudited)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2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 net of allowance for doubtful accounts of $55 and $61, respectively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Notes and other receivables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Parts and supplies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00" w:type="dxa"/>
            <w:vAlign w:val="bottom"/>
          </w:tcPr>
          <w:p>
            <w:pPr>
              <w:ind w:left="300"/>
              <w:spacing w:after="0"/>
              <w:rPr>
                <w:sz w:val="20"/>
                <w:szCs w:val="20"/>
                <w:color w:val="auto"/>
              </w:rPr>
            </w:pPr>
            <w:r>
              <w:rPr>
                <w:rFonts w:ascii="Arial" w:cs="Arial" w:eastAsia="Arial" w:hAnsi="Arial"/>
                <w:sz w:val="14"/>
                <w:szCs w:val="14"/>
                <w:color w:val="auto"/>
              </w:rPr>
              <w:t>Prepaid expenses and other assets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200" w:type="dxa"/>
            <w:vAlign w:val="bottom"/>
          </w:tcPr>
          <w:p>
            <w:pPr>
              <w:ind w:left="620"/>
              <w:spacing w:after="0" w:line="137" w:lineRule="exact"/>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20"/>
              <w:spacing w:after="0" w:line="137" w:lineRule="exact"/>
              <w:rPr>
                <w:sz w:val="20"/>
                <w:szCs w:val="20"/>
                <w:color w:val="auto"/>
              </w:rPr>
            </w:pPr>
            <w:r>
              <w:rPr>
                <w:rFonts w:ascii="Arial" w:cs="Arial" w:eastAsia="Arial" w:hAnsi="Arial"/>
                <w:sz w:val="14"/>
                <w:szCs w:val="14"/>
                <w:color w:val="auto"/>
              </w:rPr>
              <w:t>2,827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Property and equipment, net of accumulated depreciation and amortization of $10,897 and $10,525, respectively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5,351</w:t>
            </w: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00" w:type="dxa"/>
            <w:vAlign w:val="bottom"/>
          </w:tcPr>
          <w:p>
            <w:pPr>
              <w:spacing w:after="0"/>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56"/>
        </w:trPr>
        <w:tc>
          <w:tcPr>
            <w:tcW w:w="7200" w:type="dxa"/>
            <w:vAlign w:val="bottom"/>
          </w:tcPr>
          <w:p>
            <w:pPr>
              <w:ind w:left="620"/>
              <w:spacing w:after="0" w:line="155" w:lineRule="exact"/>
              <w:rPr>
                <w:sz w:val="20"/>
                <w:szCs w:val="20"/>
                <w:color w:val="auto"/>
              </w:rPr>
            </w:pPr>
            <w:r>
              <w:rPr>
                <w:rFonts w:ascii="Arial" w:cs="Arial" w:eastAsia="Arial" w:hAnsi="Arial"/>
                <w:sz w:val="14"/>
                <w:szCs w:val="14"/>
                <w:color w:val="auto"/>
              </w:rPr>
              <w:t>Total assets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20,694</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2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7360" w:type="dxa"/>
            <w:vAlign w:val="bottom"/>
            <w:gridSpan w:val="3"/>
          </w:tcPr>
          <w:p>
            <w:pPr>
              <w:ind w:left="4140"/>
              <w:spacing w:after="0"/>
              <w:rPr>
                <w:sz w:val="20"/>
                <w:szCs w:val="20"/>
                <w:color w:val="auto"/>
              </w:rPr>
            </w:pPr>
            <w:r>
              <w:rPr>
                <w:rFonts w:ascii="Arial" w:cs="Arial" w:eastAsia="Arial" w:hAnsi="Arial"/>
                <w:sz w:val="14"/>
                <w:szCs w:val="14"/>
                <w:b w:val="1"/>
                <w:bCs w:val="1"/>
                <w:color w:val="auto"/>
              </w:rPr>
              <w:t>LIABILITIES AND STOCKHOLDERS’ EQUITY</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Accrued liabilities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Deferred revenues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00" w:type="dxa"/>
            <w:vAlign w:val="bottom"/>
          </w:tcPr>
          <w:p>
            <w:pPr>
              <w:ind w:left="300"/>
              <w:spacing w:after="0"/>
              <w:rPr>
                <w:sz w:val="20"/>
                <w:szCs w:val="20"/>
                <w:color w:val="auto"/>
              </w:rPr>
            </w:pPr>
            <w:r>
              <w:rPr>
                <w:rFonts w:ascii="Arial" w:cs="Arial" w:eastAsia="Arial" w:hAnsi="Arial"/>
                <w:sz w:val="14"/>
                <w:szCs w:val="14"/>
                <w:color w:val="auto"/>
              </w:rPr>
              <w:t>Current portion of long-term debt</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200" w:type="dxa"/>
            <w:vAlign w:val="bottom"/>
          </w:tcPr>
          <w:p>
            <w:pPr>
              <w:ind w:left="620"/>
              <w:spacing w:after="0" w:line="137" w:lineRule="exact"/>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20"/>
              <w:spacing w:after="0" w:line="137" w:lineRule="exact"/>
              <w:rPr>
                <w:sz w:val="20"/>
                <w:szCs w:val="20"/>
                <w:color w:val="auto"/>
              </w:rPr>
            </w:pPr>
            <w:r>
              <w:rPr>
                <w:rFonts w:ascii="Arial" w:cs="Arial" w:eastAsia="Arial" w:hAnsi="Arial"/>
                <w:sz w:val="14"/>
                <w:szCs w:val="14"/>
                <w:color w:val="auto"/>
              </w:rPr>
              <w:t>2,753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8,216</w:t>
            </w: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Landfill and environmental remediation liabilities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167"/>
        </w:trPr>
        <w:tc>
          <w:tcPr>
            <w:tcW w:w="7200" w:type="dxa"/>
            <w:vAlign w:val="bottom"/>
          </w:tcPr>
          <w:p>
            <w:pPr>
              <w:spacing w:after="0"/>
              <w:rPr>
                <w:sz w:val="20"/>
                <w:szCs w:val="20"/>
                <w:color w:val="auto"/>
              </w:rPr>
            </w:pPr>
            <w:r>
              <w:rPr>
                <w:rFonts w:ascii="Arial" w:cs="Arial" w:eastAsia="Arial" w:hAnsi="Arial"/>
                <w:sz w:val="14"/>
                <w:szCs w:val="14"/>
                <w:color w:val="auto"/>
              </w:rPr>
              <w:t>Other liabilities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0" w:type="dxa"/>
            <w:vAlign w:val="bottom"/>
          </w:tcPr>
          <w:p>
            <w:pPr>
              <w:ind w:left="620"/>
              <w:spacing w:after="0" w:line="155" w:lineRule="exact"/>
              <w:rPr>
                <w:sz w:val="20"/>
                <w:szCs w:val="20"/>
                <w:color w:val="auto"/>
              </w:rPr>
            </w:pPr>
            <w:r>
              <w:rPr>
                <w:rFonts w:ascii="Arial" w:cs="Arial" w:eastAsia="Arial" w:hAnsi="Arial"/>
                <w:sz w:val="14"/>
                <w:szCs w:val="14"/>
                <w:color w:val="auto"/>
              </w:rPr>
              <w:t>Total liabilities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14,203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00" w:type="dxa"/>
            <w:vAlign w:val="bottom"/>
          </w:tcPr>
          <w:p>
            <w:pPr>
              <w:spacing w:after="0" w:line="155" w:lineRule="exact"/>
              <w:rPr>
                <w:sz w:val="20"/>
                <w:szCs w:val="20"/>
                <w:color w:val="auto"/>
              </w:rPr>
            </w:pPr>
            <w:r>
              <w:rPr>
                <w:rFonts w:ascii="Arial" w:cs="Arial" w:eastAsia="Arial" w:hAnsi="Arial"/>
                <w:sz w:val="14"/>
                <w:szCs w:val="14"/>
                <w:color w:val="auto"/>
              </w:rPr>
              <w:t>Minority interest in subsidiaries and variable interest entities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200" w:type="dxa"/>
            <w:vAlign w:val="bottom"/>
          </w:tcPr>
          <w:p>
            <w:pPr>
              <w:spacing w:after="0" w:line="137" w:lineRule="exact"/>
              <w:rPr>
                <w:sz w:val="20"/>
                <w:szCs w:val="20"/>
                <w:color w:val="auto"/>
              </w:rPr>
            </w:pPr>
            <w:r>
              <w:rPr>
                <w:rFonts w:ascii="Arial" w:cs="Arial" w:eastAsia="Arial" w:hAnsi="Arial"/>
                <w:sz w:val="14"/>
                <w:szCs w:val="14"/>
                <w:color w:val="auto"/>
              </w:rPr>
              <w:t>Commitments and contingencies</w:t>
            </w: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Common stock, $0.01 par value; 1,500,000,000 shares authorized; 630,282,461 shares issued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4,483</w:t>
            </w: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Retained earnings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Accumulated other comprehensive income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0" w:type="dxa"/>
            <w:vAlign w:val="bottom"/>
          </w:tcPr>
          <w:p>
            <w:pPr>
              <w:ind w:left="300"/>
              <w:spacing w:after="0" w:line="149" w:lineRule="exact"/>
              <w:rPr>
                <w:sz w:val="20"/>
                <w:szCs w:val="20"/>
                <w:color w:val="auto"/>
              </w:rPr>
            </w:pPr>
            <w:r>
              <w:rPr>
                <w:rFonts w:ascii="Arial" w:cs="Arial" w:eastAsia="Arial" w:hAnsi="Arial"/>
                <w:sz w:val="14"/>
                <w:szCs w:val="14"/>
                <w:color w:val="auto"/>
              </w:rPr>
              <w:t>Restricted stock unearned compensation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7"/>
        </w:trPr>
        <w:tc>
          <w:tcPr>
            <w:tcW w:w="7200" w:type="dxa"/>
            <w:vAlign w:val="bottom"/>
          </w:tcPr>
          <w:p>
            <w:pPr>
              <w:ind w:left="300"/>
              <w:spacing w:after="0"/>
              <w:rPr>
                <w:sz w:val="20"/>
                <w:szCs w:val="20"/>
                <w:color w:val="auto"/>
              </w:rPr>
            </w:pPr>
            <w:r>
              <w:rPr>
                <w:rFonts w:ascii="Arial" w:cs="Arial" w:eastAsia="Arial" w:hAnsi="Arial"/>
                <w:sz w:val="14"/>
                <w:szCs w:val="14"/>
                <w:color w:val="auto"/>
              </w:rPr>
              <w:t>Treasury stock at cost, 67,281,721 and 60,069,777 shares, respectively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-3446780</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-3258185</wp:posOffset>
            </wp:positionV>
            <wp:extent cx="724662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-3069590</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-2486660</wp:posOffset>
            </wp:positionV>
            <wp:extent cx="724662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-2280285</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-2049145</wp:posOffset>
            </wp:positionV>
            <wp:extent cx="724662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-1860550</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-1671955</wp:posOffset>
            </wp:positionV>
            <wp:extent cx="724662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246620"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24662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54"/>
        <w:spacing w:after="0"/>
        <w:rPr>
          <w:sz w:val="20"/>
          <w:szCs w:val="20"/>
          <w:color w:val="auto"/>
        </w:rPr>
      </w:pPr>
      <w:r>
        <w:rPr>
          <w:rFonts w:ascii="Arial" w:cs="Arial" w:eastAsia="Arial" w:hAnsi="Arial"/>
          <w:sz w:val="14"/>
          <w:szCs w:val="14"/>
          <w:color w:val="auto"/>
        </w:rPr>
        <w:t>December 31,</w:t>
      </w:r>
    </w:p>
    <w:p>
      <w:pPr>
        <w:jc w:val="center"/>
        <w:ind w:right="754"/>
        <w:spacing w:after="0"/>
        <w:rPr>
          <w:sz w:val="20"/>
          <w:szCs w:val="20"/>
          <w:color w:val="auto"/>
        </w:rPr>
      </w:pPr>
      <w:r>
        <w:rPr>
          <w:rFonts w:ascii="Arial" w:cs="Arial" w:eastAsia="Arial" w:hAnsi="Arial"/>
          <w:sz w:val="14"/>
          <w:szCs w:val="14"/>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31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79" w:lineRule="exact"/>
        <w:rPr>
          <w:sz w:val="20"/>
          <w:szCs w:val="20"/>
          <w:color w:val="auto"/>
        </w:rPr>
      </w:pPr>
    </w:p>
    <w:p>
      <w:pPr>
        <w:ind w:left="1086" w:hanging="1086"/>
        <w:spacing w:after="0"/>
        <w:tabs>
          <w:tab w:leader="none" w:pos="1086" w:val="left"/>
        </w:tabs>
        <w:numPr>
          <w:ilvl w:val="0"/>
          <w:numId w:val="3"/>
        </w:numPr>
        <w:rPr>
          <w:rFonts w:ascii="Arial" w:cs="Arial" w:eastAsia="Arial" w:hAnsi="Arial"/>
          <w:sz w:val="14"/>
          <w:szCs w:val="14"/>
          <w:color w:val="auto"/>
        </w:rPr>
      </w:pPr>
      <w:r>
        <w:rPr>
          <w:rFonts w:ascii="Arial" w:cs="Arial" w:eastAsia="Arial" w:hAnsi="Arial"/>
          <w:sz w:val="14"/>
          <w:szCs w:val="14"/>
          <w:color w:val="auto"/>
        </w:rPr>
        <w:t>424</w:t>
      </w:r>
    </w:p>
    <w:p>
      <w:pPr>
        <w:ind w:left="986"/>
        <w:spacing w:after="0" w:line="221" w:lineRule="auto"/>
        <w:rPr>
          <w:rFonts w:ascii="Arial" w:cs="Arial" w:eastAsia="Arial" w:hAnsi="Arial"/>
          <w:sz w:val="14"/>
          <w:szCs w:val="14"/>
          <w:color w:val="auto"/>
        </w:rPr>
      </w:pPr>
      <w:r>
        <w:rPr>
          <w:rFonts w:ascii="Arial" w:cs="Arial" w:eastAsia="Arial" w:hAnsi="Arial"/>
          <w:sz w:val="14"/>
          <w:szCs w:val="14"/>
          <w:color w:val="auto"/>
        </w:rPr>
        <w:t>1,717</w:t>
      </w:r>
    </w:p>
    <w:p>
      <w:pPr>
        <w:ind w:left="1086"/>
        <w:spacing w:after="0" w:line="221" w:lineRule="auto"/>
        <w:rPr>
          <w:rFonts w:ascii="Arial" w:cs="Arial" w:eastAsia="Arial" w:hAnsi="Arial"/>
          <w:sz w:val="14"/>
          <w:szCs w:val="14"/>
          <w:color w:val="auto"/>
        </w:rPr>
      </w:pPr>
      <w:r>
        <w:rPr>
          <w:rFonts w:ascii="Arial" w:cs="Arial" w:eastAsia="Arial" w:hAnsi="Arial"/>
          <w:sz w:val="14"/>
          <w:szCs w:val="14"/>
          <w:color w:val="auto"/>
        </w:rPr>
        <w:t>232</w:t>
      </w:r>
    </w:p>
    <w:p>
      <w:pPr>
        <w:ind w:left="1166"/>
        <w:spacing w:after="0" w:line="221" w:lineRule="auto"/>
        <w:rPr>
          <w:rFonts w:ascii="Arial" w:cs="Arial" w:eastAsia="Arial" w:hAnsi="Arial"/>
          <w:sz w:val="14"/>
          <w:szCs w:val="14"/>
          <w:color w:val="auto"/>
        </w:rPr>
      </w:pPr>
      <w:r>
        <w:rPr>
          <w:rFonts w:ascii="Arial" w:cs="Arial" w:eastAsia="Arial" w:hAnsi="Arial"/>
          <w:sz w:val="14"/>
          <w:szCs w:val="14"/>
          <w:color w:val="auto"/>
        </w:rPr>
        <w:t>90</w:t>
      </w:r>
    </w:p>
    <w:p>
      <w:pPr>
        <w:ind w:left="1166"/>
        <w:spacing w:after="0" w:line="221" w:lineRule="auto"/>
        <w:rPr>
          <w:rFonts w:ascii="Arial" w:cs="Arial" w:eastAsia="Arial" w:hAnsi="Arial"/>
          <w:sz w:val="14"/>
          <w:szCs w:val="14"/>
          <w:color w:val="auto"/>
        </w:rPr>
      </w:pPr>
      <w:r>
        <w:rPr>
          <w:rFonts w:ascii="Arial" w:cs="Arial" w:eastAsia="Arial" w:hAnsi="Arial"/>
          <w:sz w:val="14"/>
          <w:szCs w:val="14"/>
          <w:color w:val="auto"/>
        </w:rPr>
        <w:t>58</w:t>
      </w:r>
    </w:p>
    <w:p>
      <w:pPr>
        <w:ind w:left="1086"/>
        <w:spacing w:after="0"/>
        <w:rPr>
          <w:rFonts w:ascii="Arial" w:cs="Arial" w:eastAsia="Arial" w:hAnsi="Arial"/>
          <w:sz w:val="14"/>
          <w:szCs w:val="14"/>
          <w:color w:val="auto"/>
        </w:rPr>
      </w:pPr>
      <w:r>
        <w:rPr>
          <w:rFonts w:ascii="Arial" w:cs="Arial" w:eastAsia="Arial" w:hAnsi="Arial"/>
          <w:sz w:val="14"/>
          <w:szCs w:val="14"/>
          <w:color w:val="auto"/>
        </w:rPr>
        <w:t>298</w:t>
      </w:r>
    </w:p>
    <w:p>
      <w:pPr>
        <w:spacing w:after="0" w:line="9" w:lineRule="exact"/>
        <w:rPr>
          <w:rFonts w:ascii="Arial" w:cs="Arial" w:eastAsia="Arial" w:hAnsi="Arial"/>
          <w:sz w:val="14"/>
          <w:szCs w:val="14"/>
          <w:color w:val="auto"/>
        </w:rPr>
      </w:pPr>
    </w:p>
    <w:p>
      <w:pPr>
        <w:ind w:left="986"/>
        <w:spacing w:after="0" w:line="229" w:lineRule="auto"/>
        <w:rPr>
          <w:rFonts w:ascii="Arial" w:cs="Arial" w:eastAsia="Arial" w:hAnsi="Arial"/>
          <w:sz w:val="14"/>
          <w:szCs w:val="14"/>
          <w:color w:val="auto"/>
        </w:rPr>
      </w:pPr>
      <w:r>
        <w:rPr>
          <w:rFonts w:ascii="Arial" w:cs="Arial" w:eastAsia="Arial" w:hAnsi="Arial"/>
          <w:sz w:val="14"/>
          <w:szCs w:val="14"/>
          <w:color w:val="auto"/>
        </w:rPr>
        <w:t>2,819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8318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jc w:val="right"/>
        <w:ind w:right="760"/>
        <w:spacing w:after="0" w:line="221" w:lineRule="auto"/>
        <w:rPr>
          <w:sz w:val="20"/>
          <w:szCs w:val="20"/>
          <w:color w:val="auto"/>
        </w:rPr>
      </w:pPr>
      <w:r>
        <w:rPr>
          <w:rFonts w:ascii="Arial" w:cs="Arial" w:eastAsia="Arial" w:hAnsi="Arial"/>
          <w:sz w:val="14"/>
          <w:szCs w:val="14"/>
          <w:color w:val="auto"/>
        </w:rPr>
        <w:t>11,476</w:t>
      </w:r>
    </w:p>
    <w:p>
      <w:pPr>
        <w:jc w:val="right"/>
        <w:ind w:right="760"/>
        <w:spacing w:after="0" w:line="222" w:lineRule="auto"/>
        <w:rPr>
          <w:sz w:val="20"/>
          <w:szCs w:val="20"/>
          <w:color w:val="auto"/>
        </w:rPr>
      </w:pPr>
      <w:r>
        <w:rPr>
          <w:rFonts w:ascii="Arial" w:cs="Arial" w:eastAsia="Arial" w:hAnsi="Arial"/>
          <w:sz w:val="14"/>
          <w:szCs w:val="14"/>
          <w:color w:val="auto"/>
        </w:rPr>
        <w:t>5,301</w:t>
      </w:r>
    </w:p>
    <w:p>
      <w:pPr>
        <w:jc w:val="right"/>
        <w:ind w:right="760"/>
        <w:spacing w:after="0" w:line="221" w:lineRule="auto"/>
        <w:rPr>
          <w:sz w:val="20"/>
          <w:szCs w:val="20"/>
          <w:color w:val="auto"/>
        </w:rPr>
      </w:pPr>
      <w:r>
        <w:rPr>
          <w:rFonts w:ascii="Arial" w:cs="Arial" w:eastAsia="Arial" w:hAnsi="Arial"/>
          <w:sz w:val="14"/>
          <w:szCs w:val="14"/>
          <w:color w:val="auto"/>
        </w:rPr>
        <w:t>152</w:t>
      </w:r>
    </w:p>
    <w:p>
      <w:pPr>
        <w:jc w:val="right"/>
        <w:ind w:right="760"/>
        <w:spacing w:after="0"/>
        <w:rPr>
          <w:sz w:val="20"/>
          <w:szCs w:val="20"/>
          <w:color w:val="auto"/>
        </w:rPr>
      </w:pPr>
      <w:r>
        <w:rPr>
          <w:rFonts w:ascii="Arial" w:cs="Arial" w:eastAsia="Arial" w:hAnsi="Arial"/>
          <w:sz w:val="14"/>
          <w:szCs w:val="14"/>
          <w:color w:val="auto"/>
        </w:rPr>
        <w:t>1,157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318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906" w:hanging="906"/>
        <w:spacing w:after="0"/>
        <w:tabs>
          <w:tab w:leader="none" w:pos="906" w:val="left"/>
        </w:tabs>
        <w:numPr>
          <w:ilvl w:val="0"/>
          <w:numId w:val="4"/>
        </w:numPr>
        <w:rPr>
          <w:rFonts w:ascii="Arial" w:cs="Arial" w:eastAsia="Arial" w:hAnsi="Arial"/>
          <w:sz w:val="14"/>
          <w:szCs w:val="14"/>
          <w:color w:val="auto"/>
        </w:rPr>
      </w:pPr>
      <w:r>
        <w:rPr>
          <w:rFonts w:ascii="Arial" w:cs="Arial" w:eastAsia="Arial" w:hAnsi="Arial"/>
          <w:sz w:val="14"/>
          <w:szCs w:val="14"/>
          <w:color w:val="auto"/>
        </w:rPr>
        <w:t>20,905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318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25400</wp:posOffset>
            </wp:positionV>
            <wp:extent cx="8318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86" w:hanging="1086"/>
        <w:spacing w:after="0"/>
        <w:tabs>
          <w:tab w:leader="none" w:pos="1086" w:val="left"/>
        </w:tabs>
        <w:numPr>
          <w:ilvl w:val="0"/>
          <w:numId w:val="5"/>
        </w:numPr>
        <w:rPr>
          <w:rFonts w:ascii="Arial" w:cs="Arial" w:eastAsia="Arial" w:hAnsi="Arial"/>
          <w:sz w:val="14"/>
          <w:szCs w:val="14"/>
          <w:color w:val="auto"/>
        </w:rPr>
      </w:pPr>
      <w:r>
        <w:rPr>
          <w:rFonts w:ascii="Arial" w:cs="Arial" w:eastAsia="Arial" w:hAnsi="Arial"/>
          <w:sz w:val="14"/>
          <w:szCs w:val="14"/>
          <w:color w:val="auto"/>
        </w:rPr>
        <w:t>772</w:t>
      </w:r>
    </w:p>
    <w:p>
      <w:pPr>
        <w:ind w:left="986"/>
        <w:spacing w:after="0" w:line="221" w:lineRule="auto"/>
        <w:rPr>
          <w:rFonts w:ascii="Arial" w:cs="Arial" w:eastAsia="Arial" w:hAnsi="Arial"/>
          <w:sz w:val="14"/>
          <w:szCs w:val="14"/>
          <w:color w:val="auto"/>
        </w:rPr>
      </w:pPr>
      <w:r>
        <w:rPr>
          <w:rFonts w:ascii="Arial" w:cs="Arial" w:eastAsia="Arial" w:hAnsi="Arial"/>
          <w:sz w:val="14"/>
          <w:szCs w:val="14"/>
          <w:color w:val="auto"/>
        </w:rPr>
        <w:t>1,586</w:t>
      </w:r>
    </w:p>
    <w:p>
      <w:pPr>
        <w:ind w:left="1086"/>
        <w:spacing w:after="0" w:line="221" w:lineRule="auto"/>
        <w:rPr>
          <w:rFonts w:ascii="Arial" w:cs="Arial" w:eastAsia="Arial" w:hAnsi="Arial"/>
          <w:sz w:val="14"/>
          <w:szCs w:val="14"/>
          <w:color w:val="auto"/>
        </w:rPr>
      </w:pPr>
      <w:r>
        <w:rPr>
          <w:rFonts w:ascii="Arial" w:cs="Arial" w:eastAsia="Arial" w:hAnsi="Arial"/>
          <w:sz w:val="14"/>
          <w:szCs w:val="14"/>
          <w:color w:val="auto"/>
        </w:rPr>
        <w:t>463</w:t>
      </w:r>
    </w:p>
    <w:p>
      <w:pPr>
        <w:ind w:left="1086"/>
        <w:spacing w:after="0"/>
        <w:rPr>
          <w:rFonts w:ascii="Arial" w:cs="Arial" w:eastAsia="Arial" w:hAnsi="Arial"/>
          <w:sz w:val="14"/>
          <w:szCs w:val="14"/>
          <w:color w:val="auto"/>
        </w:rPr>
      </w:pPr>
      <w:r>
        <w:rPr>
          <w:rFonts w:ascii="Arial" w:cs="Arial" w:eastAsia="Arial" w:hAnsi="Arial"/>
          <w:sz w:val="14"/>
          <w:szCs w:val="14"/>
          <w:color w:val="auto"/>
        </w:rPr>
        <w:t>384</w:t>
      </w:r>
    </w:p>
    <w:p>
      <w:pPr>
        <w:spacing w:after="0" w:line="9" w:lineRule="exact"/>
        <w:rPr>
          <w:rFonts w:ascii="Arial" w:cs="Arial" w:eastAsia="Arial" w:hAnsi="Arial"/>
          <w:sz w:val="14"/>
          <w:szCs w:val="14"/>
          <w:color w:val="auto"/>
        </w:rPr>
      </w:pPr>
    </w:p>
    <w:p>
      <w:pPr>
        <w:ind w:left="986"/>
        <w:spacing w:after="0" w:line="229" w:lineRule="auto"/>
        <w:rPr>
          <w:rFonts w:ascii="Arial" w:cs="Arial" w:eastAsia="Arial" w:hAnsi="Arial"/>
          <w:sz w:val="14"/>
          <w:szCs w:val="14"/>
          <w:color w:val="auto"/>
        </w:rPr>
      </w:pPr>
      <w:r>
        <w:rPr>
          <w:rFonts w:ascii="Arial" w:cs="Arial" w:eastAsia="Arial" w:hAnsi="Arial"/>
          <w:sz w:val="14"/>
          <w:szCs w:val="14"/>
          <w:color w:val="auto"/>
        </w:rPr>
        <w:t>3,205</w:t>
      </w:r>
    </w:p>
    <w:p>
      <w:pPr>
        <w:ind w:left="986"/>
        <w:spacing w:after="0" w:line="221" w:lineRule="auto"/>
        <w:rPr>
          <w:rFonts w:ascii="Arial" w:cs="Arial" w:eastAsia="Arial" w:hAnsi="Arial"/>
          <w:sz w:val="14"/>
          <w:szCs w:val="14"/>
          <w:color w:val="auto"/>
        </w:rPr>
      </w:pPr>
      <w:r>
        <w:rPr>
          <w:rFonts w:ascii="Arial" w:cs="Arial" w:eastAsia="Arial" w:hAnsi="Arial"/>
          <w:sz w:val="14"/>
          <w:szCs w:val="14"/>
          <w:color w:val="auto"/>
        </w:rPr>
        <w:t>8,182</w:t>
      </w:r>
    </w:p>
    <w:p>
      <w:pPr>
        <w:ind w:left="986"/>
        <w:spacing w:after="0" w:line="221" w:lineRule="auto"/>
        <w:rPr>
          <w:rFonts w:ascii="Arial" w:cs="Arial" w:eastAsia="Arial" w:hAnsi="Arial"/>
          <w:sz w:val="14"/>
          <w:szCs w:val="14"/>
          <w:color w:val="auto"/>
        </w:rPr>
      </w:pPr>
      <w:r>
        <w:rPr>
          <w:rFonts w:ascii="Arial" w:cs="Arial" w:eastAsia="Arial" w:hAnsi="Arial"/>
          <w:sz w:val="14"/>
          <w:szCs w:val="14"/>
          <w:color w:val="auto"/>
        </w:rPr>
        <w:t>1,380</w:t>
      </w:r>
    </w:p>
    <w:p>
      <w:pPr>
        <w:ind w:left="986"/>
        <w:spacing w:after="0" w:line="221" w:lineRule="auto"/>
        <w:rPr>
          <w:rFonts w:ascii="Arial" w:cs="Arial" w:eastAsia="Arial" w:hAnsi="Arial"/>
          <w:sz w:val="14"/>
          <w:szCs w:val="14"/>
          <w:color w:val="auto"/>
        </w:rPr>
      </w:pPr>
      <w:r>
        <w:rPr>
          <w:rFonts w:ascii="Arial" w:cs="Arial" w:eastAsia="Arial" w:hAnsi="Arial"/>
          <w:sz w:val="14"/>
          <w:szCs w:val="14"/>
          <w:color w:val="auto"/>
        </w:rPr>
        <w:t>1,141</w:t>
      </w:r>
    </w:p>
    <w:p>
      <w:pPr>
        <w:ind w:left="1086"/>
        <w:spacing w:after="0"/>
        <w:rPr>
          <w:rFonts w:ascii="Arial" w:cs="Arial" w:eastAsia="Arial" w:hAnsi="Arial"/>
          <w:sz w:val="14"/>
          <w:szCs w:val="14"/>
          <w:color w:val="auto"/>
        </w:rPr>
      </w:pPr>
      <w:r>
        <w:rPr>
          <w:rFonts w:ascii="Arial" w:cs="Arial" w:eastAsia="Arial" w:hAnsi="Arial"/>
          <w:sz w:val="14"/>
          <w:szCs w:val="14"/>
          <w:color w:val="auto"/>
        </w:rPr>
        <w:t>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-492125</wp:posOffset>
            </wp:positionV>
            <wp:extent cx="8318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8318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jc w:val="right"/>
        <w:ind w:right="760"/>
        <w:spacing w:after="0"/>
        <w:rPr>
          <w:sz w:val="20"/>
          <w:szCs w:val="20"/>
          <w:color w:val="auto"/>
        </w:rPr>
      </w:pPr>
      <w:r>
        <w:rPr>
          <w:rFonts w:ascii="Arial" w:cs="Arial" w:eastAsia="Arial" w:hAnsi="Arial"/>
          <w:sz w:val="14"/>
          <w:szCs w:val="14"/>
          <w:color w:val="auto"/>
        </w:rPr>
        <w:t>14,652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318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jc w:val="right"/>
        <w:ind w:right="760"/>
        <w:spacing w:after="0"/>
        <w:rPr>
          <w:sz w:val="20"/>
          <w:szCs w:val="20"/>
          <w:color w:val="auto"/>
        </w:rPr>
      </w:pPr>
      <w:r>
        <w:rPr>
          <w:rFonts w:ascii="Arial" w:cs="Arial" w:eastAsia="Arial" w:hAnsi="Arial"/>
          <w:sz w:val="14"/>
          <w:szCs w:val="14"/>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8318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85" w:lineRule="exact"/>
        <w:rPr>
          <w:sz w:val="20"/>
          <w:szCs w:val="20"/>
          <w:color w:val="auto"/>
        </w:rPr>
      </w:pPr>
    </w:p>
    <w:p>
      <w:pPr>
        <w:jc w:val="right"/>
        <w:ind w:right="760"/>
        <w:spacing w:after="0"/>
        <w:rPr>
          <w:sz w:val="20"/>
          <w:szCs w:val="20"/>
          <w:color w:val="auto"/>
        </w:rPr>
      </w:pPr>
      <w:r>
        <w:rPr>
          <w:rFonts w:ascii="Arial" w:cs="Arial" w:eastAsia="Arial" w:hAnsi="Arial"/>
          <w:sz w:val="14"/>
          <w:szCs w:val="14"/>
          <w:color w:val="auto"/>
        </w:rPr>
        <w:t>6</w:t>
      </w:r>
    </w:p>
    <w:p>
      <w:pPr>
        <w:jc w:val="right"/>
        <w:ind w:right="760"/>
        <w:spacing w:after="0" w:line="221" w:lineRule="auto"/>
        <w:rPr>
          <w:sz w:val="20"/>
          <w:szCs w:val="20"/>
          <w:color w:val="auto"/>
        </w:rPr>
      </w:pPr>
      <w:r>
        <w:rPr>
          <w:rFonts w:ascii="Arial" w:cs="Arial" w:eastAsia="Arial" w:hAnsi="Arial"/>
          <w:sz w:val="14"/>
          <w:szCs w:val="14"/>
          <w:color w:val="auto"/>
        </w:rPr>
        <w:t>4,481</w:t>
      </w:r>
    </w:p>
    <w:p>
      <w:pPr>
        <w:jc w:val="right"/>
        <w:ind w:right="760"/>
        <w:spacing w:after="0" w:line="221" w:lineRule="auto"/>
        <w:rPr>
          <w:sz w:val="20"/>
          <w:szCs w:val="20"/>
          <w:color w:val="auto"/>
        </w:rPr>
      </w:pPr>
      <w:r>
        <w:rPr>
          <w:rFonts w:ascii="Arial" w:cs="Arial" w:eastAsia="Arial" w:hAnsi="Arial"/>
          <w:sz w:val="14"/>
          <w:szCs w:val="14"/>
          <w:color w:val="auto"/>
        </w:rPr>
        <w:t>3,004</w:t>
      </w:r>
    </w:p>
    <w:p>
      <w:pPr>
        <w:jc w:val="right"/>
        <w:ind w:right="760"/>
        <w:spacing w:after="0" w:line="222" w:lineRule="auto"/>
        <w:rPr>
          <w:sz w:val="20"/>
          <w:szCs w:val="20"/>
          <w:color w:val="auto"/>
        </w:rPr>
      </w:pPr>
      <w:r>
        <w:rPr>
          <w:rFonts w:ascii="Arial" w:cs="Arial" w:eastAsia="Arial" w:hAnsi="Arial"/>
          <w:sz w:val="14"/>
          <w:szCs w:val="14"/>
          <w:color w:val="auto"/>
        </w:rPr>
        <w:t>69</w:t>
      </w:r>
    </w:p>
    <w:p>
      <w:pPr>
        <w:jc w:val="right"/>
        <w:ind w:right="700"/>
        <w:spacing w:after="0" w:line="221" w:lineRule="auto"/>
        <w:rPr>
          <w:sz w:val="20"/>
          <w:szCs w:val="20"/>
          <w:color w:val="auto"/>
        </w:rPr>
      </w:pPr>
      <w:r>
        <w:rPr>
          <w:rFonts w:ascii="Arial" w:cs="Arial" w:eastAsia="Arial" w:hAnsi="Arial"/>
          <w:sz w:val="14"/>
          <w:szCs w:val="14"/>
          <w:color w:val="auto"/>
        </w:rPr>
        <w:t>(4)</w:t>
      </w:r>
    </w:p>
    <w:p>
      <w:pPr>
        <w:jc w:val="right"/>
        <w:ind w:right="700"/>
        <w:spacing w:after="0" w:line="232" w:lineRule="auto"/>
        <w:rPr>
          <w:sz w:val="20"/>
          <w:szCs w:val="20"/>
          <w:color w:val="auto"/>
        </w:rPr>
      </w:pPr>
      <w:r>
        <w:rPr>
          <w:rFonts w:ascii="Arial" w:cs="Arial" w:eastAsia="Arial" w:hAnsi="Arial"/>
          <w:sz w:val="14"/>
          <w:szCs w:val="14"/>
          <w:color w:val="auto"/>
        </w:rPr>
        <w:t>(1,585)</w:t>
      </w:r>
    </w:p>
    <w:p>
      <w:pPr>
        <w:spacing w:after="0" w:line="20" w:lineRule="exact"/>
        <w:rPr>
          <w:sz w:val="20"/>
          <w:szCs w:val="20"/>
          <w:color w:val="auto"/>
        </w:rPr>
      </w:pPr>
    </w:p>
    <w:p>
      <w:pPr>
        <w:sectPr>
          <w:pgSz w:w="11900" w:h="16838" w:orient="portrait"/>
          <w:cols w:equalWidth="0" w:num="2">
            <w:col w:w="8634" w:space="720"/>
            <w:col w:w="2066"/>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36"/>
        </w:trPr>
        <w:tc>
          <w:tcPr>
            <w:tcW w:w="5240" w:type="dxa"/>
            <w:vAlign w:val="bottom"/>
          </w:tcPr>
          <w:p>
            <w:pPr>
              <w:ind w:left="960"/>
              <w:spacing w:after="0" w:line="136" w:lineRule="exact"/>
              <w:rPr>
                <w:sz w:val="20"/>
                <w:szCs w:val="20"/>
                <w:color w:val="auto"/>
              </w:rPr>
            </w:pPr>
            <w:r>
              <w:rPr>
                <w:rFonts w:ascii="Arial" w:cs="Arial" w:eastAsia="Arial" w:hAnsi="Arial"/>
                <w:sz w:val="14"/>
                <w:szCs w:val="14"/>
                <w:color w:val="auto"/>
              </w:rPr>
              <w:t>Total stockholders’ equity</w:t>
            </w:r>
          </w:p>
        </w:tc>
        <w:tc>
          <w:tcPr>
            <w:tcW w:w="1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6,197</w:t>
            </w: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gridSpan w:val="2"/>
          </w:tcPr>
          <w:p>
            <w:pPr>
              <w:jc w:val="right"/>
              <w:ind w:right="760"/>
              <w:spacing w:after="0" w:line="136" w:lineRule="exact"/>
              <w:rPr>
                <w:sz w:val="20"/>
                <w:szCs w:val="20"/>
                <w:color w:val="auto"/>
              </w:rPr>
            </w:pPr>
            <w:r>
              <w:rPr>
                <w:rFonts w:ascii="Arial" w:cs="Arial" w:eastAsia="Arial" w:hAnsi="Arial"/>
                <w:sz w:val="14"/>
                <w:szCs w:val="14"/>
                <w:color w:val="auto"/>
              </w:rPr>
              <w:t>5,971</w:t>
            </w:r>
          </w:p>
        </w:tc>
      </w:tr>
      <w:tr>
        <w:trPr>
          <w:trHeight w:val="27"/>
        </w:trPr>
        <w:tc>
          <w:tcPr>
            <w:tcW w:w="5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r>
      <w:tr>
        <w:trPr>
          <w:trHeight w:val="149"/>
        </w:trPr>
        <w:tc>
          <w:tcPr>
            <w:tcW w:w="524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24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20,694</w:t>
            </w:r>
          </w:p>
        </w:tc>
        <w:tc>
          <w:tcPr>
            <w:tcW w:w="14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20,905</w:t>
            </w:r>
          </w:p>
        </w:tc>
      </w:tr>
      <w:tr>
        <w:trPr>
          <w:trHeight w:val="21"/>
        </w:trPr>
        <w:tc>
          <w:tcPr>
            <w:tcW w:w="5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color w:val="auto"/>
              </w:rPr>
              <w:t>Six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w w:val="89"/>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2005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89"/>
              </w:rPr>
              <w:t>2004</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2005</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96"/>
              </w:rPr>
              <w:t>2004</w:t>
            </w:r>
          </w:p>
        </w:tc>
        <w:tc>
          <w:tcPr>
            <w:tcW w:w="3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3,289</w:t>
            </w: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3,138</w:t>
            </w:r>
          </w:p>
        </w:tc>
        <w:tc>
          <w:tcPr>
            <w:tcW w:w="4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6,327</w:t>
            </w:r>
          </w:p>
        </w:tc>
        <w:tc>
          <w:tcPr>
            <w:tcW w:w="8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6,034</w:t>
            </w:r>
          </w:p>
        </w:tc>
      </w:tr>
      <w:tr>
        <w:trPr>
          <w:trHeight w:val="156"/>
        </w:trPr>
        <w:tc>
          <w:tcPr>
            <w:tcW w:w="5820" w:type="dxa"/>
            <w:vAlign w:val="bottom"/>
            <w:gridSpan w:val="2"/>
          </w:tcPr>
          <w:p>
            <w:pPr>
              <w:spacing w:after="0" w:line="155" w:lineRule="exact"/>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Operating (exclusive of depreciation and amortization shown below)</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2,173</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2,040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4,217</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3,960</w:t>
            </w:r>
          </w:p>
        </w:tc>
      </w:tr>
      <w:tr>
        <w:trPr>
          <w:trHeight w:val="149"/>
        </w:trPr>
        <w:tc>
          <w:tcPr>
            <w:tcW w:w="20" w:type="dxa"/>
            <w:vAlign w:val="bottom"/>
          </w:tcPr>
          <w:p>
            <w:pPr>
              <w:spacing w:after="0"/>
              <w:rPr>
                <w:sz w:val="12"/>
                <w:szCs w:val="12"/>
                <w:color w:val="auto"/>
              </w:rPr>
            </w:pPr>
          </w:p>
        </w:tc>
        <w:tc>
          <w:tcPr>
            <w:tcW w:w="5800" w:type="dxa"/>
            <w:vAlign w:val="bottom"/>
          </w:tcPr>
          <w:p>
            <w:pPr>
              <w:ind w:left="280"/>
              <w:spacing w:after="0" w:line="149" w:lineRule="exact"/>
              <w:rPr>
                <w:sz w:val="20"/>
                <w:szCs w:val="20"/>
                <w:color w:val="auto"/>
              </w:rPr>
            </w:pPr>
            <w:r>
              <w:rPr>
                <w:rFonts w:ascii="Arial" w:cs="Arial" w:eastAsia="Arial" w:hAnsi="Arial"/>
                <w:sz w:val="14"/>
                <w:szCs w:val="14"/>
                <w:color w:val="auto"/>
              </w:rPr>
              <w:t>Selling, general and administrative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643</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633</w:t>
            </w: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346</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673</w:t>
            </w:r>
          </w:p>
        </w:tc>
      </w:tr>
      <w:tr>
        <w:trPr>
          <w:trHeight w:val="149"/>
        </w:trPr>
        <w:tc>
          <w:tcPr>
            <w:tcW w:w="20" w:type="dxa"/>
            <w:vAlign w:val="bottom"/>
          </w:tcPr>
          <w:p>
            <w:pPr>
              <w:spacing w:after="0"/>
              <w:rPr>
                <w:sz w:val="12"/>
                <w:szCs w:val="12"/>
                <w:color w:val="auto"/>
              </w:rPr>
            </w:pPr>
          </w:p>
        </w:tc>
        <w:tc>
          <w:tcPr>
            <w:tcW w:w="5800" w:type="dxa"/>
            <w:vAlign w:val="bottom"/>
          </w:tcPr>
          <w:p>
            <w:pPr>
              <w:ind w:left="280"/>
              <w:spacing w:after="0" w:line="149" w:lineRule="exact"/>
              <w:rPr>
                <w:sz w:val="20"/>
                <w:szCs w:val="20"/>
                <w:color w:val="auto"/>
              </w:rPr>
            </w:pPr>
            <w:r>
              <w:rPr>
                <w:rFonts w:ascii="Arial" w:cs="Arial" w:eastAsia="Arial" w:hAnsi="Arial"/>
                <w:sz w:val="14"/>
                <w:szCs w:val="14"/>
                <w:color w:val="auto"/>
              </w:rPr>
              <w:t>Asset impairments and unusual items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2,826</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2,696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5,498</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5,248</w:t>
            </w:r>
          </w:p>
        </w:tc>
      </w:tr>
      <w:tr>
        <w:trPr>
          <w:trHeight w:val="163"/>
        </w:trPr>
        <w:tc>
          <w:tcPr>
            <w:tcW w:w="5820" w:type="dxa"/>
            <w:vAlign w:val="bottom"/>
            <w:gridSpan w:val="2"/>
          </w:tcPr>
          <w:p>
            <w:pPr>
              <w:spacing w:after="0" w:line="155" w:lineRule="exact"/>
              <w:rPr>
                <w:sz w:val="20"/>
                <w:szCs w:val="20"/>
                <w:color w:val="auto"/>
              </w:rPr>
            </w:pPr>
            <w:r>
              <w:rPr>
                <w:rFonts w:ascii="Arial" w:cs="Arial" w:eastAsia="Arial" w:hAnsi="Arial"/>
                <w:sz w:val="14"/>
                <w:szCs w:val="14"/>
                <w:color w:val="auto"/>
              </w:rPr>
              <w:t>Income from operations</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786</w:t>
            </w:r>
          </w:p>
        </w:tc>
        <w:tc>
          <w:tcPr>
            <w:tcW w:w="3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(244)</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(232)</w:t>
            </w: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w:t>
            </w:r>
          </w:p>
        </w:tc>
      </w:tr>
      <w:tr>
        <w:trPr>
          <w:trHeight w:val="149"/>
        </w:trPr>
        <w:tc>
          <w:tcPr>
            <w:tcW w:w="20" w:type="dxa"/>
            <w:vAlign w:val="bottom"/>
          </w:tcPr>
          <w:p>
            <w:pPr>
              <w:spacing w:after="0"/>
              <w:rPr>
                <w:sz w:val="12"/>
                <w:szCs w:val="12"/>
                <w:color w:val="auto"/>
              </w:rPr>
            </w:pPr>
          </w:p>
        </w:tc>
        <w:tc>
          <w:tcPr>
            <w:tcW w:w="5800" w:type="dxa"/>
            <w:vAlign w:val="bottom"/>
          </w:tcPr>
          <w:p>
            <w:pPr>
              <w:ind w:left="280"/>
              <w:spacing w:after="0" w:line="149" w:lineRule="exact"/>
              <w:rPr>
                <w:sz w:val="20"/>
                <w:szCs w:val="20"/>
                <w:color w:val="auto"/>
              </w:rPr>
            </w:pPr>
            <w:r>
              <w:rPr>
                <w:rFonts w:ascii="Arial" w:cs="Arial" w:eastAsia="Arial" w:hAnsi="Arial"/>
                <w:sz w:val="14"/>
                <w:szCs w:val="14"/>
                <w:color w:val="auto"/>
              </w:rPr>
              <w:t>Equity in net losses of unconsolidated entities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w:t>
            </w: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w:t>
            </w:r>
          </w:p>
        </w:tc>
      </w:tr>
      <w:tr>
        <w:trPr>
          <w:trHeight w:val="149"/>
        </w:trPr>
        <w:tc>
          <w:tcPr>
            <w:tcW w:w="20" w:type="dxa"/>
            <w:vAlign w:val="bottom"/>
          </w:tcPr>
          <w:p>
            <w:pPr>
              <w:spacing w:after="0"/>
              <w:rPr>
                <w:sz w:val="12"/>
                <w:szCs w:val="12"/>
                <w:color w:val="auto"/>
              </w:rPr>
            </w:pPr>
          </w:p>
        </w:tc>
        <w:tc>
          <w:tcPr>
            <w:tcW w:w="5800" w:type="dxa"/>
            <w:vAlign w:val="bottom"/>
          </w:tcPr>
          <w:p>
            <w:pPr>
              <w:ind w:left="280"/>
              <w:spacing w:after="0" w:line="149" w:lineRule="exact"/>
              <w:rPr>
                <w:sz w:val="20"/>
                <w:szCs w:val="20"/>
                <w:color w:val="auto"/>
              </w:rPr>
            </w:pPr>
            <w:r>
              <w:rPr>
                <w:rFonts w:ascii="Arial" w:cs="Arial" w:eastAsia="Arial" w:hAnsi="Arial"/>
                <w:sz w:val="14"/>
                <w:szCs w:val="14"/>
                <w:color w:val="auto"/>
              </w:rPr>
              <w:t>Other, net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(158)</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(283)</w:t>
            </w:r>
          </w:p>
        </w:tc>
      </w:tr>
      <w:tr>
        <w:trPr>
          <w:trHeight w:val="156"/>
        </w:trPr>
        <w:tc>
          <w:tcPr>
            <w:tcW w:w="582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income taxes and cumulative effect of change in accounting principle</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297</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525</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503</w:t>
            </w:r>
          </w:p>
        </w:tc>
        <w:tc>
          <w:tcPr>
            <w:tcW w:w="3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(152)</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143</w:t>
            </w:r>
          </w:p>
        </w:tc>
      </w:tr>
      <w:tr>
        <w:trPr>
          <w:trHeight w:val="156"/>
        </w:trPr>
        <w:tc>
          <w:tcPr>
            <w:tcW w:w="582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cumulative effect of change in accounting principle</w:t>
            </w: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216</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677</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360</w:t>
            </w:r>
          </w:p>
        </w:tc>
        <w:tc>
          <w:tcPr>
            <w:tcW w:w="32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5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Cumulative effect of change in accounting principle, net of income tax expense of $5 for the six</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months ended June 30, 2004</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w:t>
            </w:r>
          </w:p>
        </w:tc>
      </w:tr>
      <w:tr>
        <w:trPr>
          <w:trHeight w:val="156"/>
        </w:trPr>
        <w:tc>
          <w:tcPr>
            <w:tcW w:w="582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216</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w:t>
            </w:r>
          </w:p>
        </w:tc>
        <w:tc>
          <w:tcPr>
            <w:tcW w:w="32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common share:</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28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4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0.93</w:t>
            </w:r>
          </w:p>
        </w:tc>
        <w:tc>
          <w:tcPr>
            <w:tcW w:w="8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0.37</w:t>
            </w:r>
          </w:p>
        </w:tc>
        <w:tc>
          <w:tcPr>
            <w:tcW w:w="4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8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0.62</w:t>
            </w: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0.01</w:t>
            </w:r>
          </w:p>
        </w:tc>
      </w:tr>
      <w:tr>
        <w:trPr>
          <w:trHeight w:val="156"/>
        </w:trPr>
        <w:tc>
          <w:tcPr>
            <w:tcW w:w="20" w:type="dxa"/>
            <w:vAlign w:val="bottom"/>
          </w:tcPr>
          <w:p>
            <w:pPr>
              <w:spacing w:after="0"/>
              <w:rPr>
                <w:sz w:val="13"/>
                <w:szCs w:val="13"/>
                <w:color w:val="auto"/>
              </w:rPr>
            </w:pPr>
          </w:p>
        </w:tc>
        <w:tc>
          <w:tcPr>
            <w:tcW w:w="5800" w:type="dxa"/>
            <w:vAlign w:val="bottom"/>
          </w:tcPr>
          <w:p>
            <w:pPr>
              <w:ind w:left="280"/>
              <w:spacing w:after="0" w:line="155" w:lineRule="exact"/>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0.37</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0.63</w:t>
            </w:r>
          </w:p>
        </w:tc>
        <w:tc>
          <w:tcPr>
            <w:tcW w:w="32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common share:</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28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4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0.92</w:t>
            </w:r>
          </w:p>
        </w:tc>
        <w:tc>
          <w:tcPr>
            <w:tcW w:w="8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0.37</w:t>
            </w:r>
          </w:p>
        </w:tc>
        <w:tc>
          <w:tcPr>
            <w:tcW w:w="4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w:t>
            </w:r>
          </w:p>
        </w:tc>
        <w:tc>
          <w:tcPr>
            <w:tcW w:w="8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0.62</w:t>
            </w: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0.01</w:t>
            </w:r>
          </w:p>
        </w:tc>
      </w:tr>
      <w:tr>
        <w:trPr>
          <w:trHeight w:val="156"/>
        </w:trPr>
        <w:tc>
          <w:tcPr>
            <w:tcW w:w="20" w:type="dxa"/>
            <w:vAlign w:val="bottom"/>
          </w:tcPr>
          <w:p>
            <w:pPr>
              <w:spacing w:after="0"/>
              <w:rPr>
                <w:sz w:val="13"/>
                <w:szCs w:val="13"/>
                <w:color w:val="auto"/>
              </w:rPr>
            </w:pPr>
          </w:p>
        </w:tc>
        <w:tc>
          <w:tcPr>
            <w:tcW w:w="5800" w:type="dxa"/>
            <w:vAlign w:val="bottom"/>
          </w:tcPr>
          <w:p>
            <w:pPr>
              <w:ind w:left="280"/>
              <w:spacing w:after="0" w:line="155" w:lineRule="exact"/>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0.92</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0.37</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0.63</w:t>
            </w:r>
          </w:p>
        </w:tc>
        <w:tc>
          <w:tcPr>
            <w:tcW w:w="32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per common share</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0.20</w:t>
            </w: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0.19</w:t>
            </w:r>
          </w:p>
        </w:tc>
        <w:tc>
          <w:tcPr>
            <w:tcW w:w="4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0.40</w:t>
            </w:r>
          </w:p>
        </w:tc>
        <w:tc>
          <w:tcPr>
            <w:tcW w:w="8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0.38</w:t>
            </w: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June 30,</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2005</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2"/>
          </w:tcPr>
          <w:p>
            <w:pPr>
              <w:jc w:val="right"/>
              <w:ind w:right="518"/>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677</w:t>
            </w:r>
          </w:p>
        </w:tc>
        <w:tc>
          <w:tcPr>
            <w:tcW w:w="88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64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Provision for bad debts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64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667</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Deferred income tax provision</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64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Equity in net losses of unconsolidated entities, net of distributions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640"/>
              <w:spacing w:after="0" w:line="149" w:lineRule="exact"/>
              <w:rPr>
                <w:sz w:val="20"/>
                <w:szCs w:val="20"/>
                <w:color w:val="auto"/>
              </w:rPr>
            </w:pPr>
            <w:r>
              <w:rPr>
                <w:rFonts w:ascii="Arial" w:cs="Arial" w:eastAsia="Arial" w:hAnsi="Arial"/>
                <w:sz w:val="14"/>
                <w:szCs w:val="14"/>
                <w:color w:val="auto"/>
              </w:rPr>
              <w:t>Net gain on disposal of assets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right"/>
              <w:ind w:right="788"/>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Effect of asset impairments and unusual items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64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Receivables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82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9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right"/>
              <w:ind w:right="788"/>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960"/>
              <w:spacing w:after="0" w:line="149" w:lineRule="exact"/>
              <w:rPr>
                <w:sz w:val="20"/>
                <w:szCs w:val="20"/>
                <w:color w:val="auto"/>
              </w:rPr>
            </w:pPr>
            <w:r>
              <w:rPr>
                <w:rFonts w:ascii="Arial" w:cs="Arial" w:eastAsia="Arial" w:hAnsi="Arial"/>
                <w:sz w:val="14"/>
                <w:szCs w:val="14"/>
                <w:color w:val="auto"/>
              </w:rPr>
              <w:t>Accounts payable and accrued liabilities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right"/>
              <w:ind w:right="788"/>
              <w:spacing w:after="0" w:line="149" w:lineRule="exact"/>
              <w:rPr>
                <w:sz w:val="20"/>
                <w:szCs w:val="20"/>
                <w:color w:val="auto"/>
              </w:rPr>
            </w:pPr>
            <w:r>
              <w:rPr>
                <w:rFonts w:ascii="Arial" w:cs="Arial" w:eastAsia="Arial" w:hAnsi="Arial"/>
                <w:sz w:val="14"/>
                <w:szCs w:val="14"/>
                <w:color w:val="auto"/>
              </w:rPr>
              <w:t>(229)</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rPr>
              <w:t>Deferred revenues and other liabilities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3"/>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1,103</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1,019</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right"/>
              <w:ind w:right="788"/>
              <w:spacing w:after="0" w:line="149" w:lineRule="exact"/>
              <w:rPr>
                <w:sz w:val="20"/>
                <w:szCs w:val="20"/>
                <w:color w:val="auto"/>
              </w:rPr>
            </w:pPr>
            <w:r>
              <w:rPr>
                <w:rFonts w:ascii="Arial" w:cs="Arial" w:eastAsia="Arial" w:hAnsi="Arial"/>
                <w:sz w:val="14"/>
                <w:szCs w:val="14"/>
                <w:color w:val="auto"/>
              </w:rPr>
              <w:t>(91)</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Capital expenditures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(493)</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124</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Purchases of short-term investments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(225)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202</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206</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auto"/>
              </w:rPr>
              <w:t>Other, net</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right"/>
              <w:ind w:right="788"/>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(293)</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New borrowings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auto"/>
              </w:rPr>
              <w:t>Debt repayments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right"/>
              <w:ind w:right="788"/>
              <w:spacing w:after="0" w:line="149" w:lineRule="exact"/>
              <w:rPr>
                <w:sz w:val="20"/>
                <w:szCs w:val="20"/>
                <w:color w:val="auto"/>
              </w:rPr>
            </w:pPr>
            <w:r>
              <w:rPr>
                <w:rFonts w:ascii="Arial" w:cs="Arial" w:eastAsia="Arial" w:hAnsi="Arial"/>
                <w:sz w:val="14"/>
                <w:szCs w:val="14"/>
                <w:color w:val="auto"/>
              </w:rPr>
              <w:t>(234)</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Common stock repurchases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(278)</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auto"/>
              </w:rPr>
              <w:t>Cash dividends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right"/>
              <w:ind w:right="788"/>
              <w:spacing w:after="0" w:line="149" w:lineRule="exact"/>
              <w:rPr>
                <w:sz w:val="20"/>
                <w:szCs w:val="20"/>
                <w:color w:val="auto"/>
              </w:rPr>
            </w:pPr>
            <w:r>
              <w:rPr>
                <w:rFonts w:ascii="Arial" w:cs="Arial" w:eastAsia="Arial" w:hAnsi="Arial"/>
                <w:sz w:val="14"/>
                <w:szCs w:val="14"/>
                <w:color w:val="auto"/>
              </w:rPr>
              <w:t>(228)</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auto"/>
              </w:rPr>
              <w:t>Minority interest distributions paid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tcPr>
          <w:p>
            <w:pPr>
              <w:jc w:val="right"/>
              <w:ind w:right="788"/>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net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3"/>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2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(754)</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Increase in cash and cash equivalents</w:t>
            </w:r>
          </w:p>
        </w:tc>
        <w:tc>
          <w:tcPr>
            <w:tcW w:w="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174</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424</w:t>
            </w: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w:t>
            </w:r>
          </w:p>
        </w:tc>
        <w:tc>
          <w:tcPr>
            <w:tcW w:w="2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3"/>
          </w:tcPr>
          <w:p>
            <w:pPr>
              <w:jc w:val="center"/>
              <w:ind w:right="340"/>
              <w:spacing w:after="0"/>
              <w:rPr>
                <w:sz w:val="20"/>
                <w:szCs w:val="20"/>
                <w:color w:val="auto"/>
              </w:rPr>
            </w:pPr>
            <w:r>
              <w:rPr>
                <w:rFonts w:ascii="Arial" w:cs="Arial" w:eastAsia="Arial" w:hAnsi="Arial"/>
                <w:sz w:val="13"/>
                <w:szCs w:val="13"/>
                <w:color w:val="auto"/>
                <w:w w:val="90"/>
              </w:rPr>
              <w:t>Accumulated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3"/>
                <w:szCs w:val="13"/>
                <w:color w:val="auto"/>
                <w:w w:val="88"/>
              </w:rPr>
              <w:t>Restricted</w:t>
            </w: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gridSpan w:val="4"/>
          </w:tcPr>
          <w:p>
            <w:pPr>
              <w:jc w:val="right"/>
              <w:ind w:right="57"/>
              <w:spacing w:after="0" w:line="135" w:lineRule="exact"/>
              <w:rPr>
                <w:sz w:val="20"/>
                <w:szCs w:val="20"/>
                <w:color w:val="auto"/>
              </w:rPr>
            </w:pPr>
            <w:r>
              <w:rPr>
                <w:rFonts w:ascii="Arial" w:cs="Arial" w:eastAsia="Arial" w:hAnsi="Arial"/>
                <w:sz w:val="13"/>
                <w:szCs w:val="13"/>
                <w:color w:val="auto"/>
              </w:rPr>
              <w:t>Common Stock</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60"/>
              <w:spacing w:after="0" w:line="135" w:lineRule="exact"/>
              <w:rPr>
                <w:sz w:val="20"/>
                <w:szCs w:val="20"/>
                <w:color w:val="auto"/>
              </w:rPr>
            </w:pPr>
            <w:r>
              <w:rPr>
                <w:rFonts w:ascii="Arial" w:cs="Arial" w:eastAsia="Arial" w:hAnsi="Arial"/>
                <w:sz w:val="13"/>
                <w:szCs w:val="13"/>
                <w:color w:val="auto"/>
                <w:w w:val="94"/>
              </w:rPr>
              <w:t>Additional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500"/>
              <w:spacing w:after="0" w:line="135" w:lineRule="exact"/>
              <w:rPr>
                <w:sz w:val="20"/>
                <w:szCs w:val="20"/>
                <w:color w:val="auto"/>
              </w:rPr>
            </w:pPr>
            <w:r>
              <w:rPr>
                <w:rFonts w:ascii="Arial" w:cs="Arial" w:eastAsia="Arial" w:hAnsi="Arial"/>
                <w:sz w:val="13"/>
                <w:szCs w:val="13"/>
                <w:color w:val="auto"/>
                <w:w w:val="85"/>
              </w:rPr>
              <w:t>Other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620"/>
              <w:spacing w:after="0" w:line="135" w:lineRule="exact"/>
              <w:rPr>
                <w:sz w:val="20"/>
                <w:szCs w:val="20"/>
                <w:color w:val="auto"/>
              </w:rPr>
            </w:pPr>
            <w:r>
              <w:rPr>
                <w:rFonts w:ascii="Arial" w:cs="Arial" w:eastAsia="Arial" w:hAnsi="Arial"/>
                <w:sz w:val="13"/>
                <w:szCs w:val="13"/>
                <w:color w:val="auto"/>
                <w:w w:val="85"/>
              </w:rPr>
              <w:t>Stock</w:t>
            </w:r>
          </w:p>
        </w:tc>
        <w:tc>
          <w:tcPr>
            <w:tcW w:w="1940" w:type="dxa"/>
            <w:vAlign w:val="bottom"/>
            <w:gridSpan w:val="5"/>
          </w:tcPr>
          <w:p>
            <w:pPr>
              <w:jc w:val="right"/>
              <w:ind w:right="680"/>
              <w:spacing w:after="0" w:line="135" w:lineRule="exact"/>
              <w:rPr>
                <w:sz w:val="20"/>
                <w:szCs w:val="20"/>
                <w:color w:val="auto"/>
              </w:rPr>
            </w:pPr>
            <w:r>
              <w:rPr>
                <w:rFonts w:ascii="Arial" w:cs="Arial" w:eastAsia="Arial" w:hAnsi="Arial"/>
                <w:sz w:val="13"/>
                <w:szCs w:val="13"/>
                <w:color w:val="auto"/>
              </w:rPr>
              <w:t>Treasury Stock</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740"/>
              <w:spacing w:after="0" w:line="121" w:lineRule="exact"/>
              <w:rPr>
                <w:sz w:val="20"/>
                <w:szCs w:val="20"/>
                <w:color w:val="auto"/>
              </w:rPr>
            </w:pPr>
            <w:r>
              <w:rPr>
                <w:rFonts w:ascii="Arial" w:cs="Arial" w:eastAsia="Arial" w:hAnsi="Arial"/>
                <w:sz w:val="13"/>
                <w:szCs w:val="13"/>
                <w:color w:val="auto"/>
              </w:rPr>
              <w:t>Paid-In</w:t>
            </w:r>
          </w:p>
        </w:tc>
        <w:tc>
          <w:tcPr>
            <w:tcW w:w="80" w:type="dxa"/>
            <w:vAlign w:val="bottom"/>
          </w:tcPr>
          <w:p>
            <w:pPr>
              <w:spacing w:after="0"/>
              <w:rPr>
                <w:sz w:val="10"/>
                <w:szCs w:val="10"/>
                <w:color w:val="auto"/>
              </w:rPr>
            </w:pPr>
          </w:p>
        </w:tc>
        <w:tc>
          <w:tcPr>
            <w:tcW w:w="1020" w:type="dxa"/>
            <w:vAlign w:val="bottom"/>
            <w:gridSpan w:val="2"/>
          </w:tcPr>
          <w:p>
            <w:pPr>
              <w:jc w:val="right"/>
              <w:ind w:right="560"/>
              <w:spacing w:after="0" w:line="121" w:lineRule="exact"/>
              <w:rPr>
                <w:sz w:val="20"/>
                <w:szCs w:val="20"/>
                <w:color w:val="auto"/>
              </w:rPr>
            </w:pPr>
            <w:r>
              <w:rPr>
                <w:rFonts w:ascii="Arial" w:cs="Arial" w:eastAsia="Arial" w:hAnsi="Arial"/>
                <w:sz w:val="13"/>
                <w:szCs w:val="13"/>
                <w:color w:val="auto"/>
                <w:w w:val="84"/>
              </w:rPr>
              <w:t>Retained</w:t>
            </w:r>
          </w:p>
        </w:tc>
        <w:tc>
          <w:tcPr>
            <w:tcW w:w="1140" w:type="dxa"/>
            <w:vAlign w:val="bottom"/>
            <w:gridSpan w:val="3"/>
          </w:tcPr>
          <w:p>
            <w:pPr>
              <w:jc w:val="center"/>
              <w:ind w:right="340"/>
              <w:spacing w:after="0" w:line="121" w:lineRule="exact"/>
              <w:rPr>
                <w:sz w:val="20"/>
                <w:szCs w:val="20"/>
                <w:color w:val="auto"/>
              </w:rPr>
            </w:pPr>
            <w:r>
              <w:rPr>
                <w:rFonts w:ascii="Arial" w:cs="Arial" w:eastAsia="Arial" w:hAnsi="Arial"/>
                <w:sz w:val="13"/>
                <w:szCs w:val="13"/>
                <w:color w:val="auto"/>
                <w:w w:val="87"/>
              </w:rPr>
              <w:t>Comprehensive</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620"/>
              <w:spacing w:after="0" w:line="121" w:lineRule="exact"/>
              <w:rPr>
                <w:sz w:val="20"/>
                <w:szCs w:val="20"/>
                <w:color w:val="auto"/>
              </w:rPr>
            </w:pPr>
            <w:r>
              <w:rPr>
                <w:rFonts w:ascii="Arial" w:cs="Arial" w:eastAsia="Arial" w:hAnsi="Arial"/>
                <w:sz w:val="13"/>
                <w:szCs w:val="13"/>
                <w:color w:val="auto"/>
                <w:w w:val="84"/>
              </w:rPr>
              <w:t>Unearned</w:t>
            </w:r>
          </w:p>
        </w:tc>
        <w:tc>
          <w:tcPr>
            <w:tcW w:w="6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40" w:type="dxa"/>
            <w:vAlign w:val="bottom"/>
          </w:tcPr>
          <w:p>
            <w:pPr>
              <w:jc w:val="right"/>
              <w:ind w:right="89"/>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w w:val="89"/>
              </w:rPr>
              <w:t>Amount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29"/>
              <w:spacing w:after="0"/>
              <w:rPr>
                <w:sz w:val="20"/>
                <w:szCs w:val="20"/>
                <w:color w:val="auto"/>
              </w:rPr>
            </w:pPr>
            <w:r>
              <w:rPr>
                <w:rFonts w:ascii="Arial" w:cs="Arial" w:eastAsia="Arial" w:hAnsi="Arial"/>
                <w:sz w:val="13"/>
                <w:szCs w:val="13"/>
                <w:color w:val="auto"/>
              </w:rPr>
              <w:t>Capital</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9"/>
              <w:spacing w:after="0"/>
              <w:rPr>
                <w:sz w:val="20"/>
                <w:szCs w:val="20"/>
                <w:color w:val="auto"/>
              </w:rPr>
            </w:pPr>
            <w:r>
              <w:rPr>
                <w:rFonts w:ascii="Arial" w:cs="Arial" w:eastAsia="Arial" w:hAnsi="Arial"/>
                <w:sz w:val="13"/>
                <w:szCs w:val="13"/>
                <w:color w:val="auto"/>
                <w:w w:val="85"/>
              </w:rPr>
              <w:t>Earnings</w:t>
            </w:r>
          </w:p>
        </w:tc>
        <w:tc>
          <w:tcPr>
            <w:tcW w:w="4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w w:val="87"/>
              </w:rPr>
              <w:t>Income (Loss)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3"/>
                <w:szCs w:val="13"/>
                <w:color w:val="auto"/>
                <w:w w:val="85"/>
              </w:rPr>
              <w:t>Compensation</w:t>
            </w:r>
          </w:p>
        </w:tc>
        <w:tc>
          <w:tcPr>
            <w:tcW w:w="1080" w:type="dxa"/>
            <w:vAlign w:val="bottom"/>
            <w:gridSpan w:val="2"/>
          </w:tcPr>
          <w:p>
            <w:pPr>
              <w:jc w:val="right"/>
              <w:ind w:right="600"/>
              <w:spacing w:after="0"/>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w w:val="93"/>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630,282</w:t>
            </w:r>
          </w:p>
        </w:tc>
        <w:tc>
          <w:tcPr>
            <w:tcW w:w="400" w:type="dxa"/>
            <w:vAlign w:val="bottom"/>
            <w:gridSpan w:val="2"/>
            <w:shd w:val="clear" w:color="auto" w:fill="CCEEFF"/>
          </w:tcPr>
          <w:p>
            <w:pPr>
              <w:jc w:val="right"/>
              <w:ind w:right="57"/>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2,497</w:t>
            </w:r>
          </w:p>
        </w:tc>
        <w:tc>
          <w:tcPr>
            <w:tcW w:w="1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(54,164)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939</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Cash dividends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(432)</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Common stock issued upon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exercise of stock options and</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warrants and grants 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restricted stock, including tax</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benefit of $37</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(5)</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10,019</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Earned compensation related to</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stock</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40"/>
              <w:spacing w:after="0" w:line="149" w:lineRule="exact"/>
              <w:rPr>
                <w:sz w:val="20"/>
                <w:szCs w:val="20"/>
                <w:color w:val="auto"/>
              </w:rPr>
            </w:pPr>
            <w:r>
              <w:rPr>
                <w:rFonts w:ascii="Arial" w:cs="Arial" w:eastAsia="Arial" w:hAnsi="Arial"/>
                <w:sz w:val="14"/>
                <w:szCs w:val="14"/>
                <w:color w:val="auto"/>
              </w:rPr>
              <w:t>Common stock repurchases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(16,541)</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Unrealized losses resulting from</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changes in fair value of</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derivative instruments, net of</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tax benefit of $11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Realized losses on derivative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instruments reclassified into</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earnings, net of taxes of $6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Unrealized gains on marketable</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securities, net of taxes of $2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Translation adjustment of foreign</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currency statements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88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Other</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2004</w:t>
            </w: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gridSpan w:val="2"/>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630,282</w:t>
            </w:r>
          </w:p>
        </w:tc>
        <w:tc>
          <w:tcPr>
            <w:tcW w:w="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4,481</w:t>
            </w: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3,004</w:t>
            </w: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69</w:t>
            </w:r>
          </w:p>
        </w:tc>
        <w:tc>
          <w:tcPr>
            <w:tcW w:w="3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(4)</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(60,070)</w:t>
            </w: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(1,585)</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677</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40"/>
              <w:spacing w:after="0" w:line="149" w:lineRule="exact"/>
              <w:rPr>
                <w:sz w:val="20"/>
                <w:szCs w:val="20"/>
                <w:color w:val="auto"/>
              </w:rPr>
            </w:pPr>
            <w:r>
              <w:rPr>
                <w:rFonts w:ascii="Arial" w:cs="Arial" w:eastAsia="Arial" w:hAnsi="Arial"/>
                <w:sz w:val="14"/>
                <w:szCs w:val="14"/>
                <w:color w:val="auto"/>
              </w:rPr>
              <w:t>Cash dividends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(228)</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Common stock issued upon</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exercise of stock options and</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warrants, including tax benefit</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 $8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2,411</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Earned compensation related to</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restricted stock</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2</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 repurchases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(9,942)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Unrealized gains resulting from</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changes in fair value 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360"/>
              <w:spacing w:after="0" w:line="149" w:lineRule="exact"/>
              <w:rPr>
                <w:sz w:val="20"/>
                <w:szCs w:val="20"/>
                <w:color w:val="auto"/>
              </w:rPr>
            </w:pPr>
            <w:r>
              <w:rPr>
                <w:rFonts w:ascii="Arial" w:cs="Arial" w:eastAsia="Arial" w:hAnsi="Arial"/>
                <w:sz w:val="14"/>
                <w:szCs w:val="14"/>
                <w:color w:val="auto"/>
              </w:rPr>
              <w:t>derivative instruments, net 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taxes of $6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Realized losses on derivative</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instruments reclassified into</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earnings, net of taxes of $3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ind w:left="240"/>
              <w:spacing w:after="0" w:line="130" w:lineRule="exact"/>
              <w:rPr>
                <w:sz w:val="20"/>
                <w:szCs w:val="20"/>
                <w:color w:val="auto"/>
              </w:rPr>
            </w:pPr>
            <w:r>
              <w:rPr>
                <w:rFonts w:ascii="Arial" w:cs="Arial" w:eastAsia="Arial" w:hAnsi="Arial"/>
                <w:sz w:val="14"/>
                <w:szCs w:val="14"/>
                <w:color w:val="auto"/>
              </w:rPr>
              <w:t>Unrealized gains on marketable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tcPr>
          <w:p>
            <w:pPr>
              <w:ind w:left="360"/>
              <w:spacing w:after="0"/>
              <w:rPr>
                <w:sz w:val="20"/>
                <w:szCs w:val="20"/>
                <w:color w:val="auto"/>
              </w:rPr>
            </w:pPr>
            <w:r>
              <w:rPr>
                <w:rFonts w:ascii="Arial" w:cs="Arial" w:eastAsia="Arial" w:hAnsi="Arial"/>
                <w:sz w:val="14"/>
                <w:szCs w:val="14"/>
                <w:color w:val="auto"/>
              </w:rPr>
              <w:t>securities, net of taxes of $0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Translation adjustment of foreign</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currency statements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ind w:left="240"/>
              <w:spacing w:after="0" w:line="149" w:lineRule="exact"/>
              <w:rPr>
                <w:sz w:val="20"/>
                <w:szCs w:val="20"/>
                <w:color w:val="auto"/>
              </w:rPr>
            </w:pPr>
            <w:r>
              <w:rPr>
                <w:rFonts w:ascii="Arial" w:cs="Arial" w:eastAsia="Arial" w:hAnsi="Arial"/>
                <w:sz w:val="14"/>
                <w:szCs w:val="14"/>
                <w:color w:val="auto"/>
              </w:rPr>
              <w:t>Other</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319</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June 30, 2005</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630,282</w:t>
            </w:r>
          </w:p>
        </w:tc>
        <w:tc>
          <w:tcPr>
            <w:tcW w:w="400" w:type="dxa"/>
            <w:vAlign w:val="bottom"/>
            <w:gridSpan w:val="2"/>
            <w:shd w:val="clear" w:color="auto" w:fill="CCEEFF"/>
          </w:tcPr>
          <w:p>
            <w:pPr>
              <w:jc w:val="right"/>
              <w:ind w:right="57"/>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3,453</w:t>
            </w:r>
          </w:p>
        </w:tc>
        <w:tc>
          <w:tcPr>
            <w:tcW w:w="1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(67,282)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that conducts all of its operations through subsidiaries. When the terms “the Company,” “we,” “us” or “our” are used in this document, those terms refer to Waste Management, Inc. and all of its consolidated subsidiaries. When we use the term “WMI,” we are referring only to the parent holding company.</w:t>
      </w:r>
    </w:p>
    <w:p>
      <w:pPr>
        <w:spacing w:after="0" w:line="80" w:lineRule="exact"/>
        <w:rPr>
          <w:sz w:val="20"/>
          <w:szCs w:val="20"/>
          <w:color w:val="auto"/>
        </w:rPr>
      </w:pPr>
    </w:p>
    <w:p>
      <w:pPr>
        <w:ind w:right="60" w:firstLine="267"/>
        <w:spacing w:after="0" w:line="276" w:lineRule="auto"/>
        <w:rPr>
          <w:sz w:val="20"/>
          <w:szCs w:val="20"/>
          <w:color w:val="auto"/>
        </w:rPr>
      </w:pPr>
      <w:r>
        <w:rPr>
          <w:rFonts w:ascii="Arial" w:cs="Arial" w:eastAsia="Arial" w:hAnsi="Arial"/>
          <w:sz w:val="17"/>
          <w:szCs w:val="17"/>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that conducts all of its operations through subsidiaries. For more detail on the financial position, results of operations and cash flows of WMI, WM Holdings and their subsidiaries, see Note 11.</w:t>
      </w:r>
    </w:p>
    <w:p>
      <w:pPr>
        <w:spacing w:after="0" w:line="64" w:lineRule="exact"/>
        <w:rPr>
          <w:sz w:val="20"/>
          <w:szCs w:val="20"/>
          <w:color w:val="auto"/>
        </w:rPr>
      </w:pPr>
    </w:p>
    <w:p>
      <w:pPr>
        <w:ind w:right="220" w:firstLine="267"/>
        <w:spacing w:after="0" w:line="257" w:lineRule="auto"/>
        <w:rPr>
          <w:sz w:val="20"/>
          <w:szCs w:val="20"/>
          <w:color w:val="auto"/>
        </w:rPr>
      </w:pPr>
      <w:r>
        <w:rPr>
          <w:rFonts w:ascii="Arial" w:cs="Arial" w:eastAsia="Arial" w:hAnsi="Arial"/>
          <w:sz w:val="18"/>
          <w:szCs w:val="18"/>
          <w:color w:val="auto"/>
        </w:rPr>
        <w:t>The Condensed Consolidated Financial Statements as of and for the three and six months ended June 30, 2005 are unaudited. In the opinion of management, these financial statements include all adjustments, which are generally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2004.</w:t>
      </w:r>
    </w:p>
    <w:p>
      <w:pPr>
        <w:spacing w:after="0" w:line="80" w:lineRule="exact"/>
        <w:rPr>
          <w:sz w:val="20"/>
          <w:szCs w:val="20"/>
          <w:color w:val="auto"/>
        </w:rPr>
      </w:pPr>
    </w:p>
    <w:p>
      <w:pPr>
        <w:ind w:right="140" w:firstLine="270"/>
        <w:spacing w:after="0" w:line="276"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Accounting changes </w:t>
      </w:r>
      <w:r>
        <w:rPr>
          <w:rFonts w:ascii="Arial" w:cs="Arial" w:eastAsia="Arial" w:hAnsi="Arial"/>
          <w:sz w:val="17"/>
          <w:szCs w:val="17"/>
          <w:color w:val="auto"/>
        </w:rPr>
        <w:t>— On March 31, 2004, the Financial Accounting Standards Board’s (“FASB”) Interpretation No. 46,</w:t>
      </w:r>
      <w:r>
        <w:rPr>
          <w:rFonts w:ascii="Arial" w:cs="Arial" w:eastAsia="Arial" w:hAnsi="Arial"/>
          <w:sz w:val="17"/>
          <w:szCs w:val="17"/>
          <w:i w:val="1"/>
          <w:iCs w:val="1"/>
          <w:color w:val="auto"/>
        </w:rPr>
        <w:t xml:space="preserve"> Consolidation of Variable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Entities </w:t>
      </w:r>
      <w:r>
        <w:rPr>
          <w:rFonts w:ascii="Arial" w:cs="Arial" w:eastAsia="Arial" w:hAnsi="Arial"/>
          <w:sz w:val="16"/>
          <w:szCs w:val="16"/>
          <w:color w:val="auto"/>
        </w:rPr>
        <w:t>(“FIN 46”), became applicable to non-special purpose type variable interest entities created on or before January 31, 2003. Our application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 46 to this type of entity resulted in the consolidation of certain trusts established to support the performance of closure, post-closure and environmental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remediation activities. On March 31, 2004, we recorded an increase in our net assets and a credit to cumulative effect of change in accounting principle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million, net of taxes, to consolidate these variable interest entities. The consolidation of these trusts has not had, nor is it expected to have, a material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our financial position, results of operations or cash flows.</w:t>
      </w:r>
    </w:p>
    <w:p>
      <w:pPr>
        <w:spacing w:after="0" w:line="103"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reclassifications have been made in the accompanying financial statements to conform prior year financial information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period presentation.</w:t>
      </w:r>
    </w:p>
    <w:p>
      <w:pPr>
        <w:spacing w:after="0" w:line="62"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During the first quarter of 2004, we began making investments in auction rate securities and variable rate demand notes, which are debt instruments with long-term scheduled maturities and periodic interest rate reset dates. Through December 31, 2004, we included these investments in “Cash and cash equivalents.” As a result of recent guidance associated with these types of securities, we determined that these investments were more appropriately classified as short-term investments, which are a component of “Prepaid expenses and other assets” in our Condensed Consolidated Balance Sheets. Accordingly, in our accompanying Condensed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we have (i) decreased our “Cash and cash equivalents” and increased our “Prepaid expenses and other assets” by</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$19 million at December 31, 2004 and $162 million at June 30, 2004; and (ii) reflected the gross purchases and sales of these investments within “Cash flows from investing activities” in our Statements of Cash Flows. Additionally, in our 2004 Condensed Consolidated Statement of Cash Flows, relatively insignificant purchases and sales of other short-term investments were included on a net basis within “Cash flows from investing activities — Other.” This additional activity has also been reflected within purchases and sales of short-term investments in the accompanying Condensed Consolidated Statements of Cash Flows.</w:t>
      </w:r>
    </w:p>
    <w:p>
      <w:pPr>
        <w:spacing w:after="0" w:line="18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Landfill</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material financial commitments with respect to asset retirement obligations at our landfills. These obligations include the following activities:</w:t>
      </w:r>
    </w:p>
    <w:p>
      <w:pPr>
        <w:spacing w:after="0" w:line="140" w:lineRule="exact"/>
        <w:rPr>
          <w:sz w:val="20"/>
          <w:szCs w:val="20"/>
          <w:color w:val="auto"/>
        </w:rPr>
      </w:pPr>
    </w:p>
    <w:p>
      <w:pPr>
        <w:ind w:left="460" w:hanging="101"/>
        <w:spacing w:after="0" w:line="31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Final capping </w:t>
      </w:r>
      <w:r>
        <w:rPr>
          <w:rFonts w:ascii="Arial" w:cs="Arial" w:eastAsia="Arial" w:hAnsi="Arial"/>
          <w:sz w:val="16"/>
          <w:szCs w:val="16"/>
          <w:color w:val="auto"/>
        </w:rPr>
        <w:t>— Involves the installation of flexible membrane and geosynthetic clay liners, drainage equipment and compacted soil layers and topsoil</w:t>
      </w:r>
      <w:r>
        <w:rPr>
          <w:rFonts w:ascii="Arial" w:cs="Arial" w:eastAsia="Arial" w:hAnsi="Arial"/>
          <w:sz w:val="16"/>
          <w:szCs w:val="16"/>
          <w:i w:val="1"/>
          <w:iCs w:val="1"/>
          <w:color w:val="auto"/>
        </w:rPr>
        <w:t xml:space="preserve"> </w:t>
      </w:r>
      <w:r>
        <w:rPr>
          <w:rFonts w:ascii="Arial" w:cs="Arial" w:eastAsia="Arial" w:hAnsi="Arial"/>
          <w:sz w:val="16"/>
          <w:szCs w:val="16"/>
          <w:color w:val="auto"/>
        </w:rPr>
        <w:t>over areas of a landfill where total airspace capacity has been consumed. Final capping asset retirement obligations are recorded on a units-of-consumption basis as airspace associated with each discrete capping event is consumed with a corresponding increase in the landfill asset.</w:t>
      </w:r>
    </w:p>
    <w:p>
      <w:pPr>
        <w:spacing w:after="0" w:line="52" w:lineRule="exact"/>
        <w:rPr>
          <w:rFonts w:ascii="Arial" w:cs="Arial" w:eastAsia="Arial" w:hAnsi="Arial"/>
          <w:sz w:val="16"/>
          <w:szCs w:val="16"/>
          <w:color w:val="auto"/>
        </w:rPr>
      </w:pPr>
    </w:p>
    <w:p>
      <w:pPr>
        <w:ind w:left="460" w:right="160" w:hanging="101"/>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These are costs 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w:t>
      </w:r>
    </w:p>
    <w:p>
      <w:pPr>
        <w:spacing w:after="0" w:line="92" w:lineRule="exact"/>
        <w:rPr>
          <w:rFonts w:ascii="Arial" w:cs="Arial" w:eastAsia="Arial" w:hAnsi="Arial"/>
          <w:sz w:val="18"/>
          <w:szCs w:val="18"/>
          <w:color w:val="auto"/>
        </w:rPr>
      </w:pPr>
    </w:p>
    <w:p>
      <w:pPr>
        <w:ind w:left="460" w:hanging="101"/>
        <w:spacing w:after="0" w:line="28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Post-closure </w:t>
      </w:r>
      <w:r>
        <w:rPr>
          <w:rFonts w:ascii="Arial" w:cs="Arial" w:eastAsia="Arial" w:hAnsi="Arial"/>
          <w:sz w:val="17"/>
          <w:szCs w:val="17"/>
          <w:color w:val="auto"/>
        </w:rPr>
        <w:t>— Involves the maintenance and monitoring of a landfill site that has been certified closed by the applicable regulatory agency.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we are required to maintain and monitor landfill sites for a 30-year period. These maintenance and monitoring costs are accrued as an asset retirement obligation as airspace is consumed over the life of the landfill with a corresponding increase in the landfill asset.</w:t>
      </w:r>
    </w:p>
    <w:p>
      <w:pPr>
        <w:spacing w:after="0" w:line="57" w:lineRule="exact"/>
        <w:rPr>
          <w:sz w:val="20"/>
          <w:szCs w:val="20"/>
          <w:color w:val="auto"/>
        </w:rPr>
      </w:pPr>
    </w:p>
    <w:p>
      <w:pPr>
        <w:ind w:right="140" w:firstLine="267"/>
        <w:spacing w:after="0" w:line="271" w:lineRule="auto"/>
        <w:rPr>
          <w:sz w:val="20"/>
          <w:szCs w:val="20"/>
          <w:color w:val="auto"/>
        </w:rPr>
      </w:pPr>
      <w:r>
        <w:rPr>
          <w:rFonts w:ascii="Arial" w:cs="Arial" w:eastAsia="Arial" w:hAnsi="Arial"/>
          <w:sz w:val="17"/>
          <w:szCs w:val="17"/>
          <w:color w:val="auto"/>
        </w:rPr>
        <w:t xml:space="preserve">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Statement of Financial Accounting Standards No.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xml:space="preserve"> (“SFAS No. 143”). Absent quoted market prices, the estimate of fair value should be based on the best available information, including the results of present value techniques. In general, we contract with third parties to fulfill our obligations for final capping, closure and post-closure. Therefore, we have access to quoted and actual prices paid for similar work on which to base the fair value of these obligations. We are required to recognize these obligations at market prices whether we plan to contract with third parties or perform the work ourselves. In those instances where we perform the work with internal resources, the added profit margin is recognized as a component of operating income when the work is performed.</w:t>
      </w:r>
    </w:p>
    <w:p>
      <w:pPr>
        <w:spacing w:after="0" w:line="71" w:lineRule="exact"/>
        <w:rPr>
          <w:sz w:val="20"/>
          <w:szCs w:val="20"/>
          <w:color w:val="auto"/>
        </w:rPr>
      </w:pPr>
    </w:p>
    <w:p>
      <w:pPr>
        <w:jc w:val="both"/>
        <w:ind w:right="180" w:firstLine="260"/>
        <w:spacing w:after="0" w:line="276" w:lineRule="auto"/>
        <w:rPr>
          <w:sz w:val="20"/>
          <w:szCs w:val="20"/>
          <w:color w:val="auto"/>
        </w:rPr>
      </w:pPr>
      <w:r>
        <w:rPr>
          <w:rFonts w:ascii="Arial" w:cs="Arial" w:eastAsia="Arial" w:hAnsi="Arial"/>
          <w:sz w:val="17"/>
          <w:szCs w:val="17"/>
          <w:color w:val="auto"/>
        </w:rPr>
        <w:t>Additionally, an estimate of fair value should also include the price that marketplace participants are able to receive for bearing the uncertainties in cash flows. However, when using discounted cash flow techniques, reliable estimates of market premiums may not be obtainable. In the waste industry, there is generally not a market for selling the responsibility for final capping, closure and post-closure obligations independent of selling the landfill in its entirety. Accordingly, we do not believe that it is possible to develop a methodology to reliably estimate a market risk premium. We have excluded any such market risk premium from our determination of expected cash flows for landfill asset retirement obligations.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Once we have determined the final capping, closure and post-closure costs, we inflate those costs to the expected time of payment and discount those expected future costs back to present value. During the three and six months ended June 30, 2005 and 2004,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that individual asset retirement obligation. The weighted-average rate applicable to our asset retirement obligations at June 30, 2005 is between 6.00% and 7.25%, the range of the credit-adjusted, risk-free discount rates effective since adopting SFAS No. 143 in 2003.</w:t>
      </w:r>
    </w:p>
    <w:p>
      <w:pPr>
        <w:spacing w:after="0" w:line="71"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unless there are indications that a more frequent review is appropriate.</w:t>
      </w:r>
    </w:p>
    <w:p>
      <w:pPr>
        <w:spacing w:after="0" w:line="70" w:lineRule="exact"/>
        <w:rPr>
          <w:sz w:val="20"/>
          <w:szCs w:val="20"/>
          <w:color w:val="auto"/>
        </w:rPr>
      </w:pPr>
    </w:p>
    <w:p>
      <w:pPr>
        <w:ind w:right="120" w:firstLine="270"/>
        <w:spacing w:after="0" w:line="293" w:lineRule="auto"/>
        <w:rPr>
          <w:sz w:val="20"/>
          <w:szCs w:val="20"/>
          <w:color w:val="auto"/>
        </w:rPr>
      </w:pPr>
      <w:r>
        <w:rPr>
          <w:rFonts w:ascii="Arial" w:cs="Arial" w:eastAsia="Arial" w:hAnsi="Arial"/>
          <w:sz w:val="16"/>
          <w:szCs w:val="16"/>
          <w:color w:val="auto"/>
        </w:rPr>
        <w:t>Changes in inflation rates or the estimated cost, timing or extent of future final capping, closure and post-closure activities typically result in both (i) a current adjustment to the recorded liability and landfill asset; and (ii) a change in liability and asset amounts to be recorded prospectively over the remaining capacity of either the related discrete capping event or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 Changes in such estimates associated with airspace that has been fully utilized result in an adjustment to the recorded liability and a corresponding adjustment to landfill airspace amortization expense.</w:t>
      </w:r>
    </w:p>
    <w:p>
      <w:pPr>
        <w:spacing w:after="0" w:line="57" w:lineRule="exact"/>
        <w:rPr>
          <w:sz w:val="20"/>
          <w:szCs w:val="20"/>
          <w:color w:val="auto"/>
        </w:rPr>
      </w:pPr>
    </w:p>
    <w:p>
      <w:pPr>
        <w:ind w:right="360" w:firstLine="270"/>
        <w:spacing w:after="0" w:line="342" w:lineRule="auto"/>
        <w:rPr>
          <w:sz w:val="20"/>
          <w:szCs w:val="20"/>
          <w:color w:val="auto"/>
        </w:rPr>
      </w:pPr>
      <w:r>
        <w:rPr>
          <w:rFonts w:ascii="Arial" w:cs="Arial" w:eastAsia="Arial" w:hAnsi="Arial"/>
          <w:sz w:val="16"/>
          <w:szCs w:val="16"/>
          <w:color w:val="auto"/>
        </w:rPr>
        <w:t>Interest accretion on final capping, closure and post-closure liabilities is recorded using the effective interest method and is recorded as final capping, closure and post-closure expense, which is included in “Operating” costs and expenses within our Condensed Consolidated Statements of Operations.</w:t>
      </w:r>
    </w:p>
    <w:p>
      <w:pPr>
        <w:spacing w:after="0" w:line="16" w:lineRule="exact"/>
        <w:rPr>
          <w:sz w:val="20"/>
          <w:szCs w:val="20"/>
          <w:color w:val="auto"/>
        </w:rPr>
      </w:pPr>
    </w:p>
    <w:p>
      <w:pPr>
        <w:ind w:right="520" w:firstLine="270"/>
        <w:spacing w:after="0" w:line="342" w:lineRule="auto"/>
        <w:rPr>
          <w:sz w:val="20"/>
          <w:szCs w:val="20"/>
          <w:color w:val="auto"/>
        </w:rPr>
      </w:pPr>
      <w:r>
        <w:rPr>
          <w:rFonts w:ascii="Arial" w:cs="Arial" w:eastAsia="Arial" w:hAnsi="Arial"/>
          <w:sz w:val="16"/>
          <w:szCs w:val="16"/>
          <w:color w:val="auto"/>
        </w:rPr>
        <w:t>In the United States, the final capping, closure and post-closure requirements are established by the Environmental Protection Agency (“EPA”) and applied on a state-by-state basis. The costs to comply with these requirements could change materially as a result of future legislation or regulation.</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ind w:right="100" w:firstLine="267"/>
        <w:spacing w:after="0" w:line="273" w:lineRule="auto"/>
        <w:rPr>
          <w:sz w:val="20"/>
          <w:szCs w:val="20"/>
          <w:color w:val="auto"/>
        </w:rPr>
      </w:pPr>
      <w:r>
        <w:rPr>
          <w:rFonts w:ascii="Arial" w:cs="Arial" w:eastAsia="Arial" w:hAnsi="Arial"/>
          <w:sz w:val="17"/>
          <w:szCs w:val="17"/>
          <w:color w:val="auto"/>
        </w:rPr>
        <w:t xml:space="preserve">We routinely review and evaluate sites that require remediation and determine our estimated cost for the likely remedy based on applicable estimates and assumptions.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xml:space="preserve"> and its interpretations. If we used the high ends of such ranges, our aggregate potential liability would be approximately $170 million higher on a discounted basis than the $317 million recorded in the Condensed Consolidated Financial Statements as of June 30,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firstLine="267"/>
        <w:spacing w:after="0" w:line="253" w:lineRule="auto"/>
        <w:rPr>
          <w:sz w:val="20"/>
          <w:szCs w:val="20"/>
          <w:color w:val="auto"/>
        </w:rPr>
      </w:pPr>
      <w:r>
        <w:rPr>
          <w:rFonts w:ascii="Arial" w:cs="Arial" w:eastAsia="Arial" w:hAnsi="Arial"/>
          <w:sz w:val="18"/>
          <w:szCs w:val="18"/>
          <w:color w:val="auto"/>
        </w:rPr>
        <w:t>Through June 30, 2005, we had been notified that we are a potentially responsible party (“PRP”) in connection with 73 locations listed on the EPA’s National Priorities List (“NPL”). Of the 73 sites at which claims have been made against us, 16 are sites we own. Each of the NPL sites we own were initially developed by others as land disposal facilities. At each of the owned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57 NPL sites at which claims have been made against us and that we do not own are at different procedural stages under the Comprehensive Environmental Response, Compensation and Liability Act of 1980, as amended, which is known as CERCLA or Superfund. At some of these sites, our liability is well defined as a consequence of a governmental decision as to the appropriate remedy and an agreement among liable parties as to the share each will pay for implementing that remedy. At other sites, where no remedy has been selected or the liable parties have been unable to agree on an appropriate allocation, our future costs are uncertain. Any of these matters could potentially have a material adverse effect on our consolidated financial statements.</w:t>
      </w:r>
    </w:p>
    <w:p>
      <w:pPr>
        <w:spacing w:after="0" w:line="85"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operating costs and expenses. These adjustments could also be material in any given period.</w:t>
      </w:r>
    </w:p>
    <w:p>
      <w:pPr>
        <w:spacing w:after="0" w:line="85" w:lineRule="exact"/>
        <w:rPr>
          <w:sz w:val="20"/>
          <w:szCs w:val="20"/>
          <w:color w:val="auto"/>
        </w:rPr>
      </w:pPr>
    </w:p>
    <w:p>
      <w:pPr>
        <w:ind w:right="20" w:firstLine="267"/>
        <w:spacing w:after="0" w:line="291" w:lineRule="auto"/>
        <w:rPr>
          <w:sz w:val="20"/>
          <w:szCs w:val="20"/>
          <w:color w:val="auto"/>
        </w:rPr>
      </w:pPr>
      <w:r>
        <w:rPr>
          <w:rFonts w:ascii="Arial" w:cs="Arial" w:eastAsia="Arial" w:hAnsi="Arial"/>
          <w:sz w:val="16"/>
          <w:szCs w:val="16"/>
          <w:color w:val="auto"/>
        </w:rPr>
        <w:t>Where we believe that both the amount of a particular environmental remediation liability and the timing of the payments are reliably determinable, we inflate the cost in current dollars (by 2.5% at June 30, 2005 and December 31, 2004) until the expected time of payment and discount the cost to present value using a risk-free discount rate, which is based on the rate for United States Treasury bonds with a term approximating the weighted average period until settlement of the underlying obligation (4.25% at both June 30, 2005 and December 31, 2004). We determine the risk-free discount rate and the inflation rate on an annual basis unless interim changes would significantly impact our results of operations. For remedial liabilities that have been discounted, we recognize interest accretion on a monthly basis to the period of settlement, based on the effective interest method. Periodic interest accretion is included as a component of “Operating” costs and expenses in our Condensed Consolidated Statements of Operations.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Financial Statement Impact of Landfill and Environmental Remediation Obligations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2005</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December 31, 2004</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Environmental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Environmental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Landfill</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Remediation</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Total</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Remediation</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253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1,141</w:t>
            </w: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1,303</w:t>
            </w: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firstLine="267"/>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2004 and the six months ended June 30, 2005 are reflected in the table below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Environmental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Landfill</w:t>
            </w: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Remediation</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180" w:type="dxa"/>
            <w:vAlign w:val="bottom"/>
          </w:tcPr>
          <w:p>
            <w:pPr>
              <w:spacing w:after="0"/>
              <w:rPr>
                <w:sz w:val="18"/>
                <w:szCs w:val="18"/>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accretion</w:t>
            </w:r>
          </w:p>
        </w:tc>
        <w:tc>
          <w:tcPr>
            <w:tcW w:w="180" w:type="dxa"/>
            <w:vAlign w:val="bottom"/>
          </w:tcPr>
          <w:p>
            <w:pPr>
              <w:spacing w:after="0"/>
              <w:rPr>
                <w:sz w:val="18"/>
                <w:szCs w:val="18"/>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Revisions in estimates</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18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180" w:type="dxa"/>
            <w:vAlign w:val="bottom"/>
          </w:tcPr>
          <w:p>
            <w:pPr>
              <w:spacing w:after="0"/>
              <w:rPr>
                <w:sz w:val="18"/>
                <w:szCs w:val="18"/>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accretion</w:t>
            </w:r>
          </w:p>
        </w:tc>
        <w:tc>
          <w:tcPr>
            <w:tcW w:w="180" w:type="dxa"/>
            <w:vAlign w:val="bottom"/>
          </w:tcPr>
          <w:p>
            <w:pPr>
              <w:spacing w:after="0"/>
              <w:rPr>
                <w:sz w:val="18"/>
                <w:szCs w:val="18"/>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Revisions in estimates</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18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60"/>
        <w:spacing w:after="0" w:line="255" w:lineRule="auto"/>
        <w:rPr>
          <w:sz w:val="20"/>
          <w:szCs w:val="20"/>
          <w:color w:val="auto"/>
        </w:rPr>
      </w:pPr>
      <w:r>
        <w:rPr>
          <w:rFonts w:ascii="Arial" w:cs="Arial" w:eastAsia="Arial" w:hAnsi="Arial"/>
          <w:sz w:val="18"/>
          <w:szCs w:val="18"/>
          <w:color w:val="auto"/>
        </w:rPr>
        <w:t>At several of our landfills, we provide financial assurance by depositing cash into restricted escrow accounts or trust funds that have been established to settle closure, post-closure and environmental remediation obligations. The fair value of these escrow accounts and trust funds was $216 million at June 30, 2005, and is primarily included as a component of “Other assets” in our Condensed Consolidated Balance Sheet. Balances maintained in these trust funds and escrow accounts will fluctuate based on (i) changes in statutory requirements; (ii) the ongoing use of funds for qualifying closure, post-closure and environmental remediation activities; (iii) acquisitions or divestitures of landfills; and (iv) changes in the fair value of the financial instruments held in the trust fund or escrow account.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jc w:val="both"/>
        <w:ind w:left="360" w:right="10700" w:hanging="352"/>
        <w:spacing w:after="0" w:line="425" w:lineRule="auto"/>
        <w:tabs>
          <w:tab w:leader="none" w:pos="3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w:t>
      </w:r>
      <w:r>
        <w:rPr>
          <w:rFonts w:ascii="Arial" w:cs="Arial" w:eastAsia="Arial" w:hAnsi="Arial"/>
          <w:sz w:val="16"/>
          <w:szCs w:val="16"/>
          <w:b w:val="1"/>
          <w:bCs w:val="1"/>
          <w:i w:val="1"/>
          <w:iCs w:val="1"/>
          <w:color w:val="auto"/>
        </w:rPr>
        <w:t>Debt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components of debt at each balance sheet date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126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2005</w:t>
            </w:r>
          </w:p>
        </w:tc>
        <w:tc>
          <w:tcPr>
            <w:tcW w:w="1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2004</w:t>
            </w:r>
          </w:p>
        </w:tc>
        <w:tc>
          <w:tcPr>
            <w:tcW w:w="7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w w:val="96"/>
              </w:rPr>
              <w:t>Senior notes and debentures, maturing through 2032, interest rates ranging from 5.00% to</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w w:val="92"/>
              </w:rPr>
              <w:t>8.75% (weighted average interest rate of 7.0% at June 30, 2005 and at December 31, 2004)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(a),(b)</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0"/>
                <w:szCs w:val="20"/>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5,344</w:t>
            </w: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Tax-exempt bonds maturing through 2039, fixed and variable interest rates ranging from 2.2%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to 7.4% (weighted average interest rate of 3.8% at June 30, 2005 and 3.6% at December 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2004)(c)</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2,047</w:t>
            </w:r>
          </w:p>
        </w:tc>
      </w:tr>
      <w:tr>
        <w:trPr>
          <w:trHeight w:val="202"/>
        </w:trPr>
        <w:tc>
          <w:tcPr>
            <w:tcW w:w="2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w w:val="94"/>
              </w:rPr>
              <w:t>Tax-exempt project bonds, principal payable in periodic installments, maturing through 2027,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w w:val="94"/>
              </w:rPr>
              <w:t>fixed and variable interest rates ranging from 2.3% to 9.3% (weighted average interest rate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of 5.2% at June 30, 2005 and at December 31, 2004)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496</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5.75% convertible subordinated notes due 2005(d)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Capital leases and other, maturing through 2027, interest rates up to 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644</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8,431</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8,566</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384</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8,216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8,182</w:t>
            </w: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57" w:lineRule="exact"/>
        <w:rPr>
          <w:sz w:val="20"/>
          <w:szCs w:val="20"/>
          <w:color w:val="auto"/>
        </w:rPr>
      </w:pPr>
    </w:p>
    <w:p>
      <w:pPr>
        <w:ind w:left="700" w:hanging="462"/>
        <w:spacing w:after="0"/>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May 15, 2005, $100 million of 7.0% senior notes and $3 million of 6.65% senior notes matured and were repaid with cash on hand.</w:t>
      </w:r>
    </w:p>
    <w:p>
      <w:pPr>
        <w:spacing w:after="0" w:line="55" w:lineRule="exact"/>
        <w:rPr>
          <w:rFonts w:ascii="Arial" w:cs="Arial" w:eastAsia="Arial" w:hAnsi="Arial"/>
          <w:sz w:val="14"/>
          <w:szCs w:val="14"/>
          <w:color w:val="auto"/>
        </w:rPr>
      </w:pPr>
    </w:p>
    <w:p>
      <w:pPr>
        <w:ind w:left="700" w:right="80" w:hanging="462"/>
        <w:spacing w:after="0" w:line="238"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manage the interest rate risk of our debt portfolio principally by using interest rate derivatives to achieve a desired position of fixed and floating rate debt. As of June 30, 2005, the interest payments on $2.35 billion of our fixed-rate senior notes have been swapped to variable rates. There has been a $7 million decrease in the carrying value of our senior notes from December 31, 2004 as a result of hedge accounting for our interest rate derivatives.</w:t>
      </w:r>
    </w:p>
    <w:p>
      <w:pPr>
        <w:spacing w:after="0" w:line="34" w:lineRule="exact"/>
        <w:rPr>
          <w:rFonts w:ascii="Arial" w:cs="Arial" w:eastAsia="Arial" w:hAnsi="Arial"/>
          <w:sz w:val="14"/>
          <w:szCs w:val="14"/>
          <w:color w:val="auto"/>
        </w:rPr>
      </w:pPr>
    </w:p>
    <w:p>
      <w:pPr>
        <w:ind w:left="700" w:right="60" w:hanging="462"/>
        <w:spacing w:after="0" w:line="238"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April 2005, we issued $100 million of tax-exempt bonds that mature in 2025. The proceeds from this debt issuance were deposited directly into a trust fund and may only be used to fund the acquisition and development of solid waste disposal facilities. Accordingly, the restricted funds provided by this financing activity have not been included in “New borrowings” in our Condensed Consolidated Statement of Cash Flows for the six months ended June 30, 2005.</w:t>
      </w:r>
    </w:p>
    <w:p>
      <w:pPr>
        <w:spacing w:after="0" w:line="34" w:lineRule="exact"/>
        <w:rPr>
          <w:rFonts w:ascii="Arial" w:cs="Arial" w:eastAsia="Arial" w:hAnsi="Arial"/>
          <w:sz w:val="14"/>
          <w:szCs w:val="14"/>
          <w:color w:val="auto"/>
        </w:rPr>
      </w:pPr>
    </w:p>
    <w:p>
      <w:pPr>
        <w:ind w:left="700" w:hanging="462"/>
        <w:spacing w:after="0"/>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5.75% convertible subordinated notes were repaid with cash on hand at maturity on January 24, 2005.</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Debt Covenants</w:t>
      </w:r>
    </w:p>
    <w:p>
      <w:pPr>
        <w:spacing w:after="0" w:line="11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00" w:type="dxa"/>
            <w:vAlign w:val="bottom"/>
            <w:gridSpan w:val="3"/>
          </w:tcPr>
          <w:p>
            <w:pPr>
              <w:jc w:val="center"/>
              <w:ind w:left="990"/>
              <w:spacing w:after="0"/>
              <w:rPr>
                <w:sz w:val="20"/>
                <w:szCs w:val="20"/>
                <w:color w:val="auto"/>
              </w:rPr>
            </w:pPr>
            <w:r>
              <w:rPr>
                <w:rFonts w:ascii="Arial" w:cs="Arial" w:eastAsia="Arial" w:hAnsi="Arial"/>
                <w:sz w:val="18"/>
                <w:szCs w:val="18"/>
                <w:color w:val="auto"/>
                <w:w w:val="89"/>
              </w:rPr>
              <w:t>Requirement</w:t>
            </w:r>
          </w:p>
        </w:tc>
        <w:tc>
          <w:tcPr>
            <w:tcW w:w="1900" w:type="dxa"/>
            <w:vAlign w:val="bottom"/>
            <w:gridSpan w:val="2"/>
          </w:tcPr>
          <w:p>
            <w:pPr>
              <w:jc w:val="center"/>
              <w:ind w:right="820"/>
              <w:spacing w:after="0"/>
              <w:rPr>
                <w:sz w:val="20"/>
                <w:szCs w:val="20"/>
                <w:color w:val="auto"/>
              </w:rPr>
            </w:pPr>
            <w:r>
              <w:rPr>
                <w:rFonts w:ascii="Arial" w:cs="Arial" w:eastAsia="Arial" w:hAnsi="Arial"/>
                <w:sz w:val="18"/>
                <w:szCs w:val="18"/>
                <w:color w:val="auto"/>
                <w:w w:val="86"/>
              </w:rPr>
              <w:t>June 30,</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190"/>
        </w:trPr>
        <w:tc>
          <w:tcPr>
            <w:tcW w:w="7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Covenant</w:t>
            </w:r>
          </w:p>
        </w:tc>
        <w:tc>
          <w:tcPr>
            <w:tcW w:w="2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20" w:type="dxa"/>
            <w:vAlign w:val="bottom"/>
            <w:gridSpan w:val="2"/>
          </w:tcPr>
          <w:p>
            <w:pPr>
              <w:jc w:val="center"/>
              <w:ind w:right="900"/>
              <w:spacing w:after="0" w:line="190" w:lineRule="exact"/>
              <w:rPr>
                <w:sz w:val="20"/>
                <w:szCs w:val="20"/>
                <w:color w:val="auto"/>
              </w:rPr>
            </w:pPr>
            <w:r>
              <w:rPr>
                <w:rFonts w:ascii="Arial" w:cs="Arial" w:eastAsia="Arial" w:hAnsi="Arial"/>
                <w:sz w:val="18"/>
                <w:szCs w:val="18"/>
                <w:color w:val="auto"/>
                <w:w w:val="96"/>
              </w:rPr>
              <w:t>per Facility</w:t>
            </w:r>
          </w:p>
        </w:tc>
        <w:tc>
          <w:tcPr>
            <w:tcW w:w="106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2005</w:t>
            </w:r>
          </w:p>
        </w:tc>
        <w:tc>
          <w:tcPr>
            <w:tcW w:w="840" w:type="dxa"/>
            <w:vAlign w:val="bottom"/>
          </w:tcPr>
          <w:p>
            <w:pPr>
              <w:spacing w:after="0"/>
              <w:rPr>
                <w:sz w:val="16"/>
                <w:szCs w:val="16"/>
                <w:color w:val="auto"/>
              </w:rPr>
            </w:pPr>
          </w:p>
        </w:tc>
        <w:tc>
          <w:tcPr>
            <w:tcW w:w="1420" w:type="dxa"/>
            <w:vAlign w:val="bottom"/>
          </w:tcPr>
          <w:p>
            <w:pPr>
              <w:jc w:val="right"/>
              <w:ind w:right="450"/>
              <w:spacing w:after="0" w:line="190" w:lineRule="exact"/>
              <w:rPr>
                <w:sz w:val="20"/>
                <w:szCs w:val="20"/>
                <w:color w:val="auto"/>
              </w:rPr>
            </w:pPr>
            <w:r>
              <w:rPr>
                <w:rFonts w:ascii="Arial" w:cs="Arial" w:eastAsia="Arial" w:hAnsi="Arial"/>
                <w:sz w:val="18"/>
                <w:szCs w:val="18"/>
                <w:color w:val="auto"/>
              </w:rPr>
              <w:t>2004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Interest coverage ratio</w:t>
            </w:r>
          </w:p>
        </w:tc>
        <w:tc>
          <w:tcPr>
            <w:tcW w:w="1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58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&gt;2.75 to 1</w:t>
            </w:r>
          </w:p>
        </w:tc>
        <w:tc>
          <w:tcPr>
            <w:tcW w:w="1060" w:type="dxa"/>
            <w:vAlign w:val="bottom"/>
          </w:tcPr>
          <w:p>
            <w:pPr>
              <w:ind w:left="520"/>
              <w:spacing w:after="0"/>
              <w:rPr>
                <w:sz w:val="20"/>
                <w:szCs w:val="20"/>
                <w:color w:val="auto"/>
              </w:rPr>
            </w:pPr>
            <w:r>
              <w:rPr>
                <w:rFonts w:ascii="Arial" w:cs="Arial" w:eastAsia="Arial" w:hAnsi="Arial"/>
                <w:sz w:val="18"/>
                <w:szCs w:val="18"/>
                <w:color w:val="auto"/>
                <w:w w:val="86"/>
              </w:rPr>
              <w:t>3.7 to 1</w:t>
            </w:r>
          </w:p>
        </w:tc>
        <w:tc>
          <w:tcPr>
            <w:tcW w:w="840" w:type="dxa"/>
            <w:vAlign w:val="bottom"/>
          </w:tcPr>
          <w:p>
            <w:pPr>
              <w:spacing w:after="0"/>
              <w:rPr>
                <w:sz w:val="18"/>
                <w:szCs w:val="18"/>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w w:val="86"/>
              </w:rPr>
              <w:t>3.5 to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Total debt to EBITDA</w:t>
            </w:r>
          </w:p>
        </w:tc>
        <w:tc>
          <w:tcPr>
            <w:tcW w:w="198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&lt;3.5 to 1</w:t>
            </w:r>
          </w:p>
        </w:tc>
        <w:tc>
          <w:tcPr>
            <w:tcW w:w="1900" w:type="dxa"/>
            <w:vAlign w:val="bottom"/>
            <w:gridSpan w:val="2"/>
          </w:tcPr>
          <w:p>
            <w:pPr>
              <w:ind w:left="520"/>
              <w:spacing w:after="0"/>
              <w:rPr>
                <w:sz w:val="20"/>
                <w:szCs w:val="20"/>
                <w:color w:val="auto"/>
              </w:rPr>
            </w:pPr>
            <w:r>
              <w:rPr>
                <w:rFonts w:ascii="Arial" w:cs="Arial" w:eastAsia="Arial" w:hAnsi="Arial"/>
                <w:sz w:val="18"/>
                <w:szCs w:val="18"/>
                <w:color w:val="auto"/>
              </w:rPr>
              <w:t>2.7 to 1</w:t>
            </w:r>
          </w:p>
        </w:tc>
        <w:tc>
          <w:tcPr>
            <w:tcW w:w="1440" w:type="dxa"/>
            <w:vAlign w:val="bottom"/>
            <w:gridSpan w:val="2"/>
          </w:tcPr>
          <w:p>
            <w:pPr>
              <w:ind w:left="880"/>
              <w:spacing w:after="0"/>
              <w:rPr>
                <w:sz w:val="20"/>
                <w:szCs w:val="20"/>
                <w:color w:val="auto"/>
              </w:rPr>
            </w:pPr>
            <w:r>
              <w:rPr>
                <w:rFonts w:ascii="Arial" w:cs="Arial" w:eastAsia="Arial" w:hAnsi="Arial"/>
                <w:sz w:val="18"/>
                <w:szCs w:val="18"/>
                <w:color w:val="auto"/>
                <w:w w:val="89"/>
              </w:rPr>
              <w:t>2.8 to 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70"/>
        <w:spacing w:after="0" w:line="264" w:lineRule="auto"/>
        <w:rPr>
          <w:sz w:val="20"/>
          <w:szCs w:val="20"/>
          <w:color w:val="auto"/>
        </w:rPr>
      </w:pPr>
      <w:r>
        <w:rPr>
          <w:rFonts w:ascii="Arial" w:cs="Arial" w:eastAsia="Arial" w:hAnsi="Arial"/>
          <w:sz w:val="18"/>
          <w:szCs w:val="18"/>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typical for our business. As of June 30, 2005, we were in compliance with the covenants and restrictions under all of our debt agreements.</w:t>
      </w:r>
    </w:p>
    <w:p>
      <w:pPr>
        <w:spacing w:after="0" w:line="22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20" w:firstLine="267"/>
        <w:spacing w:after="0" w:line="342" w:lineRule="auto"/>
        <w:rPr>
          <w:sz w:val="20"/>
          <w:szCs w:val="20"/>
          <w:color w:val="auto"/>
        </w:rPr>
      </w:pPr>
      <w:r>
        <w:rPr>
          <w:rFonts w:ascii="Arial" w:cs="Arial" w:eastAsia="Arial" w:hAnsi="Arial"/>
          <w:sz w:val="16"/>
          <w:szCs w:val="16"/>
          <w:color w:val="auto"/>
        </w:rPr>
        <w:t>The current tax obligations associated with the provision for income taxes recorded in the Statements of Operations are reflected in the accompanying Condensed Consolidated Balance Sheets as a component of “Accrued liabilities,” and the deferred tax obligations are reflected in “Deferred income taxes.”</w:t>
      </w:r>
    </w:p>
    <w:p>
      <w:pPr>
        <w:spacing w:after="0" w:line="16" w:lineRule="exact"/>
        <w:rPr>
          <w:sz w:val="20"/>
          <w:szCs w:val="20"/>
          <w:color w:val="auto"/>
        </w:rPr>
      </w:pPr>
    </w:p>
    <w:p>
      <w:pPr>
        <w:ind w:right="60" w:firstLine="267"/>
        <w:spacing w:after="0" w:line="291" w:lineRule="auto"/>
        <w:rPr>
          <w:sz w:val="20"/>
          <w:szCs w:val="20"/>
          <w:color w:val="auto"/>
        </w:rPr>
      </w:pPr>
      <w:r>
        <w:rPr>
          <w:rFonts w:ascii="Arial" w:cs="Arial" w:eastAsia="Arial" w:hAnsi="Arial"/>
          <w:sz w:val="16"/>
          <w:szCs w:val="16"/>
          <w:color w:val="auto"/>
        </w:rPr>
        <w:t>The difference between federal income taxes computed at the federal statutory rate and reported income taxes for the three and six months ended June 30, 2005 is primarily due to (i) favorable effects of tax audit settlements; and (ii) the favorable impact of non-conventional fuel tax credits; offset in part by</w:t>
      </w:r>
    </w:p>
    <w:p>
      <w:pPr>
        <w:ind w:right="20" w:firstLine="8"/>
        <w:spacing w:after="0" w:line="253"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our expected repatriation of accumulated earnings from certain of our Canadian subsidiaries; (iv) state and local income taxes; and (v) the impact of nondeductible goodwill associated with our divestitures. The difference between federal income taxes computed at the federal statutory rate and reported income taxes for the three and six months ended June 30, 2004 is primarily due to the favorable impact of non-conventional fuel tax credits and favorable tax audit settlements, offset in part by state and local income taxes. We continue to evaluate our effective tax rate at each interim period and adjust it accordingly as facts and circumstances warrant.</w:t>
      </w:r>
    </w:p>
    <w:p>
      <w:pPr>
        <w:spacing w:after="0" w:line="83"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i w:val="1"/>
          <w:iCs w:val="1"/>
          <w:color w:val="auto"/>
        </w:rPr>
        <w:t xml:space="preserve">Tax audit settlements </w:t>
      </w:r>
      <w:r>
        <w:rPr>
          <w:rFonts w:ascii="Arial" w:cs="Arial" w:eastAsia="Arial" w:hAnsi="Arial"/>
          <w:sz w:val="16"/>
          <w:szCs w:val="16"/>
          <w:color w:val="auto"/>
        </w:rPr>
        <w:t>— The settlement of several tax audits resulted in a reduction in income tax expense of $345 million, or $0.61 per diluted share,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June 30, 2005 and $347 million, or $0.61 per diluted share, for the six months ended June 30, 2005. The reduction in income taxes recognized is primarily attributable to the associated reduction in our accrued tax and related accrued interest liabilities. These tax audit settlements resulted in a 113.5 percentage point reduction in our effective tax rate for the three months ended June 30, 2005 and a 66.1 percentage point reduction in our effective tax rate for the six months ended June 30, 2005. For information regarding the status of current audit activity refer to Note 8.</w:t>
      </w:r>
    </w:p>
    <w:p>
      <w:pPr>
        <w:spacing w:after="0" w:line="5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i w:val="1"/>
          <w:iCs w:val="1"/>
          <w:color w:val="auto"/>
        </w:rPr>
        <w:t xml:space="preserve">Non-conventional fuel tax credits </w:t>
      </w:r>
      <w:r>
        <w:rPr>
          <w:rFonts w:ascii="Arial" w:cs="Arial" w:eastAsia="Arial" w:hAnsi="Arial"/>
          <w:sz w:val="18"/>
          <w:szCs w:val="18"/>
          <w:color w:val="auto"/>
        </w:rPr>
        <w:t>— The favorable impact of non-conventional fuel tax credits has been derived from our landfills and our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two coal-based, synthetic fuel production facilities (the “Facilities”), which are discussed in more detail below. The fuel generated from our landfills and the Facilities qualifies for tax credits through 2007 pursuant to section 29 of the Internal Revenue Code, and may be phased-out if the price of oil exceeds a threshold annual average price determined by the U.S. Internal Revenue Service.</w:t>
      </w:r>
    </w:p>
    <w:p>
      <w:pPr>
        <w:spacing w:after="0" w:line="79"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The tax credits generated by our landfills are provided by our Renewable Energy Program, under which we develop, operate and promote the beneficial use of landfill gas. Our recorded taxes for the three and six months ended June 30, 2005 include benefits of $9 million and $13 million, respectively, from tax credits generated by our landfill gas-to-energy projects. Our recorded taxes for the three and six months ended June 30, 2004 also include $8 million and $13 million, respectively, from tax credits generated by our landfill gas-to-energy projects.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right="80" w:firstLine="270"/>
        <w:spacing w:after="0" w:line="279" w:lineRule="auto"/>
        <w:rPr>
          <w:sz w:val="20"/>
          <w:szCs w:val="20"/>
          <w:color w:val="auto"/>
        </w:rPr>
      </w:pPr>
      <w:r>
        <w:rPr>
          <w:rFonts w:ascii="Arial" w:cs="Arial" w:eastAsia="Arial" w:hAnsi="Arial"/>
          <w:sz w:val="17"/>
          <w:szCs w:val="17"/>
          <w:color w:val="auto"/>
        </w:rPr>
        <w:t>In the first and second quarters of 2004, we acquired minority ownership interests in the Facilities, which result in the recognition of our pro-rata share of the Facilities’ losses, the amortization of our initial investments and additional expense associated with other estimated obligations being recorded as “Equity in net losses of unconsolidated entities” within our Statements of Operations. The following table summarizes the impact of our investments in the Facilities on our Statements of Operations for the three and six months ended June 30, 2005 and 2004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jc w:val="right"/>
              <w:ind w:right="257"/>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Six Months Ended</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8"/>
                <w:szCs w:val="18"/>
                <w:color w:val="auto"/>
                <w:w w:val="89"/>
              </w:rPr>
              <w:t>June 30,</w:t>
            </w:r>
          </w:p>
        </w:tc>
        <w:tc>
          <w:tcPr>
            <w:tcW w:w="2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June 30,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2004</w:t>
            </w:r>
          </w:p>
        </w:tc>
        <w:tc>
          <w:tcPr>
            <w:tcW w:w="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unconsolidated entities</w:t>
            </w:r>
          </w:p>
        </w:tc>
        <w:tc>
          <w:tcPr>
            <w:tcW w:w="640" w:type="dxa"/>
            <w:vAlign w:val="bottom"/>
            <w:gridSpan w:val="2"/>
            <w:shd w:val="clear" w:color="auto" w:fill="CCEEFF"/>
          </w:tcPr>
          <w:p>
            <w:pPr>
              <w:jc w:val="right"/>
              <w:ind w:right="483"/>
              <w:spacing w:after="0"/>
              <w:rPr>
                <w:sz w:val="20"/>
                <w:szCs w:val="20"/>
                <w:color w:val="auto"/>
              </w:rPr>
            </w:pPr>
            <w:r>
              <w:rPr>
                <w:rFonts w:ascii="Arial" w:cs="Arial" w:eastAsia="Arial" w:hAnsi="Arial"/>
                <w:sz w:val="15"/>
                <w:szCs w:val="15"/>
                <w:color w:val="auto"/>
                <w:w w:val="71"/>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(27)</w:t>
            </w:r>
          </w:p>
        </w:tc>
        <w:tc>
          <w:tcPr>
            <w:tcW w:w="1440" w:type="dxa"/>
            <w:vAlign w:val="bottom"/>
            <w:gridSpan w:val="2"/>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taxes(a)</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w:t>
            </w: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57" w:lineRule="exact"/>
        <w:rPr>
          <w:sz w:val="20"/>
          <w:szCs w:val="20"/>
          <w:color w:val="auto"/>
        </w:rPr>
      </w:pPr>
    </w:p>
    <w:p>
      <w:pPr>
        <w:ind w:left="700" w:right="420" w:hanging="462"/>
        <w:spacing w:after="0" w:line="253" w:lineRule="auto"/>
        <w:tabs>
          <w:tab w:leader="none" w:pos="7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reduction in our “Provision for (benefit from) income taxes” attributable to the Facilities includes benefits from tax credits of $27 million and $44 million for the three and six months ended June 30, 2005, respectively, and $24 million and $35 million for the three and six months ended June 30, 2004, respectively.</w:t>
      </w:r>
    </w:p>
    <w:p>
      <w:pPr>
        <w:spacing w:after="0" w:line="70" w:lineRule="exact"/>
        <w:rPr>
          <w:sz w:val="20"/>
          <w:szCs w:val="20"/>
          <w:color w:val="auto"/>
        </w:rPr>
      </w:pPr>
    </w:p>
    <w:p>
      <w:pPr>
        <w:jc w:val="both"/>
        <w:ind w:right="400" w:firstLine="222"/>
        <w:spacing w:after="0" w:line="264" w:lineRule="auto"/>
        <w:rPr>
          <w:sz w:val="20"/>
          <w:szCs w:val="20"/>
          <w:color w:val="auto"/>
        </w:rPr>
      </w:pPr>
      <w:r>
        <w:rPr>
          <w:rFonts w:ascii="Arial" w:cs="Arial" w:eastAsia="Arial" w:hAnsi="Arial"/>
          <w:sz w:val="18"/>
          <w:szCs w:val="18"/>
          <w:color w:val="auto"/>
        </w:rPr>
        <w:t>The equity losses and associated tax benefits would not have been incurred if we had not acquired the minority ownership interest in the Facilities. In addition, if the tax credits generated by the Facilities were no longer allowable under Section 29 of the Internal Revenue Code, we would no longer incur these losses.</w:t>
      </w:r>
    </w:p>
    <w:p>
      <w:pPr>
        <w:spacing w:after="0" w:line="73"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i w:val="1"/>
          <w:iCs w:val="1"/>
          <w:color w:val="auto"/>
        </w:rPr>
        <w:t xml:space="preserve">Repatriation of earnings in foreign subsidiaries </w:t>
      </w:r>
      <w:r>
        <w:rPr>
          <w:rFonts w:ascii="Arial" w:cs="Arial" w:eastAsia="Arial" w:hAnsi="Arial"/>
          <w:sz w:val="18"/>
          <w:szCs w:val="18"/>
          <w:color w:val="auto"/>
        </w:rPr>
        <w:t>— On October 22, 2004, the American Jobs Creation Act of 2004 (the “Act”) became law. A provision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Act allows U.S. companies to repatriate earnings from their foreign subsidiaries at a reduced tax rate during 2005. We have decided to repatriate accumulated earnings and capital from certain of our Canadian subsidiaries in accordance with this provision, which were previously accounted for as permanently reinvested in accordance with APB Opinion No. 23, </w:t>
      </w:r>
      <w:r>
        <w:rPr>
          <w:rFonts w:ascii="Arial" w:cs="Arial" w:eastAsia="Arial" w:hAnsi="Arial"/>
          <w:sz w:val="18"/>
          <w:szCs w:val="18"/>
          <w:i w:val="1"/>
          <w:iCs w:val="1"/>
          <w:color w:val="auto"/>
        </w:rPr>
        <w:t>Accounting for Income Taxes — Special Areas</w:t>
      </w:r>
      <w:r>
        <w:rPr>
          <w:rFonts w:ascii="Arial" w:cs="Arial" w:eastAsia="Arial" w:hAnsi="Arial"/>
          <w:sz w:val="18"/>
          <w:szCs w:val="18"/>
          <w:color w:val="auto"/>
        </w:rPr>
        <w:t>. Currently, we expect to repatriate approximately $485 million of our accumulated foreign earnings and capital under the terms of a domestic reinvestment plan that was approved by our Chief Executive Officer and Board of Directors during the second quarter of 2005. Our current period benefit from taxes has been partially offset by the accrual of $34 million in tax expense attributable to our planned repatriation.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Comprehensive income represents all changes in our equity except for changes resulting from investments by, and distributions to,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six months ended June 30, 2005 and June 30, 2004 was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w w:val="94"/>
              </w:rPr>
              <w:t>June 30,</w:t>
            </w:r>
          </w:p>
        </w:tc>
        <w:tc>
          <w:tcPr>
            <w:tcW w:w="2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w w:val="94"/>
              </w:rPr>
              <w:t>June 30,</w:t>
            </w:r>
          </w:p>
        </w:tc>
        <w:tc>
          <w:tcPr>
            <w:tcW w:w="2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2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2005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2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c>
          <w:tcPr>
            <w:tcW w:w="13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368</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9"/>
              </w:rPr>
              <w:t>Unrealized gains (losses) resulting from changes in fair value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 derivative instruments, net of taxes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300"/>
              <w:spacing w:after="0" w:line="201" w:lineRule="exact"/>
              <w:rPr>
                <w:sz w:val="20"/>
                <w:szCs w:val="20"/>
                <w:color w:val="auto"/>
              </w:rPr>
            </w:pPr>
            <w:r>
              <w:rPr>
                <w:rFonts w:ascii="Arial" w:cs="Arial" w:eastAsia="Arial" w:hAnsi="Arial"/>
                <w:sz w:val="18"/>
                <w:szCs w:val="18"/>
                <w:color w:val="auto"/>
              </w:rPr>
              <w:t>Realized losses on derivative instruments reclassified into</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440"/>
              <w:spacing w:after="0"/>
              <w:rPr>
                <w:sz w:val="20"/>
                <w:szCs w:val="20"/>
                <w:color w:val="auto"/>
              </w:rPr>
            </w:pPr>
            <w:r>
              <w:rPr>
                <w:rFonts w:ascii="Arial" w:cs="Arial" w:eastAsia="Arial" w:hAnsi="Arial"/>
                <w:sz w:val="18"/>
                <w:szCs w:val="18"/>
                <w:color w:val="auto"/>
              </w:rPr>
              <w:t>earnings, net of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Unrealized gains (losses) on marketable securities, net of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Translation adjustment of foreign currency statements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200</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338</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accumulated other comprehensive income were as follows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7"/>
              </w:rPr>
              <w:t>June 30,</w:t>
            </w:r>
          </w:p>
        </w:tc>
        <w:tc>
          <w:tcPr>
            <w:tcW w:w="360" w:type="dxa"/>
            <w:vAlign w:val="bottom"/>
          </w:tcPr>
          <w:p>
            <w:pPr>
              <w:spacing w:after="0"/>
              <w:rPr>
                <w:sz w:val="18"/>
                <w:szCs w:val="18"/>
                <w:color w:val="auto"/>
              </w:rPr>
            </w:pPr>
          </w:p>
        </w:tc>
        <w:tc>
          <w:tcPr>
            <w:tcW w:w="196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2005</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3"/>
              </w:rPr>
              <w:t>Accumulated unrealized loss on derivative instruments, net of tax benefit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Accumulated unrealized gain on marketable securities, net of taxes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 of foreign currency statements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20" w:type="dxa"/>
            <w:vAlign w:val="bottom"/>
            <w:vMerge w:val="restart"/>
          </w:tcPr>
          <w:p>
            <w:pPr>
              <w:jc w:val="right"/>
              <w:ind w:right="199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The following reconciles the number of shares outstanding at June 30 of each year to the number of weighted average basic shares outstanding and the number of weighted average diluted shares outstanding for the purpose of calculating basic and diluted earnings per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680" w:type="dxa"/>
            <w:vAlign w:val="bottom"/>
            <w:gridSpan w:val="4"/>
          </w:tcPr>
          <w:p>
            <w:pPr>
              <w:jc w:val="center"/>
              <w:ind w:right="620"/>
              <w:spacing w:after="0"/>
              <w:rPr>
                <w:sz w:val="20"/>
                <w:szCs w:val="20"/>
                <w:color w:val="auto"/>
              </w:rPr>
            </w:pPr>
            <w:r>
              <w:rPr>
                <w:rFonts w:ascii="Arial" w:cs="Arial" w:eastAsia="Arial" w:hAnsi="Arial"/>
                <w:sz w:val="18"/>
                <w:szCs w:val="18"/>
                <w:color w:val="auto"/>
                <w:w w:val="91"/>
              </w:rPr>
              <w:t>Three Months</w:t>
            </w:r>
          </w:p>
        </w:tc>
        <w:tc>
          <w:tcPr>
            <w:tcW w:w="1480" w:type="dxa"/>
            <w:vAlign w:val="bottom"/>
            <w:gridSpan w:val="3"/>
          </w:tcPr>
          <w:p>
            <w:pPr>
              <w:jc w:val="center"/>
              <w:ind w:left="470"/>
              <w:spacing w:after="0"/>
              <w:rPr>
                <w:sz w:val="20"/>
                <w:szCs w:val="20"/>
                <w:color w:val="auto"/>
              </w:rPr>
            </w:pPr>
            <w:r>
              <w:rPr>
                <w:rFonts w:ascii="Arial" w:cs="Arial" w:eastAsia="Arial" w:hAnsi="Arial"/>
                <w:sz w:val="18"/>
                <w:szCs w:val="18"/>
                <w:color w:val="auto"/>
                <w:w w:val="94"/>
              </w:rPr>
              <w:t>Six Months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gridSpan w:val="3"/>
          </w:tcPr>
          <w:p>
            <w:pPr>
              <w:jc w:val="center"/>
              <w:ind w:right="1340"/>
              <w:spacing w:after="0"/>
              <w:rPr>
                <w:sz w:val="20"/>
                <w:szCs w:val="20"/>
                <w:color w:val="auto"/>
              </w:rPr>
            </w:pPr>
            <w:r>
              <w:rPr>
                <w:rFonts w:ascii="Arial" w:cs="Arial" w:eastAsia="Arial" w:hAnsi="Arial"/>
                <w:sz w:val="18"/>
                <w:szCs w:val="18"/>
                <w:color w:val="auto"/>
                <w:w w:val="88"/>
              </w:rPr>
              <w:t>Ended</w:t>
            </w:r>
          </w:p>
        </w:tc>
        <w:tc>
          <w:tcPr>
            <w:tcW w:w="72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Ended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60" w:type="dxa"/>
            <w:vAlign w:val="bottom"/>
            <w:gridSpan w:val="3"/>
          </w:tcPr>
          <w:p>
            <w:pPr>
              <w:jc w:val="center"/>
              <w:ind w:right="1360"/>
              <w:spacing w:after="0"/>
              <w:rPr>
                <w:sz w:val="20"/>
                <w:szCs w:val="20"/>
                <w:color w:val="auto"/>
              </w:rPr>
            </w:pPr>
            <w:r>
              <w:rPr>
                <w:rFonts w:ascii="Arial" w:cs="Arial" w:eastAsia="Arial" w:hAnsi="Arial"/>
                <w:sz w:val="18"/>
                <w:szCs w:val="18"/>
                <w:color w:val="auto"/>
                <w:w w:val="86"/>
              </w:rPr>
              <w:t>June 30,</w:t>
            </w:r>
          </w:p>
        </w:tc>
        <w:tc>
          <w:tcPr>
            <w:tcW w:w="720" w:type="dxa"/>
            <w:vAlign w:val="bottom"/>
          </w:tcPr>
          <w:p>
            <w:pPr>
              <w:spacing w:after="0"/>
              <w:rPr>
                <w:sz w:val="20"/>
                <w:szCs w:val="2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June 30,</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2005</w:t>
            </w:r>
          </w:p>
        </w:tc>
        <w:tc>
          <w:tcPr>
            <w:tcW w:w="62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2004</w:t>
            </w:r>
          </w:p>
        </w:tc>
        <w:tc>
          <w:tcPr>
            <w:tcW w:w="6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2005</w:t>
            </w:r>
          </w:p>
        </w:tc>
        <w:tc>
          <w:tcPr>
            <w:tcW w:w="6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2004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580.0</w:t>
            </w:r>
          </w:p>
        </w:tc>
        <w:tc>
          <w:tcPr>
            <w:tcW w:w="13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563.0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Effect of using weighted average common shares outstanding</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ind w:left="280"/>
              <w:spacing w:after="0" w:line="201" w:lineRule="exact"/>
              <w:rPr>
                <w:sz w:val="20"/>
                <w:szCs w:val="20"/>
                <w:color w:val="auto"/>
              </w:rPr>
            </w:pPr>
            <w:r>
              <w:rPr>
                <w:rFonts w:ascii="Arial" w:cs="Arial" w:eastAsia="Arial" w:hAnsi="Arial"/>
                <w:sz w:val="18"/>
                <w:szCs w:val="18"/>
                <w:color w:val="auto"/>
              </w:rPr>
              <w:t>Dilutive effect of equity-based compensation awards, warrants and other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contingently issuable shares</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8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Number of anti-dilutive potentially issuable shares excluded from diluted common</w:t>
            </w: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13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Common Stock Dividends and Common Stock Repurchases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270"/>
        <w:spacing w:after="0" w:line="297" w:lineRule="auto"/>
        <w:rPr>
          <w:sz w:val="20"/>
          <w:szCs w:val="20"/>
          <w:color w:val="auto"/>
        </w:rPr>
      </w:pPr>
      <w:r>
        <w:rPr>
          <w:rFonts w:ascii="Arial" w:cs="Arial" w:eastAsia="Arial" w:hAnsi="Arial"/>
          <w:sz w:val="16"/>
          <w:szCs w:val="16"/>
          <w:color w:val="auto"/>
        </w:rPr>
        <w:t>Pursuant to our 2004 Stock Incentive Plan, we have the ability to issue various forms of equity-based compensation on terms and conditions determined by the Compensation Committee of our Board of Directors. As a result of both the changes in accounting for share-based payments as discussed in Note 12 and a desire to design our long-term incentive plans in a manner that creates a stronger link to operating and market performance, our Board of Directors recently approved a substantial change in the form of awards that we grant. In prior years, stock option awards were the primary form of equity-based compensation. Currently, we do not intend to include stock option awards as a component of our future long-term incentive plans.</w:t>
      </w:r>
    </w:p>
    <w:p>
      <w:pPr>
        <w:spacing w:after="0" w:line="50" w:lineRule="exact"/>
        <w:rPr>
          <w:sz w:val="20"/>
          <w:szCs w:val="20"/>
          <w:color w:val="auto"/>
        </w:rPr>
      </w:pPr>
    </w:p>
    <w:p>
      <w:pPr>
        <w:ind w:right="80" w:firstLine="270"/>
        <w:spacing w:after="0" w:line="272" w:lineRule="auto"/>
        <w:rPr>
          <w:sz w:val="20"/>
          <w:szCs w:val="20"/>
          <w:color w:val="auto"/>
        </w:rPr>
      </w:pPr>
      <w:r>
        <w:rPr>
          <w:rFonts w:ascii="Arial" w:cs="Arial" w:eastAsia="Arial" w:hAnsi="Arial"/>
          <w:sz w:val="17"/>
          <w:szCs w:val="17"/>
          <w:color w:val="auto"/>
        </w:rPr>
        <w:t>During the six months ended June 30, 2005, we granted approximately 750,000 restricted stock units and approximately 760,000 performance share units to selected participants under our 2004 Stock Incentive Plan. The restricted stock units vest ratably over a four-year period, and unvested units are subject to forfeiture in the event of voluntary or for-cause termination. The restricted stock units become immediately vested in the event of an employee’s death or disability and continue to vest for up to 36-months following an employee’s retirement. The performance share units are payable in shares of common stock based on the achievement of certain financial measures, after the end of a three-year performance period. The performance share units are also payable to an employee (or his beneficiary) upon death, disability or retirement as if that employee had remained employed until the end of the performance period, but are subject to forfeiture in the event of voluntary or for-cause termination.</w:t>
      </w:r>
    </w:p>
    <w:p>
      <w:pPr>
        <w:spacing w:after="0" w:line="70" w:lineRule="exact"/>
        <w:rPr>
          <w:sz w:val="20"/>
          <w:szCs w:val="20"/>
          <w:color w:val="auto"/>
        </w:rPr>
      </w:pPr>
    </w:p>
    <w:p>
      <w:pPr>
        <w:ind w:right="40" w:firstLine="267"/>
        <w:spacing w:after="0" w:line="257" w:lineRule="auto"/>
        <w:rPr>
          <w:sz w:val="20"/>
          <w:szCs w:val="20"/>
          <w:color w:val="auto"/>
        </w:rPr>
      </w:pPr>
      <w:r>
        <w:rPr>
          <w:rFonts w:ascii="Arial" w:cs="Arial" w:eastAsia="Arial" w:hAnsi="Arial"/>
          <w:sz w:val="18"/>
          <w:szCs w:val="18"/>
          <w:color w:val="auto"/>
        </w:rPr>
        <w:t xml:space="preserve">We have accounted for our stock-based compensation using the intrinsic value method prescribed by APB Opinion No.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Employees, </w:t>
      </w:r>
      <w:r>
        <w:rPr>
          <w:rFonts w:ascii="Arial" w:cs="Arial" w:eastAsia="Arial" w:hAnsi="Arial"/>
          <w:sz w:val="18"/>
          <w:szCs w:val="18"/>
          <w:color w:val="auto"/>
        </w:rPr>
        <w:t>as amended. Pursuant to APB No. 25, we have not recognized compensation cost for our stock options because the number of shares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issuable and the exercise price, which is equal to the fair market value of the underlying stock on the date of grant, are fixed. Compensation expense associated with restricted stock and restricted stock units that continue to vest based on future employment is measured based on the grant-date fair value of our common stock and 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recognized on a straight-line basis over the required employment period, which is generally the vesting period. Compensation expense associated with performance share units that continue to vest based on future performance is measured based on the fair-value of our common stock at each balance sheet date and recognized ratably over the performance period based on our expectations for achieving the defined performance criteria.</w:t>
      </w:r>
    </w:p>
    <w:p>
      <w:pPr>
        <w:spacing w:after="0" w:line="57" w:lineRule="exact"/>
        <w:rPr>
          <w:sz w:val="20"/>
          <w:szCs w:val="20"/>
          <w:color w:val="auto"/>
        </w:rPr>
      </w:pPr>
    </w:p>
    <w:p>
      <w:pPr>
        <w:ind w:right="40" w:firstLine="270"/>
        <w:spacing w:after="0" w:line="270" w:lineRule="auto"/>
        <w:rPr>
          <w:sz w:val="20"/>
          <w:szCs w:val="20"/>
          <w:color w:val="auto"/>
        </w:rPr>
      </w:pPr>
      <w:r>
        <w:rPr>
          <w:rFonts w:ascii="Arial" w:cs="Arial" w:eastAsia="Arial" w:hAnsi="Arial"/>
          <w:sz w:val="17"/>
          <w:szCs w:val="17"/>
          <w:color w:val="auto"/>
        </w:rPr>
        <w:t>Compensation expense included in reported net income associated with restricted stock, restricted stock units and performance share units was $5 million, or $3 million net of tax, for the three months ended June 30, 2005 and $11 million, or $7 million net of tax, for the six months ended June 30, 2005. Approximately $5 million, or $3 million net of tax, of the current year’s expense is associated with the recognition of compensation costs for restricted stock, restricted stock units and performance share units that were granted to employees who were either eligible for retirement at the date of grant or have become eligible for retirement during the vesting period. As discussed above, the provisions of these awards provide for continued vesting upon retirement and, as a result, the future vesting is considered non-substantive. Accordingly, compensation expense associated with the portion of restricted stock, restricted stock unit and performance share unit grants that does not require future service has been recognized immediately. As restricted stock, restricted stock units and performance share units were not a significant component of our stock incentive plan in 2004, compensation costs included in reported net income for the three and six months ended June 30, 2004 were approximately $1 million, net of tax.</w:t>
      </w:r>
    </w:p>
    <w:p>
      <w:pPr>
        <w:spacing w:after="0" w:line="74"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 xml:space="preserve">The following schedule reflects the pro forma impact on net income and earnings per share of accounting for our equity-based compensation using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which would result in the recognition of compensation expense for the fair value of stock option grants (in millions, except per share amounts). For purposes of measuring compensation expense on a pro forma basis, we have estimated the fair value of stock option grants using the Black-Scholes option-pricing model.</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6"/>
          </w:tcPr>
          <w:p>
            <w:pPr>
              <w:ind w:left="3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2"/>
              </w:rPr>
              <w:t>June 30,</w:t>
            </w: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89"/>
              </w:rPr>
              <w:t>June 30,</w:t>
            </w:r>
          </w:p>
        </w:tc>
        <w:tc>
          <w:tcPr>
            <w:tcW w:w="6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2005</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2004</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2005</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compensation expense per SFAS No. 123, net of tax benefit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firstLine="260"/>
        <w:spacing w:after="0" w:line="259" w:lineRule="auto"/>
        <w:rPr>
          <w:sz w:val="20"/>
          <w:szCs w:val="20"/>
          <w:color w:val="auto"/>
        </w:rPr>
      </w:pPr>
      <w:r>
        <w:rPr>
          <w:rFonts w:ascii="Arial" w:cs="Arial" w:eastAsia="Arial" w:hAnsi="Arial"/>
          <w:sz w:val="18"/>
          <w:szCs w:val="18"/>
          <w:color w:val="auto"/>
        </w:rPr>
        <w:t>As discussed above, in accordance with APB No. 25 and its interpretations, compensation expense attributable to equity-based awards is recognized on a straight-line basis over the service or employment period required for an employee to vest in his award. This attribution method results in the immediate recognition of compensation expense for the portion of any equity-based award that does not require future service or employment. The adjustments for compensation expense per SFAS No. 123, net of tax benefit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included in the table above do not reflect this attribution method. We are currently in the process of assessing the impact of non-substantive vesting provisions on our pro forma financial information.</w:t>
      </w:r>
    </w:p>
    <w:p>
      <w:pPr>
        <w:spacing w:after="0" w:line="62"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 xml:space="preserve">In accordance with SFAS No. 123 (revised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xml:space="preserve"> and the Securities and Exchange Commission’s rule amending the compliance dates of the Statement, we will begin to recognize compensation expense for equity-based compensation using the fair value method in 2006, as discussed in Note 12.</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Common Stock Dividends and Repurchases</w:t>
      </w:r>
    </w:p>
    <w:p>
      <w:pPr>
        <w:spacing w:after="0" w:line="117"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In October 2004, our Board of Directors approved a capital allocation program that provides for up to $1.2 billion in aggregate dividend payments and share repurchases each year during 2005, 2006 and 2007. Aggregate dividend payments and share repurchases under this program were $302 million during the three months ended June 30, 2005 and $518 million during the six months ended June 30, 2005.</w:t>
      </w:r>
    </w:p>
    <w:p>
      <w:pPr>
        <w:spacing w:after="0" w:line="73"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Board of Directors declared a $0.20 per share dividend in both the first and second quarters of 2005. The first quarter dividend was paid on March 24, 2005 to shareholders of record as of March 1, 2005 for an aggregate of $114 million. The second quarter dividend was paid on June 24, 2005 to shareholders of record as of June 1, 2005 for an aggregate of $114 million. In each of the first and second quarters of 2004, we declared and paid a dividend of $0.1875 per share, which resulted in aggregate cash payments of $109 million for the three months ended June 30, 2004 and $218 million for the six months ended June 30, 2004.</w:t>
      </w:r>
    </w:p>
    <w:p>
      <w:pPr>
        <w:spacing w:after="0" w:line="80" w:lineRule="exact"/>
        <w:rPr>
          <w:sz w:val="20"/>
          <w:szCs w:val="20"/>
          <w:color w:val="auto"/>
        </w:rPr>
      </w:pPr>
    </w:p>
    <w:p>
      <w:pPr>
        <w:ind w:right="120" w:firstLine="260"/>
        <w:spacing w:after="0" w:line="312" w:lineRule="auto"/>
        <w:rPr>
          <w:sz w:val="20"/>
          <w:szCs w:val="20"/>
          <w:color w:val="auto"/>
        </w:rPr>
      </w:pPr>
      <w:r>
        <w:rPr>
          <w:rFonts w:ascii="Arial" w:cs="Arial" w:eastAsia="Arial" w:hAnsi="Arial"/>
          <w:sz w:val="16"/>
          <w:szCs w:val="16"/>
          <w:color w:val="auto"/>
        </w:rPr>
        <w:t>All future dividend declarations are at the discretion of the Board of Directors, and depend on various factors, including our net earnings, financial condition, projected cash requirements and other factors the Board may deem relevant. Based on shares outstanding as of June 30, 2005, continued quarterly dividend declarations by our Board of Directors of $0.20 per share would result in total dividend payments of approximately $453 million in 2005.</w:t>
      </w:r>
    </w:p>
    <w:p>
      <w:pPr>
        <w:spacing w:after="0" w:line="39" w:lineRule="exact"/>
        <w:rPr>
          <w:sz w:val="20"/>
          <w:szCs w:val="20"/>
          <w:color w:val="auto"/>
        </w:rPr>
      </w:pPr>
    </w:p>
    <w:p>
      <w:pPr>
        <w:ind w:right="20" w:firstLine="270"/>
        <w:spacing w:after="0" w:line="302" w:lineRule="auto"/>
        <w:rPr>
          <w:sz w:val="20"/>
          <w:szCs w:val="20"/>
          <w:color w:val="auto"/>
        </w:rPr>
      </w:pPr>
      <w:r>
        <w:rPr>
          <w:rFonts w:ascii="Arial" w:cs="Arial" w:eastAsia="Arial" w:hAnsi="Arial"/>
          <w:sz w:val="16"/>
          <w:szCs w:val="16"/>
          <w:color w:val="auto"/>
        </w:rPr>
        <w:t>During the six months ended June 30, 2005, we repurchased 9.9 million shares of our common stock for $290 million, of which $12 million was settled in July 2005. During the six months ended June 30, 2004, we repurchased 3.1 million shares of our common stock at a cost of $89 million, of which $5 million was settled in July 2004. In addition, we paid $24 million in January 2004 to settle repurchases made in December 2003. Future share repurchases will be made at the discretion of management, and will depend on similar factors to those considered by the Board in making dividend declarations.</w:t>
      </w:r>
    </w:p>
    <w:p>
      <w:pPr>
        <w:spacing w:after="0" w:line="15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We have obtained letters of credit, performance bonds and insurance policies and have established trust funds and issued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guarantees to support tax-exempt bonds, contracts, performance of landfill closure and post-closure requirements, environmental remediation and other obligations.</w:t>
      </w:r>
    </w:p>
    <w:p>
      <w:pPr>
        <w:spacing w:after="0" w:line="73" w:lineRule="exact"/>
        <w:rPr>
          <w:sz w:val="20"/>
          <w:szCs w:val="20"/>
          <w:color w:val="auto"/>
        </w:rPr>
      </w:pPr>
    </w:p>
    <w:p>
      <w:pPr>
        <w:jc w:val="both"/>
        <w:ind w:right="220" w:firstLine="270"/>
        <w:spacing w:after="0" w:line="288" w:lineRule="auto"/>
        <w:rPr>
          <w:sz w:val="20"/>
          <w:szCs w:val="20"/>
          <w:color w:val="auto"/>
        </w:rPr>
      </w:pPr>
      <w:r>
        <w:rPr>
          <w:rFonts w:ascii="Arial" w:cs="Arial" w:eastAsia="Arial" w:hAnsi="Arial"/>
          <w:sz w:val="16"/>
          <w:szCs w:val="16"/>
          <w:color w:val="auto"/>
        </w:rPr>
        <w:t>Historically, our revolving credit facilities have been used to obtain letters of credit to support our bonding and financial assurance needs. We also have letter of credit and term loan agreements and a letter of credit facility to provide us with additional sources of capacity from which we may obtain letters of credit. We obtain surety bonds and insurance policies from an affiliated entity that we have an investment in and account for under the cost method.</w:t>
      </w:r>
    </w:p>
    <w:p>
      <w:pPr>
        <w:ind w:right="40"/>
        <w:spacing w:after="0" w:line="253" w:lineRule="auto"/>
        <w:rPr>
          <w:sz w:val="20"/>
          <w:szCs w:val="20"/>
          <w:color w:val="auto"/>
        </w:rPr>
      </w:pPr>
      <w:r>
        <w:rPr>
          <w:rFonts w:ascii="Arial" w:cs="Arial" w:eastAsia="Arial" w:hAnsi="Arial"/>
          <w:sz w:val="18"/>
          <w:szCs w:val="18"/>
          <w:color w:val="auto"/>
        </w:rPr>
        <w:t xml:space="preserve">Additionally in 2003, we guaranteed the debt of a newly-formed surety company in order to assist in the establishment of that entity. We are the primary beneficiary of this entity and consolidate it under the provisions of FIN 46. The terms of this guarantee are further discussed within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this note.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300" w:firstLine="270"/>
        <w:spacing w:after="0" w:line="257" w:lineRule="auto"/>
        <w:rPr>
          <w:sz w:val="20"/>
          <w:szCs w:val="20"/>
          <w:color w:val="auto"/>
        </w:rPr>
      </w:pPr>
      <w:r>
        <w:rPr>
          <w:rFonts w:ascii="Arial" w:cs="Arial" w:eastAsia="Arial" w:hAnsi="Arial"/>
          <w:sz w:val="18"/>
          <w:szCs w:val="18"/>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8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9"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w:t>
      </w:r>
    </w:p>
    <w:p>
      <w:pPr>
        <w:spacing w:after="0" w:line="79"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$19 million, it is unlikely that events relating to Reliance will have a material adverse impact on our financial statements.</w:t>
      </w:r>
    </w:p>
    <w:p>
      <w:pPr>
        <w:spacing w:after="0" w:line="80"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117" w:lineRule="exact"/>
        <w:rPr>
          <w:sz w:val="20"/>
          <w:szCs w:val="20"/>
          <w:color w:val="auto"/>
        </w:rPr>
      </w:pPr>
    </w:p>
    <w:p>
      <w:pPr>
        <w:ind w:left="460" w:right="180" w:hanging="101"/>
        <w:spacing w:after="0" w:line="25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June 30, 2005, WM Holdings, one of WMI’s wholly-owned subsidiaries, has fully and unconditionally guaranteed WMI’s senior indebtedness that matures through 2032. WMI has fully and unconditionally guaranteed the senior indebtedness of WM Holdings that matures through 2026. Performance under these guarantee agreements would be required if either party defaulted on their respective obligations. No additional liability has been recorded for these guarantees because the underlying obligations are reflected in our Condensed Consolidated Balance Sheets. See Note 11 for further information.</w:t>
      </w:r>
    </w:p>
    <w:p>
      <w:pPr>
        <w:spacing w:after="0" w:line="93" w:lineRule="exact"/>
        <w:rPr>
          <w:rFonts w:ascii="Arial" w:cs="Arial" w:eastAsia="Arial" w:hAnsi="Arial"/>
          <w:sz w:val="18"/>
          <w:szCs w:val="18"/>
          <w:color w:val="auto"/>
        </w:rPr>
      </w:pPr>
    </w:p>
    <w:p>
      <w:pPr>
        <w:ind w:left="460" w:hanging="101"/>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WMI has guaranteed the tax-exempt bonds of its subsidiaries. If a subsidiary fails to meet its obligations associated with tax-exempt bonds as they come due, WMI will be required to perform under the related guarantee agreement. No additional liability has been recorded for these guarantees because the underlying obligations are reflected in our Condensed Consolidated Balance Sheets. See Note 3 for information related to the balances and maturities of our tax-exempt bonds.</w:t>
      </w:r>
    </w:p>
    <w:p>
      <w:pPr>
        <w:spacing w:after="0" w:line="92" w:lineRule="exact"/>
        <w:rPr>
          <w:rFonts w:ascii="Arial" w:cs="Arial" w:eastAsia="Arial" w:hAnsi="Arial"/>
          <w:sz w:val="18"/>
          <w:szCs w:val="18"/>
          <w:color w:val="auto"/>
        </w:rPr>
      </w:pPr>
    </w:p>
    <w:p>
      <w:pPr>
        <w:jc w:val="both"/>
        <w:ind w:left="460" w:right="80" w:hanging="101"/>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guaranteed certain financial obligations of unconsolidated entities. The related obligations, which mature through 2020, are not recorded on our Condensed Consolidated Balance Sheets. As of June 30, 2005, our maximum future obligation associated with these guarantees is approximately $25 million. However, we have ongoing projects with the guaranteed entities and believe that it is not likely that we will be required to perform under these guarantees.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left="460" w:hanging="101"/>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issued a $28.6 million letter of credit to support the debt of a surety bonding company. This guarantee was initially established during the third quarter of 2003, and at that time we determined that we are the primary beneficiary of this entity under the provisions of FIN 46. As a result, since the third quarter of 2003, this entity has been consolidated into our financial statements and the guaranteed obligation is included as a component of “Long-term debt” in our Condensed Consolidated Balance Sheets.</w:t>
      </w:r>
    </w:p>
    <w:p>
      <w:pPr>
        <w:spacing w:after="0" w:line="92" w:lineRule="exact"/>
        <w:rPr>
          <w:rFonts w:ascii="Arial" w:cs="Arial" w:eastAsia="Arial" w:hAnsi="Arial"/>
          <w:sz w:val="18"/>
          <w:szCs w:val="18"/>
          <w:color w:val="auto"/>
        </w:rPr>
      </w:pPr>
    </w:p>
    <w:p>
      <w:pPr>
        <w:ind w:left="460" w:right="80" w:hanging="101"/>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WM Holdings has guaranteed all reimbursement obligations of WMI under its $350 million letter of credit facility and $295 million letter of credit and term loan agreements. Under those facilities, WMI must reimburse the entities funding the facilities for any draw on a letter of credit supported by the facilities. As of June 30, 2005, we had $633 million in outstanding letters of credit under these facilities.</w:t>
      </w:r>
    </w:p>
    <w:p>
      <w:pPr>
        <w:spacing w:after="0" w:line="86" w:lineRule="exact"/>
        <w:rPr>
          <w:rFonts w:ascii="Arial" w:cs="Arial" w:eastAsia="Arial" w:hAnsi="Arial"/>
          <w:sz w:val="18"/>
          <w:szCs w:val="18"/>
          <w:color w:val="auto"/>
        </w:rPr>
      </w:pPr>
    </w:p>
    <w:p>
      <w:pPr>
        <w:jc w:val="both"/>
        <w:ind w:left="460" w:right="580" w:hanging="101"/>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86" w:lineRule="exact"/>
        <w:rPr>
          <w:rFonts w:ascii="Arial" w:cs="Arial" w:eastAsia="Arial" w:hAnsi="Arial"/>
          <w:sz w:val="18"/>
          <w:szCs w:val="18"/>
          <w:color w:val="auto"/>
        </w:rPr>
      </w:pPr>
    </w:p>
    <w:p>
      <w:pPr>
        <w:ind w:left="460" w:right="100" w:hanging="101"/>
        <w:spacing w:after="0" w:line="25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value of certain homeowners’ properties that are adjacent to our landfills. These guarantee agreements extend over the life of the respective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93"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w:t>
      </w:r>
    </w:p>
    <w:p>
      <w:pPr>
        <w:spacing w:after="0" w:line="86" w:lineRule="exact"/>
        <w:rPr>
          <w:rFonts w:ascii="Arial" w:cs="Arial" w:eastAsia="Arial" w:hAnsi="Arial"/>
          <w:sz w:val="18"/>
          <w:szCs w:val="18"/>
          <w:color w:val="auto"/>
        </w:rPr>
      </w:pPr>
    </w:p>
    <w:p>
      <w:pPr>
        <w:ind w:left="460" w:right="80" w:hanging="101"/>
        <w:spacing w:after="0" w:line="276"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and liabilities as obligations are incurred. No additional liability has been recorded for the lease guarantees because the subsidiaries’ obligations are properly accounted for as operating or capital leases, as appropriate.</w:t>
      </w:r>
    </w:p>
    <w:p>
      <w:pPr>
        <w:spacing w:after="0" w:line="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do not currently believe that it is reasonably likely that we will be required to perform under these guarantee agreements or that any performance requirement would have a material impact on our consolidated financial statements.</w:t>
      </w:r>
    </w:p>
    <w:p>
      <w:pPr>
        <w:spacing w:after="0" w:line="62"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Our business is intrinsically connected with the protection of the environment. As such, a significant portion of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capital expenditures 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w:t>
      </w:r>
    </w:p>
    <w:p>
      <w:pPr>
        <w:spacing w:after="0" w:line="79" w:lineRule="exact"/>
        <w:rPr>
          <w:sz w:val="20"/>
          <w:szCs w:val="20"/>
          <w:color w:val="auto"/>
        </w:rPr>
      </w:pPr>
    </w:p>
    <w:p>
      <w:pPr>
        <w:ind w:right="400" w:firstLine="270"/>
        <w:spacing w:after="0" w:line="264" w:lineRule="auto"/>
        <w:rPr>
          <w:sz w:val="20"/>
          <w:szCs w:val="20"/>
          <w:color w:val="auto"/>
        </w:rPr>
      </w:pPr>
      <w:r>
        <w:rPr>
          <w:rFonts w:ascii="Arial" w:cs="Arial" w:eastAsia="Arial" w:hAnsi="Arial"/>
          <w:sz w:val="18"/>
          <w:szCs w:val="18"/>
          <w:color w:val="auto"/>
        </w:rPr>
        <w:t>Estimates of the extent of our degree of responsibility for remediation of a particular site and the method and ultimate cost of remediation require a number of assumptions and are inherently difficult, and the ultimate outcome may differ materially from current estimates. However, we believe that our extensive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experience in the environmental services industry, as well as our involvement with a large number of sites, provides a reasonable basis for estimating our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79"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have been identified as a PRP in a number of governmental investigations and actions relating to waste disposal sites that may be subject to remedial action under CERCLA or similar state laws. 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allocation of costs. At others where no remedy has been selected or the liable parties have been unable to agree on an appropriate allocation, our future costs are uncertain. Any of these matters could have a material adverse effect on our consolidated financial statements.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regarding commitments and contingencies with respect to environmental matters, see Note 2.</w:t>
      </w:r>
    </w:p>
    <w:p>
      <w:pPr>
        <w:spacing w:after="0" w:line="117"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December 1999, an individual brought an action against the Company, five former officers of WM Holdings, and WM Holdings’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 Arthur 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removed the case to federal court in Illinois, but a remand order has been issued. An appeal of that remand has been filed by the Company. Only limited discovery has occurred and the defendants continue to defend themselves vigorously. The extent of possible damages, if any, in this action cannot yet be determined.</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April 2002, a former participant in WM Holdings’ ERISA plans and another individual filed a lawsuit in Washington, D.C. against WMI,</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69" w:lineRule="exact"/>
        <w:rPr>
          <w:sz w:val="20"/>
          <w:szCs w:val="20"/>
          <w:color w:val="auto"/>
        </w:rPr>
      </w:pPr>
    </w:p>
    <w:p>
      <w:pPr>
        <w:ind w:right="40" w:firstLine="267"/>
        <w:spacing w:after="0" w:line="255" w:lineRule="auto"/>
        <w:rPr>
          <w:sz w:val="20"/>
          <w:szCs w:val="20"/>
          <w:color w:val="auto"/>
        </w:rPr>
      </w:pPr>
      <w:r>
        <w:rPr>
          <w:rFonts w:ascii="Arial" w:cs="Arial" w:eastAsia="Arial" w:hAnsi="Arial"/>
          <w:sz w:val="18"/>
          <w:szCs w:val="18"/>
          <w:color w:val="auto"/>
        </w:rPr>
        <w:t>Three groups of stockholders have filed separate lawsuits in state courts in Texas and federal court in Illinois against us and certain of our former officers. The lawsuit filed in Illinois was subsequently transferred to federal court in Texas. The petitions allege that the plaintiffs are substantial holders of the Company’s common stock who intended to sell their stock in 1999, or to otherwise protect themselves against loss, but that the public statements we made regarding our prospects, and in some instances statements made by the individual defendants, were false and misleading and induced the plaintiffs to retain their stock or not to take other protective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2002. That dismissal was ultimately upheld by the appellate court. The plaintiffs have appealed this decision to the highest state court in Texas. The second case also filed in state court is stayed pending resolution of the first case, and we intend to continue to vigorously defend ourselves against these claims. In March 2004, the court granted our motion to dismiss the third case, which was pending in federal court, and the dismissal was affirmed by the Fifth Circuit Court of Appeal in April 2005. Finally, another shareholder has sued the Company in Louisiana making allegations similar to those made in the securities class action referred to above and by the plaintiff claiming damages for having held stock. The case has been removed to federal court and transferred to Texas where we are seeking a dismissal.</w:t>
      </w:r>
    </w:p>
    <w:p>
      <w:pPr>
        <w:spacing w:after="0" w:line="85" w:lineRule="exact"/>
        <w:rPr>
          <w:sz w:val="20"/>
          <w:szCs w:val="20"/>
          <w:color w:val="auto"/>
        </w:rPr>
      </w:pPr>
    </w:p>
    <w:p>
      <w:pPr>
        <w:ind w:right="20" w:firstLine="267"/>
        <w:spacing w:after="0" w:line="276" w:lineRule="auto"/>
        <w:rPr>
          <w:sz w:val="20"/>
          <w:szCs w:val="20"/>
          <w:color w:val="auto"/>
        </w:rPr>
      </w:pPr>
      <w:r>
        <w:rPr>
          <w:rFonts w:ascii="Arial" w:cs="Arial" w:eastAsia="Arial" w:hAnsi="Arial"/>
          <w:sz w:val="17"/>
          <w:szCs w:val="17"/>
          <w:color w:val="auto"/>
        </w:rPr>
        <w:t>The Company is currently defending allegations related generally to the termination of two separate joint ventures to which one of our wholly-owned subsidiaries was a party. The claims in both proceedings involve the value of the joint ventures. The joint venture relationships have ended and the contributed assets have been divested by the Company. The Company is defending itself vigorously in each of these proceedings, in which the parties are seeking a variety of remedies ranging from monetary damages to unwinding the transaction. However, the nature and extent of possible remedies or damages cannot be determined at this time. Both of these matters have been fully tried and we are awaiting final rulings.</w:t>
      </w:r>
    </w:p>
    <w:p>
      <w:pPr>
        <w:spacing w:after="0" w:line="64"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From time to time, we pay fines or penalties in environmental proceedings relating primarily to waste treatment, storage or disposal facilities. As of June 30, 2005, there were four proceedings involving our subsidiaries where we reasonably believe that the sanctions could exceed $100,000. The matters involve allegations that subsidiaries (i) improperly operated a solid waste landfill by failing to maintain required records, properly place and cover waste and adhere to proper leachate levels; (ii) failed to comply with air permit and emission limit requirements at an operating landfill; (iii) caused excess odors and exceeded certain sewer discharge limitations and landfill gas emission limit requirements at an operating landfill; and (iv) violated federal and state air pollution control statutes and rules, state solid waste and ground water protection statutes and rules and state permits at an operating landfill. We do not believe that the fines or other penalties in any of these matters will, individually or in the aggregate, have a material adverse effect on our financial condition or results of operations.</w:t>
      </w:r>
    </w:p>
    <w:p>
      <w:pPr>
        <w:spacing w:after="0" w:line="84"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 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results of operations or cash flows in one or more future periods.</w:t>
      </w:r>
    </w:p>
    <w:p>
      <w:pPr>
        <w:spacing w:after="0" w:line="79" w:lineRule="exact"/>
        <w:rPr>
          <w:sz w:val="20"/>
          <w:szCs w:val="20"/>
          <w:color w:val="auto"/>
        </w:rPr>
      </w:pPr>
    </w:p>
    <w:p>
      <w:pPr>
        <w:ind w:right="480" w:firstLine="270"/>
        <w:spacing w:after="0" w:line="286" w:lineRule="auto"/>
        <w:rPr>
          <w:sz w:val="20"/>
          <w:szCs w:val="20"/>
          <w:color w:val="auto"/>
        </w:rPr>
      </w:pPr>
      <w:r>
        <w:rPr>
          <w:rFonts w:ascii="Arial" w:cs="Arial" w:eastAsia="Arial" w:hAnsi="Arial"/>
          <w:sz w:val="17"/>
          <w:szCs w:val="17"/>
          <w:color w:val="auto"/>
        </w:rPr>
        <w:t>Under Delaware law, corporations are allowed to indemnify their officers, directors and employees against claims arising from their actions in such capacities if the individuals acted in good faith and in a manner they believed to be in, or not opposed to, the best interests of the corporation. Further, corporations are allowed to advance expenses to the individuals in such matters, contingent upon the receipt of an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undertaking by the individuals to repay all expenses if it is ultimately determined that they did not act in good faith and in a manner they believed to be in, or not opposed to, the best interests of the corporation. Like many Delaware companies, WMI’s charter and bylaws require indemnification and advancement of expenses if these standards have been met. Additionally, the charter and bylaw documents of certain of WMI’s subsidiaries, including WM Holdings, include similar indemnification provisions, and some subsidiaries, including WM Holdings, entered into separate indemnification agreements with their officers and directors that provide for even greater rights and protections for the individuals. The Company has in the past, and may in the future, incur substantial expenses in connection with the fulfillment of its advancement of costs and indemnification obligations. The Company’s obligations to indemnify and advance expenses will continue after individuals leave the Company for claims related to actions that occurred before their departure from the Company.</w:t>
      </w:r>
    </w:p>
    <w:p>
      <w:pPr>
        <w:spacing w:after="0" w:line="59" w:lineRule="exact"/>
        <w:rPr>
          <w:sz w:val="20"/>
          <w:szCs w:val="20"/>
          <w:color w:val="auto"/>
        </w:rPr>
      </w:pPr>
    </w:p>
    <w:p>
      <w:pPr>
        <w:ind w:right="140" w:firstLine="267"/>
        <w:spacing w:after="0" w:line="264" w:lineRule="auto"/>
        <w:rPr>
          <w:sz w:val="20"/>
          <w:szCs w:val="20"/>
          <w:color w:val="auto"/>
        </w:rPr>
      </w:pPr>
      <w:r>
        <w:rPr>
          <w:rFonts w:ascii="Arial" w:cs="Arial" w:eastAsia="Arial" w:hAnsi="Arial"/>
          <w:sz w:val="18"/>
          <w:szCs w:val="18"/>
          <w:color w:val="auto"/>
        </w:rPr>
        <w:t>We are involved in routine civil litigation and governmental proceedings, including litigation involving former employees and competitors arising in the ordinary course of our business. We do not believe that any such matters will ultimately have a material adverse impact on our consolidated financial statements.</w:t>
      </w:r>
    </w:p>
    <w:p>
      <w:pPr>
        <w:spacing w:after="0" w:line="73" w:lineRule="exact"/>
        <w:rPr>
          <w:sz w:val="20"/>
          <w:szCs w:val="20"/>
          <w:color w:val="auto"/>
        </w:rPr>
      </w:pPr>
    </w:p>
    <w:p>
      <w:pPr>
        <w:ind w:right="140" w:firstLine="270"/>
        <w:spacing w:after="0" w:line="254" w:lineRule="auto"/>
        <w:rPr>
          <w:sz w:val="20"/>
          <w:szCs w:val="20"/>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 We are currently under audit by the IRS and from time to time are audited by other taxing authorities. We fully cooperate with all audits,</w:t>
      </w:r>
      <w:r>
        <w:rPr>
          <w:rFonts w:ascii="Arial" w:cs="Arial" w:eastAsia="Arial" w:hAnsi="Arial"/>
          <w:sz w:val="18"/>
          <w:szCs w:val="18"/>
          <w:i w:val="1"/>
          <w:iCs w:val="1"/>
          <w:color w:val="auto"/>
        </w:rPr>
        <w:t xml:space="preserve"> </w:t>
      </w:r>
      <w:r>
        <w:rPr>
          <w:rFonts w:ascii="Arial" w:cs="Arial" w:eastAsia="Arial" w:hAnsi="Arial"/>
          <w:sz w:val="18"/>
          <w:szCs w:val="18"/>
          <w:color w:val="auto"/>
        </w:rPr>
        <w:t>but defend our positions vigorously. Our audits are in various stages of completion. During the second quarter of 2005, we concluded the appeals phase of IRS audits for the years 1997 through 2000. The current period financial statement impact of concluding these audits is discussed in Note 4. In addition, during the fourth quarter of 2004, we concluded an IRS audit for 2001. We are currently in the examination phase of the IRS audit for the years 2002 and 2003. This audit should be completed within the next 12 to 18 months. To provide for potential tax exposures, we maintain an allowance for tax contingencies,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84"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Capitalized software costs </w:t>
      </w:r>
      <w:r>
        <w:rPr>
          <w:rFonts w:ascii="Arial" w:cs="Arial" w:eastAsia="Arial" w:hAnsi="Arial"/>
          <w:sz w:val="18"/>
          <w:szCs w:val="18"/>
          <w:color w:val="auto"/>
        </w:rPr>
        <w:t>— We are currently assessing our options with respect to the implementation of a revenue management system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cost basis at June 30, 2005 of approximately $80 million. There are certain reasonably possible implementation alternatives that could result in a significant impairment of this asset. We currently expect to conclude our assessment of the implementation approach for a revenue management system during the second half of 2005.</w:t>
      </w:r>
    </w:p>
    <w:p>
      <w:pPr>
        <w:spacing w:after="0" w:line="183"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21" w:lineRule="exact"/>
        <w:rPr>
          <w:sz w:val="20"/>
          <w:szCs w:val="20"/>
          <w:color w:val="auto"/>
        </w:rPr>
      </w:pPr>
    </w:p>
    <w:p>
      <w:pPr>
        <w:ind w:right="100" w:firstLine="267"/>
        <w:spacing w:after="0" w:line="272" w:lineRule="auto"/>
        <w:rPr>
          <w:sz w:val="20"/>
          <w:szCs w:val="20"/>
          <w:color w:val="auto"/>
        </w:rPr>
      </w:pPr>
      <w:r>
        <w:rPr>
          <w:rFonts w:ascii="Arial" w:cs="Arial" w:eastAsia="Arial" w:hAnsi="Arial"/>
          <w:sz w:val="17"/>
          <w:szCs w:val="17"/>
          <w:color w:val="auto"/>
        </w:rPr>
        <w:t>We manage and evaluate our operations primarily through our Eastern, Midwest, Southern, Western, Canadian, Wheelabrator and Recycling Groups. These seven operating Groups are presented below as our reportable segments. These reportable segments, when combined with certain other operations not managed through the seven operating Groups, comprise our North American Solid Waste, or NASW, operations. NASW, our core business, provides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seven operating Groups are presented herein as “Other NASW.”</w:t>
      </w:r>
    </w:p>
    <w:p>
      <w:pPr>
        <w:spacing w:after="0" w:line="70" w:lineRule="exact"/>
        <w:rPr>
          <w:sz w:val="20"/>
          <w:szCs w:val="20"/>
          <w:color w:val="auto"/>
        </w:rPr>
      </w:pPr>
    </w:p>
    <w:p>
      <w:pPr>
        <w:jc w:val="both"/>
        <w:ind w:right="340" w:firstLine="270"/>
        <w:spacing w:after="0" w:line="259" w:lineRule="auto"/>
        <w:rPr>
          <w:sz w:val="20"/>
          <w:szCs w:val="20"/>
          <w:color w:val="auto"/>
        </w:rPr>
      </w:pPr>
      <w:r>
        <w:rPr>
          <w:rFonts w:ascii="Arial" w:cs="Arial" w:eastAsia="Arial" w:hAnsi="Arial"/>
          <w:sz w:val="18"/>
          <w:szCs w:val="18"/>
          <w:color w:val="auto"/>
        </w:rPr>
        <w:t>Early in the third quarter of 2004, we implemented a market realignment that consisted of moving our Ohio operations to the Midwest Group and our Kentucky operations to the Southern Group, both of which were previously in the Eastern Group. As a result of the realignment, we have reclassified the operating results of the Ohio and Kentucky Market Areas in the following tables to provide segment financial information that appropriately reflects our current approach to managing operations.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Summarized financial information concerning our reportable segments for the three and six months ended June 30 is shown in the following tables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Intercompany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Net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Operating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Operating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980"/>
              <w:spacing w:after="0"/>
              <w:rPr>
                <w:sz w:val="20"/>
                <w:szCs w:val="20"/>
                <w:color w:val="auto"/>
              </w:rPr>
            </w:pPr>
            <w:r>
              <w:rPr>
                <w:rFonts w:ascii="Arial" w:cs="Arial" w:eastAsia="Arial" w:hAnsi="Arial"/>
                <w:sz w:val="18"/>
                <w:szCs w:val="18"/>
                <w:color w:val="auto"/>
                <w:w w:val="91"/>
              </w:rPr>
              <w:t>Operating</w:t>
            </w:r>
          </w:p>
        </w:tc>
        <w:tc>
          <w:tcPr>
            <w:tcW w:w="120" w:type="dxa"/>
            <w:vAlign w:val="bottom"/>
          </w:tcPr>
          <w:p>
            <w:pPr>
              <w:spacing w:after="0"/>
              <w:rPr>
                <w:sz w:val="18"/>
                <w:szCs w:val="18"/>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8"/>
                <w:szCs w:val="18"/>
                <w:color w:val="auto"/>
              </w:rPr>
              <w:t>Income from</w:t>
            </w:r>
          </w:p>
        </w:tc>
        <w:tc>
          <w:tcPr>
            <w:tcW w:w="0" w:type="dxa"/>
            <w:vAlign w:val="bottom"/>
          </w:tcPr>
          <w:p>
            <w:pPr>
              <w:spacing w:after="0"/>
              <w:rPr>
                <w:sz w:val="1"/>
                <w:szCs w:val="1"/>
                <w:color w:val="auto"/>
              </w:rPr>
            </w:pPr>
          </w:p>
        </w:tc>
      </w:tr>
      <w:tr>
        <w:trPr>
          <w:trHeight w:val="237"/>
        </w:trPr>
        <w:tc>
          <w:tcPr>
            <w:tcW w:w="28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Revenues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Revenues(c)</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Revenues(d)</w:t>
            </w:r>
          </w:p>
        </w:tc>
        <w:tc>
          <w:tcPr>
            <w:tcW w:w="120" w:type="dxa"/>
            <w:vAlign w:val="bottom"/>
          </w:tcPr>
          <w:p>
            <w:pPr>
              <w:spacing w:after="0"/>
              <w:rPr>
                <w:sz w:val="20"/>
                <w:szCs w:val="20"/>
                <w:color w:val="auto"/>
              </w:rPr>
            </w:pPr>
          </w:p>
        </w:tc>
        <w:tc>
          <w:tcPr>
            <w:tcW w:w="2220" w:type="dxa"/>
            <w:vAlign w:val="bottom"/>
            <w:gridSpan w:val="2"/>
          </w:tcPr>
          <w:p>
            <w:pPr>
              <w:jc w:val="right"/>
              <w:ind w:right="1000"/>
              <w:spacing w:after="0"/>
              <w:rPr>
                <w:sz w:val="20"/>
                <w:szCs w:val="20"/>
                <w:color w:val="auto"/>
              </w:rPr>
            </w:pPr>
            <w:r>
              <w:rPr>
                <w:rFonts w:ascii="Arial" w:cs="Arial" w:eastAsia="Arial" w:hAnsi="Arial"/>
                <w:sz w:val="18"/>
                <w:szCs w:val="18"/>
                <w:color w:val="auto"/>
                <w:w w:val="90"/>
              </w:rPr>
              <w:t>Operations(e),(f)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2005</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Canadian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157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Midwest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711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8"/>
                <w:szCs w:val="18"/>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723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8"/>
                <w:szCs w:val="18"/>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 NASW(a)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color w:val="auto"/>
              </w:rPr>
              <w:t>Total NASW</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3,937</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Canadian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141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Midwest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(137)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Southern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189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 NASW(a)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color w:val="auto"/>
              </w:rPr>
              <w:t>Total NASW</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9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WASTE MANAGEMENT, INC.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80" w:type="dxa"/>
            <w:vAlign w:val="bottom"/>
            <w:gridSpan w:val="17"/>
          </w:tcPr>
          <w:p>
            <w:pPr>
              <w:jc w:val="right"/>
              <w:ind w:right="2160"/>
              <w:spacing w:after="0"/>
              <w:rPr>
                <w:sz w:val="20"/>
                <w:szCs w:val="20"/>
                <w:color w:val="auto"/>
              </w:rPr>
            </w:pPr>
            <w:r>
              <w:rPr>
                <w:rFonts w:ascii="Arial" w:cs="Arial" w:eastAsia="Arial" w:hAnsi="Arial"/>
                <w:sz w:val="18"/>
                <w:szCs w:val="18"/>
                <w:b w:val="1"/>
                <w:bCs w:val="1"/>
                <w:color w:val="auto"/>
              </w:rPr>
              <w:t>NOTES TO CONDENSED CONSOLIDATED FINANCIAL STATEMENTS — (Continued)</w:t>
            </w:r>
          </w:p>
        </w:tc>
        <w:tc>
          <w:tcPr>
            <w:tcW w:w="0" w:type="dxa"/>
            <w:vAlign w:val="bottom"/>
          </w:tcPr>
          <w:p>
            <w:pPr>
              <w:spacing w:after="0"/>
              <w:rPr>
                <w:sz w:val="1"/>
                <w:szCs w:val="1"/>
                <w:color w:val="auto"/>
              </w:rPr>
            </w:pPr>
          </w:p>
        </w:tc>
      </w:tr>
      <w:tr>
        <w:trPr>
          <w:trHeight w:val="539"/>
        </w:trPr>
        <w:tc>
          <w:tcPr>
            <w:tcW w:w="1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Gross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2"/>
          </w:tcPr>
          <w:p>
            <w:pPr>
              <w:jc w:val="center"/>
              <w:ind w:right="1080"/>
              <w:spacing w:after="0"/>
              <w:rPr>
                <w:sz w:val="20"/>
                <w:szCs w:val="20"/>
                <w:color w:val="auto"/>
              </w:rPr>
            </w:pPr>
            <w:r>
              <w:rPr>
                <w:rFonts w:ascii="Arial" w:cs="Arial" w:eastAsia="Arial" w:hAnsi="Arial"/>
                <w:sz w:val="18"/>
                <w:szCs w:val="18"/>
                <w:color w:val="auto"/>
                <w:w w:val="91"/>
              </w:rPr>
              <w:t>Intercompany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940"/>
              <w:spacing w:after="0"/>
              <w:rPr>
                <w:sz w:val="20"/>
                <w:szCs w:val="20"/>
                <w:color w:val="auto"/>
              </w:rPr>
            </w:pPr>
            <w:r>
              <w:rPr>
                <w:rFonts w:ascii="Arial" w:cs="Arial" w:eastAsia="Arial" w:hAnsi="Arial"/>
                <w:sz w:val="18"/>
                <w:szCs w:val="18"/>
                <w:color w:val="auto"/>
                <w:w w:val="92"/>
              </w:rPr>
              <w:t>Net</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94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Operating</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ind w:right="1080"/>
              <w:spacing w:after="0"/>
              <w:rPr>
                <w:sz w:val="20"/>
                <w:szCs w:val="20"/>
                <w:color w:val="auto"/>
              </w:rPr>
            </w:pPr>
            <w:r>
              <w:rPr>
                <w:rFonts w:ascii="Arial" w:cs="Arial" w:eastAsia="Arial" w:hAnsi="Arial"/>
                <w:sz w:val="18"/>
                <w:szCs w:val="18"/>
                <w:color w:val="auto"/>
                <w:w w:val="91"/>
              </w:rPr>
              <w:t>Operating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920"/>
              <w:spacing w:after="0"/>
              <w:rPr>
                <w:sz w:val="20"/>
                <w:szCs w:val="20"/>
                <w:color w:val="auto"/>
              </w:rPr>
            </w:pPr>
            <w:r>
              <w:rPr>
                <w:rFonts w:ascii="Arial" w:cs="Arial" w:eastAsia="Arial" w:hAnsi="Arial"/>
                <w:sz w:val="18"/>
                <w:szCs w:val="18"/>
                <w:color w:val="auto"/>
                <w:w w:val="91"/>
              </w:rPr>
              <w:t>Operating</w:t>
            </w:r>
          </w:p>
        </w:tc>
        <w:tc>
          <w:tcPr>
            <w:tcW w:w="140" w:type="dxa"/>
            <w:vAlign w:val="bottom"/>
          </w:tcPr>
          <w:p>
            <w:pPr>
              <w:spacing w:after="0"/>
              <w:rPr>
                <w:sz w:val="18"/>
                <w:szCs w:val="18"/>
                <w:color w:val="auto"/>
              </w:rPr>
            </w:pPr>
          </w:p>
        </w:tc>
        <w:tc>
          <w:tcPr>
            <w:tcW w:w="2260" w:type="dxa"/>
            <w:vAlign w:val="bottom"/>
            <w:gridSpan w:val="2"/>
          </w:tcPr>
          <w:p>
            <w:pPr>
              <w:jc w:val="right"/>
              <w:ind w:right="1160"/>
              <w:spacing w:after="0"/>
              <w:rPr>
                <w:sz w:val="20"/>
                <w:szCs w:val="20"/>
                <w:color w:val="auto"/>
              </w:rPr>
            </w:pPr>
            <w:r>
              <w:rPr>
                <w:rFonts w:ascii="Arial" w:cs="Arial" w:eastAsia="Arial" w:hAnsi="Arial"/>
                <w:sz w:val="18"/>
                <w:szCs w:val="18"/>
                <w:color w:val="auto"/>
              </w:rPr>
              <w:t>Income from</w:t>
            </w:r>
          </w:p>
        </w:tc>
        <w:tc>
          <w:tcPr>
            <w:tcW w:w="0" w:type="dxa"/>
            <w:vAlign w:val="bottom"/>
          </w:tcPr>
          <w:p>
            <w:pPr>
              <w:spacing w:after="0"/>
              <w:rPr>
                <w:sz w:val="1"/>
                <w:szCs w:val="1"/>
                <w:color w:val="auto"/>
              </w:rPr>
            </w:pPr>
          </w:p>
        </w:tc>
      </w:tr>
      <w:tr>
        <w:trPr>
          <w:trHeight w:val="241"/>
        </w:trPr>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Ended:</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Revenues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center"/>
              <w:ind w:right="1060"/>
              <w:spacing w:after="0"/>
              <w:rPr>
                <w:sz w:val="20"/>
                <w:szCs w:val="20"/>
                <w:color w:val="auto"/>
              </w:rPr>
            </w:pPr>
            <w:r>
              <w:rPr>
                <w:rFonts w:ascii="Arial" w:cs="Arial" w:eastAsia="Arial" w:hAnsi="Arial"/>
                <w:sz w:val="18"/>
                <w:szCs w:val="18"/>
                <w:color w:val="auto"/>
                <w:w w:val="88"/>
              </w:rPr>
              <w:t>Revenues(c)</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ind w:right="940"/>
              <w:spacing w:after="0"/>
              <w:rPr>
                <w:sz w:val="20"/>
                <w:szCs w:val="20"/>
                <w:color w:val="auto"/>
              </w:rPr>
            </w:pPr>
            <w:r>
              <w:rPr>
                <w:rFonts w:ascii="Arial" w:cs="Arial" w:eastAsia="Arial" w:hAnsi="Arial"/>
                <w:sz w:val="18"/>
                <w:szCs w:val="18"/>
                <w:color w:val="auto"/>
                <w:w w:val="87"/>
              </w:rPr>
              <w:t>Revenues(d)</w:t>
            </w:r>
          </w:p>
        </w:tc>
        <w:tc>
          <w:tcPr>
            <w:tcW w:w="140" w:type="dxa"/>
            <w:vAlign w:val="bottom"/>
          </w:tcPr>
          <w:p>
            <w:pPr>
              <w:spacing w:after="0"/>
              <w:rPr>
                <w:sz w:val="20"/>
                <w:szCs w:val="20"/>
                <w:color w:val="auto"/>
              </w:rPr>
            </w:pPr>
          </w:p>
        </w:tc>
        <w:tc>
          <w:tcPr>
            <w:tcW w:w="2260" w:type="dxa"/>
            <w:vAlign w:val="bottom"/>
            <w:gridSpan w:val="2"/>
          </w:tcPr>
          <w:p>
            <w:pPr>
              <w:jc w:val="right"/>
              <w:ind w:right="1020"/>
              <w:spacing w:after="0"/>
              <w:rPr>
                <w:sz w:val="20"/>
                <w:szCs w:val="20"/>
                <w:color w:val="auto"/>
              </w:rPr>
            </w:pPr>
            <w:r>
              <w:rPr>
                <w:rFonts w:ascii="Arial" w:cs="Arial" w:eastAsia="Arial" w:hAnsi="Arial"/>
                <w:sz w:val="18"/>
                <w:szCs w:val="18"/>
                <w:color w:val="auto"/>
                <w:w w:val="92"/>
              </w:rPr>
              <w:t>Operations(e),(f)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2005</w:t>
            </w: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Canadian</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(28)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297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1,749</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1,403</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1,203</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NASW(a)</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1940" w:type="dxa"/>
            <w:vAlign w:val="bottom"/>
            <w:gridSpan w:val="3"/>
          </w:tcPr>
          <w:p>
            <w:pPr>
              <w:spacing w:after="0"/>
              <w:rPr>
                <w:sz w:val="20"/>
                <w:szCs w:val="20"/>
                <w:color w:val="auto"/>
              </w:rPr>
            </w:pPr>
            <w:r>
              <w:rPr>
                <w:rFonts w:ascii="Arial" w:cs="Arial" w:eastAsia="Arial" w:hAnsi="Arial"/>
                <w:sz w:val="18"/>
                <w:szCs w:val="18"/>
                <w:color w:val="auto"/>
              </w:rPr>
              <w:t>Total NASW</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7,546</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6,327</w:t>
            </w:r>
          </w:p>
        </w:tc>
        <w:tc>
          <w:tcPr>
            <w:tcW w:w="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7,546</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6,327</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30, 2004</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Canadian</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(30)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268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1,313</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1,315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Wheelabrator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NASW(a)</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1940" w:type="dxa"/>
            <w:vAlign w:val="bottom"/>
            <w:gridSpan w:val="3"/>
          </w:tcPr>
          <w:p>
            <w:pPr>
              <w:spacing w:after="0"/>
              <w:rPr>
                <w:sz w:val="20"/>
                <w:szCs w:val="20"/>
                <w:color w:val="auto"/>
              </w:rPr>
            </w:pPr>
            <w:r>
              <w:rPr>
                <w:rFonts w:ascii="Arial" w:cs="Arial" w:eastAsia="Arial" w:hAnsi="Arial"/>
                <w:sz w:val="18"/>
                <w:szCs w:val="18"/>
                <w:color w:val="auto"/>
              </w:rPr>
              <w:t>Total NASW</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Other(b)</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00" w:right="140" w:hanging="462"/>
        <w:spacing w:after="0" w:line="256" w:lineRule="auto"/>
        <w:tabs>
          <w:tab w:leader="none" w:pos="7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Other NASW revenues are generally generated from services provided throughout our operating Groups for in-plant services, methane gas recovery and certain third party sub-contract and administration revenues managed by our National Accounts and Upstream organizations. Other NASW operating results reflect the combined impact of (i) the services described above; (ii) non-operating entities that provide financial assurance and self-insurance support for the operating Groups or financing for our Canadian Group; and (iii) certain quarter-end adjustments related to the reportable segments that are not included in the measure of segment profit or loss used to assess their performance for the periods disclosed.</w:t>
      </w:r>
    </w:p>
    <w:p>
      <w:pPr>
        <w:spacing w:after="0" w:line="23" w:lineRule="exact"/>
        <w:rPr>
          <w:rFonts w:ascii="Arial" w:cs="Arial" w:eastAsia="Arial" w:hAnsi="Arial"/>
          <w:sz w:val="13"/>
          <w:szCs w:val="13"/>
          <w:color w:val="auto"/>
        </w:rPr>
      </w:pPr>
    </w:p>
    <w:p>
      <w:pPr>
        <w:ind w:left="700" w:right="260" w:hanging="462"/>
        <w:spacing w:after="0" w:line="234" w:lineRule="auto"/>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Corporate operating results reflect the costs incurred for various support services that are not allocated to our seven operating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(i) our long-term incentive program; and (ii) managing our Non-NASW divested operations, which primarily includes administrative expenses and the impact of revisions to our estimated obligations.</w:t>
      </w:r>
    </w:p>
    <w:p>
      <w:pPr>
        <w:spacing w:after="0" w:line="33" w:lineRule="exact"/>
        <w:rPr>
          <w:rFonts w:ascii="Arial" w:cs="Arial" w:eastAsia="Arial" w:hAnsi="Arial"/>
          <w:sz w:val="14"/>
          <w:szCs w:val="14"/>
          <w:color w:val="auto"/>
        </w:rPr>
      </w:pPr>
    </w:p>
    <w:p>
      <w:pPr>
        <w:ind w:left="700" w:right="480" w:hanging="462"/>
        <w:spacing w:after="0" w:line="253" w:lineRule="auto"/>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25" w:lineRule="exact"/>
        <w:rPr>
          <w:rFonts w:ascii="Arial" w:cs="Arial" w:eastAsia="Arial" w:hAnsi="Arial"/>
          <w:sz w:val="14"/>
          <w:szCs w:val="14"/>
          <w:color w:val="auto"/>
        </w:rPr>
      </w:pPr>
    </w:p>
    <w:p>
      <w:pPr>
        <w:ind w:left="700" w:right="60" w:hanging="462"/>
        <w:spacing w:after="0" w:line="256" w:lineRule="auto"/>
        <w:tabs>
          <w:tab w:leader="none" w:pos="7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also tend to increase during the summer months. Additionally, certain destructive weather conditions, such as the hurricanes experienced during the third quarter of 2004, actually increase our revenues in the areas affected, although these revenues are often low margin due to high start-up costs and other special circumstances related to disaster clean-up. Our second and third quarter revenues and results of operations typically reflect these seasonal trends.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79" w:lineRule="exact"/>
        <w:rPr>
          <w:sz w:val="20"/>
          <w:szCs w:val="20"/>
          <w:color w:val="auto"/>
        </w:rPr>
      </w:pPr>
    </w:p>
    <w:p>
      <w:pPr>
        <w:ind w:left="700" w:right="60" w:hanging="462"/>
        <w:spacing w:after="0" w:line="229" w:lineRule="auto"/>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operating results of our reportable segments generally reflect the impact the various lines of business and markets in which we operate can have on the Company’s consolidated operating results. The income from operations provided by our five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have historically been higher than the margins provided by our base business generally due to the combined impact of long-term disposal and energy contracts and the disposal demands of the region in which our facilities are concentrated. Income from operations provided by our Recycling segment generally reflects operating margins typical of the recycling industry, which tend to be significantly lower than those provided by our base business.</w:t>
      </w:r>
    </w:p>
    <w:p>
      <w:pPr>
        <w:spacing w:after="0" w:line="23" w:lineRule="exact"/>
        <w:rPr>
          <w:rFonts w:ascii="Arial" w:cs="Arial" w:eastAsia="Arial" w:hAnsi="Arial"/>
          <w:sz w:val="14"/>
          <w:szCs w:val="14"/>
          <w:color w:val="auto"/>
        </w:rPr>
      </w:pPr>
    </w:p>
    <w:p>
      <w:pPr>
        <w:ind w:left="580" w:right="160" w:hanging="342"/>
        <w:spacing w:after="0" w:line="253" w:lineRule="auto"/>
        <w:tabs>
          <w:tab w:leader="none" w:pos="5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those items included in the determination of income from operations, the accounting policies of our segments are generally the same as those described in the summary of significant accounting policies included in our December 31, 2004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total revenues contributed by our principal lines of business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jc w:val="right"/>
              <w:ind w:right="100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4"/>
          </w:tcPr>
          <w:p>
            <w:pPr>
              <w:jc w:val="right"/>
              <w:ind w:right="60"/>
              <w:spacing w:after="0"/>
              <w:rPr>
                <w:sz w:val="20"/>
                <w:szCs w:val="20"/>
                <w:color w:val="auto"/>
              </w:rPr>
            </w:pPr>
            <w:r>
              <w:rPr>
                <w:rFonts w:ascii="Arial" w:cs="Arial" w:eastAsia="Arial" w:hAnsi="Arial"/>
                <w:sz w:val="18"/>
                <w:szCs w:val="18"/>
                <w:color w:val="auto"/>
              </w:rPr>
              <w:t>Six Months Ended</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9"/>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83"/>
              </w:rPr>
              <w:t>June 30,</w:t>
            </w:r>
          </w:p>
        </w:tc>
        <w:tc>
          <w:tcPr>
            <w:tcW w:w="7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2004</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2005</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2004</w:t>
            </w:r>
          </w:p>
        </w:tc>
        <w:tc>
          <w:tcPr>
            <w:tcW w:w="3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Landfill</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773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1,437</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810</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Wheelabrator</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other(a)</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Intercompany(b)</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(1,163)</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380" w:type="dxa"/>
            <w:vAlign w:val="bottom"/>
            <w:shd w:val="clear" w:color="auto" w:fill="CCEEFF"/>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49" w:lineRule="exact"/>
        <w:rPr>
          <w:sz w:val="20"/>
          <w:szCs w:val="20"/>
          <w:color w:val="auto"/>
        </w:rPr>
      </w:pPr>
    </w:p>
    <w:p>
      <w:pPr>
        <w:ind w:left="700" w:right="240" w:hanging="462"/>
        <w:spacing w:after="0" w:line="253" w:lineRule="auto"/>
        <w:tabs>
          <w:tab w:leader="none" w:pos="700" w:val="left"/>
        </w:tabs>
        <w:numPr>
          <w:ilvl w:val="1"/>
          <w:numId w:val="23"/>
        </w:numPr>
        <w:rPr>
          <w:rFonts w:ascii="Arial" w:cs="Arial" w:eastAsia="Arial" w:hAnsi="Arial"/>
          <w:sz w:val="14"/>
          <w:szCs w:val="14"/>
          <w:color w:val="auto"/>
        </w:rPr>
      </w:pPr>
      <w:r>
        <w:rPr>
          <w:rFonts w:ascii="Arial" w:cs="Arial" w:eastAsia="Arial" w:hAnsi="Arial"/>
          <w:sz w:val="14"/>
          <w:szCs w:val="14"/>
          <w:color w:val="auto"/>
        </w:rPr>
        <w:t>In addition to the revenue generated by our Recycling Group, we have included revenues generated within our five geographic operating Groups derived from recycling, methane gas operations and Port-O-Let® services in the “recycling and other” line-of-business.</w:t>
      </w:r>
    </w:p>
    <w:p>
      <w:pPr>
        <w:spacing w:after="0" w:line="25" w:lineRule="exact"/>
        <w:rPr>
          <w:rFonts w:ascii="Arial" w:cs="Arial" w:eastAsia="Arial" w:hAnsi="Arial"/>
          <w:sz w:val="14"/>
          <w:szCs w:val="14"/>
          <w:color w:val="auto"/>
        </w:rPr>
      </w:pPr>
    </w:p>
    <w:p>
      <w:pPr>
        <w:ind w:left="700" w:hanging="462"/>
        <w:spacing w:after="0"/>
        <w:tabs>
          <w:tab w:leader="none" w:pos="700" w:val="left"/>
        </w:tabs>
        <w:numPr>
          <w:ilvl w:val="1"/>
          <w:numId w:val="23"/>
        </w:numPr>
        <w:rPr>
          <w:rFonts w:ascii="Arial" w:cs="Arial" w:eastAsia="Arial" w:hAnsi="Arial"/>
          <w:sz w:val="14"/>
          <w:szCs w:val="14"/>
          <w:color w:val="auto"/>
        </w:rPr>
      </w:pPr>
      <w:r>
        <w:rPr>
          <w:rFonts w:ascii="Arial" w:cs="Arial" w:eastAsia="Arial" w:hAnsi="Arial"/>
          <w:sz w:val="14"/>
          <w:szCs w:val="14"/>
          <w:color w:val="auto"/>
        </w:rPr>
        <w:t>Intercompany revenues between lines of business are eliminated within the Condensed Consolidated Financial Statements included herein.</w:t>
      </w:r>
    </w:p>
    <w:p>
      <w:pPr>
        <w:spacing w:after="0" w:line="204" w:lineRule="exact"/>
        <w:rPr>
          <w:rFonts w:ascii="Arial" w:cs="Arial" w:eastAsia="Arial" w:hAnsi="Arial"/>
          <w:sz w:val="14"/>
          <w:szCs w:val="14"/>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Assets Impairments and Unusual Items</w:t>
      </w:r>
    </w:p>
    <w:p>
      <w:pPr>
        <w:spacing w:after="0" w:line="121"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following table summarizes the major components of “Asset impairments and unusual items” for the three and six months ended June 30, 2005 and 2004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June 30,</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June 30,</w:t>
            </w: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2005</w:t>
            </w: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2004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2005</w:t>
            </w: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2004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gains on divestitures</w:t>
            </w:r>
          </w:p>
        </w:tc>
        <w:tc>
          <w:tcPr>
            <w:tcW w:w="160" w:type="dxa"/>
            <w:vAlign w:val="bottom"/>
          </w:tcPr>
          <w:p>
            <w:pPr>
              <w:spacing w:after="0"/>
              <w:rPr>
                <w:sz w:val="18"/>
                <w:szCs w:val="18"/>
                <w:color w:val="auto"/>
              </w:rPr>
            </w:pPr>
          </w:p>
        </w:tc>
        <w:tc>
          <w:tcPr>
            <w:tcW w:w="1560" w:type="dxa"/>
            <w:vAlign w:val="bottom"/>
            <w:gridSpan w:val="2"/>
          </w:tcPr>
          <w:p>
            <w:pPr>
              <w:jc w:val="right"/>
              <w:ind w:right="7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75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7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3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9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The significant transactions and events resulting in asset impairments, net gains on divestitures and other financial statement impacts within “Asset impairments and unusual items” in our Condensed Consolidated Statements of Operations during the three and six months ended June 30, 2005 and 2004 are discussed below.</w:t>
      </w:r>
    </w:p>
    <w:p>
      <w:pPr>
        <w:spacing w:after="0" w:line="73" w:lineRule="exact"/>
        <w:rPr>
          <w:sz w:val="20"/>
          <w:szCs w:val="20"/>
          <w:color w:val="auto"/>
        </w:rPr>
      </w:pPr>
    </w:p>
    <w:p>
      <w:pPr>
        <w:ind w:right="140" w:firstLine="270"/>
        <w:spacing w:after="0" w:line="297" w:lineRule="auto"/>
        <w:rPr>
          <w:sz w:val="20"/>
          <w:szCs w:val="20"/>
          <w:color w:val="auto"/>
        </w:rPr>
      </w:pPr>
      <w:r>
        <w:rPr>
          <w:rFonts w:ascii="Arial" w:cs="Arial" w:eastAsia="Arial" w:hAnsi="Arial"/>
          <w:sz w:val="16"/>
          <w:szCs w:val="16"/>
          <w:i w:val="1"/>
          <w:iCs w:val="1"/>
          <w:color w:val="auto"/>
        </w:rPr>
        <w:t xml:space="preserve">Asset impairments </w:t>
      </w:r>
      <w:r>
        <w:rPr>
          <w:rFonts w:ascii="Arial" w:cs="Arial" w:eastAsia="Arial" w:hAnsi="Arial"/>
          <w:sz w:val="16"/>
          <w:szCs w:val="16"/>
          <w:color w:val="auto"/>
        </w:rPr>
        <w:t>— During the second quarter of 2005, we recorded a $35 million charge for the impairment of the Pottstown Landfill located in West</w:t>
      </w:r>
      <w:r>
        <w:rPr>
          <w:rFonts w:ascii="Arial" w:cs="Arial" w:eastAsia="Arial" w:hAnsi="Arial"/>
          <w:sz w:val="16"/>
          <w:szCs w:val="16"/>
          <w:i w:val="1"/>
          <w:iCs w:val="1"/>
          <w:color w:val="auto"/>
        </w:rPr>
        <w:t xml:space="preserve"> </w:t>
      </w:r>
      <w:r>
        <w:rPr>
          <w:rFonts w:ascii="Arial" w:cs="Arial" w:eastAsia="Arial" w:hAnsi="Arial"/>
          <w:sz w:val="16"/>
          <w:szCs w:val="16"/>
          <w:color w:val="auto"/>
        </w:rPr>
        <w:t>Pottsgrove Township, Pennsylvania. We determined that an impairment was necessary after, on May 18, 2005,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 to pursue an appeal of the permit denial. This decision was primarily due to the expected impact of the permitting delays, which would hinder our ability to fully utilize the expansion airspace before the landfill’s required closure in 2010. We plan to continue to operate the Pottstown Landfill using existing permitted airspace through the landfill’s current permit expiration date of October 2005. The Pottstown Landfill has not been a significant contributor to our recent earnings nor do we expect the expansion denial or the resulting impairment to have a material adverse effect on our future results of operations or cash flows.</w:t>
      </w:r>
    </w:p>
    <w:p>
      <w:pPr>
        <w:spacing w:after="0" w:line="80"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i w:val="1"/>
          <w:iCs w:val="1"/>
          <w:color w:val="auto"/>
        </w:rPr>
        <w:t xml:space="preserve">Net gains on divestitures </w:t>
      </w:r>
      <w:r>
        <w:rPr>
          <w:rFonts w:ascii="Arial" w:cs="Arial" w:eastAsia="Arial" w:hAnsi="Arial"/>
          <w:sz w:val="16"/>
          <w:szCs w:val="16"/>
          <w:color w:val="auto"/>
        </w:rPr>
        <w:t>— During the first quarter of 2005 we recognized a $39 million gain as a result of the divestiture of a landfill in Ontario, Canada,</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required as a result of a Divestiture Order from the Canadian Competition Bureau. During the second quarter of 2005 we recognized $32 million in gains as a result of the divestiture of certain operations in our Western and Southern groups. The divestiture of operations during the second quarter of 2005 was part of our plan to review under-performing or non-strategic operations and to either improve their performance or dispose of the operations.</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proceeds from divestitures completed during the six months ended June 30, 2005 were $144 million, of which $112 million was received in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 million was in the form of a note receivable and $9 million was in the form of non-monetary assets. We do not believe that these divestitures are material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either individually or in the aggregate and we do not expect these divestitures to materially affect our consolidated financial position or future results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or cash flows.</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the first quarter of 2004, we divested certain Port-O-Let operations for a gain of $8 million.</w:t>
      </w:r>
    </w:p>
    <w:p>
      <w:pPr>
        <w:spacing w:after="0" w:line="117"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February 2005, we recognized a charge of approximately $16 million for the impact of a litigation settlement reached with a group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that opted not to participate in the settlement of the securities class action lawsuit against us related to 1998 and 1999 activity. This charge was partially offset by the recognition of a $9 million benefit recorded during the three months ended June 30, 2005 for adjustments to our estimated obligations and receivables for non-solid waste operations divested in 1999 and 2000.</w:t>
      </w:r>
    </w:p>
    <w:p>
      <w:pPr>
        <w:spacing w:after="0" w:line="79"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color w:val="auto"/>
        </w:rPr>
        <w:t>During the second quarter of 2004, we recognized a $12 million benefit for adjustments to our estimated obligations associated with non-solid waste services, which were divested in 1999 and 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Condensed Consolidating Financial Statements</w:t>
      </w:r>
    </w:p>
    <w:p>
      <w:pPr>
        <w:spacing w:after="0" w:line="121"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WM Holdings has fully and unconditionally guaranteed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June 30,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left="288"/>
              <w:spacing w:after="0"/>
              <w:rPr>
                <w:sz w:val="20"/>
                <w:szCs w:val="20"/>
                <w:color w:val="auto"/>
              </w:rPr>
            </w:pPr>
            <w:r>
              <w:rPr>
                <w:rFonts w:ascii="Arial" w:cs="Arial" w:eastAsia="Arial" w:hAnsi="Arial"/>
                <w:sz w:val="14"/>
                <w:szCs w:val="14"/>
                <w:color w:val="auto"/>
                <w:w w:val="94"/>
              </w:rPr>
              <w:t>ASSETS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WM</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WMI</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w w:val="99"/>
              </w:rPr>
              <w:t>Holdings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Subsidiaries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391</w:t>
            </w:r>
          </w:p>
        </w:tc>
        <w:tc>
          <w:tcPr>
            <w:tcW w:w="2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90</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2,311</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2,401</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2,827</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11,309</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11,309</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Investments in and advances to affiliates</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10,144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7,669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(17,813)</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6,506</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ind w:left="520"/>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10,611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7,680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20,216</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(17,813)</w:t>
            </w:r>
          </w:p>
        </w:tc>
        <w:tc>
          <w:tcPr>
            <w:tcW w:w="7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20,694</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20" w:type="dxa"/>
            <w:vAlign w:val="bottom"/>
            <w:gridSpan w:val="10"/>
            <w:shd w:val="clear" w:color="auto" w:fill="CCEEFF"/>
          </w:tcPr>
          <w:p>
            <w:pPr>
              <w:jc w:val="center"/>
              <w:spacing w:after="0" w:line="149" w:lineRule="exact"/>
              <w:rPr>
                <w:sz w:val="20"/>
                <w:szCs w:val="20"/>
                <w:color w:val="auto"/>
              </w:rPr>
            </w:pPr>
            <w:r>
              <w:rPr>
                <w:rFonts w:ascii="Arial" w:cs="Arial" w:eastAsia="Arial" w:hAnsi="Arial"/>
                <w:sz w:val="14"/>
                <w:szCs w:val="14"/>
                <w:color w:val="auto"/>
              </w:rPr>
              <w:t>LIABILITIES AND STOCKHOLDERS’ EQUITY</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6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215</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2,428</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2,643</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2,753</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2,760</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Due to affiliates</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4,231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(4,231)</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3,157</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ind w:left="520"/>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4,414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12,791</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(4,231)</w:t>
            </w: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14,203</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Minority interest in subsidiaries and variable interest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entities</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294</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6,197</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6,451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7,131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(13,582)</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6,197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10,611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7,680</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20,216</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(17,813)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20,694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6"/>
          </w:tcPr>
          <w:p>
            <w:pPr>
              <w:jc w:val="center"/>
              <w:ind w:right="1240"/>
              <w:spacing w:after="0"/>
              <w:rPr>
                <w:sz w:val="20"/>
                <w:szCs w:val="20"/>
                <w:color w:val="auto"/>
              </w:rPr>
            </w:pPr>
            <w:r>
              <w:rPr>
                <w:rFonts w:ascii="Arial" w:cs="Arial" w:eastAsia="Arial" w:hAnsi="Arial"/>
                <w:sz w:val="16"/>
                <w:szCs w:val="16"/>
                <w:color w:val="auto"/>
                <w:w w:val="91"/>
              </w:rPr>
              <w:t>December 31, 2004</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left="288"/>
              <w:spacing w:after="0"/>
              <w:rPr>
                <w:sz w:val="20"/>
                <w:szCs w:val="20"/>
                <w:color w:val="auto"/>
              </w:rPr>
            </w:pPr>
            <w:r>
              <w:rPr>
                <w:rFonts w:ascii="Arial" w:cs="Arial" w:eastAsia="Arial" w:hAnsi="Arial"/>
                <w:sz w:val="14"/>
                <w:szCs w:val="14"/>
                <w:color w:val="auto"/>
                <w:w w:val="94"/>
              </w:rPr>
              <w:t>ASSETS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WM</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WMI</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w w:val="99"/>
              </w:rPr>
              <w:t>Holdings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Subsidiaries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6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2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67</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424</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2,369</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2,436</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2,819</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11,476</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11,476</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Investments in and advances to affiliates</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9,962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7,051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(17,013)</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6,554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ind w:left="520"/>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10,388</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20,466</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(17,013)</w:t>
            </w:r>
          </w:p>
        </w:tc>
        <w:tc>
          <w:tcPr>
            <w:tcW w:w="7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20,905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20" w:type="dxa"/>
            <w:vAlign w:val="bottom"/>
            <w:gridSpan w:val="10"/>
            <w:shd w:val="clear" w:color="auto" w:fill="CCEEFF"/>
          </w:tcPr>
          <w:p>
            <w:pPr>
              <w:jc w:val="center"/>
              <w:spacing w:after="0" w:line="149" w:lineRule="exact"/>
              <w:rPr>
                <w:sz w:val="20"/>
                <w:szCs w:val="20"/>
                <w:color w:val="auto"/>
              </w:rPr>
            </w:pPr>
            <w:r>
              <w:rPr>
                <w:rFonts w:ascii="Arial" w:cs="Arial" w:eastAsia="Arial" w:hAnsi="Arial"/>
                <w:sz w:val="14"/>
                <w:szCs w:val="14"/>
                <w:color w:val="auto"/>
              </w:rPr>
              <w:t>LIABILITIES AND STOCKHOLDERS’ EQUITY</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6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4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246</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2,721</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2,967</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3,205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2,721</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Due to affiliates</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4,954</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(4,954)</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3,174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ind w:left="520"/>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4,417</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1,373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13,816</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(4,954)</w:t>
            </w: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14,652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Minority interest in subsidiaries and variable interest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entities</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282</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5,971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5,691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6,368</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(12,059)</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10,388</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7,064</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20,466</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(17,013)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20,905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June 30,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color w:val="auto"/>
              </w:rPr>
              <w:t>WM</w:t>
            </w:r>
          </w:p>
        </w:tc>
        <w:tc>
          <w:tcPr>
            <w:tcW w:w="300" w:type="dxa"/>
            <w:vAlign w:val="bottom"/>
          </w:tcPr>
          <w:p>
            <w:pPr>
              <w:spacing w:after="0"/>
              <w:rPr>
                <w:sz w:val="14"/>
                <w:szCs w:val="14"/>
                <w:color w:val="auto"/>
              </w:rPr>
            </w:pPr>
          </w:p>
        </w:tc>
        <w:tc>
          <w:tcPr>
            <w:tcW w:w="1900" w:type="dxa"/>
            <w:vAlign w:val="bottom"/>
            <w:gridSpan w:val="3"/>
          </w:tcPr>
          <w:p>
            <w:pPr>
              <w:jc w:val="right"/>
              <w:ind w:right="960"/>
              <w:spacing w:after="0"/>
              <w:rPr>
                <w:sz w:val="20"/>
                <w:szCs w:val="20"/>
                <w:color w:val="auto"/>
              </w:rPr>
            </w:pPr>
            <w:r>
              <w:rPr>
                <w:rFonts w:ascii="Arial" w:cs="Arial" w:eastAsia="Arial" w:hAnsi="Arial"/>
                <w:sz w:val="14"/>
                <w:szCs w:val="14"/>
                <w:color w:val="auto"/>
                <w:w w:val="98"/>
              </w:rPr>
              <w:t>Non-Guarantor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WMI</w:t>
            </w:r>
          </w:p>
        </w:tc>
        <w:tc>
          <w:tcPr>
            <w:tcW w:w="2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Holdings</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4"/>
              </w:rPr>
              <w:t>Subsidiaries</w:t>
            </w: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Eliminations</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Consolidated</w:t>
            </w:r>
          </w:p>
        </w:tc>
        <w:tc>
          <w:tcPr>
            <w:tcW w:w="40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3,289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3,289</w:t>
            </w:r>
          </w:p>
        </w:tc>
      </w:tr>
      <w:tr>
        <w:trPr>
          <w:trHeight w:val="156"/>
        </w:trPr>
        <w:tc>
          <w:tcPr>
            <w:tcW w:w="20" w:type="dxa"/>
            <w:vAlign w:val="bottom"/>
          </w:tcPr>
          <w:p>
            <w:pPr>
              <w:spacing w:after="0"/>
              <w:rPr>
                <w:sz w:val="13"/>
                <w:szCs w:val="13"/>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2,826</w:t>
            </w:r>
          </w:p>
        </w:tc>
        <w:tc>
          <w:tcPr>
            <w:tcW w:w="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2,826</w:t>
            </w:r>
          </w:p>
        </w:tc>
        <w:tc>
          <w:tcPr>
            <w:tcW w:w="4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400" w:type="dxa"/>
            <w:vAlign w:val="bottom"/>
            <w:shd w:val="clear" w:color="auto" w:fill="CCEEFF"/>
          </w:tcPr>
          <w:p>
            <w:pPr>
              <w:spacing w:after="0"/>
              <w:rPr>
                <w:sz w:val="12"/>
                <w:szCs w:val="12"/>
                <w:color w:val="auto"/>
              </w:rPr>
            </w:pPr>
          </w:p>
        </w:tc>
      </w:tr>
      <w:tr>
        <w:trPr>
          <w:trHeight w:val="156"/>
        </w:trPr>
        <w:tc>
          <w:tcPr>
            <w:tcW w:w="396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(122)</w:t>
            </w:r>
          </w:p>
        </w:tc>
      </w:tr>
      <w:tr>
        <w:trPr>
          <w:trHeight w:val="149"/>
        </w:trPr>
        <w:tc>
          <w:tcPr>
            <w:tcW w:w="20" w:type="dxa"/>
            <w:vAlign w:val="bottom"/>
          </w:tcPr>
          <w:p>
            <w:pPr>
              <w:spacing w:after="0"/>
              <w:rPr>
                <w:sz w:val="12"/>
                <w:szCs w:val="12"/>
                <w:color w:val="auto"/>
              </w:rPr>
            </w:pPr>
          </w:p>
        </w:tc>
        <w:tc>
          <w:tcPr>
            <w:tcW w:w="394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582</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(1,151)</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w:t>
            </w:r>
          </w:p>
        </w:tc>
      </w:tr>
      <w:tr>
        <w:trPr>
          <w:trHeight w:val="130"/>
        </w:trPr>
        <w:tc>
          <w:tcPr>
            <w:tcW w:w="20" w:type="dxa"/>
            <w:vAlign w:val="bottom"/>
          </w:tcPr>
          <w:p>
            <w:pPr>
              <w:spacing w:after="0"/>
              <w:rPr>
                <w:sz w:val="11"/>
                <w:szCs w:val="11"/>
                <w:color w:val="auto"/>
              </w:rPr>
            </w:pPr>
          </w:p>
        </w:tc>
        <w:tc>
          <w:tcPr>
            <w:tcW w:w="3940" w:type="dxa"/>
            <w:vAlign w:val="bottom"/>
          </w:tcPr>
          <w:p>
            <w:pPr>
              <w:ind w:left="280"/>
              <w:spacing w:after="0" w:line="130" w:lineRule="exact"/>
              <w:rPr>
                <w:sz w:val="20"/>
                <w:szCs w:val="20"/>
                <w:color w:val="auto"/>
              </w:rPr>
            </w:pPr>
            <w:r>
              <w:rPr>
                <w:rFonts w:ascii="Arial" w:cs="Arial" w:eastAsia="Arial" w:hAnsi="Arial"/>
                <w:sz w:val="14"/>
                <w:szCs w:val="14"/>
                <w:color w:val="auto"/>
              </w:rPr>
              <w:t>Equity in net losses of unconsolidated entities and other,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940" w:type="dxa"/>
            <w:vAlign w:val="bottom"/>
          </w:tcPr>
          <w:p>
            <w:pPr>
              <w:ind w:left="40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4"/>
                <w:szCs w:val="14"/>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(25)</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(1,151)</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(158)</w:t>
            </w:r>
          </w:p>
        </w:tc>
      </w:tr>
      <w:tr>
        <w:trPr>
          <w:trHeight w:val="156"/>
        </w:trPr>
        <w:tc>
          <w:tcPr>
            <w:tcW w:w="396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income taxes</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561</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393</w:t>
            </w:r>
          </w:p>
        </w:tc>
        <w:tc>
          <w:tcPr>
            <w:tcW w:w="9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(1,151)</w:t>
            </w: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305</w:t>
            </w:r>
          </w:p>
        </w:tc>
        <w:tc>
          <w:tcPr>
            <w:tcW w:w="4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from income taxes</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(222)</w:t>
            </w:r>
          </w:p>
        </w:tc>
      </w:tr>
      <w:tr>
        <w:trPr>
          <w:trHeight w:val="156"/>
        </w:trPr>
        <w:tc>
          <w:tcPr>
            <w:tcW w:w="396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569</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582</w:t>
            </w:r>
          </w:p>
        </w:tc>
        <w:tc>
          <w:tcPr>
            <w:tcW w:w="9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(1,151)</w:t>
            </w:r>
          </w:p>
        </w:tc>
        <w:tc>
          <w:tcPr>
            <w:tcW w:w="8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w:t>
            </w:r>
          </w:p>
        </w:tc>
        <w:tc>
          <w:tcPr>
            <w:tcW w:w="40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Three Months Ended June 30, 2004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color w:val="auto"/>
              </w:rPr>
              <w:t>WM</w:t>
            </w:r>
          </w:p>
        </w:tc>
        <w:tc>
          <w:tcPr>
            <w:tcW w:w="280" w:type="dxa"/>
            <w:vAlign w:val="bottom"/>
          </w:tcPr>
          <w:p>
            <w:pPr>
              <w:spacing w:after="0"/>
              <w:rPr>
                <w:sz w:val="14"/>
                <w:szCs w:val="14"/>
                <w:color w:val="auto"/>
              </w:rPr>
            </w:pPr>
          </w:p>
        </w:tc>
        <w:tc>
          <w:tcPr>
            <w:tcW w:w="1920" w:type="dxa"/>
            <w:vAlign w:val="bottom"/>
            <w:gridSpan w:val="3"/>
          </w:tcPr>
          <w:p>
            <w:pPr>
              <w:jc w:val="right"/>
              <w:ind w:right="980"/>
              <w:spacing w:after="0"/>
              <w:rPr>
                <w:sz w:val="20"/>
                <w:szCs w:val="20"/>
                <w:color w:val="auto"/>
              </w:rPr>
            </w:pPr>
            <w:r>
              <w:rPr>
                <w:rFonts w:ascii="Arial" w:cs="Arial" w:eastAsia="Arial" w:hAnsi="Arial"/>
                <w:sz w:val="14"/>
                <w:szCs w:val="14"/>
                <w:color w:val="auto"/>
                <w:w w:val="98"/>
              </w:rPr>
              <w:t>Non-Guarantor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WMI</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Holdings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Subsidiaries</w:t>
            </w: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Eliminations</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Consolidated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3,138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2,696</w:t>
            </w:r>
          </w:p>
        </w:tc>
        <w:tc>
          <w:tcPr>
            <w:tcW w:w="10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(531)</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00" w:type="dxa"/>
            <w:vAlign w:val="bottom"/>
          </w:tcPr>
          <w:p>
            <w:pPr>
              <w:ind w:left="280"/>
              <w:spacing w:after="0" w:line="130" w:lineRule="exact"/>
              <w:rPr>
                <w:sz w:val="20"/>
                <w:szCs w:val="20"/>
                <w:color w:val="auto"/>
              </w:rPr>
            </w:pPr>
            <w:r>
              <w:rPr>
                <w:rFonts w:ascii="Arial" w:cs="Arial" w:eastAsia="Arial" w:hAnsi="Arial"/>
                <w:sz w:val="14"/>
                <w:szCs w:val="14"/>
                <w:color w:val="auto"/>
              </w:rPr>
              <w:t>Equity in net losses of unconsolidated entities and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ind w:left="42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386</w:t>
            </w:r>
          </w:p>
        </w:tc>
        <w:tc>
          <w:tcPr>
            <w:tcW w:w="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(531)</w:t>
            </w: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w:t>
            </w:r>
          </w:p>
        </w:tc>
        <w:tc>
          <w:tcPr>
            <w:tcW w:w="9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(531)</w:t>
            </w:r>
          </w:p>
        </w:tc>
        <w:tc>
          <w:tcPr>
            <w:tcW w:w="8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216</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Six Months Ended June 30,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0"/>
              <w:spacing w:after="0"/>
              <w:rPr>
                <w:sz w:val="20"/>
                <w:szCs w:val="20"/>
                <w:color w:val="auto"/>
              </w:rPr>
            </w:pPr>
            <w:r>
              <w:rPr>
                <w:rFonts w:ascii="Arial" w:cs="Arial" w:eastAsia="Arial" w:hAnsi="Arial"/>
                <w:sz w:val="14"/>
                <w:szCs w:val="14"/>
                <w:color w:val="auto"/>
              </w:rPr>
              <w:t>WM</w:t>
            </w:r>
          </w:p>
        </w:tc>
        <w:tc>
          <w:tcPr>
            <w:tcW w:w="1480" w:type="dxa"/>
            <w:vAlign w:val="bottom"/>
            <w:gridSpan w:val="3"/>
          </w:tcPr>
          <w:p>
            <w:pPr>
              <w:jc w:val="right"/>
              <w:ind w:right="540"/>
              <w:spacing w:after="0"/>
              <w:rPr>
                <w:sz w:val="20"/>
                <w:szCs w:val="20"/>
                <w:color w:val="auto"/>
              </w:rPr>
            </w:pPr>
            <w:r>
              <w:rPr>
                <w:rFonts w:ascii="Arial" w:cs="Arial" w:eastAsia="Arial" w:hAnsi="Arial"/>
                <w:sz w:val="14"/>
                <w:szCs w:val="14"/>
                <w:color w:val="auto"/>
                <w:w w:val="98"/>
              </w:rPr>
              <w:t>Non-Guarantor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WMI</w:t>
            </w:r>
          </w:p>
        </w:tc>
        <w:tc>
          <w:tcPr>
            <w:tcW w:w="2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Holdings</w:t>
            </w: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4"/>
              </w:rPr>
              <w:t>Subsidiaries</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Eliminations</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Consolidated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6,327</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5,498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829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787</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(1,547)</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20" w:type="dxa"/>
            <w:vAlign w:val="bottom"/>
          </w:tcPr>
          <w:p>
            <w:pPr>
              <w:ind w:left="280"/>
              <w:spacing w:after="0" w:line="130" w:lineRule="exact"/>
              <w:rPr>
                <w:sz w:val="20"/>
                <w:szCs w:val="20"/>
                <w:color w:val="auto"/>
              </w:rPr>
            </w:pPr>
            <w:r>
              <w:rPr>
                <w:rFonts w:ascii="Arial" w:cs="Arial" w:eastAsia="Arial" w:hAnsi="Arial"/>
                <w:sz w:val="14"/>
                <w:szCs w:val="14"/>
                <w:color w:val="auto"/>
              </w:rPr>
              <w:t>Equity in net losses of unconsolidated entities and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Pr>
          <w:p>
            <w:pPr>
              <w:ind w:left="40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color w:val="auto"/>
              </w:rPr>
              <w:t>(51)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(1,547)</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56"/>
        </w:trPr>
        <w:tc>
          <w:tcPr>
            <w:tcW w:w="394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629</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744</w:t>
            </w:r>
          </w:p>
        </w:tc>
        <w:tc>
          <w:tcPr>
            <w:tcW w:w="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699</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(1,547)</w:t>
            </w: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525</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from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6"/>
        </w:trPr>
        <w:tc>
          <w:tcPr>
            <w:tcW w:w="394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w:t>
            </w:r>
          </w:p>
        </w:tc>
        <w:tc>
          <w:tcPr>
            <w:tcW w:w="6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787</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(1,547)</w:t>
            </w:r>
          </w:p>
        </w:tc>
        <w:tc>
          <w:tcPr>
            <w:tcW w:w="8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Six Months Ended June 30, 2004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color w:val="auto"/>
              </w:rPr>
              <w:t>WM</w:t>
            </w:r>
          </w:p>
        </w:tc>
        <w:tc>
          <w:tcPr>
            <w:tcW w:w="280" w:type="dxa"/>
            <w:vAlign w:val="bottom"/>
          </w:tcPr>
          <w:p>
            <w:pPr>
              <w:spacing w:after="0"/>
              <w:rPr>
                <w:sz w:val="14"/>
                <w:szCs w:val="14"/>
                <w:color w:val="auto"/>
              </w:rPr>
            </w:pPr>
          </w:p>
        </w:tc>
        <w:tc>
          <w:tcPr>
            <w:tcW w:w="1920" w:type="dxa"/>
            <w:vAlign w:val="bottom"/>
            <w:gridSpan w:val="3"/>
          </w:tcPr>
          <w:p>
            <w:pPr>
              <w:jc w:val="center"/>
              <w:ind w:right="920"/>
              <w:spacing w:after="0"/>
              <w:rPr>
                <w:sz w:val="20"/>
                <w:szCs w:val="20"/>
                <w:color w:val="auto"/>
              </w:rPr>
            </w:pPr>
            <w:r>
              <w:rPr>
                <w:rFonts w:ascii="Arial" w:cs="Arial" w:eastAsia="Arial" w:hAnsi="Arial"/>
                <w:sz w:val="14"/>
                <w:szCs w:val="14"/>
                <w:color w:val="auto"/>
                <w:w w:val="94"/>
              </w:rPr>
              <w:t>Non-Guarantor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WMI</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Holdings</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1"/>
              </w:rPr>
              <w:t>Subsidiaries</w:t>
            </w: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Eliminations</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Consolidated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revenues</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6,034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5,248</w:t>
            </w:r>
          </w:p>
        </w:tc>
        <w:tc>
          <w:tcPr>
            <w:tcW w:w="100" w:type="dxa"/>
            <w:vAlign w:val="bottom"/>
          </w:tcPr>
          <w:p>
            <w:pPr>
              <w:spacing w:after="0"/>
              <w:rPr>
                <w:sz w:val="12"/>
                <w:szCs w:val="12"/>
                <w:color w:val="auto"/>
              </w:rPr>
            </w:pPr>
          </w:p>
        </w:tc>
        <w:tc>
          <w:tcPr>
            <w:tcW w:w="16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280"/>
              <w:spacing w:after="0" w:line="149" w:lineRule="exact"/>
              <w:rPr>
                <w:sz w:val="20"/>
                <w:szCs w:val="20"/>
                <w:color w:val="auto"/>
              </w:rPr>
            </w:pPr>
            <w:r>
              <w:rPr>
                <w:rFonts w:ascii="Arial" w:cs="Arial" w:eastAsia="Arial" w:hAnsi="Arial"/>
                <w:sz w:val="14"/>
                <w:szCs w:val="14"/>
                <w:color w:val="auto"/>
              </w:rPr>
              <w:t>Equity in subsidiaries, net of taxes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(930)</w:t>
            </w:r>
          </w:p>
        </w:tc>
        <w:tc>
          <w:tcPr>
            <w:tcW w:w="8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Minority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tcPr>
          <w:p>
            <w:pPr>
              <w:ind w:left="280"/>
              <w:spacing w:after="0" w:line="130" w:lineRule="exact"/>
              <w:rPr>
                <w:sz w:val="20"/>
                <w:szCs w:val="20"/>
                <w:color w:val="auto"/>
              </w:rPr>
            </w:pPr>
            <w:r>
              <w:rPr>
                <w:rFonts w:ascii="Arial" w:cs="Arial" w:eastAsia="Arial" w:hAnsi="Arial"/>
                <w:sz w:val="14"/>
                <w:szCs w:val="14"/>
                <w:color w:val="auto"/>
              </w:rPr>
              <w:t>Equity in net losses of unconsolidated entities and 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ind w:left="40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(930)</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37"/>
        </w:trPr>
        <w:tc>
          <w:tcPr>
            <w:tcW w:w="4000" w:type="dxa"/>
            <w:vAlign w:val="bottom"/>
            <w:gridSpan w:val="2"/>
          </w:tcPr>
          <w:p>
            <w:pPr>
              <w:spacing w:after="0" w:line="137" w:lineRule="exact"/>
              <w:rPr>
                <w:sz w:val="20"/>
                <w:szCs w:val="20"/>
                <w:color w:val="auto"/>
              </w:rPr>
            </w:pPr>
            <w:r>
              <w:rPr>
                <w:rFonts w:ascii="Arial" w:cs="Arial" w:eastAsia="Arial" w:hAnsi="Arial"/>
                <w:sz w:val="14"/>
                <w:szCs w:val="14"/>
                <w:color w:val="auto"/>
              </w:rPr>
              <w:t>Income before income taxes and cumulative effect of change in</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ind w:left="120"/>
              <w:spacing w:after="0"/>
              <w:rPr>
                <w:sz w:val="20"/>
                <w:szCs w:val="20"/>
                <w:color w:val="auto"/>
              </w:rPr>
            </w:pPr>
            <w:r>
              <w:rPr>
                <w:rFonts w:ascii="Arial" w:cs="Arial" w:eastAsia="Arial" w:hAnsi="Arial"/>
                <w:sz w:val="14"/>
                <w:szCs w:val="14"/>
                <w:color w:val="auto"/>
              </w:rPr>
              <w:t>accounting principle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432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4"/>
                <w:szCs w:val="14"/>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4"/>
                <w:szCs w:val="14"/>
                <w:color w:val="auto"/>
              </w:rPr>
              <w:t>(930)</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(benefit from)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00" w:type="dxa"/>
            <w:vAlign w:val="bottom"/>
            <w:gridSpan w:val="2"/>
          </w:tcPr>
          <w:p>
            <w:pPr>
              <w:spacing w:after="0" w:line="137" w:lineRule="exact"/>
              <w:rPr>
                <w:sz w:val="20"/>
                <w:szCs w:val="20"/>
                <w:color w:val="auto"/>
              </w:rPr>
            </w:pPr>
            <w:r>
              <w:rPr>
                <w:rFonts w:ascii="Arial" w:cs="Arial" w:eastAsia="Arial" w:hAnsi="Arial"/>
                <w:sz w:val="14"/>
                <w:szCs w:val="14"/>
                <w:color w:val="auto"/>
              </w:rPr>
              <w:t>Income before cumulative effect of change in accounting</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ind w:left="120"/>
              <w:spacing w:after="0"/>
              <w:rPr>
                <w:sz w:val="20"/>
                <w:szCs w:val="20"/>
                <w:color w:val="auto"/>
              </w:rPr>
            </w:pPr>
            <w:r>
              <w:rPr>
                <w:rFonts w:ascii="Arial" w:cs="Arial" w:eastAsia="Arial" w:hAnsi="Arial"/>
                <w:sz w:val="14"/>
                <w:szCs w:val="14"/>
                <w:color w:val="auto"/>
              </w:rPr>
              <w:t>principle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450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4"/>
                <w:szCs w:val="14"/>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4"/>
                <w:szCs w:val="14"/>
                <w:color w:val="auto"/>
              </w:rPr>
              <w:t>(930)</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480</w:t>
            </w:r>
          </w:p>
        </w:tc>
        <w:tc>
          <w:tcPr>
            <w:tcW w:w="9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(930)</w:t>
            </w:r>
          </w:p>
        </w:tc>
        <w:tc>
          <w:tcPr>
            <w:tcW w:w="8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Six Months Ended June 30, 2005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3"/>
                <w:szCs w:val="13"/>
                <w:color w:val="auto"/>
              </w:rPr>
              <w:t>WM</w:t>
            </w:r>
          </w:p>
        </w:tc>
        <w:tc>
          <w:tcPr>
            <w:tcW w:w="100" w:type="dxa"/>
            <w:vAlign w:val="bottom"/>
          </w:tcPr>
          <w:p>
            <w:pPr>
              <w:spacing w:after="0"/>
              <w:rPr>
                <w:sz w:val="13"/>
                <w:szCs w:val="13"/>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3"/>
                <w:szCs w:val="13"/>
                <w:color w:val="auto"/>
                <w:w w:val="87"/>
              </w:rPr>
              <w:t>Non-Guarantor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3"/>
                <w:szCs w:val="13"/>
                <w:color w:val="auto"/>
              </w:rPr>
              <w:t>WMI</w:t>
            </w:r>
          </w:p>
        </w:tc>
        <w:tc>
          <w:tcPr>
            <w:tcW w:w="100" w:type="dxa"/>
            <w:vAlign w:val="bottom"/>
          </w:tcPr>
          <w:p>
            <w:pPr>
              <w:spacing w:after="0"/>
              <w:rPr>
                <w:sz w:val="13"/>
                <w:szCs w:val="13"/>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3"/>
                <w:szCs w:val="13"/>
                <w:color w:val="auto"/>
                <w:w w:val="94"/>
              </w:rPr>
              <w:t>Holdings</w:t>
            </w:r>
          </w:p>
        </w:tc>
        <w:tc>
          <w:tcPr>
            <w:tcW w:w="100" w:type="dxa"/>
            <w:vAlign w:val="bottom"/>
          </w:tcPr>
          <w:p>
            <w:pPr>
              <w:spacing w:after="0"/>
              <w:rPr>
                <w:sz w:val="13"/>
                <w:szCs w:val="13"/>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3"/>
                <w:szCs w:val="13"/>
                <w:color w:val="auto"/>
                <w:w w:val="95"/>
              </w:rPr>
              <w:t>Subsidiaries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3"/>
                <w:szCs w:val="13"/>
                <w:color w:val="auto"/>
                <w:w w:val="94"/>
              </w:rPr>
              <w:t>Eliminations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3"/>
                <w:szCs w:val="13"/>
                <w:color w:val="auto"/>
                <w:w w:val="86"/>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677</w:t>
            </w:r>
          </w:p>
        </w:tc>
        <w:tc>
          <w:tcPr>
            <w:tcW w:w="5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760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787</w:t>
            </w:r>
          </w:p>
        </w:tc>
        <w:tc>
          <w:tcPr>
            <w:tcW w:w="4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(1,547)</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677</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1,547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rPr>
              <w:t>Other adjustments and charges</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439</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1,226</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(91)</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(493)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Proceeds from divestitures of businesses, net of cash</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divested, and other sales of assets</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rPr>
              <w:t>Purchases of short-term investments</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tcPr>
          <w:p>
            <w:pPr>
              <w:ind w:left="280"/>
              <w:spacing w:after="0" w:line="130" w:lineRule="exact"/>
              <w:rPr>
                <w:sz w:val="20"/>
                <w:szCs w:val="20"/>
                <w:color w:val="auto"/>
              </w:rPr>
            </w:pPr>
            <w:r>
              <w:rPr>
                <w:rFonts w:ascii="Arial" w:cs="Arial" w:eastAsia="Arial" w:hAnsi="Arial"/>
                <w:sz w:val="14"/>
                <w:szCs w:val="14"/>
                <w:color w:val="auto"/>
              </w:rPr>
              <w:t>Net receipts from restricted trust and escrow accounts and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ind w:left="40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190</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New borrowings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rPr>
              <w:t>Debt repayments</w:t>
            </w: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 repurchases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rPr>
              <w:t>Cash dividends</w:t>
            </w:r>
          </w:p>
        </w:tc>
        <w:tc>
          <w:tcPr>
            <w:tcW w:w="12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(228)</w:t>
            </w:r>
          </w:p>
        </w:tc>
        <w:tc>
          <w:tcPr>
            <w:tcW w:w="10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80"/>
              <w:spacing w:after="0" w:line="149" w:lineRule="exact"/>
              <w:rPr>
                <w:sz w:val="20"/>
                <w:szCs w:val="20"/>
                <w:color w:val="auto"/>
              </w:rPr>
            </w:pPr>
            <w:r>
              <w:rPr>
                <w:rFonts w:ascii="Arial" w:cs="Arial" w:eastAsia="Arial" w:hAnsi="Arial"/>
                <w:sz w:val="14"/>
                <w:szCs w:val="14"/>
                <w:color w:val="auto"/>
              </w:rPr>
              <w:t>Minority interest distributions paid and other, net</w:t>
            </w: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(Increase) decrease in intercompany and investments, net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(764)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w:t>
            </w:r>
          </w:p>
        </w:tc>
        <w:tc>
          <w:tcPr>
            <w:tcW w:w="5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6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(925)</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(754)</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Increase in cash and cash equivalents</w:t>
            </w: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391</w:t>
            </w:r>
          </w:p>
        </w:tc>
        <w:tc>
          <w:tcPr>
            <w:tcW w:w="5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Six Months Ended June 30, 2004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3"/>
                <w:szCs w:val="13"/>
                <w:color w:val="auto"/>
              </w:rPr>
              <w:t>WM</w:t>
            </w:r>
          </w:p>
        </w:tc>
        <w:tc>
          <w:tcPr>
            <w:tcW w:w="100" w:type="dxa"/>
            <w:vAlign w:val="bottom"/>
          </w:tcPr>
          <w:p>
            <w:pPr>
              <w:spacing w:after="0"/>
              <w:rPr>
                <w:sz w:val="13"/>
                <w:szCs w:val="13"/>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3"/>
                <w:szCs w:val="13"/>
                <w:color w:val="auto"/>
                <w:w w:val="87"/>
              </w:rPr>
              <w:t>Non-Guarantor</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3"/>
                <w:szCs w:val="13"/>
                <w:color w:val="auto"/>
              </w:rPr>
              <w:t>WMI</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3"/>
                <w:szCs w:val="13"/>
                <w:color w:val="auto"/>
                <w:w w:val="90"/>
              </w:rPr>
              <w:t>Holdings</w:t>
            </w:r>
          </w:p>
        </w:tc>
        <w:tc>
          <w:tcPr>
            <w:tcW w:w="100" w:type="dxa"/>
            <w:vAlign w:val="bottom"/>
          </w:tcPr>
          <w:p>
            <w:pPr>
              <w:spacing w:after="0"/>
              <w:rPr>
                <w:sz w:val="13"/>
                <w:szCs w:val="13"/>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3"/>
                <w:szCs w:val="13"/>
                <w:color w:val="auto"/>
                <w:w w:val="95"/>
              </w:rPr>
              <w:t>Subsidiaries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13"/>
                <w:szCs w:val="13"/>
                <w:color w:val="auto"/>
                <w:w w:val="91"/>
              </w:rPr>
              <w:t>Eliminations</w:t>
            </w:r>
          </w:p>
        </w:tc>
        <w:tc>
          <w:tcPr>
            <w:tcW w:w="60" w:type="dxa"/>
            <w:vAlign w:val="bottom"/>
          </w:tcPr>
          <w:p>
            <w:pPr>
              <w:spacing w:after="0"/>
              <w:rPr>
                <w:sz w:val="13"/>
                <w:szCs w:val="13"/>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3"/>
                <w:szCs w:val="13"/>
                <w:color w:val="auto"/>
                <w:w w:val="86"/>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368</w:t>
            </w:r>
          </w:p>
        </w:tc>
        <w:tc>
          <w:tcPr>
            <w:tcW w:w="24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6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480</w:t>
            </w:r>
          </w:p>
        </w:tc>
        <w:tc>
          <w:tcPr>
            <w:tcW w:w="44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(930)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in earnings of subsidiaries, net of taxes</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w:t>
            </w: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ind w:left="280"/>
              <w:spacing w:after="0" w:line="149" w:lineRule="exact"/>
              <w:rPr>
                <w:sz w:val="20"/>
                <w:szCs w:val="20"/>
                <w:color w:val="auto"/>
              </w:rPr>
            </w:pPr>
            <w:r>
              <w:rPr>
                <w:rFonts w:ascii="Arial" w:cs="Arial" w:eastAsia="Arial" w:hAnsi="Arial"/>
                <w:sz w:val="14"/>
                <w:szCs w:val="14"/>
                <w:color w:val="auto"/>
              </w:rPr>
              <w:t>Other adjustments and charges</w:t>
            </w:r>
          </w:p>
        </w:tc>
        <w:tc>
          <w:tcPr>
            <w:tcW w:w="10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1,143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56"/>
        </w:trPr>
        <w:tc>
          <w:tcPr>
            <w:tcW w:w="40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Proceeds from divestitures of businesses, net of cash</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divested, and other sales of assets</w:t>
            </w: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ind w:left="280"/>
              <w:spacing w:after="0" w:line="149" w:lineRule="exact"/>
              <w:rPr>
                <w:sz w:val="20"/>
                <w:szCs w:val="20"/>
                <w:color w:val="auto"/>
              </w:rPr>
            </w:pPr>
            <w:r>
              <w:rPr>
                <w:rFonts w:ascii="Arial" w:cs="Arial" w:eastAsia="Arial" w:hAnsi="Arial"/>
                <w:sz w:val="14"/>
                <w:szCs w:val="14"/>
                <w:color w:val="auto"/>
              </w:rPr>
              <w:t>Purchases of short-term investments</w:t>
            </w:r>
          </w:p>
        </w:tc>
        <w:tc>
          <w:tcPr>
            <w:tcW w:w="10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(910)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sales of short-term investments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ind w:left="28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(388)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56"/>
        </w:trPr>
        <w:tc>
          <w:tcPr>
            <w:tcW w:w="40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New borrowings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ind w:left="280"/>
              <w:spacing w:after="0" w:line="149" w:lineRule="exact"/>
              <w:rPr>
                <w:sz w:val="20"/>
                <w:szCs w:val="20"/>
                <w:color w:val="auto"/>
              </w:rPr>
            </w:pPr>
            <w:r>
              <w:rPr>
                <w:rFonts w:ascii="Arial" w:cs="Arial" w:eastAsia="Arial" w:hAnsi="Arial"/>
                <w:sz w:val="14"/>
                <w:szCs w:val="14"/>
                <w:color w:val="auto"/>
              </w:rPr>
              <w:t>Debt repayments</w:t>
            </w:r>
          </w:p>
        </w:tc>
        <w:tc>
          <w:tcPr>
            <w:tcW w:w="10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 repurchases</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ind w:left="280"/>
              <w:spacing w:after="0" w:line="149" w:lineRule="exact"/>
              <w:rPr>
                <w:sz w:val="20"/>
                <w:szCs w:val="20"/>
                <w:color w:val="auto"/>
              </w:rPr>
            </w:pPr>
            <w:r>
              <w:rPr>
                <w:rFonts w:ascii="Arial" w:cs="Arial" w:eastAsia="Arial" w:hAnsi="Arial"/>
                <w:sz w:val="14"/>
                <w:szCs w:val="14"/>
                <w:color w:val="auto"/>
              </w:rPr>
              <w:t>Cash dividends</w:t>
            </w:r>
          </w:p>
        </w:tc>
        <w:tc>
          <w:tcPr>
            <w:tcW w:w="10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(218)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common stock options and warrants</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ind w:left="280"/>
              <w:spacing w:after="0" w:line="149" w:lineRule="exact"/>
              <w:rPr>
                <w:sz w:val="20"/>
                <w:szCs w:val="20"/>
                <w:color w:val="auto"/>
              </w:rPr>
            </w:pPr>
            <w:r>
              <w:rPr>
                <w:rFonts w:ascii="Arial" w:cs="Arial" w:eastAsia="Arial" w:hAnsi="Arial"/>
                <w:sz w:val="14"/>
                <w:szCs w:val="14"/>
                <w:color w:val="auto"/>
              </w:rPr>
              <w:t>Minority interest distributions paid and other</w:t>
            </w:r>
          </w:p>
        </w:tc>
        <w:tc>
          <w:tcPr>
            <w:tcW w:w="100" w:type="dxa"/>
            <w:vAlign w:val="bottom"/>
          </w:tcPr>
          <w:p>
            <w:pPr>
              <w:spacing w:after="0"/>
              <w:rPr>
                <w:sz w:val="12"/>
                <w:szCs w:val="12"/>
                <w:color w:val="auto"/>
              </w:rPr>
            </w:pPr>
          </w:p>
        </w:tc>
        <w:tc>
          <w:tcPr>
            <w:tcW w:w="7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(Increase) decrease in intercompany and investments, net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w:t>
            </w:r>
          </w:p>
        </w:tc>
        <w:tc>
          <w:tcPr>
            <w:tcW w:w="6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(753)</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w:t>
            </w:r>
          </w:p>
        </w:tc>
        <w:tc>
          <w:tcPr>
            <w:tcW w:w="8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4040" w:type="dxa"/>
            <w:vAlign w:val="bottom"/>
            <w:gridSpan w:val="2"/>
          </w:tcPr>
          <w:p>
            <w:pPr>
              <w:spacing w:after="0" w:line="155" w:lineRule="exact"/>
              <w:rPr>
                <w:sz w:val="20"/>
                <w:szCs w:val="20"/>
                <w:color w:val="auto"/>
              </w:rPr>
            </w:pPr>
            <w:r>
              <w:rPr>
                <w:rFonts w:ascii="Arial" w:cs="Arial" w:eastAsia="Arial" w:hAnsi="Arial"/>
                <w:sz w:val="14"/>
                <w:szCs w:val="14"/>
                <w:color w:val="auto"/>
              </w:rPr>
              <w:t>Increase in cash and cash equivalents</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w:t>
            </w:r>
          </w:p>
        </w:tc>
        <w:tc>
          <w:tcPr>
            <w:tcW w:w="8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174</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2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56"/>
        </w:trPr>
        <w:tc>
          <w:tcPr>
            <w:tcW w:w="40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427</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8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391</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SFAS No. 123 (revised 2004), Share Based Payment (“SFAS 123(R)”)</w:t>
      </w:r>
    </w:p>
    <w:p>
      <w:pPr>
        <w:spacing w:after="0" w:line="117" w:lineRule="exact"/>
        <w:rPr>
          <w:sz w:val="20"/>
          <w:szCs w:val="20"/>
          <w:color w:val="auto"/>
        </w:rPr>
      </w:pPr>
    </w:p>
    <w:p>
      <w:pPr>
        <w:ind w:right="80" w:firstLine="270"/>
        <w:spacing w:after="0" w:line="276" w:lineRule="auto"/>
        <w:rPr>
          <w:sz w:val="20"/>
          <w:szCs w:val="20"/>
          <w:color w:val="auto"/>
        </w:rPr>
      </w:pPr>
      <w:r>
        <w:rPr>
          <w:rFonts w:ascii="Arial" w:cs="Arial" w:eastAsia="Arial" w:hAnsi="Arial"/>
          <w:sz w:val="17"/>
          <w:szCs w:val="17"/>
          <w:color w:val="auto"/>
        </w:rPr>
        <w:t>In December 2004, the FASB issued SFAS No. 123(R), which amends SFAS No. 123 and supersedes APB No. 25. SFAS No. 123(R) requires compensation expense to be recognized for all share-based payments made to employees based on the fair value of the award at the date of grant, eliminating the intrinsic value alternative and narrowing the non-compensatory exception associated with employee stock purchase plans allowed by SFAS No. 123. Generally, the approach to determining fair value under the original pronouncement has not changed. However, there are revisions to the accounting guidelines established, such as accounting for forfeitures, that will change our accounting for stock-based awards in the future.</w:t>
      </w:r>
    </w:p>
    <w:p>
      <w:pPr>
        <w:spacing w:after="0" w:line="64" w:lineRule="exact"/>
        <w:rPr>
          <w:sz w:val="20"/>
          <w:szCs w:val="20"/>
          <w:color w:val="auto"/>
        </w:rPr>
      </w:pPr>
    </w:p>
    <w:p>
      <w:pPr>
        <w:ind w:right="200" w:firstLine="267"/>
        <w:spacing w:after="0" w:line="312" w:lineRule="auto"/>
        <w:rPr>
          <w:sz w:val="20"/>
          <w:szCs w:val="20"/>
          <w:color w:val="auto"/>
        </w:rPr>
      </w:pPr>
      <w:r>
        <w:rPr>
          <w:rFonts w:ascii="Arial" w:cs="Arial" w:eastAsia="Arial" w:hAnsi="Arial"/>
          <w:sz w:val="16"/>
          <w:szCs w:val="16"/>
          <w:color w:val="auto"/>
        </w:rPr>
        <w:t>The provisions of SFAS No. 123(R) provide for an effective date of July 1, 2005 for calendar-year public companies. However, in April 2005, the Securities and Exchange Commission adopted a rule that amends the compliance dates for SFAS No. 123(R), making it effective the beginning of the first fiscal year that begins after June 15, 2005. Based upon the guidelines established by the SEC’s rule, we plan to adopt SFAS No. 123(R) on January 1, 2006.</w:t>
      </w:r>
    </w:p>
    <w:p>
      <w:pPr>
        <w:spacing w:after="0" w:line="39" w:lineRule="exact"/>
        <w:rPr>
          <w:sz w:val="20"/>
          <w:szCs w:val="20"/>
          <w:color w:val="auto"/>
        </w:rPr>
      </w:pPr>
    </w:p>
    <w:p>
      <w:pPr>
        <w:jc w:val="both"/>
        <w:ind w:right="360" w:firstLine="267"/>
        <w:spacing w:after="0" w:line="259" w:lineRule="auto"/>
        <w:rPr>
          <w:sz w:val="20"/>
          <w:szCs w:val="20"/>
          <w:color w:val="auto"/>
        </w:rPr>
      </w:pPr>
      <w:r>
        <w:rPr>
          <w:rFonts w:ascii="Arial" w:cs="Arial" w:eastAsia="Arial" w:hAnsi="Arial"/>
          <w:sz w:val="18"/>
          <w:szCs w:val="18"/>
          <w:color w:val="auto"/>
        </w:rPr>
        <w:t>The adoption of SFAS No. 123(R) is not expected to materially impact our financial position. However, because we currently account for share-based payments to our employees using the intrinsic value method, our results of operations have not included the recognition of compensation expense for the issuance of stock option awards. Had we applied the fair-value criteria established by SFAS No. 123(R) to previous stock option grants, the impact to our results of operations would have approximated the impact of applying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SFAS No. 123, which was estimated to be a reduction to net income of $10 million for the three months ended June 30, 2005 and $24 million for the six months ended June 30, 2005. The impact of applying SFAS No. 123 to previous stock option grants is further summarized in Note 7.</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FASB Interpretation No. 47, Accounting for Conditional Asset Retirement Obligations (“FIN 47”)</w:t>
      </w:r>
    </w:p>
    <w:p>
      <w:pPr>
        <w:spacing w:after="0" w:line="117" w:lineRule="exact"/>
        <w:rPr>
          <w:sz w:val="20"/>
          <w:szCs w:val="20"/>
          <w:color w:val="auto"/>
        </w:rPr>
      </w:pPr>
    </w:p>
    <w:p>
      <w:pPr>
        <w:ind w:right="220" w:firstLine="270"/>
        <w:spacing w:after="0" w:line="264" w:lineRule="auto"/>
        <w:rPr>
          <w:sz w:val="20"/>
          <w:szCs w:val="20"/>
          <w:color w:val="auto"/>
        </w:rPr>
      </w:pPr>
      <w:r>
        <w:rPr>
          <w:rFonts w:ascii="Arial" w:cs="Arial" w:eastAsia="Arial" w:hAnsi="Arial"/>
          <w:sz w:val="18"/>
          <w:szCs w:val="18"/>
          <w:color w:val="auto"/>
        </w:rPr>
        <w:t>In March 2005, the FASB issued FIN 47, which clarifies the impact that uncertainty surrounding the timing or method of settling an obligation should have on accounting for that obligation under SFAS No. 143. FIN 47 is effective December 31, 2005 for calendar year companies. We do not expect the provisions of FIN 47 to have a material impact on our consolidated financial statements.</w:t>
      </w:r>
    </w:p>
    <w:p>
      <w:pPr>
        <w:spacing w:after="0" w:line="177"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On July 28, 2005, we announced that we are implementing a plan to restructure our organization. The restructuring includes a reduction in the number of our operating groups from seven to six and the elimination of positions at our field and Corporate offices.</w:t>
      </w:r>
    </w:p>
    <w:p>
      <w:pPr>
        <w:spacing w:after="0" w:line="62" w:lineRule="exact"/>
        <w:rPr>
          <w:sz w:val="20"/>
          <w:szCs w:val="20"/>
          <w:color w:val="auto"/>
        </w:rPr>
      </w:pPr>
    </w:p>
    <w:p>
      <w:pPr>
        <w:ind w:right="180" w:firstLine="260"/>
        <w:spacing w:after="0" w:line="286" w:lineRule="auto"/>
        <w:rPr>
          <w:sz w:val="20"/>
          <w:szCs w:val="20"/>
          <w:color w:val="auto"/>
        </w:rPr>
      </w:pPr>
      <w:r>
        <w:rPr>
          <w:rFonts w:ascii="Arial" w:cs="Arial" w:eastAsia="Arial" w:hAnsi="Arial"/>
          <w:sz w:val="17"/>
          <w:szCs w:val="17"/>
          <w:color w:val="auto"/>
        </w:rPr>
        <w:t>As part of our restructuring, the Canadian group will no longer be a separate operating and reporting group. The East, West and Midwest groups will assume responsibility for our operations in Canada. Additionally, this restructuring involves a reduction in force of approximately 600 field and Corporate positions. We believe these reductions are necessary to streamline business decisions in the field and to reduce our costs.</w:t>
      </w:r>
    </w:p>
    <w:p>
      <w:pPr>
        <w:spacing w:after="0" w:line="57" w:lineRule="exact"/>
        <w:rPr>
          <w:sz w:val="20"/>
          <w:szCs w:val="20"/>
          <w:color w:val="auto"/>
        </w:rPr>
      </w:pPr>
    </w:p>
    <w:p>
      <w:pPr>
        <w:ind w:firstLine="260"/>
        <w:spacing w:after="0" w:line="264" w:lineRule="auto"/>
        <w:rPr>
          <w:sz w:val="20"/>
          <w:szCs w:val="20"/>
          <w:color w:val="auto"/>
        </w:rPr>
      </w:pPr>
      <w:r>
        <w:rPr>
          <w:rFonts w:ascii="Arial" w:cs="Arial" w:eastAsia="Arial" w:hAnsi="Arial"/>
          <w:sz w:val="18"/>
          <w:szCs w:val="18"/>
          <w:color w:val="auto"/>
        </w:rPr>
        <w:t>As a result of implementing the restructuring, we expect to record a pre-tax charge of between $20 million and $30 million in the third quarter of 2005, which is primarily attributable to employee severance and benefit costs. Obligations for employee severance payments provided for by this restructuring will generally not exceed one year.</w:t>
      </w:r>
    </w:p>
    <w:p>
      <w:pPr>
        <w:spacing w:after="0" w:line="73" w:lineRule="exact"/>
        <w:rPr>
          <w:sz w:val="20"/>
          <w:szCs w:val="20"/>
          <w:color w:val="auto"/>
        </w:rPr>
      </w:pPr>
    </w:p>
    <w:p>
      <w:pPr>
        <w:ind w:right="300" w:firstLine="260"/>
        <w:spacing w:after="0" w:line="257" w:lineRule="auto"/>
        <w:rPr>
          <w:sz w:val="20"/>
          <w:szCs w:val="20"/>
          <w:color w:val="auto"/>
        </w:rPr>
      </w:pPr>
      <w:r>
        <w:rPr>
          <w:rFonts w:ascii="Arial" w:cs="Arial" w:eastAsia="Arial" w:hAnsi="Arial"/>
          <w:sz w:val="18"/>
          <w:szCs w:val="18"/>
          <w:color w:val="auto"/>
        </w:rPr>
        <w:t>Additionally, we announced that on July 25, 2005, our Board of Directors approved a plan to divest of certain under-performing and non-strategic operations. This divestiture plan is a result of our previously announced review of under-performing operations, and will consist mainly of transfer and collection operations. Currently, we have identified assets representing over $400 million in annual revenues to be sold pursuant to the plan. We are continuing to evaluate our remaining operations for additional divestiture candidates and are evaluating the effect that these divestitures will have on our results of operations.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267"/>
        <w:spacing w:after="0" w:line="288" w:lineRule="auto"/>
        <w:rPr>
          <w:sz w:val="20"/>
          <w:szCs w:val="20"/>
          <w:color w:val="auto"/>
        </w:rPr>
      </w:pPr>
      <w:r>
        <w:rPr>
          <w:rFonts w:ascii="Arial" w:cs="Arial" w:eastAsia="Arial" w:hAnsi="Arial"/>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cash flows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Condensed Consolidated Financial Statements and the notes to the Condensed Consolidated Financial Statements. Some of the risks that we face and that could affect our business and financial statements for the remainder of 2005 and beyond include:</w:t>
      </w:r>
    </w:p>
    <w:p>
      <w:pPr>
        <w:spacing w:after="0" w:line="61" w:lineRule="exact"/>
        <w:rPr>
          <w:sz w:val="20"/>
          <w:szCs w:val="20"/>
          <w:color w:val="auto"/>
        </w:rPr>
      </w:pPr>
    </w:p>
    <w:p>
      <w:pPr>
        <w:ind w:left="460" w:right="400" w:hanging="101"/>
        <w:spacing w:after="0" w:line="34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effects competition may have on our profitability or cash flows, including the negative impact our price increases may have on volumes or the negative impact to our yield on base business resulting from price roll-backs and lower than average pricing to retain and attract customers;</w:t>
      </w:r>
    </w:p>
    <w:p>
      <w:pPr>
        <w:spacing w:after="0" w:line="29" w:lineRule="exact"/>
        <w:rPr>
          <w:rFonts w:ascii="Arial" w:cs="Arial" w:eastAsia="Arial" w:hAnsi="Arial"/>
          <w:sz w:val="16"/>
          <w:szCs w:val="16"/>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maintain or expand margins as volumes increase if we are unable to control variable costs or fixed cost base increases;</w:t>
      </w:r>
    </w:p>
    <w:p>
      <w:pPr>
        <w:spacing w:after="0" w:line="130" w:lineRule="exact"/>
        <w:rPr>
          <w:rFonts w:ascii="Arial" w:cs="Arial" w:eastAsia="Arial" w:hAnsi="Arial"/>
          <w:sz w:val="18"/>
          <w:szCs w:val="18"/>
          <w:color w:val="auto"/>
        </w:rPr>
      </w:pPr>
    </w:p>
    <w:p>
      <w:pPr>
        <w:ind w:left="460" w:right="280" w:hanging="101"/>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employee-related costs and expenses, including health care and other employee benefits such as unemployment insurance and workers’ compensation, as well as the costs and expenses associated with attracting and retaining qualified personnel;</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expenses due to fuel price increases or fuel supply shortages;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that fluctuating commodity prices may have on our operating revenues and expenses;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general effects of a weak economy, including the resulting decreases in volumes of waste generated;</w:t>
      </w:r>
    </w:p>
    <w:p>
      <w:pPr>
        <w:spacing w:after="0" w:line="130" w:lineRule="exact"/>
        <w:rPr>
          <w:rFonts w:ascii="Arial" w:cs="Arial" w:eastAsia="Arial" w:hAnsi="Arial"/>
          <w:sz w:val="18"/>
          <w:szCs w:val="18"/>
          <w:color w:val="auto"/>
        </w:rPr>
      </w:pPr>
    </w:p>
    <w:p>
      <w:pPr>
        <w:ind w:left="460" w:right="300" w:hanging="101"/>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external factors beyond our control such as higher interest rates and the possible inability of insurers to meet their obligations, both of which may cause increased expenses;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the weather has on our quarter to quarter results, as well as the effect of extremely harsh weather on our operations;</w:t>
      </w:r>
    </w:p>
    <w:p>
      <w:pPr>
        <w:spacing w:after="0" w:line="130" w:lineRule="exact"/>
        <w:rPr>
          <w:rFonts w:ascii="Arial" w:cs="Arial" w:eastAsia="Arial" w:hAnsi="Arial"/>
          <w:sz w:val="18"/>
          <w:szCs w:val="18"/>
          <w:color w:val="auto"/>
        </w:rPr>
      </w:pPr>
    </w:p>
    <w:p>
      <w:pPr>
        <w:ind w:left="460" w:right="400" w:hanging="101"/>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w:t>
      </w:r>
    </w:p>
    <w:p>
      <w:pPr>
        <w:spacing w:after="0" w:line="75" w:lineRule="exact"/>
        <w:rPr>
          <w:rFonts w:ascii="Arial" w:cs="Arial" w:eastAsia="Arial" w:hAnsi="Arial"/>
          <w:sz w:val="18"/>
          <w:szCs w:val="18"/>
          <w:color w:val="auto"/>
        </w:rPr>
      </w:pPr>
    </w:p>
    <w:p>
      <w:pPr>
        <w:ind w:left="460" w:right="300" w:hanging="101"/>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 to comply with regulatory requirements and the potential liabilities associated with disposal operations;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permits needed to operate our facilities;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waste or certain categories of waste;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charges against earnings as a result of shut-down operations, uncompleted development or expansion projects or other events;</w:t>
      </w:r>
    </w:p>
    <w:p>
      <w:pPr>
        <w:spacing w:after="0" w:line="130" w:lineRule="exact"/>
        <w:rPr>
          <w:rFonts w:ascii="Arial" w:cs="Arial" w:eastAsia="Arial" w:hAnsi="Arial"/>
          <w:sz w:val="18"/>
          <w:szCs w:val="18"/>
          <w:color w:val="auto"/>
        </w:rPr>
      </w:pPr>
    </w:p>
    <w:p>
      <w:pPr>
        <w:ind w:left="460" w:right="240" w:hanging="101"/>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possible diversions of management’s attention and increases in operating expenses due to efforts by labor unions to organize our employees;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 of litigation or threatened litigation;</w:t>
      </w:r>
    </w:p>
    <w:p>
      <w:pPr>
        <w:spacing w:after="0" w:line="130" w:lineRule="exact"/>
        <w:rPr>
          <w:rFonts w:ascii="Arial" w:cs="Arial" w:eastAsia="Arial" w:hAnsi="Arial"/>
          <w:sz w:val="18"/>
          <w:szCs w:val="18"/>
          <w:color w:val="auto"/>
        </w:rPr>
      </w:pPr>
    </w:p>
    <w:p>
      <w:pPr>
        <w:ind w:left="460" w:right="140" w:hanging="101"/>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errors or problems upon implementation of new information technology systems; and</w:t>
      </w:r>
    </w:p>
    <w:p>
      <w:pPr>
        <w:spacing w:after="0" w:line="130" w:lineRule="exact"/>
        <w:rPr>
          <w:rFonts w:ascii="Arial" w:cs="Arial" w:eastAsia="Arial" w:hAnsi="Arial"/>
          <w:sz w:val="18"/>
          <w:szCs w:val="18"/>
          <w:color w:val="auto"/>
        </w:rPr>
      </w:pPr>
    </w:p>
    <w:p>
      <w:pPr>
        <w:ind w:left="460" w:right="400" w:hanging="101"/>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fluctuations in quarterly results of operations or adverse impacts on our results of operations as a result of the adoption of new accounting standards or interpretations.</w:t>
      </w:r>
    </w:p>
    <w:p>
      <w:pPr>
        <w:spacing w:after="0" w:line="62"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These are not the only risks that we face. There may be additional risks that we do not presently know of or that we currently believe are immaterial which could also impair our business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79" w:lineRule="exact"/>
        <w:rPr>
          <w:sz w:val="20"/>
          <w:szCs w:val="20"/>
          <w:color w:val="auto"/>
        </w:rPr>
      </w:pPr>
    </w:p>
    <w:p>
      <w:pPr>
        <w:ind w:firstLine="267"/>
        <w:spacing w:after="0" w:line="312" w:lineRule="auto"/>
        <w:rPr>
          <w:sz w:val="20"/>
          <w:szCs w:val="20"/>
          <w:color w:val="auto"/>
        </w:rPr>
      </w:pPr>
      <w:r>
        <w:rPr>
          <w:rFonts w:ascii="Arial" w:cs="Arial" w:eastAsia="Arial" w:hAnsi="Arial"/>
          <w:sz w:val="16"/>
          <w:szCs w:val="16"/>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Several aspects of our operating results for the second quarter of 2005 reflect the revenue growth and margin improvement we have focused on during the first half of the year. As discussed below, internal revenue growth was strong as a result of significant base business yield improvements as well as from increased volumes. Additionally, excluding the effects of “Asset impairments and unusual items,” income from operations as a percent of revenue has improved at each of our four major U.S. solid waste groups. However, the current quarter’s operating results also reflect margin declines attributable to continued increases in diesel fuel prices, an increase in revenue from lower margin business activities and higher maintenance and repair costs due to the timing of annual outages at certain of our waste-to-energy facilities.</w:t>
      </w:r>
    </w:p>
    <w:p>
      <w:pPr>
        <w:spacing w:after="0" w:line="85" w:lineRule="exact"/>
        <w:rPr>
          <w:sz w:val="20"/>
          <w:szCs w:val="20"/>
          <w:color w:val="auto"/>
        </w:rPr>
      </w:pPr>
    </w:p>
    <w:p>
      <w:pPr>
        <w:ind w:right="200" w:firstLine="270"/>
        <w:spacing w:after="0" w:line="279" w:lineRule="auto"/>
        <w:rPr>
          <w:sz w:val="20"/>
          <w:szCs w:val="20"/>
          <w:color w:val="auto"/>
        </w:rPr>
      </w:pPr>
      <w:r>
        <w:rPr>
          <w:rFonts w:ascii="Arial" w:cs="Arial" w:eastAsia="Arial" w:hAnsi="Arial"/>
          <w:sz w:val="17"/>
          <w:szCs w:val="17"/>
          <w:color w:val="auto"/>
        </w:rPr>
        <w:t>Our net income for the quarter was $527 million, an increase of $311 million as compared with the second quarter 2004. However, current quarter net income included the net effect of a significant benefit from a settlement of federal tax audits of $345 million that was partially offset by an accrual for taxes related to our planned repatriation of certain Canadian earnings of $34 million. Excluding these tax matters, our net income was $216 million, or $0.38 per diluted share, as compared with $216 million, or $0.37 per diluted share, for the quarter ended June 30, 2004.</w:t>
      </w:r>
    </w:p>
    <w:p>
      <w:pPr>
        <w:spacing w:after="0" w:line="63"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Our revenues are generally higher in the second and third quarters of our fiscal year, due primarily to increased construction and demolition, industrial and residential waste in the summer months. Revenues for the second quarter 2005 increased by 8.3%, or $251 million, as compared with the first quarter of this year, due largely to the increased waste produced in the warmer months. As compared with the same period last year, our second quarter revenues increased by 4.8%, or $151 million. This increase was largely attributable to increases in our base business yield, which remains strong. For the second quarter 2005, base business yield increased by 2.1% as compared with the prior year period. This is the same increase we saw last quarter, which continues, for the second straight quarter, to be the highest base business yield increase since late 2001. The increase in yield was due mostly to our collection operations, where we saw improvements in all of our geographic operating groups. Our volume-related revenue growth was 1.2% in the quarter as compared with the prior year period, and is mainly due to a significant increase in recycling revenues, which have largely been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provided by several new brokerage accounts. Also included in volume-related revenue growth for the current period is revenue generated from (i) our construction of an integrated waste facility on behalf of a municipality in Canada and (ii) the sale of parts and supplies to third parties needed for the continued operation of landfill gas-to-energy plants that we operate on their behalf. While collection and disposal volumes were strong in certain regions, overall, these businesses reflected only modest volume growth.</w:t>
      </w:r>
    </w:p>
    <w:p>
      <w:pPr>
        <w:spacing w:after="0" w:line="79" w:lineRule="exact"/>
        <w:rPr>
          <w:sz w:val="20"/>
          <w:szCs w:val="20"/>
          <w:color w:val="auto"/>
        </w:rPr>
      </w:pPr>
    </w:p>
    <w:p>
      <w:pPr>
        <w:ind w:right="320" w:firstLine="270"/>
        <w:spacing w:after="0" w:line="312" w:lineRule="auto"/>
        <w:rPr>
          <w:sz w:val="20"/>
          <w:szCs w:val="20"/>
          <w:color w:val="auto"/>
        </w:rPr>
      </w:pPr>
      <w:r>
        <w:rPr>
          <w:rFonts w:ascii="Arial" w:cs="Arial" w:eastAsia="Arial" w:hAnsi="Arial"/>
          <w:sz w:val="16"/>
          <w:szCs w:val="16"/>
          <w:color w:val="auto"/>
        </w:rPr>
        <w:t>Our operating margins for the quarter were essentially flat as compared with the same quarter last year on an increase of $151 million in revenues. We were able to achieve a slight decrease in our selling, general and administrative expenses both in dollars and as a percentage of revenue by reducing our professional fees. However, we believe our ability to increase our operating margins was negatively affected by the following:</w:t>
      </w:r>
    </w:p>
    <w:p>
      <w:pPr>
        <w:spacing w:after="0" w:line="39" w:lineRule="exact"/>
        <w:rPr>
          <w:sz w:val="20"/>
          <w:szCs w:val="20"/>
          <w:color w:val="auto"/>
        </w:rPr>
      </w:pPr>
    </w:p>
    <w:p>
      <w:pPr>
        <w:ind w:left="840" w:hanging="211"/>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both direct and indirect fuel costs that more than offset the benefit from our fuel surcharge program;</w:t>
      </w:r>
    </w:p>
    <w:p>
      <w:pPr>
        <w:spacing w:after="0" w:line="130" w:lineRule="exact"/>
        <w:rPr>
          <w:rFonts w:ascii="Arial" w:cs="Arial" w:eastAsia="Arial" w:hAnsi="Arial"/>
          <w:sz w:val="18"/>
          <w:szCs w:val="18"/>
          <w:color w:val="auto"/>
        </w:rPr>
      </w:pPr>
    </w:p>
    <w:p>
      <w:pPr>
        <w:ind w:left="900" w:hanging="27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increases in volumes from our recycling business, which is a lower margin business than our base business;</w:t>
      </w:r>
    </w:p>
    <w:p>
      <w:pPr>
        <w:spacing w:after="0" w:line="130" w:lineRule="exact"/>
        <w:rPr>
          <w:rFonts w:ascii="Arial" w:cs="Arial" w:eastAsia="Arial" w:hAnsi="Arial"/>
          <w:sz w:val="18"/>
          <w:szCs w:val="18"/>
          <w:color w:val="auto"/>
        </w:rPr>
      </w:pPr>
    </w:p>
    <w:p>
      <w:pPr>
        <w:ind w:left="940" w:hanging="311"/>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repair and maintenance costs at our Wheelabrator facilities that are normally incurred in the first quarter of each year; and</w:t>
      </w:r>
    </w:p>
    <w:p>
      <w:pPr>
        <w:spacing w:after="0" w:line="142" w:lineRule="exact"/>
        <w:rPr>
          <w:rFonts w:ascii="Arial" w:cs="Arial" w:eastAsia="Arial" w:hAnsi="Arial"/>
          <w:sz w:val="17"/>
          <w:szCs w:val="17"/>
          <w:color w:val="auto"/>
        </w:rPr>
      </w:pPr>
    </w:p>
    <w:p>
      <w:pPr>
        <w:jc w:val="both"/>
        <w:ind w:left="360" w:right="80" w:firstLine="269"/>
        <w:spacing w:after="0" w:line="264" w:lineRule="auto"/>
        <w:tabs>
          <w:tab w:leader="none" w:pos="9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operating results and margins provided by our Canadian Group due to costs associated with a labor strike in Toronto, the low margins generated from revenues provided by construction of an integrated waste facility on behalf of a third party and loss of revenue and operating margin due to the sale of the Ridge Landfill in the first quarter 2005.</w:t>
      </w:r>
    </w:p>
    <w:p>
      <w:pPr>
        <w:spacing w:after="0" w:line="73" w:lineRule="exact"/>
        <w:rPr>
          <w:sz w:val="20"/>
          <w:szCs w:val="20"/>
          <w:color w:val="auto"/>
        </w:rPr>
      </w:pPr>
    </w:p>
    <w:p>
      <w:pPr>
        <w:ind w:right="80" w:firstLine="270"/>
        <w:spacing w:after="0" w:line="273" w:lineRule="auto"/>
        <w:rPr>
          <w:sz w:val="20"/>
          <w:szCs w:val="20"/>
          <w:color w:val="auto"/>
        </w:rPr>
      </w:pPr>
      <w:r>
        <w:rPr>
          <w:rFonts w:ascii="Arial" w:cs="Arial" w:eastAsia="Arial" w:hAnsi="Arial"/>
          <w:sz w:val="17"/>
          <w:szCs w:val="17"/>
          <w:color w:val="auto"/>
        </w:rPr>
        <w:t>Finally, we generated $314 million of free cash flow for the quarter and $734 million for the six-month period, an increase of over 30% in both periods as compared with 2004. Free cash flow is not a measure of financial performance under generally accepted accounting principles (“GAAP”) and is not intended to replace the Condensed Consolidated Statements of Cash Flows that were prepared in accordance with GAAP. We include our free cash flow in our disclosures because we use this measure to manage our business and we believe that it is an important measure of our liquidity and operating results, as it is indicative of our ability to pay our quarterly dividends, repurchase stock and execute our acquisition program. Our free cash flow for the three and six-month periods ended June 30, 2005 and June 30, 2004 is shown in the table below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7"/>
          </w:tcPr>
          <w:p>
            <w:pPr>
              <w:jc w:val="right"/>
              <w:ind w:right="112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Six Months Ended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8"/>
                <w:szCs w:val="18"/>
                <w:color w:val="auto"/>
                <w:w w:val="86"/>
              </w:rPr>
              <w:t>June 30,</w:t>
            </w:r>
          </w:p>
        </w:tc>
        <w:tc>
          <w:tcPr>
            <w:tcW w:w="64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June 30,</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2004</w:t>
            </w: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2004</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1,103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1,019</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(308)</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1440" w:type="dxa"/>
            <w:vAlign w:val="bottom"/>
            <w:gridSpan w:val="2"/>
          </w:tcPr>
          <w:p>
            <w:pPr>
              <w:jc w:val="right"/>
              <w:ind w:right="530"/>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(526)</w:t>
            </w: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Proceeds from divestitures of businesses, net of cash divested, and other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of assets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Basis of Presentation of Consolidated and Segment Financial Information</w:t>
      </w:r>
    </w:p>
    <w:p>
      <w:pPr>
        <w:spacing w:after="0" w:line="117" w:lineRule="exact"/>
        <w:rPr>
          <w:sz w:val="20"/>
          <w:szCs w:val="20"/>
          <w:color w:val="auto"/>
        </w:rPr>
      </w:pPr>
    </w:p>
    <w:p>
      <w:pPr>
        <w:ind w:right="140" w:firstLine="260"/>
        <w:spacing w:after="0" w:line="277" w:lineRule="auto"/>
        <w:rPr>
          <w:sz w:val="20"/>
          <w:szCs w:val="20"/>
          <w:color w:val="auto"/>
        </w:rPr>
      </w:pPr>
      <w:r>
        <w:rPr>
          <w:rFonts w:ascii="Arial" w:cs="Arial" w:eastAsia="Arial" w:hAnsi="Arial"/>
          <w:sz w:val="18"/>
          <w:szCs w:val="18"/>
          <w:color w:val="auto"/>
        </w:rPr>
        <w:t>As discussed in Notes 1 and 9 to the Condensed Consolidated Financial Statements, the following reclassifications have been made in our 2004 financial statements in order to conform to the current year presentation:</w:t>
      </w:r>
    </w:p>
    <w:p>
      <w:pPr>
        <w:spacing w:after="0" w:line="62"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i w:val="1"/>
          <w:iCs w:val="1"/>
          <w:color w:val="auto"/>
        </w:rPr>
        <w:t xml:space="preserve">Cash balances </w:t>
      </w:r>
      <w:r>
        <w:rPr>
          <w:rFonts w:ascii="Arial" w:cs="Arial" w:eastAsia="Arial" w:hAnsi="Arial"/>
          <w:sz w:val="17"/>
          <w:szCs w:val="17"/>
          <w:color w:val="auto"/>
        </w:rPr>
        <w:t>— During the first quarter of 2004, we began making investments in auction rate securities and variable rate demand notes, which are debt</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with long-term scheduled maturities and periodic interest rate reset dates. Through December 31, 2004, we included these investments in “Cash and cash equivalents.” As a result of recent guidance associated with these types of securities, we determined that these investments were more appropriately classified as short-term investments, which are a component of “Prepaid expenses and other assets” in our Condensed Consolidated Balance Sheets. Accordingly, in our accompanying Condensed Consolidated Financial Statements we have (i) decreased our “Cash and cash equivalents” and increased our “Prepaid expenses and other assets” by $19 million at December 31, 2004 and $162 million 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June 30, 2004; and (ii) reflected the gross purchases and sales of these investments within “Cash flows from investing activities” in our Statements of Cash Flows. Additionally, in our 2004 Condensed Consolidated Statement of Cash Flows, relatively insignificant purchases and sales of other short-term investments were included on a net basis within “Cash flows from investing activities — Other.” This additional activity has also been reflected within purchases and sales of short-term investments in the accompanying Condensed Consolidated Statements of Cash Flows.</w:t>
      </w:r>
    </w:p>
    <w:p>
      <w:pPr>
        <w:spacing w:after="0" w:line="63"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i w:val="1"/>
          <w:iCs w:val="1"/>
          <w:color w:val="auto"/>
        </w:rPr>
        <w:t xml:space="preserve">Segments </w:t>
      </w:r>
      <w:r>
        <w:rPr>
          <w:rFonts w:ascii="Arial" w:cs="Arial" w:eastAsia="Arial" w:hAnsi="Arial"/>
          <w:sz w:val="17"/>
          <w:szCs w:val="17"/>
          <w:color w:val="auto"/>
        </w:rPr>
        <w:t>— Early in the third quarter of 2004, we implemented a market realignment that consisted of moving our Ohio operations to the Midwest Group</w:t>
      </w:r>
      <w:r>
        <w:rPr>
          <w:rFonts w:ascii="Arial" w:cs="Arial" w:eastAsia="Arial" w:hAnsi="Arial"/>
          <w:sz w:val="17"/>
          <w:szCs w:val="17"/>
          <w:i w:val="1"/>
          <w:iCs w:val="1"/>
          <w:color w:val="auto"/>
        </w:rPr>
        <w:t xml:space="preserve"> </w:t>
      </w:r>
      <w:r>
        <w:rPr>
          <w:rFonts w:ascii="Arial" w:cs="Arial" w:eastAsia="Arial" w:hAnsi="Arial"/>
          <w:sz w:val="17"/>
          <w:szCs w:val="17"/>
          <w:color w:val="auto"/>
        </w:rPr>
        <w:t>and our Kentucky operations to the Southern Group, both of which were previously in the Eastern Group. We believe that the realignment will provide benefits to each of the operating groups affected. The Ohio Market Area faces many of the same issues as other industrial regions in the Midwest Group and the Kentucky Market Area’s rural characteristics make it similar to other markets in the Southern Group. By balancing the revenues between each of the Groups, we will enable the Eastern Group leadership team to focus on the challenges associated with the Northeast corridor. As a result of the realignment, we have reclassified the operating results of the Ohio and Kentucky Market Areas for all periods presented to provide segment financial information that appropriately reflects our approach to managing operations.</w:t>
      </w:r>
    </w:p>
    <w:p>
      <w:pPr>
        <w:spacing w:after="0" w:line="70"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Certain other reclassifications have also been made in the accompanying financial statements to conform prior year information with the current period presentation. The supplementary financial information included in this section has been updated to reflect these changes.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117" w:lineRule="exact"/>
        <w:rPr>
          <w:sz w:val="20"/>
          <w:szCs w:val="20"/>
          <w:color w:val="auto"/>
        </w:rPr>
      </w:pPr>
    </w:p>
    <w:p>
      <w:pPr>
        <w:ind w:right="80" w:firstLine="270"/>
        <w:spacing w:after="0" w:line="293" w:lineRule="auto"/>
        <w:rPr>
          <w:sz w:val="20"/>
          <w:szCs w:val="20"/>
          <w:color w:val="auto"/>
        </w:rPr>
      </w:pPr>
      <w:r>
        <w:rPr>
          <w:rFonts w:ascii="Arial" w:cs="Arial" w:eastAsia="Arial" w:hAnsi="Arial"/>
          <w:sz w:val="16"/>
          <w:szCs w:val="16"/>
          <w:color w:val="auto"/>
        </w:rPr>
        <w:t>In preparing our financial statements, we make several estimates and assumptions that affect the accounting for and recognition of our assets, liabilities, stockholders’ equity, revenues and expenses. We must make these estimates and assumptions because certain of the information that we use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 remediation liabilities and asset impairments, as described in Item 7 of our Annual Report on Form 10-K for the year ended December 31, 2004.</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following table presents, for the periods indicated, the period-to-period change in dollars (in millions) and percentages for the respective Condensed Consolidated Statement of Operations line items: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Period to Period</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Period to Period</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Change For the</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Change For the Six</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Three Months</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Months Ended</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Ended June 30,</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color w:val="auto"/>
                <w:w w:val="86"/>
              </w:rPr>
              <w:t>June 30,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left="90"/>
              <w:spacing w:after="0"/>
              <w:rPr>
                <w:sz w:val="20"/>
                <w:szCs w:val="20"/>
                <w:color w:val="auto"/>
              </w:rPr>
            </w:pPr>
            <w:r>
              <w:rPr>
                <w:rFonts w:ascii="Arial" w:cs="Arial" w:eastAsia="Arial" w:hAnsi="Arial"/>
                <w:sz w:val="18"/>
                <w:szCs w:val="18"/>
                <w:color w:val="auto"/>
                <w:w w:val="89"/>
              </w:rPr>
              <w:t>2005 and 2004</w:t>
            </w:r>
          </w:p>
        </w:tc>
        <w:tc>
          <w:tcPr>
            <w:tcW w:w="440" w:type="dxa"/>
            <w:vAlign w:val="bottom"/>
            <w:tcBorders>
              <w:bottom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89"/>
              </w:rPr>
              <w:t>2005 and 2004</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151</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4.8 %</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293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4.9 %</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133</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257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460" w:type="dxa"/>
            <w:vAlign w:val="bottom"/>
            <w:gridSpan w:val="2"/>
          </w:tcPr>
          <w:p>
            <w:pPr>
              <w:jc w:val="right"/>
              <w:ind w:right="96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8"/>
                <w:szCs w:val="18"/>
                <w:color w:val="auto"/>
              </w:rPr>
              <w:t>Asset impairments and unusual items</w:t>
            </w:r>
          </w:p>
        </w:tc>
        <w:tc>
          <w:tcPr>
            <w:tcW w:w="260" w:type="dxa"/>
            <w:vAlign w:val="bottom"/>
          </w:tcPr>
          <w:p>
            <w:pPr>
              <w:spacing w:after="0"/>
              <w:rPr>
                <w:sz w:val="18"/>
                <w:szCs w:val="18"/>
                <w:color w:val="auto"/>
              </w:rPr>
            </w:pPr>
          </w:p>
        </w:tc>
        <w:tc>
          <w:tcPr>
            <w:tcW w:w="1460" w:type="dxa"/>
            <w:vAlign w:val="bottom"/>
            <w:gridSpan w:val="2"/>
          </w:tcPr>
          <w:p>
            <w:pPr>
              <w:jc w:val="right"/>
              <w:ind w:right="102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0" w:type="dxa"/>
            <w:vAlign w:val="bottom"/>
            <w:gridSpan w:val="2"/>
          </w:tcPr>
          <w:p>
            <w:pPr>
              <w:jc w:val="right"/>
              <w:ind w:right="1010"/>
              <w:spacing w:after="0"/>
              <w:rPr>
                <w:sz w:val="20"/>
                <w:szCs w:val="20"/>
                <w:color w:val="auto"/>
              </w:rPr>
            </w:pPr>
            <w:r>
              <w:rPr>
                <w:rFonts w:ascii="Arial" w:cs="Arial" w:eastAsia="Arial" w:hAnsi="Arial"/>
                <w:sz w:val="18"/>
                <w:szCs w:val="18"/>
                <w:color w:val="auto"/>
              </w:rPr>
              <w:t>(11)</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130</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20"/>
                <w:szCs w:val="20"/>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8"/>
                <w:szCs w:val="18"/>
                <w:color w:val="auto"/>
              </w:rPr>
              <w:t>4.8</w:t>
            </w:r>
          </w:p>
        </w:tc>
        <w:tc>
          <w:tcPr>
            <w:tcW w:w="2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460" w:type="dxa"/>
            <w:vAlign w:val="bottom"/>
            <w:gridSpan w:val="2"/>
          </w:tcPr>
          <w:p>
            <w:pPr>
              <w:jc w:val="right"/>
              <w:ind w:right="960"/>
              <w:spacing w:after="0"/>
              <w:rPr>
                <w:sz w:val="20"/>
                <w:szCs w:val="20"/>
                <w:color w:val="auto"/>
              </w:rPr>
            </w:pPr>
            <w:r>
              <w:rPr>
                <w:rFonts w:ascii="Arial" w:cs="Arial" w:eastAsia="Arial" w:hAnsi="Arial"/>
                <w:sz w:val="18"/>
                <w:szCs w:val="18"/>
                <w:color w:val="auto"/>
              </w:rPr>
              <w:t>(10)</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600" w:type="dxa"/>
            <w:vAlign w:val="bottom"/>
            <w:gridSpan w:val="2"/>
          </w:tcPr>
          <w:p>
            <w:pPr>
              <w:jc w:val="right"/>
              <w:ind w:right="101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net losses of unconsolidated entities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(20.9)</w:t>
            </w:r>
          </w:p>
        </w:tc>
      </w:tr>
      <w:tr>
        <w:trPr>
          <w:trHeight w:val="216"/>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18"/>
                <w:szCs w:val="18"/>
                <w:color w:val="auto"/>
              </w:rPr>
            </w:pPr>
          </w:p>
        </w:tc>
        <w:tc>
          <w:tcPr>
            <w:tcW w:w="1460" w:type="dxa"/>
            <w:vAlign w:val="bottom"/>
            <w:gridSpan w:val="2"/>
          </w:tcPr>
          <w:p>
            <w:pPr>
              <w:jc w:val="right"/>
              <w:ind w:right="96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1600" w:type="dxa"/>
            <w:vAlign w:val="bottom"/>
            <w:gridSpan w:val="2"/>
          </w:tcPr>
          <w:p>
            <w:pPr>
              <w:jc w:val="right"/>
              <w:ind w:right="101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(31.3)</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(9.0)</w:t>
            </w:r>
          </w:p>
        </w:tc>
        <w:tc>
          <w:tcPr>
            <w:tcW w:w="2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16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Income before income taxes and cumulative effect of change in accounting</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principle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8</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2.7 %</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4.4 %</w:t>
            </w: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49" w:lineRule="exact"/>
        <w:rPr>
          <w:sz w:val="20"/>
          <w:szCs w:val="20"/>
          <w:color w:val="auto"/>
        </w:rPr>
      </w:pPr>
    </w:p>
    <w:p>
      <w:pPr>
        <w:ind w:left="460" w:hanging="222"/>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Percentage change is not meaningful.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following table presents, for the periods indicated, the percentage relationship that the respective Condensed Consolidated Statement of Operations line items bear to operating revenues: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260" w:type="dxa"/>
            <w:vAlign w:val="bottom"/>
            <w:gridSpan w:val="4"/>
          </w:tcPr>
          <w:p>
            <w:pPr>
              <w:jc w:val="right"/>
              <w:ind w:right="1220"/>
              <w:spacing w:after="0"/>
              <w:rPr>
                <w:sz w:val="20"/>
                <w:szCs w:val="20"/>
                <w:color w:val="auto"/>
              </w:rPr>
            </w:pPr>
            <w:r>
              <w:rPr>
                <w:rFonts w:ascii="Arial" w:cs="Arial" w:eastAsia="Arial" w:hAnsi="Arial"/>
                <w:sz w:val="18"/>
                <w:szCs w:val="18"/>
                <w:color w:val="auto"/>
              </w:rPr>
              <w:t>Three Months Ended</w:t>
            </w:r>
          </w:p>
        </w:tc>
        <w:tc>
          <w:tcPr>
            <w:tcW w:w="2840" w:type="dxa"/>
            <w:vAlign w:val="bottom"/>
            <w:gridSpan w:val="4"/>
          </w:tcPr>
          <w:p>
            <w:pPr>
              <w:jc w:val="right"/>
              <w:ind w:right="960"/>
              <w:spacing w:after="0"/>
              <w:rPr>
                <w:sz w:val="20"/>
                <w:szCs w:val="20"/>
                <w:color w:val="auto"/>
              </w:rPr>
            </w:pPr>
            <w:r>
              <w:rPr>
                <w:rFonts w:ascii="Arial" w:cs="Arial" w:eastAsia="Arial" w:hAnsi="Arial"/>
                <w:sz w:val="18"/>
                <w:szCs w:val="18"/>
                <w:color w:val="auto"/>
              </w:rPr>
              <w:t>Six Months Ended</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June 30,</w:t>
            </w:r>
          </w:p>
        </w:tc>
        <w:tc>
          <w:tcPr>
            <w:tcW w:w="82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June 30,</w:t>
            </w:r>
          </w:p>
        </w:tc>
        <w:tc>
          <w:tcPr>
            <w:tcW w:w="8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760" w:type="dxa"/>
            <w:vAlign w:val="bottom"/>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2004</w:t>
            </w:r>
          </w:p>
        </w:tc>
        <w:tc>
          <w:tcPr>
            <w:tcW w:w="720" w:type="dxa"/>
            <w:vAlign w:val="bottom"/>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2005</w:t>
            </w:r>
          </w:p>
        </w:tc>
        <w:tc>
          <w:tcPr>
            <w:tcW w:w="76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2004</w:t>
            </w:r>
          </w:p>
        </w:tc>
        <w:tc>
          <w:tcPr>
            <w:tcW w:w="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100.0 %</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100.0 %</w:t>
            </w:r>
          </w:p>
        </w:tc>
        <w:tc>
          <w:tcPr>
            <w:tcW w:w="15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100.0 %</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100.0 %</w:t>
            </w: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96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Operating (exclusive of depreciation and amortization shown</w:t>
            </w: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below)</w:t>
            </w:r>
          </w:p>
        </w:tc>
        <w:tc>
          <w:tcPr>
            <w:tcW w:w="17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66.1</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65.0</w:t>
            </w:r>
          </w:p>
        </w:tc>
        <w:tc>
          <w:tcPr>
            <w:tcW w:w="15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66.7</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65.6</w:t>
            </w:r>
          </w:p>
        </w:tc>
      </w:tr>
      <w:tr>
        <w:trPr>
          <w:trHeight w:val="216"/>
        </w:trPr>
        <w:tc>
          <w:tcPr>
            <w:tcW w:w="20" w:type="dxa"/>
            <w:vAlign w:val="bottom"/>
          </w:tcPr>
          <w:p>
            <w:pPr>
              <w:spacing w:after="0"/>
              <w:rPr>
                <w:sz w:val="18"/>
                <w:szCs w:val="18"/>
                <w:color w:val="auto"/>
              </w:rPr>
            </w:pPr>
          </w:p>
        </w:tc>
        <w:tc>
          <w:tcPr>
            <w:tcW w:w="530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gridSpan w:val="2"/>
          </w:tcPr>
          <w:p>
            <w:pPr>
              <w:jc w:val="right"/>
              <w:ind w:right="670"/>
              <w:spacing w:after="0"/>
              <w:rPr>
                <w:sz w:val="20"/>
                <w:szCs w:val="20"/>
                <w:color w:val="auto"/>
              </w:rPr>
            </w:pPr>
            <w:r>
              <w:rPr>
                <w:rFonts w:ascii="Arial" w:cs="Arial" w:eastAsia="Arial" w:hAnsi="Arial"/>
                <w:sz w:val="18"/>
                <w:szCs w:val="18"/>
                <w:color w:val="auto"/>
              </w:rPr>
              <w:t>9.5</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10.1</w:t>
            </w:r>
          </w:p>
        </w:tc>
        <w:tc>
          <w:tcPr>
            <w:tcW w:w="1580" w:type="dxa"/>
            <w:vAlign w:val="bottom"/>
            <w:gridSpan w:val="2"/>
          </w:tcPr>
          <w:p>
            <w:pPr>
              <w:jc w:val="right"/>
              <w:ind w:right="670"/>
              <w:spacing w:after="0"/>
              <w:rPr>
                <w:sz w:val="20"/>
                <w:szCs w:val="20"/>
                <w:color w:val="auto"/>
              </w:rPr>
            </w:pPr>
            <w:r>
              <w:rPr>
                <w:rFonts w:ascii="Arial" w:cs="Arial" w:eastAsia="Arial" w:hAnsi="Arial"/>
                <w:sz w:val="18"/>
                <w:szCs w:val="18"/>
                <w:color w:val="auto"/>
              </w:rPr>
              <w:t>10.2</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7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10.5</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11.1</w:t>
            </w:r>
          </w:p>
        </w:tc>
        <w:tc>
          <w:tcPr>
            <w:tcW w:w="15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5300" w:type="dxa"/>
            <w:vAlign w:val="bottom"/>
          </w:tcPr>
          <w:p>
            <w:pPr>
              <w:ind w:left="280"/>
              <w:spacing w:after="0"/>
              <w:rPr>
                <w:sz w:val="20"/>
                <w:szCs w:val="20"/>
                <w:color w:val="auto"/>
              </w:rPr>
            </w:pPr>
            <w:r>
              <w:rPr>
                <w:rFonts w:ascii="Arial" w:cs="Arial" w:eastAsia="Arial" w:hAnsi="Arial"/>
                <w:sz w:val="18"/>
                <w:szCs w:val="18"/>
                <w:color w:val="auto"/>
              </w:rPr>
              <w:t>Asset impairments and unusual items</w:t>
            </w:r>
          </w:p>
        </w:tc>
        <w:tc>
          <w:tcPr>
            <w:tcW w:w="1720" w:type="dxa"/>
            <w:vAlign w:val="bottom"/>
            <w:gridSpan w:val="2"/>
          </w:tcPr>
          <w:p>
            <w:pPr>
              <w:jc w:val="right"/>
              <w:ind w:right="610"/>
              <w:spacing w:after="0"/>
              <w:rPr>
                <w:sz w:val="20"/>
                <w:szCs w:val="20"/>
                <w:color w:val="auto"/>
              </w:rPr>
            </w:pPr>
            <w:r>
              <w:rPr>
                <w:rFonts w:ascii="Arial" w:cs="Arial" w:eastAsia="Arial" w:hAnsi="Arial"/>
                <w:sz w:val="18"/>
                <w:szCs w:val="18"/>
                <w:color w:val="auto"/>
              </w:rPr>
              <w:t>(0.2)</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580" w:type="dxa"/>
            <w:vAlign w:val="bottom"/>
            <w:gridSpan w:val="2"/>
          </w:tcPr>
          <w:p>
            <w:pPr>
              <w:jc w:val="right"/>
              <w:ind w:right="610"/>
              <w:spacing w:after="0"/>
              <w:rPr>
                <w:sz w:val="20"/>
                <w:szCs w:val="20"/>
                <w:color w:val="auto"/>
              </w:rPr>
            </w:pPr>
            <w:r>
              <w:rPr>
                <w:rFonts w:ascii="Arial" w:cs="Arial" w:eastAsia="Arial" w:hAnsi="Arial"/>
                <w:sz w:val="18"/>
                <w:szCs w:val="18"/>
                <w:color w:val="auto"/>
              </w:rPr>
              <w:t>(0.5)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85.9</w:t>
            </w:r>
          </w:p>
        </w:tc>
        <w:tc>
          <w:tcPr>
            <w:tcW w:w="15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86.9</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87.0</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7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7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7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720" w:type="dxa"/>
            <w:vAlign w:val="bottom"/>
            <w:gridSpan w:val="2"/>
          </w:tcPr>
          <w:p>
            <w:pPr>
              <w:jc w:val="right"/>
              <w:ind w:right="610"/>
              <w:spacing w:after="0"/>
              <w:rPr>
                <w:sz w:val="20"/>
                <w:szCs w:val="20"/>
                <w:color w:val="auto"/>
              </w:rPr>
            </w:pPr>
            <w:r>
              <w:rPr>
                <w:rFonts w:ascii="Arial" w:cs="Arial" w:eastAsia="Arial" w:hAnsi="Arial"/>
                <w:sz w:val="18"/>
                <w:szCs w:val="18"/>
                <w:color w:val="auto"/>
              </w:rPr>
              <w:t>(3.7)</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580" w:type="dxa"/>
            <w:vAlign w:val="bottom"/>
            <w:gridSpan w:val="2"/>
          </w:tcPr>
          <w:p>
            <w:pPr>
              <w:jc w:val="right"/>
              <w:ind w:right="610"/>
              <w:spacing w:after="0"/>
              <w:rPr>
                <w:sz w:val="20"/>
                <w:szCs w:val="20"/>
                <w:color w:val="auto"/>
              </w:rPr>
            </w:pPr>
            <w:r>
              <w:rPr>
                <w:rFonts w:ascii="Arial" w:cs="Arial" w:eastAsia="Arial" w:hAnsi="Arial"/>
                <w:sz w:val="18"/>
                <w:szCs w:val="18"/>
                <w:color w:val="auto"/>
              </w:rPr>
              <w:t>(3.7)</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net losses of unconsolidated entities</w:t>
            </w:r>
          </w:p>
        </w:tc>
        <w:tc>
          <w:tcPr>
            <w:tcW w:w="17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(0.8)</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15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(0.8)</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5300" w:type="dxa"/>
            <w:vAlign w:val="bottom"/>
          </w:tcPr>
          <w:p>
            <w:pPr>
              <w:ind w:left="280"/>
              <w:spacing w:after="0"/>
              <w:rPr>
                <w:sz w:val="20"/>
                <w:szCs w:val="20"/>
                <w:color w:val="auto"/>
              </w:rPr>
            </w:pPr>
            <w:r>
              <w:rPr>
                <w:rFonts w:ascii="Arial" w:cs="Arial" w:eastAsia="Arial" w:hAnsi="Arial"/>
                <w:sz w:val="18"/>
                <w:szCs w:val="18"/>
                <w:color w:val="auto"/>
              </w:rPr>
              <w:t>Minority interest</w:t>
            </w:r>
          </w:p>
        </w:tc>
        <w:tc>
          <w:tcPr>
            <w:tcW w:w="1720" w:type="dxa"/>
            <w:vAlign w:val="bottom"/>
            <w:gridSpan w:val="2"/>
          </w:tcPr>
          <w:p>
            <w:pPr>
              <w:jc w:val="right"/>
              <w:ind w:right="610"/>
              <w:spacing w:after="0"/>
              <w:rPr>
                <w:sz w:val="20"/>
                <w:szCs w:val="20"/>
                <w:color w:val="auto"/>
              </w:rPr>
            </w:pPr>
            <w:r>
              <w:rPr>
                <w:rFonts w:ascii="Arial" w:cs="Arial" w:eastAsia="Arial" w:hAnsi="Arial"/>
                <w:sz w:val="18"/>
                <w:szCs w:val="18"/>
                <w:color w:val="auto"/>
              </w:rPr>
              <w:t>(0.3)</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580" w:type="dxa"/>
            <w:vAlign w:val="bottom"/>
            <w:gridSpan w:val="2"/>
          </w:tcPr>
          <w:p>
            <w:pPr>
              <w:jc w:val="right"/>
              <w:ind w:right="610"/>
              <w:spacing w:after="0"/>
              <w:rPr>
                <w:sz w:val="20"/>
                <w:szCs w:val="20"/>
                <w:color w:val="auto"/>
              </w:rPr>
            </w:pPr>
            <w:r>
              <w:rPr>
                <w:rFonts w:ascii="Arial" w:cs="Arial" w:eastAsia="Arial" w:hAnsi="Arial"/>
                <w:sz w:val="18"/>
                <w:szCs w:val="18"/>
                <w:color w:val="auto"/>
              </w:rPr>
              <w:t>(0.3)</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720" w:type="dxa"/>
            <w:vAlign w:val="bottom"/>
            <w:gridSpan w:val="2"/>
          </w:tcPr>
          <w:p>
            <w:pPr>
              <w:jc w:val="right"/>
              <w:ind w:right="610"/>
              <w:spacing w:after="0"/>
              <w:rPr>
                <w:sz w:val="20"/>
                <w:szCs w:val="20"/>
                <w:color w:val="auto"/>
              </w:rPr>
            </w:pPr>
            <w:r>
              <w:rPr>
                <w:rFonts w:ascii="Arial" w:cs="Arial" w:eastAsia="Arial" w:hAnsi="Arial"/>
                <w:sz w:val="18"/>
                <w:szCs w:val="18"/>
                <w:color w:val="auto"/>
              </w:rPr>
              <w:t>(4.8)</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ind w:right="610"/>
              <w:spacing w:after="0"/>
              <w:rPr>
                <w:sz w:val="20"/>
                <w:szCs w:val="20"/>
                <w:color w:val="auto"/>
              </w:rPr>
            </w:pPr>
            <w:r>
              <w:rPr>
                <w:rFonts w:ascii="Arial" w:cs="Arial" w:eastAsia="Arial" w:hAnsi="Arial"/>
                <w:sz w:val="18"/>
                <w:szCs w:val="18"/>
                <w:color w:val="auto"/>
              </w:rPr>
              <w:t>(4.8)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cumulative effect of change in</w:t>
            </w:r>
          </w:p>
        </w:tc>
        <w:tc>
          <w:tcPr>
            <w:tcW w:w="96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accounting principle</w:t>
            </w:r>
          </w:p>
        </w:tc>
        <w:tc>
          <w:tcPr>
            <w:tcW w:w="17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9.3 %</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9.5 %</w:t>
            </w:r>
          </w:p>
        </w:tc>
        <w:tc>
          <w:tcPr>
            <w:tcW w:w="15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8.3 %</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8.3 %</w:t>
            </w: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jc w:val="both"/>
        <w:ind w:right="100" w:firstLine="270"/>
        <w:spacing w:after="0" w:line="302" w:lineRule="auto"/>
        <w:rPr>
          <w:sz w:val="20"/>
          <w:szCs w:val="20"/>
          <w:color w:val="auto"/>
        </w:rPr>
      </w:pPr>
      <w:r>
        <w:rPr>
          <w:rFonts w:ascii="Arial" w:cs="Arial" w:eastAsia="Arial" w:hAnsi="Arial"/>
          <w:sz w:val="16"/>
          <w:szCs w:val="16"/>
          <w:color w:val="auto"/>
        </w:rPr>
        <w:t>Our operating revenues for the three and six months ended June 30, 2005 were $3.3 billion and $6.3 billion respectively, compared with $3.1 billion and $6.0 billion for the three and six months ended June 30, 2004, respectively. We manage and evaluate our operations primarily through our Eastern, Midwest, Southern, Western, Canadian, Wheelabrator and Recycling Groups. These seven operating Groups are our reportable segments. Shown below (in millions) is the contribution to revenues during each period provided by our seven operating Groups and our Other North American Solid Waste services: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7"/>
          </w:tcPr>
          <w:p>
            <w:pPr>
              <w:jc w:val="right"/>
              <w:ind w:right="94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June 30,</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c>
          <w:tcPr>
            <w:tcW w:w="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2004</w:t>
            </w:r>
          </w:p>
        </w:tc>
        <w:tc>
          <w:tcPr>
            <w:tcW w:w="3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Canadian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Eastern</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945</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670"/>
              <w:spacing w:after="0"/>
              <w:rPr>
                <w:sz w:val="20"/>
                <w:szCs w:val="20"/>
                <w:color w:val="auto"/>
              </w:rPr>
            </w:pPr>
            <w:r>
              <w:rPr>
                <w:rFonts w:ascii="Arial" w:cs="Arial" w:eastAsia="Arial" w:hAnsi="Arial"/>
                <w:sz w:val="18"/>
                <w:szCs w:val="18"/>
                <w:color w:val="auto"/>
              </w:rPr>
              <w:t>1,757</w:t>
            </w: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1,738</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1,340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1,313</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Southern</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670"/>
              <w:spacing w:after="0"/>
              <w:rPr>
                <w:sz w:val="20"/>
                <w:szCs w:val="20"/>
                <w:color w:val="auto"/>
              </w:rPr>
            </w:pPr>
            <w:r>
              <w:rPr>
                <w:rFonts w:ascii="Arial" w:cs="Arial" w:eastAsia="Arial" w:hAnsi="Arial"/>
                <w:sz w:val="18"/>
                <w:szCs w:val="18"/>
                <w:color w:val="auto"/>
              </w:rPr>
              <w:t>1,749</w:t>
            </w: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1,654</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Western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1,403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1,315</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Wheelabrator</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670"/>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NASW</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67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(1,219)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(1,163)</w:t>
            </w:r>
          </w:p>
        </w:tc>
      </w:tr>
      <w:tr>
        <w:trPr>
          <w:trHeight w:val="223"/>
        </w:trPr>
        <w:tc>
          <w:tcPr>
            <w:tcW w:w="20" w:type="dxa"/>
            <w:vAlign w:val="bottom"/>
          </w:tcPr>
          <w:p>
            <w:pPr>
              <w:spacing w:after="0"/>
              <w:rPr>
                <w:sz w:val="19"/>
                <w:szCs w:val="19"/>
                <w:color w:val="auto"/>
              </w:rPr>
            </w:pPr>
          </w:p>
        </w:tc>
        <w:tc>
          <w:tcPr>
            <w:tcW w:w="5100" w:type="dxa"/>
            <w:vAlign w:val="bottom"/>
          </w:tcPr>
          <w:p>
            <w:pPr>
              <w:ind w:left="280"/>
              <w:spacing w:after="0"/>
              <w:rPr>
                <w:sz w:val="20"/>
                <w:szCs w:val="20"/>
                <w:color w:val="auto"/>
              </w:rPr>
            </w:pPr>
            <w:r>
              <w:rPr>
                <w:rFonts w:ascii="Arial" w:cs="Arial" w:eastAsia="Arial" w:hAnsi="Arial"/>
                <w:sz w:val="18"/>
                <w:szCs w:val="18"/>
                <w:color w:val="auto"/>
              </w:rPr>
              <w:t>Total NASW</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6,327</w:t>
            </w:r>
          </w:p>
        </w:tc>
        <w:tc>
          <w:tcPr>
            <w:tcW w:w="7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3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70"/>
        <w:spacing w:after="0" w:line="297" w:lineRule="auto"/>
        <w:rPr>
          <w:sz w:val="20"/>
          <w:szCs w:val="20"/>
          <w:color w:val="auto"/>
        </w:rPr>
      </w:pPr>
      <w:r>
        <w:rPr>
          <w:rFonts w:ascii="Arial" w:cs="Arial" w:eastAsia="Arial" w:hAnsi="Arial"/>
          <w:sz w:val="16"/>
          <w:szCs w:val="16"/>
          <w:color w:val="auto"/>
        </w:rPr>
        <w:t>Our North American Solid Waste, or NASW, operating revenues generally come from fees charged for our collection, disposal, transfer and recycling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charged to third parties generally based on the volume and type of waste being disposed of at our disposal facilities and are normally billed monthly or semi-monthly. Fees charged at transfer stations are generally based on the volume of waste deposited, taking into account our cost of loading, transporting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disposing of the solid waste at a disposal site, and are normally billed monthly. Recycling revenue, which is generated by our Recycling Group as well as our five geographic operating Groups, generally consists of the sale of recyclable commodities to third parties and tipping fees. Intercompany revenues between our operations have been eliminated in the consolidated financial statements. The mix of operating revenues from our different services is reflected in the table below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4"/>
          </w:tcPr>
          <w:p>
            <w:pPr>
              <w:jc w:val="right"/>
              <w:ind w:right="20"/>
              <w:spacing w:after="0"/>
              <w:rPr>
                <w:sz w:val="20"/>
                <w:szCs w:val="20"/>
                <w:color w:val="auto"/>
              </w:rPr>
            </w:pPr>
            <w:r>
              <w:rPr>
                <w:rFonts w:ascii="Arial" w:cs="Arial" w:eastAsia="Arial" w:hAnsi="Arial"/>
                <w:sz w:val="18"/>
                <w:szCs w:val="18"/>
                <w:color w:val="auto"/>
              </w:rPr>
              <w:t>Three Months Ended</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89"/>
              </w:rPr>
              <w:t>June 30,</w:t>
            </w:r>
          </w:p>
        </w:tc>
        <w:tc>
          <w:tcPr>
            <w:tcW w:w="70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6"/>
              </w:rPr>
              <w:t>June 30,</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2004</w:t>
            </w: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c>
          <w:tcPr>
            <w:tcW w:w="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2004</w:t>
            </w:r>
          </w:p>
        </w:tc>
        <w:tc>
          <w:tcPr>
            <w:tcW w:w="4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4,225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4,023</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Landfill</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773</w:t>
            </w:r>
          </w:p>
        </w:tc>
        <w:tc>
          <w:tcPr>
            <w:tcW w:w="240" w:type="dxa"/>
            <w:vAlign w:val="bottom"/>
          </w:tcPr>
          <w:p>
            <w:pPr>
              <w:spacing w:after="0"/>
              <w:rPr>
                <w:sz w:val="18"/>
                <w:szCs w:val="18"/>
                <w:color w:val="auto"/>
              </w:rPr>
            </w:pPr>
          </w:p>
        </w:tc>
        <w:tc>
          <w:tcPr>
            <w:tcW w:w="1720" w:type="dxa"/>
            <w:vAlign w:val="bottom"/>
            <w:gridSpan w:val="2"/>
          </w:tcPr>
          <w:p>
            <w:pPr>
              <w:jc w:val="right"/>
              <w:ind w:right="770"/>
              <w:spacing w:after="0"/>
              <w:rPr>
                <w:sz w:val="20"/>
                <w:szCs w:val="20"/>
                <w:color w:val="auto"/>
              </w:rPr>
            </w:pPr>
            <w:r>
              <w:rPr>
                <w:rFonts w:ascii="Arial" w:cs="Arial" w:eastAsia="Arial" w:hAnsi="Arial"/>
                <w:sz w:val="18"/>
                <w:szCs w:val="18"/>
                <w:color w:val="auto"/>
              </w:rPr>
              <w:t>1,467</w:t>
            </w: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1,437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Wheelabrator</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720" w:type="dxa"/>
            <w:vAlign w:val="bottom"/>
            <w:gridSpan w:val="2"/>
          </w:tcPr>
          <w:p>
            <w:pPr>
              <w:jc w:val="right"/>
              <w:ind w:right="77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407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Recycling and other</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Intercompany</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(648)</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1720" w:type="dxa"/>
            <w:vAlign w:val="bottom"/>
            <w:gridSpan w:val="2"/>
          </w:tcPr>
          <w:p>
            <w:pPr>
              <w:jc w:val="right"/>
              <w:ind w:right="710"/>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(1,163)</w:t>
            </w: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NASW</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6,327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6,034</w:t>
            </w: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NASW revenues (dollars in millions) along with an explanation of the significant components of the current period changes: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jc w:val="center"/>
              <w:ind w:left="50"/>
              <w:spacing w:after="0"/>
              <w:rPr>
                <w:sz w:val="20"/>
                <w:szCs w:val="20"/>
                <w:color w:val="auto"/>
              </w:rPr>
            </w:pPr>
            <w:r>
              <w:rPr>
                <w:rFonts w:ascii="Arial" w:cs="Arial" w:eastAsia="Arial" w:hAnsi="Arial"/>
                <w:sz w:val="18"/>
                <w:szCs w:val="18"/>
                <w:color w:val="auto"/>
                <w:w w:val="89"/>
              </w:rPr>
              <w:t>Period to Period</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Period to Period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jc w:val="center"/>
              <w:ind w:left="50"/>
              <w:spacing w:after="0"/>
              <w:rPr>
                <w:sz w:val="20"/>
                <w:szCs w:val="20"/>
                <w:color w:val="auto"/>
              </w:rPr>
            </w:pPr>
            <w:r>
              <w:rPr>
                <w:rFonts w:ascii="Arial" w:cs="Arial" w:eastAsia="Arial" w:hAnsi="Arial"/>
                <w:sz w:val="18"/>
                <w:szCs w:val="18"/>
                <w:color w:val="auto"/>
                <w:w w:val="89"/>
              </w:rPr>
              <w:t>Change For the</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Change For the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Three Months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Six Months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4"/>
          </w:tcPr>
          <w:p>
            <w:pPr>
              <w:jc w:val="center"/>
              <w:ind w:left="70"/>
              <w:spacing w:after="0"/>
              <w:rPr>
                <w:sz w:val="20"/>
                <w:szCs w:val="20"/>
                <w:color w:val="auto"/>
              </w:rPr>
            </w:pPr>
            <w:r>
              <w:rPr>
                <w:rFonts w:ascii="Arial" w:cs="Arial" w:eastAsia="Arial" w:hAnsi="Arial"/>
                <w:sz w:val="18"/>
                <w:szCs w:val="18"/>
                <w:color w:val="auto"/>
                <w:w w:val="87"/>
              </w:rPr>
              <w:t>Ended June 30,</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Ended June 30,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89"/>
              </w:rPr>
              <w:t>2005 and 2004</w:t>
            </w:r>
          </w:p>
        </w:tc>
        <w:tc>
          <w:tcPr>
            <w:tcW w:w="40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9"/>
              </w:rPr>
              <w:t>2005 and 2004</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Average yield:</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Arial" w:cs="Arial" w:eastAsia="Arial" w:hAnsi="Arial"/>
                <w:sz w:val="18"/>
                <w:szCs w:val="18"/>
                <w:color w:val="auto"/>
              </w:rPr>
              <w:t>Base business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70"/>
              <w:spacing w:after="0"/>
              <w:rPr>
                <w:sz w:val="20"/>
                <w:szCs w:val="20"/>
                <w:color w:val="auto"/>
              </w:rPr>
            </w:pPr>
            <w:r>
              <w:rPr>
                <w:rFonts w:ascii="Arial" w:cs="Arial" w:eastAsia="Arial" w:hAnsi="Arial"/>
                <w:sz w:val="18"/>
                <w:szCs w:val="18"/>
                <w:color w:val="auto"/>
              </w:rPr>
              <w:t>2.1 %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2.1 %</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Commodity</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Arial" w:cs="Arial" w:eastAsia="Arial" w:hAnsi="Arial"/>
                <w:sz w:val="18"/>
                <w:szCs w:val="18"/>
                <w:color w:val="auto"/>
              </w:rPr>
              <w:t>Electricity</w:t>
            </w:r>
          </w:p>
        </w:tc>
        <w:tc>
          <w:tcPr>
            <w:tcW w:w="260" w:type="dxa"/>
            <w:vAlign w:val="bottom"/>
          </w:tcPr>
          <w:p>
            <w:pPr>
              <w:spacing w:after="0"/>
              <w:rPr>
                <w:sz w:val="18"/>
                <w:szCs w:val="18"/>
                <w:color w:val="auto"/>
              </w:rPr>
            </w:pPr>
          </w:p>
        </w:tc>
        <w:tc>
          <w:tcPr>
            <w:tcW w:w="1540" w:type="dxa"/>
            <w:vAlign w:val="bottom"/>
            <w:gridSpan w:val="4"/>
          </w:tcPr>
          <w:p>
            <w:pPr>
              <w:jc w:val="right"/>
              <w:ind w:right="1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Fuel surcharge and fees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0.9</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7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Volume</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Internal growth</w:t>
            </w: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7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7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8"/>
                <w:szCs w:val="18"/>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160" w:type="dxa"/>
            <w:vAlign w:val="bottom"/>
            <w:gridSpan w:val="2"/>
          </w:tcPr>
          <w:p>
            <w:pPr>
              <w:jc w:val="right"/>
              <w:ind w:right="61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0.4</w:t>
            </w: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7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i w:val="1"/>
          <w:iCs w:val="1"/>
          <w:color w:val="auto"/>
        </w:rPr>
        <w:t xml:space="preserve">Base Business </w:t>
      </w:r>
      <w:r>
        <w:rPr>
          <w:rFonts w:ascii="Arial" w:cs="Arial" w:eastAsia="Arial" w:hAnsi="Arial"/>
          <w:sz w:val="18"/>
          <w:szCs w:val="18"/>
          <w:color w:val="auto"/>
        </w:rPr>
        <w:t>— At 2.1% for the three and six months ended June 30, 2005, revenue growth attributable to base business yield is the highest it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in several years. These base business yield improvements have been driven by our collection operations, where we experienced revenue growth in every geographic operating group. Throughout the year, the most significant collection yield improvements have been attributable to industrial and commercial operations in the South and the West and residential operations in the East, South and Midwest. The significant base business yield improvements in the collection line of business are the result of (i) our continued focus on pricing initiatives as a means of increasing our margins, cash flows and return on capital and (ii) the adoption of a 1% environmental cost recovery fee, which increased revenues by $9 million during the three months ended June 30, 2005 and $14 million during the six month period.</w:t>
      </w:r>
    </w:p>
    <w:p>
      <w:pPr>
        <w:spacing w:after="0" w:line="81" w:lineRule="exact"/>
        <w:rPr>
          <w:sz w:val="20"/>
          <w:szCs w:val="20"/>
          <w:color w:val="auto"/>
        </w:rPr>
      </w:pPr>
    </w:p>
    <w:p>
      <w:pPr>
        <w:ind w:right="40" w:firstLine="270"/>
        <w:spacing w:after="0" w:line="286" w:lineRule="auto"/>
        <w:rPr>
          <w:sz w:val="20"/>
          <w:szCs w:val="20"/>
          <w:color w:val="auto"/>
        </w:rPr>
      </w:pPr>
      <w:r>
        <w:rPr>
          <w:rFonts w:ascii="Arial" w:cs="Arial" w:eastAsia="Arial" w:hAnsi="Arial"/>
          <w:sz w:val="17"/>
          <w:szCs w:val="17"/>
          <w:color w:val="auto"/>
        </w:rPr>
        <w:t>During both the three and six months ended June 30, 2005, we have also received substantial yield contributions from our transfer business in the East, our waste-to-energy facilities and municipal solid waste disposal operations in the South. These revenue improvements have been partially offset by a general decline in yield in special waste disposal operations driven principally by our Midwest and Southern Groups.</w:t>
      </w:r>
    </w:p>
    <w:p>
      <w:pPr>
        <w:spacing w:after="0" w:line="57"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i w:val="1"/>
          <w:iCs w:val="1"/>
          <w:color w:val="auto"/>
        </w:rPr>
        <w:t xml:space="preserve">Fuel surcharges and fees </w:t>
      </w:r>
      <w:r>
        <w:rPr>
          <w:rFonts w:ascii="Arial" w:cs="Arial" w:eastAsia="Arial" w:hAnsi="Arial"/>
          <w:sz w:val="18"/>
          <w:szCs w:val="18"/>
          <w:color w:val="auto"/>
        </w:rPr>
        <w:t>— We have experienced $32 million and $54 million in revenue improvements during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2005, respectively, due to our continued effort to pass 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higher fuel costs to our customers through fuel surcharges. However, this increase was more than offset by increased operating costs due to higher diesel fuel prices included within both </w:t>
      </w:r>
      <w:r>
        <w:rPr>
          <w:rFonts w:ascii="Arial" w:cs="Arial" w:eastAsia="Arial" w:hAnsi="Arial"/>
          <w:sz w:val="16"/>
          <w:szCs w:val="16"/>
          <w:i w:val="1"/>
          <w:iCs w:val="1"/>
          <w:color w:val="auto"/>
        </w:rPr>
        <w:t>Operating Expenses — Subcontractor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Operating Expenses — Fuel.</w:t>
      </w:r>
      <w:r>
        <w:rPr>
          <w:rFonts w:ascii="Arial" w:cs="Arial" w:eastAsia="Arial" w:hAnsi="Arial"/>
          <w:sz w:val="16"/>
          <w:szCs w:val="16"/>
          <w:color w:val="auto"/>
        </w:rPr>
        <w:t xml:space="preserve"> During the last year, we have decreased the impact of higher direct fuel costs on our operating income by increasing the number of customers who participate in our fuel surcharge program. We are currently revising our fuel surcharge program so that in future periods we will also recover indirect fuel cost increases passed on to us by subcontracted haulers.</w:t>
      </w:r>
    </w:p>
    <w:p>
      <w:pPr>
        <w:spacing w:after="0" w:line="46" w:lineRule="exact"/>
        <w:rPr>
          <w:sz w:val="20"/>
          <w:szCs w:val="20"/>
          <w:color w:val="auto"/>
        </w:rPr>
      </w:pPr>
    </w:p>
    <w:p>
      <w:pPr>
        <w:ind w:firstLine="270"/>
        <w:spacing w:after="0" w:line="270" w:lineRule="auto"/>
        <w:rPr>
          <w:sz w:val="20"/>
          <w:szCs w:val="20"/>
          <w:color w:val="auto"/>
        </w:rPr>
      </w:pPr>
      <w:r>
        <w:rPr>
          <w:rFonts w:ascii="Arial" w:cs="Arial" w:eastAsia="Arial" w:hAnsi="Arial"/>
          <w:sz w:val="17"/>
          <w:szCs w:val="17"/>
          <w:i w:val="1"/>
          <w:iCs w:val="1"/>
          <w:color w:val="auto"/>
        </w:rPr>
        <w:t xml:space="preserve">Volume </w:t>
      </w:r>
      <w:r>
        <w:rPr>
          <w:rFonts w:ascii="Arial" w:cs="Arial" w:eastAsia="Arial" w:hAnsi="Arial"/>
          <w:sz w:val="17"/>
          <w:szCs w:val="17"/>
          <w:color w:val="auto"/>
        </w:rPr>
        <w:t>— Volume-related revenue increases during the first six months of 2005 were largely attributable to increased recycling volumes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new brokerage contracts. Increases in volumes provided by our collection, transfer and construction and demolition disposal operations in the South and the West also provided significant revenue growth during the three and six month periods. In the South, these volume increases were driven principally by industrial collection operations and transfer operations, which continue to be affected by hurricane re-build efforts. In the West, residential collection volumes, transfer volumes and construction and demolition disposal volumes were the primary drivers of the volume-related revenue improvements, and were generally attributable to positive economic conditions. These revenue improvements were partially offset by volume declines experienced in each line of business in the Eastern portion of the United States and significant volume declines in the collection business in the Midwest. We believe volume declines in our collection and transfer businesses in the East and Midwest can largely be attributed to our focus on improving base business yield and the intense price competition typical in these regions.</w:t>
      </w:r>
    </w:p>
    <w:p>
      <w:pPr>
        <w:spacing w:after="0" w:line="74" w:lineRule="exact"/>
        <w:rPr>
          <w:sz w:val="20"/>
          <w:szCs w:val="20"/>
          <w:color w:val="auto"/>
        </w:rPr>
      </w:pPr>
    </w:p>
    <w:p>
      <w:pPr>
        <w:jc w:val="both"/>
        <w:ind w:right="100" w:firstLine="260"/>
        <w:spacing w:after="0" w:line="259" w:lineRule="auto"/>
        <w:rPr>
          <w:sz w:val="20"/>
          <w:szCs w:val="20"/>
          <w:color w:val="auto"/>
        </w:rPr>
      </w:pPr>
      <w:r>
        <w:rPr>
          <w:rFonts w:ascii="Arial" w:cs="Arial" w:eastAsia="Arial" w:hAnsi="Arial"/>
          <w:sz w:val="18"/>
          <w:szCs w:val="18"/>
          <w:color w:val="auto"/>
        </w:rPr>
        <w:t xml:space="preserve">Also included as a component of volume-related revenue growth for the current period is revenue generated from our construction of an integrated waste facility on behalf of a municipality in Canada and revenue generated from our sale of parts and supplies to third parties needed for the continued operation of their landfill gas-to-energy plants. The revenue generated by these projects is generally low margin and has been largely offset by the current period increase in </w:t>
      </w:r>
      <w:r>
        <w:rPr>
          <w:rFonts w:ascii="Arial" w:cs="Arial" w:eastAsia="Arial" w:hAnsi="Arial"/>
          <w:sz w:val="18"/>
          <w:szCs w:val="18"/>
          <w:i w:val="1"/>
          <w:iCs w:val="1"/>
          <w:color w:val="auto"/>
        </w:rPr>
        <w:t>Cost of Goods Sold.</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Operating Expenses (Exclusive of Depreciation and Amortization Shown Below)</w:t>
      </w:r>
    </w:p>
    <w:p>
      <w:pPr>
        <w:spacing w:after="0" w:line="117" w:lineRule="exact"/>
        <w:rPr>
          <w:sz w:val="20"/>
          <w:szCs w:val="20"/>
          <w:color w:val="auto"/>
        </w:rPr>
      </w:pPr>
    </w:p>
    <w:p>
      <w:pPr>
        <w:ind w:right="380" w:firstLine="270"/>
        <w:spacing w:after="0" w:line="286" w:lineRule="auto"/>
        <w:rPr>
          <w:sz w:val="20"/>
          <w:szCs w:val="20"/>
          <w:color w:val="auto"/>
        </w:rPr>
      </w:pPr>
      <w:r>
        <w:rPr>
          <w:rFonts w:ascii="Arial" w:cs="Arial" w:eastAsia="Arial" w:hAnsi="Arial"/>
          <w:sz w:val="16"/>
          <w:szCs w:val="16"/>
          <w:color w:val="auto"/>
        </w:rPr>
        <w:t>Our operating expenses include (i) labor and related benefits (excluding labor costs associated with maintenance and repairs included below), which include salaries and wages,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of independent haulers who transport our waste to disposal facilities;</w:t>
      </w:r>
    </w:p>
    <w:p>
      <w:pPr>
        <w:spacing w:after="0" w:line="2" w:lineRule="exact"/>
        <w:rPr>
          <w:sz w:val="20"/>
          <w:szCs w:val="20"/>
          <w:color w:val="auto"/>
        </w:rPr>
      </w:pPr>
    </w:p>
    <w:p>
      <w:pPr>
        <w:ind w:right="40" w:firstLine="8"/>
        <w:spacing w:after="0" w:line="292"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which include workers’ compensation and insurance and claim costs and (x) other operating costs, which include, among other costs, equipment and facility rent and property taxes.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including the impact of foreign currency translation, for the three and six months ended June 30, 2005 and 2004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4"/>
          </w:tcPr>
          <w:p>
            <w:pPr>
              <w:jc w:val="right"/>
              <w:ind w:right="219"/>
              <w:spacing w:after="0"/>
              <w:rPr>
                <w:sz w:val="20"/>
                <w:szCs w:val="20"/>
                <w:color w:val="auto"/>
              </w:rPr>
            </w:pPr>
            <w:r>
              <w:rPr>
                <w:rFonts w:ascii="Arial" w:cs="Arial" w:eastAsia="Arial" w:hAnsi="Arial"/>
                <w:sz w:val="16"/>
                <w:szCs w:val="16"/>
                <w:color w:val="auto"/>
              </w:rPr>
              <w:t>Three Months Ended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4"/>
          </w:tcPr>
          <w:p>
            <w:pPr>
              <w:jc w:val="right"/>
              <w:ind w:right="279"/>
              <w:spacing w:after="0"/>
              <w:rPr>
                <w:sz w:val="20"/>
                <w:szCs w:val="20"/>
                <w:color w:val="auto"/>
              </w:rPr>
            </w:pPr>
            <w:r>
              <w:rPr>
                <w:rFonts w:ascii="Arial" w:cs="Arial" w:eastAsia="Arial" w:hAnsi="Arial"/>
                <w:sz w:val="16"/>
                <w:szCs w:val="16"/>
                <w:color w:val="auto"/>
              </w:rPr>
              <w:t>Six Months Ended</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4"/>
              </w:rPr>
              <w:t>June 30,</w:t>
            </w:r>
          </w:p>
        </w:tc>
        <w:tc>
          <w:tcPr>
            <w:tcW w:w="5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Period to Period</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84"/>
              </w:rPr>
              <w:t>June 30,</w:t>
            </w:r>
          </w:p>
        </w:tc>
        <w:tc>
          <w:tcPr>
            <w:tcW w:w="5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vMerge w:val="restart"/>
          </w:tcPr>
          <w:p>
            <w:pPr>
              <w:jc w:val="right"/>
              <w:ind w:right="500"/>
              <w:spacing w:after="0"/>
              <w:rPr>
                <w:sz w:val="20"/>
                <w:szCs w:val="20"/>
                <w:color w:val="auto"/>
              </w:rPr>
            </w:pPr>
            <w:r>
              <w:rPr>
                <w:rFonts w:ascii="Arial" w:cs="Arial" w:eastAsia="Arial" w:hAnsi="Arial"/>
                <w:sz w:val="16"/>
                <w:szCs w:val="16"/>
                <w:color w:val="auto"/>
                <w:w w:val="97"/>
              </w:rPr>
              <w:t>Period to Period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5"/>
              </w:rPr>
              <w:t>2005</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2004</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Change</w:t>
            </w:r>
          </w:p>
        </w:tc>
        <w:tc>
          <w:tcPr>
            <w:tcW w:w="3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5"/>
              </w:rPr>
              <w:t>2005</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2004</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Change</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Labor and related benefits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719"/>
              <w:spacing w:after="0"/>
              <w:rPr>
                <w:sz w:val="20"/>
                <w:szCs w:val="20"/>
                <w:color w:val="auto"/>
              </w:rPr>
            </w:pPr>
            <w:r>
              <w:rPr>
                <w:rFonts w:ascii="Arial" w:cs="Arial" w:eastAsia="Arial" w:hAnsi="Arial"/>
                <w:sz w:val="16"/>
                <w:szCs w:val="16"/>
                <w:color w:val="auto"/>
              </w:rPr>
              <w:t>23</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3.9 %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Transfer and disposal costs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334</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335</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679"/>
              <w:spacing w:after="0"/>
              <w:rPr>
                <w:sz w:val="20"/>
                <w:szCs w:val="20"/>
                <w:color w:val="auto"/>
              </w:rPr>
            </w:pPr>
            <w:r>
              <w:rPr>
                <w:rFonts w:ascii="Arial" w:cs="Arial" w:eastAsia="Arial" w:hAnsi="Arial"/>
                <w:sz w:val="16"/>
                <w:szCs w:val="16"/>
                <w:color w:val="auto"/>
              </w:rPr>
              <w:t>(1)</w:t>
            </w: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629</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626</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Maintenance and repairs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19"/>
              <w:spacing w:after="0"/>
              <w:rPr>
                <w:sz w:val="20"/>
                <w:szCs w:val="20"/>
                <w:color w:val="auto"/>
              </w:rPr>
            </w:pPr>
            <w:r>
              <w:rPr>
                <w:rFonts w:ascii="Arial" w:cs="Arial" w:eastAsia="Arial" w:hAnsi="Arial"/>
                <w:sz w:val="16"/>
                <w:szCs w:val="16"/>
                <w:color w:val="auto"/>
              </w:rPr>
              <w:t>14</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15</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Subcontractor costs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231</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210</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719"/>
              <w:spacing w:after="0"/>
              <w:rPr>
                <w:sz w:val="20"/>
                <w:szCs w:val="20"/>
                <w:color w:val="auto"/>
              </w:rPr>
            </w:pPr>
            <w:r>
              <w:rPr>
                <w:rFonts w:ascii="Arial" w:cs="Arial" w:eastAsia="Arial" w:hAnsi="Arial"/>
                <w:sz w:val="16"/>
                <w:szCs w:val="16"/>
                <w:color w:val="auto"/>
              </w:rPr>
              <w:t>21</w:t>
            </w:r>
          </w:p>
        </w:tc>
        <w:tc>
          <w:tcPr>
            <w:tcW w:w="760" w:type="dxa"/>
            <w:vAlign w:val="bottom"/>
            <w:gridSpan w:val="2"/>
          </w:tcPr>
          <w:p>
            <w:pPr>
              <w:jc w:val="right"/>
              <w:ind w:right="460"/>
              <w:spacing w:after="0"/>
              <w:rPr>
                <w:sz w:val="20"/>
                <w:szCs w:val="20"/>
                <w:color w:val="auto"/>
              </w:rPr>
            </w:pPr>
            <w:r>
              <w:rPr>
                <w:rFonts w:ascii="Arial" w:cs="Arial" w:eastAsia="Arial" w:hAnsi="Arial"/>
                <w:sz w:val="16"/>
                <w:szCs w:val="16"/>
                <w:color w:val="auto"/>
                <w:w w:val="89"/>
              </w:rPr>
              <w:t>10.0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436</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392</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44</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19"/>
              <w:spacing w:after="0"/>
              <w:rPr>
                <w:sz w:val="20"/>
                <w:szCs w:val="20"/>
                <w:color w:val="auto"/>
              </w:rPr>
            </w:pPr>
            <w:r>
              <w:rPr>
                <w:rFonts w:ascii="Arial" w:cs="Arial" w:eastAsia="Arial" w:hAnsi="Arial"/>
                <w:sz w:val="16"/>
                <w:szCs w:val="16"/>
                <w:color w:val="auto"/>
              </w:rPr>
              <w:t>21</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14.3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Fuel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719"/>
              <w:spacing w:after="0"/>
              <w:rPr>
                <w:sz w:val="20"/>
                <w:szCs w:val="20"/>
                <w:color w:val="auto"/>
              </w:rPr>
            </w:pPr>
            <w:r>
              <w:rPr>
                <w:rFonts w:ascii="Arial" w:cs="Arial" w:eastAsia="Arial" w:hAnsi="Arial"/>
                <w:sz w:val="16"/>
                <w:szCs w:val="16"/>
                <w:color w:val="auto"/>
              </w:rPr>
              <w:t>32</w:t>
            </w:r>
          </w:p>
        </w:tc>
        <w:tc>
          <w:tcPr>
            <w:tcW w:w="760" w:type="dxa"/>
            <w:vAlign w:val="bottom"/>
            <w:gridSpan w:val="2"/>
          </w:tcPr>
          <w:p>
            <w:pPr>
              <w:jc w:val="right"/>
              <w:ind w:right="460"/>
              <w:spacing w:after="0"/>
              <w:rPr>
                <w:sz w:val="20"/>
                <w:szCs w:val="20"/>
                <w:color w:val="auto"/>
              </w:rPr>
            </w:pPr>
            <w:r>
              <w:rPr>
                <w:rFonts w:ascii="Arial" w:cs="Arial" w:eastAsia="Arial" w:hAnsi="Arial"/>
                <w:sz w:val="16"/>
                <w:szCs w:val="16"/>
                <w:color w:val="auto"/>
                <w:w w:val="89"/>
              </w:rPr>
              <w:t>33.7</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239</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183</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56</w:t>
            </w:r>
          </w:p>
        </w:tc>
        <w:tc>
          <w:tcPr>
            <w:tcW w:w="420" w:type="dxa"/>
            <w:vAlign w:val="bottom"/>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w w:val="94"/>
              </w:rPr>
              <w:t>Disposal and franchise fees and taxes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719"/>
              <w:spacing w:after="0"/>
              <w:rPr>
                <w:sz w:val="20"/>
                <w:szCs w:val="20"/>
                <w:color w:val="auto"/>
              </w:rPr>
            </w:pPr>
            <w:r>
              <w:rPr>
                <w:rFonts w:ascii="Arial" w:cs="Arial" w:eastAsia="Arial" w:hAnsi="Arial"/>
                <w:sz w:val="16"/>
                <w:szCs w:val="16"/>
                <w:color w:val="auto"/>
              </w:rPr>
              <w:t>9</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16</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Landfill operating costs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719"/>
              <w:spacing w:after="0"/>
              <w:rPr>
                <w:sz w:val="20"/>
                <w:szCs w:val="20"/>
                <w:color w:val="auto"/>
              </w:rPr>
            </w:pPr>
            <w:r>
              <w:rPr>
                <w:rFonts w:ascii="Arial" w:cs="Arial" w:eastAsia="Arial" w:hAnsi="Arial"/>
                <w:sz w:val="16"/>
                <w:szCs w:val="16"/>
                <w:color w:val="auto"/>
              </w:rPr>
              <w:t>3</w:t>
            </w:r>
          </w:p>
        </w:tc>
        <w:tc>
          <w:tcPr>
            <w:tcW w:w="760" w:type="dxa"/>
            <w:vAlign w:val="bottom"/>
            <w:gridSpan w:val="2"/>
          </w:tcPr>
          <w:p>
            <w:pPr>
              <w:jc w:val="right"/>
              <w:ind w:right="460"/>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111</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13</w:t>
            </w:r>
          </w:p>
        </w:tc>
        <w:tc>
          <w:tcPr>
            <w:tcW w:w="420" w:type="dxa"/>
            <w:vAlign w:val="bottom"/>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Risk management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79"/>
              <w:spacing w:after="0"/>
              <w:rPr>
                <w:sz w:val="20"/>
                <w:szCs w:val="20"/>
                <w:color w:val="auto"/>
              </w:rPr>
            </w:pPr>
            <w:r>
              <w:rPr>
                <w:rFonts w:ascii="Arial" w:cs="Arial" w:eastAsia="Arial" w:hAnsi="Arial"/>
                <w:sz w:val="16"/>
                <w:szCs w:val="16"/>
                <w:color w:val="auto"/>
              </w:rPr>
              <w:t>(4)</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w:t>
            </w:r>
          </w:p>
        </w:tc>
        <w:tc>
          <w:tcPr>
            <w:tcW w:w="800" w:type="dxa"/>
            <w:vAlign w:val="bottom"/>
          </w:tcPr>
          <w:p>
            <w:pPr>
              <w:spacing w:after="0"/>
              <w:rPr>
                <w:sz w:val="17"/>
                <w:szCs w:val="17"/>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6"/>
                <w:szCs w:val="16"/>
                <w:color w:val="auto"/>
                <w:w w:val="89"/>
              </w:rPr>
              <w:t>16.0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224</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195</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6"/>
                <w:szCs w:val="16"/>
                <w:color w:val="auto"/>
              </w:rPr>
              <w:t>29</w:t>
            </w:r>
          </w:p>
        </w:tc>
        <w:tc>
          <w:tcPr>
            <w:tcW w:w="420" w:type="dxa"/>
            <w:vAlign w:val="bottom"/>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719"/>
              <w:spacing w:after="0"/>
              <w:rPr>
                <w:sz w:val="20"/>
                <w:szCs w:val="20"/>
                <w:color w:val="auto"/>
              </w:rPr>
            </w:pPr>
            <w:r>
              <w:rPr>
                <w:rFonts w:ascii="Arial" w:cs="Arial" w:eastAsia="Arial" w:hAnsi="Arial"/>
                <w:sz w:val="16"/>
                <w:szCs w:val="16"/>
                <w:color w:val="auto"/>
              </w:rPr>
              <w:t>133</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6.5 %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257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These costs have increased as a result of (i) higher salaries and hourly wages principally due to annual merit increases;</w:t>
      </w:r>
    </w:p>
    <w:p>
      <w:pPr>
        <w:spacing w:after="0" w:line="46" w:lineRule="exact"/>
        <w:rPr>
          <w:sz w:val="20"/>
          <w:szCs w:val="20"/>
          <w:color w:val="auto"/>
        </w:rPr>
      </w:pPr>
    </w:p>
    <w:p>
      <w:pPr>
        <w:ind w:right="220" w:firstLine="8"/>
        <w:spacing w:after="0" w:line="261" w:lineRule="auto"/>
        <w:tabs>
          <w:tab w:leader="none" w:pos="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overtime costs due in part to increased volumes; (iii) a general increase in employee health care and benefit costs; (iv) an increase in the costs attributable to contract labor; and (v) increased payroll taxes.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For purposes of the above disclosure, (i) labor costs attributable principally to our fleet and container maintenance facilities of $103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$204 million for the three and six months ended June 30, 2005, respectively, and $98 million and $196 million for the three and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respectively, have been included as a component of the caption entitled “Maintenance and repairs” and (ii) workers’ compensation costs of $34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$64 million for the three and six months ended June 30, 2005, respectively, and $34 million and $65 million for the three and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2004 have been included as a component of the caption entitled “Risk management.” These costs were reflected as labor costs in prior periods.</w:t>
      </w:r>
    </w:p>
    <w:p>
      <w:pPr>
        <w:spacing w:after="0" w:line="114"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i w:val="1"/>
          <w:iCs w:val="1"/>
          <w:color w:val="auto"/>
        </w:rPr>
        <w:t xml:space="preserve">Maintenance and repairs — </w:t>
      </w:r>
      <w:r>
        <w:rPr>
          <w:rFonts w:ascii="Arial" w:cs="Arial" w:eastAsia="Arial" w:hAnsi="Arial"/>
          <w:sz w:val="18"/>
          <w:szCs w:val="18"/>
          <w:color w:val="auto"/>
        </w:rPr>
        <w:t>In general, increases in maintenance and repair costs can be attributed to an increase in the labor costs associated with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However, the current quarter increase in these costs is associated with the timing of annual outages at certain of our Wheelabrator facilities. Certain annual outages required to maintain our waste-to-energy facilities occurred during the first quarter of 2004, but were delayed until early in the second quarter of 2005. This year-over-year timing difference resulted in variances in repair and maintenance costs for our Wheelabrator group between quarters, but relatively flat costs on a year-to-date basis.</w:t>
      </w:r>
    </w:p>
    <w:p>
      <w:pPr>
        <w:spacing w:after="0" w:line="80"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i w:val="1"/>
          <w:iCs w:val="1"/>
          <w:color w:val="auto"/>
        </w:rPr>
        <w:t xml:space="preserve">Subcontractor costs </w:t>
      </w:r>
      <w:r>
        <w:rPr>
          <w:rFonts w:ascii="Arial" w:cs="Arial" w:eastAsia="Arial" w:hAnsi="Arial"/>
          <w:sz w:val="16"/>
          <w:szCs w:val="16"/>
          <w:color w:val="auto"/>
        </w:rPr>
        <w:t>— The primary drivers of these cost increases are (i) continued increases in diesel fuel prices, which drive the fuel surcharges we pay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third party subcontractors; (ii) volume increases, particularly in our transfer operations in the South and our National Accounts organization; and (iii) an increase in long-haul transportation needs generally due to the redirection of waste. Subcontractor cost increases attributable to higher fuel costs have been partially offset by the revenue generated from our fuel surcharge program and are reflected as fuel yield increases within </w:t>
      </w:r>
      <w:r>
        <w:rPr>
          <w:rFonts w:ascii="Arial" w:cs="Arial" w:eastAsia="Arial" w:hAnsi="Arial"/>
          <w:sz w:val="16"/>
          <w:szCs w:val="16"/>
          <w:i w:val="1"/>
          <w:iCs w:val="1"/>
          <w:color w:val="auto"/>
        </w:rPr>
        <w:t>Operating Revenues.</w:t>
      </w:r>
    </w:p>
    <w:p>
      <w:pPr>
        <w:spacing w:after="0" w:line="46" w:lineRule="exact"/>
        <w:rPr>
          <w:sz w:val="20"/>
          <w:szCs w:val="20"/>
          <w:color w:val="auto"/>
        </w:rPr>
      </w:pPr>
    </w:p>
    <w:p>
      <w:pPr>
        <w:ind w:right="180" w:firstLine="270"/>
        <w:spacing w:after="0" w:line="279"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These cost increases are primarily attributable to increased recycling volumes due to several new brokerage contracts and recent</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which have been partially offset by declines in rebates paid to suppliers due to decreases in market prices of recyclable commodities. Cost of goods sold for the six months ended June 30, 2005 also includes costs incurred to construct an integrated waste facility for a municipality in Canada and the costs associated with parts and supplies sold by our landfill gas to energy program during the current period.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When compared with the corresponding prior year periods, we experienced an average increase in the cost of fuel of $0.54 per gallon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current quarter and $0.51 per gallon for the year-to-date period. While we recover a significant portion of the cost increases incurred as a result of higher fuel prices through our fuel surcharges program, increased fuel costs continue to negatively affect our operating margins. Revenues generated by our fuel surcharge program are reflected as fuel yield increases within </w:t>
      </w:r>
      <w:r>
        <w:rPr>
          <w:rFonts w:ascii="Arial" w:cs="Arial" w:eastAsia="Arial" w:hAnsi="Arial"/>
          <w:sz w:val="18"/>
          <w:szCs w:val="18"/>
          <w:i w:val="1"/>
          <w:iCs w:val="1"/>
          <w:color w:val="auto"/>
        </w:rPr>
        <w:t>Operating Revenues.</w:t>
      </w:r>
    </w:p>
    <w:p>
      <w:pPr>
        <w:spacing w:after="0" w:line="79" w:lineRule="exact"/>
        <w:rPr>
          <w:sz w:val="20"/>
          <w:szCs w:val="20"/>
          <w:color w:val="auto"/>
        </w:rPr>
      </w:pPr>
    </w:p>
    <w:p>
      <w:pPr>
        <w:ind w:right="40" w:firstLine="270"/>
        <w:spacing w:after="0" w:line="342" w:lineRule="auto"/>
        <w:rPr>
          <w:sz w:val="20"/>
          <w:szCs w:val="20"/>
          <w:color w:val="auto"/>
        </w:rPr>
      </w:pPr>
      <w:r>
        <w:rPr>
          <w:rFonts w:ascii="Arial" w:cs="Arial" w:eastAsia="Arial" w:hAnsi="Arial"/>
          <w:sz w:val="16"/>
          <w:szCs w:val="16"/>
          <w:i w:val="1"/>
          <w:iCs w:val="1"/>
          <w:color w:val="auto"/>
        </w:rPr>
        <w:t xml:space="preserve">Disposal and franchise fees and taxes </w:t>
      </w:r>
      <w:r>
        <w:rPr>
          <w:rFonts w:ascii="Arial" w:cs="Arial" w:eastAsia="Arial" w:hAnsi="Arial"/>
          <w:sz w:val="16"/>
          <w:szCs w:val="16"/>
          <w:color w:val="auto"/>
        </w:rPr>
        <w:t>— These cost increases are the result of increased volumes and increased rates for mandated fees and taxes.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these cost increases are passed through to our customers, and have been reflected as fee yield increases within </w:t>
      </w:r>
      <w:r>
        <w:rPr>
          <w:rFonts w:ascii="Arial" w:cs="Arial" w:eastAsia="Arial" w:hAnsi="Arial"/>
          <w:sz w:val="16"/>
          <w:szCs w:val="16"/>
          <w:i w:val="1"/>
          <w:iCs w:val="1"/>
          <w:color w:val="auto"/>
        </w:rPr>
        <w:t>Operating Revenues.</w:t>
      </w:r>
    </w:p>
    <w:p>
      <w:pPr>
        <w:spacing w:after="0" w:line="16"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 We recognized $6 million in gains on the sale of certain assets during the first quarter of 2004 and a $7 million gain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recovery of claims against insurers for the reimbursement of environmental expenses during the second quarter of 2004. Those 2004 gains and the costs incurred during 2005 attributable to labor strikes in New Jersey and Canada are the primary drivers of the increase in other operating costs during the current year-to-date period.</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color w:val="auto"/>
        </w:rPr>
        <w:t>Our selling, general and administrative expenses consist of (i) labor costs, which include salaries, related insurance and benefits, contract labor, and payroll taxes;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telecommunications, advertising, travel and entertainment, rentals, postage, and printing.</w:t>
      </w:r>
    </w:p>
    <w:p>
      <w:pPr>
        <w:spacing w:after="0" w:line="63"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three and six months ended June 30, 2005 and 2004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center"/>
              <w:ind w:left="39"/>
              <w:spacing w:after="0"/>
              <w:rPr>
                <w:sz w:val="20"/>
                <w:szCs w:val="20"/>
                <w:color w:val="auto"/>
              </w:rPr>
            </w:pPr>
            <w:r>
              <w:rPr>
                <w:rFonts w:ascii="Arial" w:cs="Arial" w:eastAsia="Arial" w:hAnsi="Arial"/>
                <w:sz w:val="16"/>
                <w:szCs w:val="16"/>
                <w:color w:val="auto"/>
                <w:w w:val="91"/>
              </w:rPr>
              <w:t>Three Months</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left="59"/>
              <w:spacing w:after="0"/>
              <w:rPr>
                <w:sz w:val="20"/>
                <w:szCs w:val="20"/>
                <w:color w:val="auto"/>
              </w:rPr>
            </w:pPr>
            <w:r>
              <w:rPr>
                <w:rFonts w:ascii="Arial" w:cs="Arial" w:eastAsia="Arial" w:hAnsi="Arial"/>
                <w:sz w:val="16"/>
                <w:szCs w:val="16"/>
                <w:color w:val="auto"/>
                <w:w w:val="95"/>
              </w:rPr>
              <w:t>Six Months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center"/>
              <w:ind w:right="119"/>
              <w:spacing w:after="0"/>
              <w:rPr>
                <w:sz w:val="20"/>
                <w:szCs w:val="20"/>
                <w:color w:val="auto"/>
              </w:rPr>
            </w:pPr>
            <w:r>
              <w:rPr>
                <w:rFonts w:ascii="Arial" w:cs="Arial" w:eastAsia="Arial" w:hAnsi="Arial"/>
                <w:sz w:val="16"/>
                <w:szCs w:val="16"/>
                <w:color w:val="auto"/>
                <w:w w:val="90"/>
              </w:rPr>
              <w:t>Ended</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center"/>
              <w:ind w:right="99"/>
              <w:spacing w:after="0"/>
              <w:rPr>
                <w:sz w:val="20"/>
                <w:szCs w:val="20"/>
                <w:color w:val="auto"/>
              </w:rPr>
            </w:pPr>
            <w:r>
              <w:rPr>
                <w:rFonts w:ascii="Arial" w:cs="Arial" w:eastAsia="Arial" w:hAnsi="Arial"/>
                <w:sz w:val="16"/>
                <w:szCs w:val="16"/>
                <w:color w:val="auto"/>
                <w:w w:val="86"/>
              </w:rPr>
              <w:t>Ended</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6"/>
                <w:szCs w:val="16"/>
                <w:color w:val="auto"/>
                <w:w w:val="87"/>
              </w:rPr>
              <w:t>June 30,</w:t>
            </w:r>
          </w:p>
        </w:tc>
        <w:tc>
          <w:tcPr>
            <w:tcW w:w="2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vMerge w:val="restart"/>
          </w:tcPr>
          <w:p>
            <w:pPr>
              <w:jc w:val="center"/>
              <w:ind w:right="780"/>
              <w:spacing w:after="0"/>
              <w:rPr>
                <w:sz w:val="20"/>
                <w:szCs w:val="20"/>
                <w:color w:val="auto"/>
              </w:rPr>
            </w:pPr>
            <w:r>
              <w:rPr>
                <w:rFonts w:ascii="Arial" w:cs="Arial" w:eastAsia="Arial" w:hAnsi="Arial"/>
                <w:sz w:val="16"/>
                <w:szCs w:val="16"/>
                <w:color w:val="auto"/>
                <w:w w:val="92"/>
              </w:rPr>
              <w:t>Period to Period</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color w:val="auto"/>
                <w:w w:val="87"/>
              </w:rPr>
              <w:t>June 30,</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4"/>
            <w:vMerge w:val="restart"/>
          </w:tcPr>
          <w:p>
            <w:pPr>
              <w:jc w:val="right"/>
              <w:ind w:right="580"/>
              <w:spacing w:after="0"/>
              <w:rPr>
                <w:sz w:val="20"/>
                <w:szCs w:val="20"/>
                <w:color w:val="auto"/>
              </w:rPr>
            </w:pPr>
            <w:r>
              <w:rPr>
                <w:rFonts w:ascii="Arial" w:cs="Arial" w:eastAsia="Arial" w:hAnsi="Arial"/>
                <w:sz w:val="16"/>
                <w:szCs w:val="16"/>
                <w:color w:val="auto"/>
                <w:w w:val="97"/>
              </w:rPr>
              <w:t>Period to Period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2005</w:t>
            </w:r>
          </w:p>
        </w:tc>
        <w:tc>
          <w:tcPr>
            <w:tcW w:w="54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2004</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color w:val="auto"/>
                <w:w w:val="89"/>
              </w:rPr>
              <w:t>Change</w:t>
            </w:r>
          </w:p>
        </w:tc>
        <w:tc>
          <w:tcPr>
            <w:tcW w:w="64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2005</w:t>
            </w:r>
          </w:p>
        </w:tc>
        <w:tc>
          <w:tcPr>
            <w:tcW w:w="540" w:type="dxa"/>
            <w:vAlign w:val="bottom"/>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2004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Change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Labor and related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186</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1.6 %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7"/>
              </w:rPr>
              <w:t>373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Professional fees</w:t>
            </w: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38</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720" w:type="dxa"/>
            <w:vAlign w:val="bottom"/>
            <w:gridSpan w:val="2"/>
          </w:tcPr>
          <w:p>
            <w:pPr>
              <w:jc w:val="right"/>
              <w:ind w:right="580"/>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74</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bad debts</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79</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720" w:type="dxa"/>
            <w:vAlign w:val="bottom"/>
            <w:gridSpan w:val="2"/>
          </w:tcPr>
          <w:p>
            <w:pPr>
              <w:jc w:val="right"/>
              <w:ind w:right="58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158</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w w:val="97"/>
              </w:rPr>
              <w:t>163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7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317</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7"/>
              </w:rPr>
              <w:t>633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i w:val="1"/>
          <w:iCs w:val="1"/>
          <w:color w:val="auto"/>
        </w:rPr>
        <w:t xml:space="preserve">Labor and related benefits — </w:t>
      </w:r>
      <w:r>
        <w:rPr>
          <w:rFonts w:ascii="Arial" w:cs="Arial" w:eastAsia="Arial" w:hAnsi="Arial"/>
          <w:sz w:val="18"/>
          <w:szCs w:val="18"/>
          <w:color w:val="auto"/>
        </w:rPr>
        <w:t>The current year increases are primarily attributable to (i) an increase in non-cash compensation costs associated with recent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equity-based compensation provided for by our long-term incentive plan; (ii) higher salaries and hourly wages driven by annual merit increases; and (iii) higher group insurance costs largely due to general health care cost increases. These cost increases have been partially offset by a decline in contract labor costs.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current quarter decline is primarily related to reduced legal fees.</w:t>
      </w:r>
    </w:p>
    <w:p>
      <w:pPr>
        <w:spacing w:after="0" w:line="117"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The decrease in the provision for bad debts during the current quarter was driven by improvements in the aging of our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from the comparable prior year period.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160" w:firstLine="270"/>
        <w:spacing w:after="0" w:line="291" w:lineRule="auto"/>
        <w:rPr>
          <w:sz w:val="20"/>
          <w:szCs w:val="20"/>
          <w:color w:val="auto"/>
        </w:rPr>
      </w:pPr>
      <w:r>
        <w:rPr>
          <w:rFonts w:ascii="Arial" w:cs="Arial" w:eastAsia="Arial" w:hAnsi="Arial"/>
          <w:sz w:val="16"/>
          <w:szCs w:val="16"/>
          <w:color w:val="auto"/>
        </w:rPr>
        <w:t>Depreciation and amortization includes (i) amortization of landfill costs, including those incurred and all estimated future costs for landfill development, construction, closure and post-closure on a units-of-consumption method as landfill airspace is consumed over the estimated remaining capacity of a site;</w:t>
      </w:r>
    </w:p>
    <w:p>
      <w:pPr>
        <w:ind w:right="200" w:firstLine="8"/>
        <w:spacing w:after="0" w:line="261"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amortization of landfill asset retirement costs arising from final capping obligations on a units-of-consumption method as airspace is consumed over the estimated capacity associated with each final capping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event; (iii) depreciation of property and equipment on a straight-line basis from three to 50 years;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73"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Depreciation and amortization expense decreased by $2 million and $6 million during the three and six months ended June 30, 2005, respectively, when compared with the corresponding prior year periods. These decreases are generally attributable to a decline in landfill airspace depletion, which has been driven by landfill amortization rate changes, offset in part by increased information technology depreciation expense. Depreciation and amortization expense as a percentage of revenue declined from approximately 11% for both the three and six months ended June 30, 2004 to 10.5% for the corresponding 2005 periods. These decreases are due principally to increases in revenue attributable to base business yield and, to a lesser extent, the decline in landfill amortization rates.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Asset Impairments and Unusual Items</w:t>
      </w:r>
    </w:p>
    <w:p>
      <w:pPr>
        <w:spacing w:after="0" w:line="117"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During the first quarter of 2005, we recognized a net gain of $23 million, or $13 million net of tax, from asset impairments and unusual items. This gain primarily related to the divestiture of one of our landfills in Ontario, Canada, which resulted in a gain of $39 million. This divestiture was required by a Divestiture Order from the Canadian Competition Tribunal. This gain on divestiture was partially offset by a charge of approximately $16 million for the impact of a litigation settlement reached in February 2005.</w:t>
      </w:r>
    </w:p>
    <w:p>
      <w:pPr>
        <w:spacing w:after="0" w:line="79"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During the second quarter of 2005 we recognized a net gain of $6 million, or $3 million net of tax, from asset impairments and unusual items. The current quarter net gain is primarily the result of the impact of $32 million of net gains on divestitures and the recognition of a $9 million gain for adjustments to our estimated obligations and receivables for non-solid waste operations divested in 1999 and 2000, which were partially offset by a $35 million charge for the impairment of the Pottstown Landfill.</w:t>
      </w:r>
    </w:p>
    <w:p>
      <w:pPr>
        <w:spacing w:after="0" w:line="79" w:lineRule="exact"/>
        <w:rPr>
          <w:sz w:val="20"/>
          <w:szCs w:val="20"/>
          <w:color w:val="auto"/>
        </w:rPr>
      </w:pPr>
    </w:p>
    <w:p>
      <w:pPr>
        <w:ind w:right="100" w:firstLine="270"/>
        <w:spacing w:after="0" w:line="276" w:lineRule="auto"/>
        <w:rPr>
          <w:sz w:val="20"/>
          <w:szCs w:val="20"/>
          <w:color w:val="auto"/>
        </w:rPr>
      </w:pPr>
      <w:r>
        <w:rPr>
          <w:rFonts w:ascii="Arial" w:cs="Arial" w:eastAsia="Arial" w:hAnsi="Arial"/>
          <w:sz w:val="17"/>
          <w:szCs w:val="17"/>
          <w:color w:val="auto"/>
        </w:rPr>
        <w:t>Our net gain on divestitures for the three months ended June 30, 2005 is attributable to the recognition of a $20 million gain as a result of the divestiture of operations in our Western group and a $12 million gain as a result of the divestiture of operations in our Southern group. The divestiture of operations during the second quarter of 2005 was part of our plan to review under-performing and non-strategic operations and to either improve their performance or dispose of the operations. We do not believe that these divestitures are material either individually or in the aggregate and we do not expect these divestitures to materially affect our consolidated financial position or future results of operations or cash flows.</w:t>
      </w:r>
    </w:p>
    <w:p>
      <w:pPr>
        <w:spacing w:after="0" w:line="64" w:lineRule="exact"/>
        <w:rPr>
          <w:sz w:val="20"/>
          <w:szCs w:val="20"/>
          <w:color w:val="auto"/>
        </w:rPr>
      </w:pPr>
    </w:p>
    <w:p>
      <w:pPr>
        <w:ind w:right="40" w:firstLine="267"/>
        <w:spacing w:after="0" w:line="270" w:lineRule="auto"/>
        <w:rPr>
          <w:sz w:val="20"/>
          <w:szCs w:val="20"/>
          <w:color w:val="auto"/>
        </w:rPr>
      </w:pPr>
      <w:r>
        <w:rPr>
          <w:rFonts w:ascii="Arial" w:cs="Arial" w:eastAsia="Arial" w:hAnsi="Arial"/>
          <w:sz w:val="17"/>
          <w:szCs w:val="17"/>
          <w:color w:val="auto"/>
        </w:rPr>
        <w:t>We determined that a $35 million impairment of the Pottstown Landfill, which is located in West Pottsgrove Township, Pennsylvania, was necessary after the Pennsylvania Environmental Hearing Board upheld a denial by the Pennsylvania Department of Environmental Protection of a permit application for a vertical expansion at the landfill. After the denial was upheld on May 18, 2005,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permitting delays, which would hinder our ability to fully utilize the expansion airspace before the landfill’s required closure in 2010. We plan to continue to operate the Pottstown Landfill using existing permitted airspace through the landfill’s current permit expiration date of October 2005. The Pottstown Landfill has not been a significant contributor to our recent earnings nor do we expect the expansion denial or the resulting impairment to have a material adverse effect on our future results of operations or cash flows.</w:t>
      </w:r>
    </w:p>
    <w:p>
      <w:pPr>
        <w:spacing w:after="0" w:line="74"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During the six months ended June 30, 2004, we recognized a net gain of $18 million, or $13 million net of tax, from asset impairments and unusual items, which was primarily attributable to an $8 million gain recognized during the first quarter of 2004 as a result of divestitures of certain Port-O-Let operations and a net $12 million gain recognized during the second quarter for adjustments to our estimated obligations associated with non-solid waste services that were divested in 1999 and 2000.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From Operations by Reportable Segment</w:t>
      </w:r>
    </w:p>
    <w:p>
      <w:pPr>
        <w:spacing w:after="0" w:line="117"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The following table summarizes income from operations by reportable segment for the three and six months ended June 30, 2005 and 2004 and provides explanations of significant factors contributing to the identified variances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6"/>
          </w:tcPr>
          <w:p>
            <w:pPr>
              <w:jc w:val="center"/>
              <w:ind w:right="580"/>
              <w:spacing w:after="0"/>
              <w:rPr>
                <w:sz w:val="20"/>
                <w:szCs w:val="20"/>
                <w:color w:val="auto"/>
              </w:rPr>
            </w:pPr>
            <w:r>
              <w:rPr>
                <w:rFonts w:ascii="Arial" w:cs="Arial" w:eastAsia="Arial" w:hAnsi="Arial"/>
                <w:sz w:val="16"/>
                <w:szCs w:val="16"/>
                <w:color w:val="auto"/>
                <w:w w:val="93"/>
              </w:rPr>
              <w:t>Three Months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left="279"/>
              <w:spacing w:after="0"/>
              <w:rPr>
                <w:sz w:val="20"/>
                <w:szCs w:val="20"/>
                <w:color w:val="auto"/>
              </w:rPr>
            </w:pPr>
            <w:r>
              <w:rPr>
                <w:rFonts w:ascii="Arial" w:cs="Arial" w:eastAsia="Arial" w:hAnsi="Arial"/>
                <w:sz w:val="16"/>
                <w:szCs w:val="16"/>
                <w:color w:val="auto"/>
                <w:w w:val="95"/>
              </w:rPr>
              <w:t>Six Months</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Ended</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0"/>
              </w:rPr>
              <w:t>Ended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color w:val="auto"/>
                <w:w w:val="87"/>
              </w:rPr>
              <w:t>June 30,</w:t>
            </w:r>
          </w:p>
        </w:tc>
        <w:tc>
          <w:tcPr>
            <w:tcW w:w="50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w w:val="93"/>
              </w:rPr>
              <w:t>Period to</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left="359"/>
              <w:spacing w:after="0"/>
              <w:rPr>
                <w:sz w:val="20"/>
                <w:szCs w:val="20"/>
                <w:color w:val="auto"/>
              </w:rPr>
            </w:pPr>
            <w:r>
              <w:rPr>
                <w:rFonts w:ascii="Arial" w:cs="Arial" w:eastAsia="Arial" w:hAnsi="Arial"/>
                <w:sz w:val="16"/>
                <w:szCs w:val="16"/>
                <w:color w:val="auto"/>
                <w:w w:val="87"/>
              </w:rPr>
              <w:t>June 30,</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Period to</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2005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5"/>
              </w:rPr>
              <w:t>2004</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Period Change</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5"/>
              </w:rPr>
              <w:t>2005</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2004</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Period Change</w:t>
            </w:r>
          </w:p>
        </w:tc>
        <w:tc>
          <w:tcPr>
            <w:tcW w:w="3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Canadian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79"/>
              <w:spacing w:after="0"/>
              <w:rPr>
                <w:sz w:val="20"/>
                <w:szCs w:val="20"/>
                <w:color w:val="auto"/>
              </w:rPr>
            </w:pPr>
            <w:r>
              <w:rPr>
                <w:rFonts w:ascii="Arial" w:cs="Arial" w:eastAsia="Arial" w:hAnsi="Arial"/>
                <w:sz w:val="16"/>
                <w:szCs w:val="16"/>
                <w:color w:val="auto"/>
              </w:rPr>
              <w:t>(4)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2"/>
              </w:rPr>
              <w:t>(21.1)%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9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1"/>
              </w:rPr>
              <w:t>123.3 %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Eastern</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67</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91</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679"/>
              <w:spacing w:after="0"/>
              <w:rPr>
                <w:sz w:val="20"/>
                <w:szCs w:val="20"/>
                <w:color w:val="auto"/>
              </w:rPr>
            </w:pPr>
            <w:r>
              <w:rPr>
                <w:rFonts w:ascii="Arial" w:cs="Arial" w:eastAsia="Arial" w:hAnsi="Arial"/>
                <w:sz w:val="16"/>
                <w:szCs w:val="16"/>
                <w:color w:val="auto"/>
              </w:rPr>
              <w:t>(24)</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w w:val="95"/>
              </w:rPr>
              <w:t>(26.4)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9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153</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779"/>
              <w:spacing w:after="0"/>
              <w:rPr>
                <w:sz w:val="20"/>
                <w:szCs w:val="20"/>
                <w:color w:val="auto"/>
              </w:rPr>
            </w:pPr>
            <w:r>
              <w:rPr>
                <w:rFonts w:ascii="Arial" w:cs="Arial" w:eastAsia="Arial" w:hAnsi="Arial"/>
                <w:sz w:val="16"/>
                <w:szCs w:val="16"/>
                <w:color w:val="auto"/>
              </w:rPr>
              <w:t>(25)</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Midwest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9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Southern</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162</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24</w:t>
            </w:r>
          </w:p>
        </w:tc>
        <w:tc>
          <w:tcPr>
            <w:tcW w:w="820" w:type="dxa"/>
            <w:vAlign w:val="bottom"/>
          </w:tcPr>
          <w:p>
            <w:pPr>
              <w:spacing w:after="0"/>
              <w:rPr>
                <w:sz w:val="17"/>
                <w:szCs w:val="17"/>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9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325</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9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Western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9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Wheelabrator</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679"/>
              <w:spacing w:after="0"/>
              <w:rPr>
                <w:sz w:val="20"/>
                <w:szCs w:val="20"/>
                <w:color w:val="auto"/>
              </w:rPr>
            </w:pPr>
            <w:r>
              <w:rPr>
                <w:rFonts w:ascii="Arial" w:cs="Arial" w:eastAsia="Arial" w:hAnsi="Arial"/>
                <w:sz w:val="16"/>
                <w:szCs w:val="16"/>
                <w:color w:val="auto"/>
              </w:rPr>
              <w:t>(12)</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w w:val="95"/>
              </w:rPr>
              <w:t>(14.8)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9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126</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779"/>
              <w:spacing w:after="0"/>
              <w:rPr>
                <w:sz w:val="20"/>
                <w:szCs w:val="20"/>
                <w:color w:val="auto"/>
              </w:rPr>
            </w:pPr>
            <w:r>
              <w:rPr>
                <w:rFonts w:ascii="Arial" w:cs="Arial" w:eastAsia="Arial" w:hAnsi="Arial"/>
                <w:sz w:val="16"/>
                <w:szCs w:val="16"/>
                <w:color w:val="auto"/>
              </w:rPr>
              <w:t>(2)</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Recycling</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79"/>
              <w:spacing w:after="0"/>
              <w:rPr>
                <w:sz w:val="20"/>
                <w:szCs w:val="20"/>
                <w:color w:val="auto"/>
              </w:rPr>
            </w:pPr>
            <w:r>
              <w:rPr>
                <w:rFonts w:ascii="Arial" w:cs="Arial" w:eastAsia="Arial" w:hAnsi="Arial"/>
                <w:sz w:val="16"/>
                <w:szCs w:val="16"/>
                <w:color w:val="auto"/>
              </w:rPr>
              <w:t>(6)</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5"/>
              </w:rPr>
              <w:t>(50.0)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(9)</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Other NASW</w:t>
            </w: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11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240" w:type="dxa"/>
            <w:vAlign w:val="bottom"/>
            <w:gridSpan w:val="2"/>
          </w:tcPr>
          <w:p>
            <w:pPr>
              <w:jc w:val="right"/>
              <w:ind w:right="779"/>
              <w:spacing w:after="0"/>
              <w:rPr>
                <w:sz w:val="20"/>
                <w:szCs w:val="20"/>
                <w:color w:val="auto"/>
              </w:rPr>
            </w:pPr>
            <w:r>
              <w:rPr>
                <w:rFonts w:ascii="Arial" w:cs="Arial" w:eastAsia="Arial" w:hAnsi="Arial"/>
                <w:sz w:val="16"/>
                <w:szCs w:val="16"/>
                <w:color w:val="auto"/>
              </w:rPr>
              <w:t>(8)</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NASW</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9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Corporate and Other</w:t>
            </w: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820" w:type="dxa"/>
            <w:vAlign w:val="bottom"/>
          </w:tcPr>
          <w:p>
            <w:pPr>
              <w:spacing w:after="0"/>
              <w:rPr>
                <w:sz w:val="17"/>
                <w:szCs w:val="17"/>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3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(197)</w:t>
            </w:r>
          </w:p>
        </w:tc>
        <w:tc>
          <w:tcPr>
            <w:tcW w:w="200" w:type="dxa"/>
            <w:vAlign w:val="bottom"/>
          </w:tcPr>
          <w:p>
            <w:pPr>
              <w:spacing w:after="0"/>
              <w:rPr>
                <w:sz w:val="17"/>
                <w:szCs w:val="17"/>
                <w:color w:val="auto"/>
              </w:rPr>
            </w:pPr>
          </w:p>
        </w:tc>
        <w:tc>
          <w:tcPr>
            <w:tcW w:w="1240" w:type="dxa"/>
            <w:vAlign w:val="bottom"/>
            <w:gridSpan w:val="2"/>
          </w:tcPr>
          <w:p>
            <w:pPr>
              <w:jc w:val="right"/>
              <w:ind w:right="779"/>
              <w:spacing w:after="0"/>
              <w:rPr>
                <w:sz w:val="20"/>
                <w:szCs w:val="20"/>
                <w:color w:val="auto"/>
              </w:rPr>
            </w:pPr>
            <w:r>
              <w:rPr>
                <w:rFonts w:ascii="Arial" w:cs="Arial" w:eastAsia="Arial" w:hAnsi="Arial"/>
                <w:sz w:val="16"/>
                <w:szCs w:val="16"/>
                <w:color w:val="auto"/>
              </w:rPr>
              <w:t>(31)</w:t>
            </w: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4.8 %</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9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i w:val="1"/>
          <w:iCs w:val="1"/>
          <w:color w:val="auto"/>
        </w:rPr>
        <w:t xml:space="preserve">Canadian </w:t>
      </w:r>
      <w:r>
        <w:rPr>
          <w:rFonts w:ascii="Arial" w:cs="Arial" w:eastAsia="Arial" w:hAnsi="Arial"/>
          <w:sz w:val="18"/>
          <w:szCs w:val="18"/>
          <w:color w:val="auto"/>
        </w:rPr>
        <w:t>— The significant increase in operating income on a year-to-date basis was driven primarily by a pre-tax gain of $39 million resulting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divestiture of one of our landfills in Ontario, Canada. This impact is included in “Asset impairments and unusual items” within our Condensed Consolidated Statement of Operations.</w:t>
      </w:r>
    </w:p>
    <w:p>
      <w:pPr>
        <w:spacing w:after="0" w:line="73"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i w:val="1"/>
          <w:iCs w:val="1"/>
          <w:color w:val="auto"/>
        </w:rPr>
        <w:t xml:space="preserve">Eastern </w:t>
      </w:r>
      <w:r>
        <w:rPr>
          <w:rFonts w:ascii="Arial" w:cs="Arial" w:eastAsia="Arial" w:hAnsi="Arial"/>
          <w:sz w:val="18"/>
          <w:szCs w:val="18"/>
          <w:color w:val="auto"/>
        </w:rPr>
        <w:t>— The significant decline in the current quarter’s operating income when compared with the comparable 2004 quarter is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recognition of a $35 million impairment of the Pottstown Landfill, which is discussed further in </w:t>
      </w:r>
      <w:r>
        <w:rPr>
          <w:rFonts w:ascii="Arial" w:cs="Arial" w:eastAsia="Arial" w:hAnsi="Arial"/>
          <w:sz w:val="18"/>
          <w:szCs w:val="18"/>
          <w:i w:val="1"/>
          <w:iCs w:val="1"/>
          <w:color w:val="auto"/>
        </w:rPr>
        <w:t>Asset impairments and unusual items</w:t>
      </w:r>
      <w:r>
        <w:rPr>
          <w:rFonts w:ascii="Arial" w:cs="Arial" w:eastAsia="Arial" w:hAnsi="Arial"/>
          <w:sz w:val="18"/>
          <w:szCs w:val="18"/>
          <w:color w:val="auto"/>
        </w:rPr>
        <w:t xml:space="preserve"> above. This impact was partially offset by the favorable effect of revenue growth provided by base business yield improvement, particularly in the collection and transfer lines of business.</w:t>
      </w:r>
    </w:p>
    <w:p>
      <w:pPr>
        <w:spacing w:after="0" w:line="79"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i w:val="1"/>
          <w:iCs w:val="1"/>
          <w:color w:val="auto"/>
        </w:rPr>
        <w:t xml:space="preserve">Midwest — </w:t>
      </w:r>
      <w:r>
        <w:rPr>
          <w:rFonts w:ascii="Arial" w:cs="Arial" w:eastAsia="Arial" w:hAnsi="Arial"/>
          <w:sz w:val="18"/>
          <w:szCs w:val="18"/>
          <w:color w:val="auto"/>
        </w:rPr>
        <w:t>The current year increase in income from operations was primarily due to (i) revenue growth associated with increased base business yield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collection line of business, which has been driven principally by residential collection; (ii) the contribution of recent acquisitions; (iii) the favorable effect of lower landfill amortization rates; and (iv) lower bad debt expense.</w:t>
      </w:r>
    </w:p>
    <w:p>
      <w:pPr>
        <w:spacing w:after="0" w:line="73"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Southern — </w:t>
      </w:r>
      <w:r>
        <w:rPr>
          <w:rFonts w:ascii="Arial" w:cs="Arial" w:eastAsia="Arial" w:hAnsi="Arial"/>
          <w:sz w:val="18"/>
          <w:szCs w:val="18"/>
          <w:color w:val="auto"/>
        </w:rPr>
        <w:t>Approximately $12 million of the current quarter’s increase in income from operations is attributable to gains recognized on the divestiture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Strong internal revenue growth associated with base business yield improvements, particularly in the collection line of business, and industrial and residential collection and transfer volumes also provided an increase in income from operations during the current period. These increases were partially offset by higher subcontractor costs and salaries and wages.</w:t>
      </w:r>
    </w:p>
    <w:p>
      <w:pPr>
        <w:spacing w:after="0" w:line="79" w:lineRule="exact"/>
        <w:rPr>
          <w:sz w:val="20"/>
          <w:szCs w:val="20"/>
          <w:color w:val="auto"/>
        </w:rPr>
      </w:pPr>
    </w:p>
    <w:p>
      <w:pPr>
        <w:jc w:val="both"/>
        <w:ind w:right="160" w:firstLine="270"/>
        <w:spacing w:after="0" w:line="312" w:lineRule="auto"/>
        <w:rPr>
          <w:sz w:val="20"/>
          <w:szCs w:val="20"/>
          <w:color w:val="auto"/>
        </w:rPr>
      </w:pPr>
      <w:r>
        <w:rPr>
          <w:rFonts w:ascii="Arial" w:cs="Arial" w:eastAsia="Arial" w:hAnsi="Arial"/>
          <w:sz w:val="16"/>
          <w:szCs w:val="16"/>
          <w:i w:val="1"/>
          <w:iCs w:val="1"/>
          <w:color w:val="auto"/>
        </w:rPr>
        <w:t xml:space="preserve">Western </w:t>
      </w:r>
      <w:r>
        <w:rPr>
          <w:rFonts w:ascii="Arial" w:cs="Arial" w:eastAsia="Arial" w:hAnsi="Arial"/>
          <w:sz w:val="16"/>
          <w:szCs w:val="16"/>
          <w:color w:val="auto"/>
        </w:rPr>
        <w:t>— The significant increase in income from operations for the three and six months ended June 30, 2005 when compared with the corresponding</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periods can largely be attributed to the recognition of a $20 million gain associated with the divestiture of operations. Internal revenue growth has also provided significant increases in operating income during the current year, with increases in yield and volume in each line of business.</w:t>
      </w:r>
    </w:p>
    <w:p>
      <w:pPr>
        <w:spacing w:after="0" w:line="39"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 The significant decline in the current quarter’s operating income when compared with the comparable 2004 quarter is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repair and maintenance costs at our waste to energy facilities. This variance is generally due to the timing of annual plant outages at certain facilities, which resulted in offsetting fluctuations in operating results for the first and second quarters of 2005.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The higher expenses in the current year were driven primarily by (i) a $16 million charge for a legal settlement reached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2005; (ii) an increase in non-cash employee compensation costs of approximately $10 million associated with recent changes in equity-based compensation; (iii) increases in employee health care costs; (iv) salary and wage increases attributable to annual merit raises; and (v) the recovery of claims against insurers for the reimbursement of environmental expenses during 2004.</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Components of Income Before Cumulative Effect of Change in Accounting Principle</w:t>
      </w:r>
    </w:p>
    <w:p>
      <w:pPr>
        <w:spacing w:after="0" w:line="117" w:lineRule="exact"/>
        <w:rPr>
          <w:sz w:val="20"/>
          <w:szCs w:val="20"/>
          <w:color w:val="auto"/>
        </w:rPr>
      </w:pPr>
    </w:p>
    <w:p>
      <w:pPr>
        <w:ind w:right="360" w:firstLine="267"/>
        <w:spacing w:after="0" w:line="277" w:lineRule="auto"/>
        <w:rPr>
          <w:sz w:val="20"/>
          <w:szCs w:val="20"/>
          <w:color w:val="auto"/>
        </w:rPr>
      </w:pPr>
      <w:r>
        <w:rPr>
          <w:rFonts w:ascii="Arial" w:cs="Arial" w:eastAsia="Arial" w:hAnsi="Arial"/>
          <w:sz w:val="18"/>
          <w:szCs w:val="18"/>
          <w:color w:val="auto"/>
        </w:rPr>
        <w:t>The following summarizes the other major components of our income before cumulative effect of change in accounting principle for the three and six months ended June 30, 2005 and 2004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6"/>
                <w:szCs w:val="16"/>
                <w:color w:val="auto"/>
                <w:w w:val="93"/>
              </w:rPr>
              <w:t>Three Months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center"/>
              <w:ind w:right="39"/>
              <w:spacing w:after="0"/>
              <w:rPr>
                <w:sz w:val="20"/>
                <w:szCs w:val="20"/>
                <w:color w:val="auto"/>
              </w:rPr>
            </w:pPr>
            <w:r>
              <w:rPr>
                <w:rFonts w:ascii="Arial" w:cs="Arial" w:eastAsia="Arial" w:hAnsi="Arial"/>
                <w:sz w:val="16"/>
                <w:szCs w:val="16"/>
                <w:color w:val="auto"/>
                <w:w w:val="93"/>
              </w:rPr>
              <w:t>Six Months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0"/>
              </w:rPr>
              <w:t>Ended</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left="259"/>
              <w:spacing w:after="0"/>
              <w:rPr>
                <w:sz w:val="20"/>
                <w:szCs w:val="20"/>
                <w:color w:val="auto"/>
              </w:rPr>
            </w:pPr>
            <w:r>
              <w:rPr>
                <w:rFonts w:ascii="Arial" w:cs="Arial" w:eastAsia="Arial" w:hAnsi="Arial"/>
                <w:sz w:val="16"/>
                <w:szCs w:val="16"/>
                <w:color w:val="auto"/>
                <w:w w:val="90"/>
              </w:rPr>
              <w:t>Ended</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6"/>
                <w:szCs w:val="16"/>
                <w:color w:val="auto"/>
                <w:w w:val="87"/>
              </w:rPr>
              <w:t>June 30,</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Period to Period</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6"/>
                <w:szCs w:val="16"/>
                <w:color w:val="auto"/>
                <w:w w:val="87"/>
              </w:rPr>
              <w:t>June 30,</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Period to Period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Change</w:t>
            </w:r>
          </w:p>
        </w:tc>
        <w:tc>
          <w:tcPr>
            <w:tcW w:w="3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2005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Change</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122</w:t>
            </w:r>
          </w:p>
        </w:tc>
        <w:tc>
          <w:tcPr>
            <w:tcW w:w="5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w w:val="98"/>
              </w:rPr>
              <w:t>$  112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10</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  222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10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w w:val="96"/>
              </w:rPr>
              <w:t>Equity in net losses of unconsolidated entities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759"/>
              <w:spacing w:after="0"/>
              <w:rPr>
                <w:sz w:val="20"/>
                <w:szCs w:val="20"/>
                <w:color w:val="auto"/>
              </w:rPr>
            </w:pPr>
            <w:r>
              <w:rPr>
                <w:rFonts w:ascii="Arial" w:cs="Arial" w:eastAsia="Arial" w:hAnsi="Arial"/>
                <w:sz w:val="16"/>
                <w:szCs w:val="16"/>
                <w:color w:val="auto"/>
              </w:rPr>
              <w:t>2</w:t>
            </w:r>
          </w:p>
        </w:tc>
        <w:tc>
          <w:tcPr>
            <w:tcW w:w="300" w:type="dxa"/>
            <w:vAlign w:val="bottom"/>
          </w:tcPr>
          <w:p>
            <w:pPr>
              <w:jc w:val="right"/>
              <w:spacing w:after="0"/>
              <w:rPr>
                <w:sz w:val="20"/>
                <w:szCs w:val="20"/>
                <w:color w:val="auto"/>
              </w:rPr>
            </w:pPr>
            <w:r>
              <w:rPr>
                <w:rFonts w:ascii="Arial" w:cs="Arial" w:eastAsia="Arial" w:hAnsi="Arial"/>
                <w:sz w:val="16"/>
                <w:szCs w:val="16"/>
                <w:color w:val="auto"/>
              </w:rPr>
              <w:t>8.3</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color w:val="auto"/>
              </w:rPr>
              <w:t>52</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739"/>
              <w:spacing w:after="0"/>
              <w:rPr>
                <w:sz w:val="20"/>
                <w:szCs w:val="20"/>
                <w:color w:val="auto"/>
              </w:rPr>
            </w:pPr>
            <w:r>
              <w:rPr>
                <w:rFonts w:ascii="Arial" w:cs="Arial" w:eastAsia="Arial" w:hAnsi="Arial"/>
                <w:sz w:val="16"/>
                <w:szCs w:val="16"/>
                <w:color w:val="auto"/>
              </w:rPr>
              <w:t>9</w:t>
            </w:r>
          </w:p>
        </w:tc>
        <w:tc>
          <w:tcPr>
            <w:tcW w:w="320" w:type="dxa"/>
            <w:vAlign w:val="bottom"/>
          </w:tcPr>
          <w:p>
            <w:pPr>
              <w:jc w:val="right"/>
              <w:spacing w:after="0"/>
              <w:rPr>
                <w:sz w:val="20"/>
                <w:szCs w:val="20"/>
                <w:color w:val="auto"/>
              </w:rPr>
            </w:pPr>
            <w:r>
              <w:rPr>
                <w:rFonts w:ascii="Arial" w:cs="Arial" w:eastAsia="Arial" w:hAnsi="Arial"/>
                <w:sz w:val="16"/>
                <w:szCs w:val="16"/>
                <w:color w:val="auto"/>
                <w:w w:val="96"/>
              </w:rPr>
              <w:t>20.9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Minority interest</w:t>
            </w:r>
          </w:p>
        </w:tc>
        <w:tc>
          <w:tcPr>
            <w:tcW w:w="1220" w:type="dxa"/>
            <w:vAlign w:val="bottom"/>
            <w:gridSpan w:val="3"/>
            <w:shd w:val="clear" w:color="auto" w:fill="CCEEFF"/>
          </w:tcPr>
          <w:p>
            <w:pPr>
              <w:jc w:val="right"/>
              <w:ind w:right="439"/>
              <w:spacing w:after="0"/>
              <w:rPr>
                <w:sz w:val="20"/>
                <w:szCs w:val="20"/>
                <w:color w:val="auto"/>
              </w:rPr>
            </w:pPr>
            <w:r>
              <w:rPr>
                <w:rFonts w:ascii="Arial" w:cs="Arial" w:eastAsia="Arial" w:hAnsi="Arial"/>
                <w:sz w:val="16"/>
                <w:szCs w:val="16"/>
                <w:color w:val="auto"/>
              </w:rPr>
              <w:t>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22.2</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31.3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Other, net</w:t>
            </w:r>
          </w:p>
        </w:tc>
        <w:tc>
          <w:tcPr>
            <w:tcW w:w="1220" w:type="dxa"/>
            <w:vAlign w:val="bottom"/>
            <w:gridSpan w:val="3"/>
          </w:tcPr>
          <w:p>
            <w:pPr>
              <w:jc w:val="right"/>
              <w:ind w:right="399"/>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719"/>
              <w:spacing w:after="0"/>
              <w:rPr>
                <w:sz w:val="20"/>
                <w:szCs w:val="20"/>
                <w:color w:val="auto"/>
              </w:rPr>
            </w:pPr>
            <w:r>
              <w:rPr>
                <w:rFonts w:ascii="Arial" w:cs="Arial" w:eastAsia="Arial" w:hAnsi="Arial"/>
                <w:sz w:val="16"/>
                <w:szCs w:val="16"/>
                <w:color w:val="auto"/>
              </w:rPr>
              <w:t>(1)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(1)</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699"/>
              <w:spacing w:after="0"/>
              <w:rPr>
                <w:sz w:val="20"/>
                <w:szCs w:val="20"/>
                <w:color w:val="auto"/>
              </w:rPr>
            </w:pPr>
            <w:r>
              <w:rPr>
                <w:rFonts w:ascii="Arial" w:cs="Arial" w:eastAsia="Arial" w:hAnsi="Arial"/>
                <w:sz w:val="16"/>
                <w:szCs w:val="16"/>
                <w:color w:val="auto"/>
              </w:rPr>
              <w:t>(3)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1220" w:type="dxa"/>
            <w:vAlign w:val="bottom"/>
            <w:gridSpan w:val="3"/>
            <w:shd w:val="clear" w:color="auto" w:fill="CCEEFF"/>
          </w:tcPr>
          <w:p>
            <w:pPr>
              <w:jc w:val="right"/>
              <w:ind w:right="399"/>
              <w:spacing w:after="0"/>
              <w:rPr>
                <w:sz w:val="20"/>
                <w:szCs w:val="20"/>
                <w:color w:val="auto"/>
              </w:rPr>
            </w:pPr>
            <w:r>
              <w:rPr>
                <w:rFonts w:ascii="Arial" w:cs="Arial" w:eastAsia="Arial" w:hAnsi="Arial"/>
                <w:sz w:val="16"/>
                <w:szCs w:val="16"/>
                <w:color w:val="auto"/>
              </w:rPr>
              <w:t>(222)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(303)</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(295)</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60" w:hanging="222"/>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Percentage change is not meaningful.</w:t>
      </w:r>
    </w:p>
    <w:p>
      <w:pPr>
        <w:spacing w:after="0" w:line="10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 The $10 million increase during the three months ended June 30, 2005 is a result of a $9 million increase in interest expense and a</w:t>
      </w:r>
      <w:r>
        <w:rPr>
          <w:rFonts w:ascii="Arial" w:cs="Arial" w:eastAsia="Arial" w:hAnsi="Arial"/>
          <w:sz w:val="18"/>
          <w:szCs w:val="18"/>
          <w:i w:val="1"/>
          <w:iCs w:val="1"/>
          <w:color w:val="auto"/>
        </w:rPr>
        <w:t xml:space="preserve"> </w:t>
      </w:r>
      <w:r>
        <w:rPr>
          <w:rFonts w:ascii="Arial" w:cs="Arial" w:eastAsia="Arial" w:hAnsi="Arial"/>
          <w:sz w:val="18"/>
          <w:szCs w:val="18"/>
          <w:color w:val="auto"/>
        </w:rPr>
        <w:t>$1 million decline in interest income. The $10 million increase during the six months ended June 30, 2005 is a result of a $12 million increase in interest expense, offset in part by a $2 million increase in interest income. The current year increases in interest expense are generally attributable to higher market interest rates, which impact the interest expense associated with the variable portion of our debt obligations. As of June 30, 2005, interest expense on 35% of our total debt is driven by variability in market interest rates.</w:t>
      </w:r>
    </w:p>
    <w:p>
      <w:pPr>
        <w:spacing w:after="0" w:line="80"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i w:val="1"/>
          <w:iCs w:val="1"/>
          <w:color w:val="auto"/>
        </w:rPr>
        <w:t xml:space="preserve">Equity in net losses of unconsolidated entities </w:t>
      </w:r>
      <w:r>
        <w:rPr>
          <w:rFonts w:ascii="Arial" w:cs="Arial" w:eastAsia="Arial" w:hAnsi="Arial"/>
          <w:sz w:val="16"/>
          <w:szCs w:val="16"/>
          <w:color w:val="auto"/>
        </w:rPr>
        <w:t>— In the first and second quarters of 2004, we acquired an equity interest in two coal-based, synthetic fuel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production facilities. The activities of these facilities drive our equity in net losses of unconsolidated entities. Our equity in the losses of these facilities was $27 million and $55 million for the three and six months ended June 30, 2005, respectively, and $26 million and $45 million for the three and six months ended June 30, 2004, respectively. The year-over-year increase in these losses is due to the timing of our initial investments in 2004. These equity losses are more than offset by the tax benefit realized as a result of these investments as discussed below within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If, for any reason, the tax credits generated by the facilities were no longer allowable under Section 29 of the Internal Revenue Code, we would no longer incur these equity losses. Additional information related to these investments is included in Note 4 to the Condensed Consolidated Financial Statements.</w:t>
      </w:r>
    </w:p>
    <w:p>
      <w:pPr>
        <w:spacing w:after="0" w:line="59" w:lineRule="exact"/>
        <w:rPr>
          <w:sz w:val="20"/>
          <w:szCs w:val="20"/>
          <w:color w:val="auto"/>
        </w:rPr>
      </w:pPr>
    </w:p>
    <w:p>
      <w:pPr>
        <w:ind w:right="440" w:firstLine="270"/>
        <w:spacing w:after="0" w:line="288" w:lineRule="auto"/>
        <w:rPr>
          <w:sz w:val="20"/>
          <w:szCs w:val="20"/>
          <w:color w:val="auto"/>
        </w:rPr>
      </w:pPr>
      <w:r>
        <w:rPr>
          <w:rFonts w:ascii="Arial" w:cs="Arial" w:eastAsia="Arial" w:hAnsi="Arial"/>
          <w:sz w:val="16"/>
          <w:szCs w:val="16"/>
          <w:i w:val="1"/>
          <w:iCs w:val="1"/>
          <w:color w:val="auto"/>
        </w:rPr>
        <w:t xml:space="preserve">Provision for (benefit from) income taxes </w:t>
      </w:r>
      <w:r>
        <w:rPr>
          <w:rFonts w:ascii="Arial" w:cs="Arial" w:eastAsia="Arial" w:hAnsi="Arial"/>
          <w:sz w:val="16"/>
          <w:szCs w:val="16"/>
          <w:color w:val="auto"/>
        </w:rPr>
        <w:t>— The benefit from income taxes recognized during the three and six months ended June 30, 2005 is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the settlement of several tax audits, which have resulted in a $345 million reduction in income tax expense during the three months ended June 30, 2005 and a $347 million reduction in income tax expense during the six months ended June 30, 2005. These tax audit settlements resulted in a</w:t>
      </w:r>
    </w:p>
    <w:p>
      <w:pPr>
        <w:jc w:val="both"/>
        <w:ind w:right="140"/>
        <w:spacing w:after="0" w:line="261" w:lineRule="auto"/>
        <w:rPr>
          <w:sz w:val="20"/>
          <w:szCs w:val="20"/>
          <w:color w:val="auto"/>
        </w:rPr>
      </w:pPr>
      <w:r>
        <w:rPr>
          <w:rFonts w:ascii="Arial" w:cs="Arial" w:eastAsia="Arial" w:hAnsi="Arial"/>
          <w:sz w:val="18"/>
          <w:szCs w:val="18"/>
          <w:color w:val="auto"/>
        </w:rPr>
        <w:t>113.5 percentage point reduction in our effective tax rate for the three months ended June 30, 2005 and a 66.1 percentage point reduction in our effective tax rate for the six months ended June 30, 2005.</w:t>
      </w:r>
    </w:p>
    <w:p>
      <w:pPr>
        <w:spacing w:after="0" w:line="76" w:lineRule="exact"/>
        <w:rPr>
          <w:sz w:val="20"/>
          <w:szCs w:val="20"/>
          <w:color w:val="auto"/>
        </w:rPr>
      </w:pPr>
    </w:p>
    <w:p>
      <w:pPr>
        <w:jc w:val="both"/>
        <w:ind w:right="160" w:firstLine="270"/>
        <w:spacing w:after="0" w:line="286" w:lineRule="auto"/>
        <w:rPr>
          <w:sz w:val="20"/>
          <w:szCs w:val="20"/>
          <w:color w:val="auto"/>
        </w:rPr>
      </w:pPr>
      <w:r>
        <w:rPr>
          <w:rFonts w:ascii="Arial" w:cs="Arial" w:eastAsia="Arial" w:hAnsi="Arial"/>
          <w:sz w:val="17"/>
          <w:szCs w:val="17"/>
          <w:color w:val="auto"/>
        </w:rPr>
        <w:t xml:space="preserve">Our effective tax rate for the three and six months ended June 30, 2005 has also benefited from the favorable impact of non-conventional fuel tax credits derived from our landfills and our investments in two coal-based, synthetic fuel production facilities discussed in the </w:t>
      </w:r>
      <w:r>
        <w:rPr>
          <w:rFonts w:ascii="Arial" w:cs="Arial" w:eastAsia="Arial" w:hAnsi="Arial"/>
          <w:sz w:val="17"/>
          <w:szCs w:val="17"/>
          <w:i w:val="1"/>
          <w:iCs w:val="1"/>
          <w:color w:val="auto"/>
        </w:rPr>
        <w:t>Equity in net losses of unconsolidated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entities </w:t>
      </w:r>
      <w:r>
        <w:rPr>
          <w:rFonts w:ascii="Arial" w:cs="Arial" w:eastAsia="Arial" w:hAnsi="Arial"/>
          <w:sz w:val="17"/>
          <w:szCs w:val="17"/>
          <w:color w:val="auto"/>
        </w:rPr>
        <w:t>section above. These tax credits are available through 2007 pursuant to Section 29 of the Internal Revenue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Code, and may be phased out if the price of oil exceeds a threshold annual average price determined by the IRS. Our synthetic fuel production facility investments resulted in a decrease in our tax provision of $38 million and $67 million for the three and six months ended June 30, 2005, respectively, and $35 million and $54 million for the three and six months ended June 30, 2004, respectively.</w:t>
      </w:r>
    </w:p>
    <w:p>
      <w:pPr>
        <w:spacing w:after="0" w:line="73"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These tax benefits have been partially offset by the accrual of $34 million of taxes during the three months ended June 30, 2005 associated with our plan to repatriate approximately $485 million of accumulated earnings and capital from certain of our Canadian subsidiaries under the American Jobs Creation Act of 2004.</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Refer to Note 4 of our Condensed Consolidated Financial Statements for additional information regarding current period tax activity.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Cumulative Effect of Change in Accounting Principle</w:t>
      </w:r>
    </w:p>
    <w:p>
      <w:pPr>
        <w:spacing w:after="0" w:line="117"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 xml:space="preserve">On March 31, 2004, we recorded a credit of $8 million, net of tax, or $0.01 per diluted share, as a cumulative effect of change in accounting principle as a result of the consolidation of previously unrecorded trusts as required by Financial Accounting Standards Board Interpretation No. 46, </w:t>
      </w:r>
      <w:r>
        <w:rPr>
          <w:rFonts w:ascii="Arial" w:cs="Arial" w:eastAsia="Arial" w:hAnsi="Arial"/>
          <w:sz w:val="18"/>
          <w:szCs w:val="18"/>
          <w:i w:val="1"/>
          <w:iCs w:val="1"/>
          <w:color w:val="auto"/>
        </w:rPr>
        <w:t>Consolidation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60"/>
        <w:spacing w:after="0" w:line="276" w:lineRule="auto"/>
        <w:rPr>
          <w:sz w:val="20"/>
          <w:szCs w:val="20"/>
          <w:color w:val="auto"/>
        </w:rPr>
      </w:pPr>
      <w:r>
        <w:rPr>
          <w:rFonts w:ascii="Arial" w:cs="Arial" w:eastAsia="Arial" w:hAnsi="Arial"/>
          <w:sz w:val="17"/>
          <w:szCs w:val="17"/>
          <w:color w:val="auto"/>
        </w:rPr>
        <w:t>As an organization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which we believe are considered important by credit rating agencies and financial markets in determining our access to attractive financing alternatives, we expect to continue to maintain access to capital sources in the future. These factors include:</w:t>
      </w:r>
    </w:p>
    <w:p>
      <w:pPr>
        <w:spacing w:after="0" w:line="64" w:lineRule="exact"/>
        <w:rPr>
          <w:sz w:val="20"/>
          <w:szCs w:val="20"/>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essential nature of the services we provide and our large and diverse customer base;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strong and consistent cash flows despite the economic environment;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liquidity profile;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asset base;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commitment to maintaining a moderate financial profile and disciplined capital allocation.</w:t>
      </w:r>
    </w:p>
    <w:p>
      <w:pPr>
        <w:spacing w:after="0" w:line="117" w:lineRule="exact"/>
        <w:rPr>
          <w:sz w:val="20"/>
          <w:szCs w:val="20"/>
          <w:color w:val="auto"/>
        </w:rPr>
      </w:pPr>
    </w:p>
    <w:p>
      <w:pPr>
        <w:ind w:right="200" w:firstLine="267"/>
        <w:spacing w:after="0" w:line="286" w:lineRule="auto"/>
        <w:rPr>
          <w:sz w:val="20"/>
          <w:szCs w:val="20"/>
          <w:color w:val="auto"/>
        </w:rPr>
      </w:pPr>
      <w:r>
        <w:rPr>
          <w:rFonts w:ascii="Arial" w:cs="Arial" w:eastAsia="Arial" w:hAnsi="Arial"/>
          <w:sz w:val="16"/>
          <w:szCs w:val="16"/>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w:t>
      </w:r>
    </w:p>
    <w:p>
      <w:pPr>
        <w:spacing w:after="0" w:line="2" w:lineRule="exact"/>
        <w:rPr>
          <w:sz w:val="20"/>
          <w:szCs w:val="20"/>
          <w:color w:val="auto"/>
        </w:rPr>
      </w:pPr>
    </w:p>
    <w:p>
      <w:pPr>
        <w:ind w:right="80" w:firstLine="8"/>
        <w:spacing w:after="0" w:line="277" w:lineRule="auto"/>
        <w:tabs>
          <w:tab w:leader="none" w:pos="30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container and equipment needs of our operations; and (v) capping, closure and post-closure activities at our landfills. Our Board of Directors has approved a capital allocation program that provides for up to $1.2 billion in aggregate dividend payments and share repurchases each year during 2005, 2006 and 2007. We also continue to invest in acquisitions that we believe will be accretive and provide continued growth in our core business.</w:t>
      </w:r>
    </w:p>
    <w:p>
      <w:pPr>
        <w:spacing w:after="0" w:line="65" w:lineRule="exact"/>
        <w:rPr>
          <w:sz w:val="20"/>
          <w:szCs w:val="20"/>
          <w:color w:val="auto"/>
        </w:rPr>
      </w:pPr>
    </w:p>
    <w:p>
      <w:pPr>
        <w:ind w:right="20" w:firstLine="260"/>
        <w:spacing w:after="0" w:line="276" w:lineRule="auto"/>
        <w:rPr>
          <w:sz w:val="20"/>
          <w:szCs w:val="20"/>
          <w:color w:val="auto"/>
        </w:rPr>
      </w:pPr>
      <w:r>
        <w:rPr>
          <w:rFonts w:ascii="Arial" w:cs="Arial" w:eastAsia="Arial" w:hAnsi="Arial"/>
          <w:sz w:val="17"/>
          <w:szCs w:val="17"/>
          <w:color w:val="auto"/>
        </w:rPr>
        <w:t>A provision of the American Jobs Creation Act of 2004, which was enacted on October 22, 2004, temporarily reduces the tax rate on repatriated income if the income is permanently reinvested in the U.S. We have decided to repatriate approximately $485 million of accumulated earnings and capital from certain of our Canadian subsidiaries during the taxable year ending December 31, 2005, and are currently evaluating the potential liquidity and capital resource impacts of this planned repatriation. We expect to draw upon approximately $115 million of cash resources that are currently held by our Canadian subsidiaries, and are in the process of considering the most effective approach for repatriating the remaining accumulated earnings.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Restricted Trust and Escrow Accounts and Debt Obligations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summary of our cash, restricted trust and escrow accounts and debt balances as of June 30, 2005 and December 31, 2004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2004</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Tax-exempt bond funds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00"/>
              <w:spacing w:after="0"/>
              <w:rPr>
                <w:sz w:val="20"/>
                <w:szCs w:val="20"/>
                <w:color w:val="auto"/>
              </w:rPr>
            </w:pPr>
            <w:r>
              <w:rPr>
                <w:rFonts w:ascii="Arial" w:cs="Arial" w:eastAsia="Arial" w:hAnsi="Arial"/>
                <w:sz w:val="18"/>
                <w:szCs w:val="18"/>
                <w:color w:val="auto"/>
              </w:rPr>
              <w:t>Closure, post-closure and remediation funds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Debt service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3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restricted trust and escrow accounts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portion</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300"/>
              <w:spacing w:after="0"/>
              <w:rPr>
                <w:sz w:val="20"/>
                <w:szCs w:val="20"/>
                <w:color w:val="auto"/>
              </w:rPr>
            </w:pPr>
            <w:r>
              <w:rPr>
                <w:rFonts w:ascii="Arial" w:cs="Arial" w:eastAsia="Arial" w:hAnsi="Arial"/>
                <w:sz w:val="18"/>
                <w:szCs w:val="18"/>
                <w:color w:val="auto"/>
              </w:rPr>
              <w:t>Long-term portion</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debt</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60" w:firstLine="27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consist primarily of cash on deposit, certificates of deposit, money market accounts,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commercial paper purchased with original maturities of three months or less.</w:t>
      </w:r>
    </w:p>
    <w:p>
      <w:pPr>
        <w:spacing w:after="0" w:line="62" w:lineRule="exact"/>
        <w:rPr>
          <w:sz w:val="20"/>
          <w:szCs w:val="20"/>
          <w:color w:val="auto"/>
        </w:rPr>
      </w:pPr>
    </w:p>
    <w:p>
      <w:pPr>
        <w:ind w:right="760" w:firstLine="270"/>
        <w:spacing w:after="0" w:line="277" w:lineRule="auto"/>
        <w:rPr>
          <w:sz w:val="20"/>
          <w:szCs w:val="20"/>
          <w:color w:val="auto"/>
        </w:rPr>
      </w:pPr>
      <w:r>
        <w:rPr>
          <w:rFonts w:ascii="Arial" w:cs="Arial" w:eastAsia="Arial" w:hAnsi="Arial"/>
          <w:sz w:val="18"/>
          <w:szCs w:val="18"/>
          <w:color w:val="auto"/>
        </w:rPr>
        <w:t xml:space="preserve">For discussion regarding the 2004 reclassifications to cash, refer to Note 1 to the Condensed Consolidated Financial Statements and the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Consolidated and Segment Financial Information </w:t>
      </w:r>
      <w:r>
        <w:rPr>
          <w:rFonts w:ascii="Arial" w:cs="Arial" w:eastAsia="Arial" w:hAnsi="Arial"/>
          <w:sz w:val="18"/>
          <w:szCs w:val="18"/>
          <w:color w:val="auto"/>
        </w:rPr>
        <w:t>section above.</w:t>
      </w:r>
    </w:p>
    <w:p>
      <w:pPr>
        <w:spacing w:after="0" w:line="62" w:lineRule="exact"/>
        <w:rPr>
          <w:sz w:val="20"/>
          <w:szCs w:val="20"/>
          <w:color w:val="auto"/>
        </w:rPr>
      </w:pPr>
    </w:p>
    <w:p>
      <w:pPr>
        <w:ind w:right="260" w:firstLine="270"/>
        <w:spacing w:after="0" w:line="286" w:lineRule="auto"/>
        <w:rPr>
          <w:sz w:val="20"/>
          <w:szCs w:val="20"/>
          <w:color w:val="auto"/>
        </w:rPr>
      </w:pPr>
      <w:r>
        <w:rPr>
          <w:rFonts w:ascii="Arial" w:cs="Arial" w:eastAsia="Arial" w:hAnsi="Arial"/>
          <w:sz w:val="17"/>
          <w:szCs w:val="17"/>
          <w:i w:val="1"/>
          <w:iCs w:val="1"/>
          <w:color w:val="auto"/>
        </w:rPr>
        <w:t xml:space="preserve">Restricted trust and escrow accounts </w:t>
      </w:r>
      <w:r>
        <w:rPr>
          <w:rFonts w:ascii="Arial" w:cs="Arial" w:eastAsia="Arial" w:hAnsi="Arial"/>
          <w:sz w:val="17"/>
          <w:szCs w:val="17"/>
          <w:color w:val="auto"/>
        </w:rPr>
        <w:t>— Restricted trust and escrow accounts consist primarily of funds held in trust for the construction of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or repayment of debt obligations, funds deposited in connection with landfill closure, post-closure and remedial obligations and insurance escrow deposits. These balances are primarily included within “Other assets” in our Condensed Consolidated Balance Sheets.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Debt —</w:t>
      </w:r>
    </w:p>
    <w:p>
      <w:pPr>
        <w:spacing w:after="0" w:line="11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Revolving credit and letter of credit facilities </w:t>
      </w:r>
      <w:r>
        <w:rPr>
          <w:rFonts w:ascii="Arial" w:cs="Arial" w:eastAsia="Arial" w:hAnsi="Arial"/>
          <w:sz w:val="18"/>
          <w:szCs w:val="18"/>
          <w:color w:val="auto"/>
        </w:rPr>
        <w:t>— We have a five-year, $2.4 billion syndicated revolving credit facility. This facility provides us with credit</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that can be used for either cash borrowings or to support letters of credit issued for our financial assurance needs. As of June 30, 2005, no borrowings were outstanding under the facility, and we had unused and available credit capacity of $959 million. As of December 31, 2004, no borrowings were outstanding under the facility, and we had unused and available capacity of $1,034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summarizes the credit capacity, maturity and outstanding letters of credit under our various arrangements at June 30, 2005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Total Credit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Letters of</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right"/>
              <w:ind w:right="1220"/>
              <w:spacing w:after="0"/>
              <w:rPr>
                <w:sz w:val="20"/>
                <w:szCs w:val="20"/>
                <w:color w:val="auto"/>
              </w:rPr>
            </w:pPr>
            <w:r>
              <w:rPr>
                <w:rFonts w:ascii="Arial" w:cs="Arial" w:eastAsia="Arial" w:hAnsi="Arial"/>
                <w:sz w:val="18"/>
                <w:szCs w:val="18"/>
                <w:color w:val="auto"/>
              </w:rPr>
              <w:t>Capacity</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Maturity</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Credit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Five-year revolving credit facility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2,400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Five-year letter of credit and term loan agreement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960"/>
              <w:spacing w:after="0"/>
              <w:rPr>
                <w:sz w:val="20"/>
                <w:szCs w:val="20"/>
                <w:color w:val="auto"/>
              </w:rPr>
            </w:pPr>
            <w:r>
              <w:rPr>
                <w:rFonts w:ascii="Arial" w:cs="Arial" w:eastAsia="Arial" w:hAnsi="Arial"/>
                <w:sz w:val="18"/>
                <w:szCs w:val="18"/>
                <w:color w:val="auto"/>
              </w:rPr>
              <w:t>15</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2008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Five-year letter of credit facility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350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Seven-year letter of credit and term loan agreement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960"/>
              <w:spacing w:after="0"/>
              <w:rPr>
                <w:sz w:val="20"/>
                <w:szCs w:val="20"/>
                <w:color w:val="auto"/>
              </w:rPr>
            </w:pPr>
            <w:r>
              <w:rPr>
                <w:rFonts w:ascii="Arial" w:cs="Arial" w:eastAsia="Arial" w:hAnsi="Arial"/>
                <w:sz w:val="18"/>
                <w:szCs w:val="18"/>
                <w:color w:val="auto"/>
              </w:rPr>
              <w:t>175</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2010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Ten-year letter of credit and term loan agreement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3,045</w:t>
            </w:r>
          </w:p>
        </w:tc>
        <w:tc>
          <w:tcPr>
            <w:tcW w:w="1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67"/>
        <w:spacing w:after="0" w:line="276" w:lineRule="auto"/>
        <w:rPr>
          <w:sz w:val="20"/>
          <w:szCs w:val="20"/>
          <w:color w:val="auto"/>
        </w:rPr>
      </w:pPr>
      <w:r>
        <w:rPr>
          <w:rFonts w:ascii="Arial" w:cs="Arial" w:eastAsia="Arial" w:hAnsi="Arial"/>
          <w:sz w:val="17"/>
          <w:szCs w:val="17"/>
          <w:color w:val="auto"/>
        </w:rPr>
        <w:t>We use each of these facilities to back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may continue to serve as a cost efficient source of letter of credit capacity in the future, and we continue to assess our financial assurance requirements to ensure that we have adequate letter of credit and surety bond capacity in advance of our business needs.</w:t>
      </w:r>
    </w:p>
    <w:p>
      <w:pPr>
        <w:spacing w:after="0" w:line="64" w:lineRule="exact"/>
        <w:rPr>
          <w:sz w:val="20"/>
          <w:szCs w:val="20"/>
          <w:color w:val="auto"/>
        </w:rPr>
      </w:pPr>
    </w:p>
    <w:p>
      <w:pPr>
        <w:ind w:right="300" w:firstLine="270"/>
        <w:spacing w:after="0" w:line="264"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As of June 30, 2005, we had $5.2 billion of outstanding senior notes. The notes have various maturities, ranging from October 2006 to</w:t>
      </w:r>
      <w:r>
        <w:rPr>
          <w:rFonts w:ascii="Arial" w:cs="Arial" w:eastAsia="Arial" w:hAnsi="Arial"/>
          <w:sz w:val="18"/>
          <w:szCs w:val="18"/>
          <w:i w:val="1"/>
          <w:iCs w:val="1"/>
          <w:color w:val="auto"/>
        </w:rPr>
        <w:t xml:space="preserve"> </w:t>
      </w:r>
      <w:r>
        <w:rPr>
          <w:rFonts w:ascii="Arial" w:cs="Arial" w:eastAsia="Arial" w:hAnsi="Arial"/>
          <w:sz w:val="18"/>
          <w:szCs w:val="18"/>
          <w:color w:val="auto"/>
        </w:rPr>
        <w:t>May 2032, and interest rates ranging from 5.00% to 8.75%. On May 15, 2005, $100 million of 7.0% senior notes and $3 million of 6.65% senior notes matured and were repaid with cash on hand.</w:t>
      </w:r>
    </w:p>
    <w:p>
      <w:pPr>
        <w:spacing w:after="0" w:line="73" w:lineRule="exact"/>
        <w:rPr>
          <w:sz w:val="20"/>
          <w:szCs w:val="20"/>
          <w:color w:val="auto"/>
        </w:rPr>
      </w:pPr>
    </w:p>
    <w:p>
      <w:pPr>
        <w:ind w:right="180" w:firstLine="270"/>
        <w:spacing w:after="0" w:line="293" w:lineRule="auto"/>
        <w:rPr>
          <w:sz w:val="20"/>
          <w:szCs w:val="20"/>
          <w:color w:val="auto"/>
        </w:rPr>
      </w:pPr>
      <w:r>
        <w:rPr>
          <w:rFonts w:ascii="Arial" w:cs="Arial" w:eastAsia="Arial" w:hAnsi="Arial"/>
          <w:sz w:val="16"/>
          <w:szCs w:val="16"/>
          <w:i w:val="1"/>
          <w:iCs w:val="1"/>
          <w:color w:val="auto"/>
        </w:rPr>
        <w:t xml:space="preserve">Tax-exempt bonds </w:t>
      </w:r>
      <w:r>
        <w:rPr>
          <w:rFonts w:ascii="Arial" w:cs="Arial" w:eastAsia="Arial" w:hAnsi="Arial"/>
          <w:sz w:val="16"/>
          <w:szCs w:val="16"/>
          <w:color w:val="auto"/>
        </w:rPr>
        <w:t>— As of June 30, 2005, we had $2.1 billion of outstanding tax-exempt bonds, of which $100 million were issued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2005. We actively issue tax-exempt bonds as a means of accessing low-cost financing for capital expenditures. The proceeds from these financing arrangements are deposited directly into trust funds and may only be used for the specific purpose for which the money was raised, which is generally the construction of collection and disposal facilities and for the equipment necessary to provide waste management services. As we spend monies on the specific projects being financed, we are able to requisition cash from the trust funds. We have $229 million held in trust for future spending as of June 30, 2005. During the six months ended June 30, 2005, we received approximately $207 million from these funds for approved capital expenditures.</w:t>
      </w:r>
    </w:p>
    <w:p>
      <w:pPr>
        <w:spacing w:after="0" w:line="57" w:lineRule="exact"/>
        <w:rPr>
          <w:sz w:val="20"/>
          <w:szCs w:val="20"/>
          <w:color w:val="auto"/>
        </w:rPr>
      </w:pPr>
    </w:p>
    <w:p>
      <w:pPr>
        <w:ind w:right="60" w:firstLine="260"/>
        <w:spacing w:after="0" w:line="279" w:lineRule="auto"/>
        <w:rPr>
          <w:sz w:val="20"/>
          <w:szCs w:val="20"/>
          <w:color w:val="auto"/>
        </w:rPr>
      </w:pPr>
      <w:r>
        <w:rPr>
          <w:rFonts w:ascii="Arial" w:cs="Arial" w:eastAsia="Arial" w:hAnsi="Arial"/>
          <w:sz w:val="17"/>
          <w:szCs w:val="17"/>
          <w:color w:val="auto"/>
        </w:rPr>
        <w:t>As of June 30, 2005, $588 million of our tax-exempt bonds are remarketed weekly by a remarketing agent to maintain a variable yield. If the remarketing agent is unable to remarket the bonds, then the remarketing agent can put the bonds to us. These bonds are supported by letters of credit that have been issued under our $2.4 billion, five-year revolving credit facility, that guarantee repayment of the bonds in the event the bonds are put to us. Accordingly, these obligations have been classified as long-term in our Condensed Consolidated Balance Sheet at June 30, 2005.</w:t>
      </w:r>
    </w:p>
    <w:p>
      <w:pPr>
        <w:spacing w:after="0" w:line="63" w:lineRule="exact"/>
        <w:rPr>
          <w:sz w:val="20"/>
          <w:szCs w:val="20"/>
          <w:color w:val="auto"/>
        </w:rPr>
      </w:pPr>
    </w:p>
    <w:p>
      <w:pPr>
        <w:ind w:firstLine="260"/>
        <w:spacing w:after="0" w:line="293" w:lineRule="auto"/>
        <w:rPr>
          <w:sz w:val="20"/>
          <w:szCs w:val="20"/>
          <w:color w:val="auto"/>
        </w:rPr>
      </w:pPr>
      <w:r>
        <w:rPr>
          <w:rFonts w:ascii="Arial" w:cs="Arial" w:eastAsia="Arial" w:hAnsi="Arial"/>
          <w:sz w:val="16"/>
          <w:szCs w:val="16"/>
          <w:color w:val="auto"/>
        </w:rPr>
        <w:t>Additionally, we have $402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Condensed Consolidated Balance Sheet as of June 30, 2005.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57"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i w:val="1"/>
          <w:iCs w:val="1"/>
          <w:color w:val="auto"/>
        </w:rPr>
        <w:t xml:space="preserve">Tax-exempt project bonds </w:t>
      </w:r>
      <w:r>
        <w:rPr>
          <w:rFonts w:ascii="Arial" w:cs="Arial" w:eastAsia="Arial" w:hAnsi="Arial"/>
          <w:sz w:val="18"/>
          <w:szCs w:val="18"/>
          <w:color w:val="auto"/>
        </w:rPr>
        <w:t>— As of June 30, 2005, we had $495 million of outstanding tax-exempt project bonds. These debt instruments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used by our Wheelabrator Group to finance the development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waste-to-energy facilities. The bonds generally require periodic principal installment payments. As of June 30 2005, $46 million of these bonds are remarketed either daily or weekly by a remarketing agent to maintain a variable yield. If the remarketing agent is unable to remarket the bonds, then the remarketing agent can put the bonds to us. Repayment of these bonds has been guaranteed with letters of credit issued under our five-year revolving credit facility. Approximately $91 million of these bonds will be repaid with either available cash or debt service funds within the next twelve months.</w:t>
      </w:r>
    </w:p>
    <w:p>
      <w:pPr>
        <w:spacing w:after="0" w:line="46"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i w:val="1"/>
          <w:iCs w:val="1"/>
          <w:color w:val="auto"/>
        </w:rPr>
        <w:t xml:space="preserve">Convertible subordinated notes </w:t>
      </w:r>
      <w:r>
        <w:rPr>
          <w:rFonts w:ascii="Arial" w:cs="Arial" w:eastAsia="Arial" w:hAnsi="Arial"/>
          <w:sz w:val="18"/>
          <w:szCs w:val="18"/>
          <w:color w:val="auto"/>
        </w:rPr>
        <w:t>— We had $35 million of convertible subordinated notes that we repaid, with cash on hand, upon maturity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2005.</w:t>
      </w:r>
    </w:p>
    <w:p>
      <w:pPr>
        <w:spacing w:after="0" w:line="62"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 We manage the interest rate risk of our debt portfolio principally by using interest rate derivatives to achieve a desired 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fixed and floating rate debt. As of June 30, 2005, the interest payments on $2.35 billion of our fixed rate debt have been swapped to variable rates, allowing us to maintain 65% of our debt at fixed interest rates and 35% at variable interest rates. Fair value hedge accounting for interest rate swap contracts increased the carrying value of debt instruments by $128 million at June 30, 2005 and $135 million as of December 31, 2004. Interest rate swap agreements reduced net interest expense by $10 million and $26 million for the three and six months ended June 30, 2005, respectively, and by $26 million and $50 million for the three and six months ended June 30, 2004, respectively. The significant decline in the benefit recognized as a result of our interest rate swap agreements between 2004 and 2005 is largely attributable to the increase in short-term market interest rates. Our periodic interest obligations under our interest rate swap agreements are based on a spread from the three-month LIBOR, which has increased from 1.61% at June 30, 2004 to 3.52% at June 30, 2005. The significant terms of the interest rate contracts and the underlying debt instruments are identical and therefore no ineffectiveness has been realized.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summary of our cash flows for the six months ended June 30, 2005 and 2004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June 30,</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2005</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180" w:type="dxa"/>
            <w:vAlign w:val="bottom"/>
            <w:gridSpan w:val="2"/>
            <w:vMerge w:val="continue"/>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9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 We generated $1,103 million in cash flows from our operating activities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2005 compared with $1,019 million provided in the comparable prior year period, an increase of $84 million. In general, our current period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flow was favorably affected by comparative changes in our trade and other receivables. Our trade receivables have decreased $24 million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compared with a $98 million increase in trade receivables during the six months ended June 30, 2004. This significant change can largely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attributed to (i) the collection of receivables related to hurricane clean-up services provided in the second half of 2004; and (ii) overall improvements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collection efforts.</w:t>
      </w:r>
    </w:p>
    <w:p>
      <w:pPr>
        <w:spacing w:after="0" w:line="103" w:lineRule="exact"/>
        <w:rPr>
          <w:sz w:val="20"/>
          <w:szCs w:val="20"/>
          <w:color w:val="auto"/>
        </w:rPr>
      </w:pPr>
    </w:p>
    <w:p>
      <w:pPr>
        <w:ind w:right="240" w:firstLine="267"/>
        <w:spacing w:after="0" w:line="264" w:lineRule="auto"/>
        <w:rPr>
          <w:sz w:val="20"/>
          <w:szCs w:val="20"/>
          <w:color w:val="auto"/>
        </w:rPr>
      </w:pPr>
      <w:r>
        <w:rPr>
          <w:rFonts w:ascii="Arial" w:cs="Arial" w:eastAsia="Arial" w:hAnsi="Arial"/>
          <w:sz w:val="18"/>
          <w:szCs w:val="18"/>
          <w:color w:val="auto"/>
        </w:rPr>
        <w:t>The reduction in income tax expense attributable to the settlement of tax audits during the second quarter of 2005 resulted in a significant reduction in liability balances. These reductions offset the related increase in net income for the six month period resulting in an insignificant impact to cash flows from operations attributable to the tax audit settlements.</w:t>
      </w:r>
    </w:p>
    <w:p>
      <w:pPr>
        <w:spacing w:after="0" w:line="73"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We used $293 million of our cash resources for investing activities during the six months ended June 30, 2005,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$252 million as compared with the comparable prior year period. This decrease is primarily due to a $142 million change in net cash flows associated with purchases and sales of short-term investments. Net purchases of short-term investments during the six months ended June 30, 2005 were $23 million compared with net purchases of $165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comparable prior year period. The year-over-year decline in purchases of short-term investments can largely be attributed to the current year increase in cash paid for common stock repurchases and net debt repayments, which are discussed below.</w:t>
      </w:r>
    </w:p>
    <w:p>
      <w:pPr>
        <w:spacing w:after="0" w:line="62" w:lineRule="exact"/>
        <w:rPr>
          <w:sz w:val="20"/>
          <w:szCs w:val="20"/>
          <w:color w:val="auto"/>
        </w:rPr>
      </w:pPr>
    </w:p>
    <w:p>
      <w:pPr>
        <w:jc w:val="both"/>
        <w:ind w:right="280" w:firstLine="260"/>
        <w:spacing w:after="0" w:line="312" w:lineRule="auto"/>
        <w:rPr>
          <w:sz w:val="20"/>
          <w:szCs w:val="20"/>
          <w:color w:val="auto"/>
        </w:rPr>
      </w:pPr>
      <w:r>
        <w:rPr>
          <w:rFonts w:ascii="Arial" w:cs="Arial" w:eastAsia="Arial" w:hAnsi="Arial"/>
          <w:sz w:val="16"/>
          <w:szCs w:val="16"/>
          <w:color w:val="auto"/>
        </w:rPr>
        <w:t>Also contributing to the year-over-year decrease were (i) a $68 million increase in proceeds from divestitures and other sales of assets, which is largely attributable to the sale of one of our landfills in Ontario, Canada during the first quarter of 2005; (ii) a $33 million decrease in capital expenditures, which went from $526 million in 2004 to $493 million in 2005; and (iii) a $30 million increase in net receipts from restricted trust and escrow accounts.</w:t>
      </w:r>
    </w:p>
    <w:p>
      <w:pPr>
        <w:spacing w:after="0" w:line="39"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 The $456 million increase in cash used for financing activities during the six months ended June 30, 2005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(i) a $205 million increase in debt repayments net of borrowings; (ii) a $170 million increase in cash paid for common stock repurchases; and (iii) a $69 million decline in cash proceeds from the exercise of common stock options.</w:t>
      </w:r>
    </w:p>
    <w:p>
      <w:pPr>
        <w:spacing w:after="0" w:line="73" w:lineRule="exact"/>
        <w:rPr>
          <w:sz w:val="20"/>
          <w:szCs w:val="20"/>
          <w:color w:val="auto"/>
        </w:rPr>
      </w:pPr>
    </w:p>
    <w:p>
      <w:pPr>
        <w:jc w:val="both"/>
        <w:ind w:right="160" w:firstLine="270"/>
        <w:spacing w:after="0" w:line="259" w:lineRule="auto"/>
        <w:rPr>
          <w:sz w:val="20"/>
          <w:szCs w:val="20"/>
          <w:color w:val="auto"/>
        </w:rPr>
      </w:pPr>
      <w:r>
        <w:rPr>
          <w:rFonts w:ascii="Arial" w:cs="Arial" w:eastAsia="Arial" w:hAnsi="Arial"/>
          <w:sz w:val="18"/>
          <w:szCs w:val="18"/>
          <w:color w:val="auto"/>
        </w:rPr>
        <w:t>During the six months ended June 30, 2005, we repaid $234 million of outstanding debt obligations, including $103 million of senior notes that matured in May 2005, and $67 million associated with a short-term note obligation and $35 million of convertible subordinated notes that matured in January 2005. The $369 million of cash debt repayments made during the six months ended June 30, 2004 were largely offset by $348 million in net proceeds, which were primarily provided by the March 2004 issuance of $350 million of 5.00% senior notes due in 2014.</w:t>
      </w:r>
    </w:p>
    <w:p>
      <w:pPr>
        <w:spacing w:after="0" w:line="79"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During the six months ended June 30, 2005, we repurchased 9.9 million shares of our common stock for $290 million. Approximately $12 million of these share repurchases was settled in cash in July 2005. Our 2005 common stock repurchases are pursuant to a capital allocation program that provides for combined dividend payments and shares repurchases of up to $1.2 billion each year during 2005, 2006 and 2007. Future share repurchases under this program will be made at the discretion of management, and will depend on various factors, including our net earnings, financial condition and projected cash requirements. We paid $108 million for share repurchases during the six months ended June 30, 2004, $24 million of which was paid to settle repurchases made in December 2003.</w:t>
      </w:r>
    </w:p>
    <w:p>
      <w:pPr>
        <w:spacing w:after="0" w:line="85"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Cash paid for dividends also increased $10 million during the six months ended June 30, 2005 due to an increase in our per share dividend. Our Board of Directors declared a $0.20 per share dividend in both the first and second quarters of 2005. The first quarter dividend was paid on March 24, 2005 to shareholders of record as of March 1, 2005 for an aggregate of $114 million. The second quarter dividend was paid on June 24, 2005 to shareholders of record as of June 1, 2005 for an aggregate of $114 million. In each of the first and second quarters of 2004, we declared and paid a dividend of $0.1875 per share, which resulted in aggregate cash payments of $218 million for the six months ended June 30, 2004. All future dividend declarations are at the discretion of the Board of Directors and depend on factors the Board deems relevant.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267"/>
        <w:spacing w:after="0" w:line="279" w:lineRule="auto"/>
        <w:rPr>
          <w:sz w:val="20"/>
          <w:szCs w:val="20"/>
          <w:color w:val="auto"/>
        </w:rPr>
      </w:pPr>
      <w:r>
        <w:rPr>
          <w:rFonts w:ascii="Arial" w:cs="Arial" w:eastAsia="Arial" w:hAnsi="Arial"/>
          <w:sz w:val="17"/>
          <w:szCs w:val="17"/>
          <w:color w:val="auto"/>
        </w:rPr>
        <w:t xml:space="preserve">We are party to guarantee arrangements with unconsolidated entities as discussed in the </w:t>
      </w:r>
      <w:r>
        <w:rPr>
          <w:rFonts w:ascii="Arial" w:cs="Arial" w:eastAsia="Arial" w:hAnsi="Arial"/>
          <w:sz w:val="17"/>
          <w:szCs w:val="17"/>
          <w:i w:val="1"/>
          <w:iCs w:val="1"/>
          <w:color w:val="auto"/>
        </w:rPr>
        <w:t>Guarantees</w:t>
      </w:r>
      <w:r>
        <w:rPr>
          <w:rFonts w:ascii="Arial" w:cs="Arial" w:eastAsia="Arial" w:hAnsi="Arial"/>
          <w:sz w:val="17"/>
          <w:szCs w:val="17"/>
          <w:color w:val="auto"/>
        </w:rPr>
        <w:t xml:space="preserve"> section of Note 8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three or six months ended June 30, 2005 nor are they expected to have a material impact on our future financial position,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 and Inflation</w:t>
      </w:r>
    </w:p>
    <w:p>
      <w:pPr>
        <w:spacing w:after="0" w:line="121" w:lineRule="exact"/>
        <w:rPr>
          <w:sz w:val="20"/>
          <w:szCs w:val="20"/>
          <w:color w:val="auto"/>
        </w:rPr>
      </w:pPr>
    </w:p>
    <w:p>
      <w:pPr>
        <w:jc w:val="both"/>
        <w:ind w:right="80" w:firstLine="270"/>
        <w:spacing w:after="0" w:line="286" w:lineRule="auto"/>
        <w:rPr>
          <w:sz w:val="20"/>
          <w:szCs w:val="20"/>
          <w:color w:val="auto"/>
        </w:rPr>
      </w:pPr>
      <w:r>
        <w:rPr>
          <w:rFonts w:ascii="Arial" w:cs="Arial" w:eastAsia="Arial" w:hAnsi="Arial"/>
          <w:sz w:val="17"/>
          <w:szCs w:val="17"/>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quarter also often reflect higher repair and maintenance expenses because we schedule maintenance at our waste-to-energy facilities during the slower winter months.</w:t>
      </w:r>
    </w:p>
    <w:p>
      <w:pPr>
        <w:spacing w:after="0" w:line="62" w:lineRule="exact"/>
        <w:rPr>
          <w:sz w:val="20"/>
          <w:szCs w:val="20"/>
          <w:color w:val="auto"/>
        </w:rPr>
      </w:pPr>
    </w:p>
    <w:p>
      <w:pPr>
        <w:ind w:right="100" w:firstLine="267"/>
        <w:spacing w:after="0" w:line="312" w:lineRule="auto"/>
        <w:rPr>
          <w:sz w:val="20"/>
          <w:szCs w:val="20"/>
          <w:color w:val="auto"/>
        </w:rPr>
      </w:pPr>
      <w:r>
        <w:rPr>
          <w:rFonts w:ascii="Arial" w:cs="Arial" w:eastAsia="Arial" w:hAnsi="Arial"/>
          <w:sz w:val="16"/>
          <w:szCs w:val="16"/>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Effectiveness of Controls and Procedures</w:t>
      </w:r>
    </w:p>
    <w:p>
      <w:pPr>
        <w:spacing w:after="0" w:line="117"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ensure that we are able to collect, process and disclose the information we are required to disclose in the reports we file with the SEC within required time periods.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“Litigation” section of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Changes in Securities, Use of Proceeds and Issuer Purchases of Equity Securities.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October 2004, the Company announced that its Board of Directors approved a capital allocation program that included the authorization of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 billion of stock repurchases and dividend payments annually for each of 2005, 2006 and 2007. All of the common stock repurchases made in 2005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been pursuant to that program. The following table summarizes our second quarter 2005 activity: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Issuer Purchases of Equity Securities</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4"/>
              </w:rPr>
              <w:t>Shares Purchased as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jc w:val="center"/>
              <w:ind w:right="860"/>
              <w:spacing w:after="0"/>
              <w:rPr>
                <w:sz w:val="20"/>
                <w:szCs w:val="20"/>
                <w:color w:val="auto"/>
              </w:rPr>
            </w:pPr>
            <w:r>
              <w:rPr>
                <w:rFonts w:ascii="Arial" w:cs="Arial" w:eastAsia="Arial" w:hAnsi="Arial"/>
                <w:sz w:val="18"/>
                <w:szCs w:val="18"/>
                <w:color w:val="auto"/>
                <w:w w:val="94"/>
              </w:rPr>
              <w:t>Approximate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Average</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Part of Publicly</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Dollar 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Price Paid</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Announced Plans or</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May Yet be Purchased Under</w:t>
            </w: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color w:val="auto"/>
                <w:w w:val="87"/>
              </w:rPr>
              <w:t>per Share(a)</w:t>
            </w: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Programs</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the Plans or Programs(b)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April 1 - 30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28.59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727,300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849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May 1 - 31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2,709,200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29.24</w:t>
            </w:r>
          </w:p>
        </w:tc>
        <w:tc>
          <w:tcPr>
            <w:tcW w:w="2040" w:type="dxa"/>
            <w:vAlign w:val="bottom"/>
          </w:tcPr>
          <w:p>
            <w:pPr>
              <w:jc w:val="right"/>
              <w:spacing w:after="0"/>
              <w:rPr>
                <w:sz w:val="20"/>
                <w:szCs w:val="20"/>
                <w:color w:val="auto"/>
              </w:rPr>
            </w:pPr>
            <w:r>
              <w:rPr>
                <w:rFonts w:ascii="Arial" w:cs="Arial" w:eastAsia="Arial" w:hAnsi="Arial"/>
                <w:sz w:val="18"/>
                <w:szCs w:val="18"/>
                <w:color w:val="auto"/>
              </w:rPr>
              <w:t>2,709,200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80" w:type="dxa"/>
            <w:vAlign w:val="bottom"/>
            <w:gridSpan w:val="2"/>
          </w:tcPr>
          <w:p>
            <w:pPr>
              <w:ind w:left="1520"/>
              <w:spacing w:after="0"/>
              <w:rPr>
                <w:sz w:val="20"/>
                <w:szCs w:val="20"/>
                <w:color w:val="auto"/>
              </w:rPr>
            </w:pPr>
            <w:r>
              <w:rPr>
                <w:rFonts w:ascii="Arial" w:cs="Arial" w:eastAsia="Arial" w:hAnsi="Arial"/>
                <w:sz w:val="18"/>
                <w:szCs w:val="18"/>
                <w:color w:val="auto"/>
              </w:rPr>
              <w:t>770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June 1 - 30(c)</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3,033,200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29.01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3,033,200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682 million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6,469,700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29.06</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6,469,700</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222"/>
        <w:spacing w:after="0"/>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amount represents the weighted average price paid per share and includes a per share commission paid for all repurchases.</w:t>
      </w:r>
    </w:p>
    <w:p>
      <w:pPr>
        <w:spacing w:after="0" w:line="55" w:lineRule="exact"/>
        <w:rPr>
          <w:rFonts w:ascii="Arial" w:cs="Arial" w:eastAsia="Arial" w:hAnsi="Arial"/>
          <w:sz w:val="14"/>
          <w:szCs w:val="14"/>
          <w:color w:val="auto"/>
        </w:rPr>
      </w:pPr>
    </w:p>
    <w:p>
      <w:pPr>
        <w:ind w:left="460" w:right="120" w:hanging="222"/>
        <w:spacing w:after="0" w:line="231"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disclosure of the maximum approximate dollar value of shares yet to be purchased under the program is required by the SEC. These amounts are not necessarily an indication of the amount we intend to repurchase during the remainder of the year. The amount of capital approved for share repurchases during 2005 is $1.2 billion, net of dividends paid. During the six months ended June 30, 2005, we declared and paid $228 million in cash dividends under this program. The maximum dollar value of shares that may be purchased under the program included in the table above includes the effect of these dividend payments as if all payments had been made at the beginning of the earliest period presented. However, this amount does not include the impact of any dividend payments we expect to make in the third or fourth quarters of 2005.</w:t>
      </w:r>
    </w:p>
    <w:p>
      <w:pPr>
        <w:spacing w:after="0" w:line="35" w:lineRule="exact"/>
        <w:rPr>
          <w:rFonts w:ascii="Arial" w:cs="Arial" w:eastAsia="Arial" w:hAnsi="Arial"/>
          <w:sz w:val="14"/>
          <w:szCs w:val="14"/>
          <w:color w:val="auto"/>
        </w:rPr>
      </w:pPr>
    </w:p>
    <w:p>
      <w:pPr>
        <w:ind w:left="460" w:hanging="222"/>
        <w:spacing w:after="0"/>
        <w:tabs>
          <w:tab w:leader="none" w:pos="4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Shares purchased in June 2005 include 420,000 shares purchased for an aggregate of $12 million pursuant to transactions entered into during the month that were not settled until July 2005.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We held our 2005 Annual Meeting of Stockholders on May 13, 2005 in Houston, Texas. A total of 500,379,077 shares of common stock, which is approximately 88% of the common stock outstanding at that time, were represented either in person or by proxy. The following information summarizes the matters submitted for a vote at the 2005 Annual Meeting of Stockholders and the associated results.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i w:val="1"/>
                <w:iCs w:val="1"/>
                <w:color w:val="auto"/>
                <w:w w:val="90"/>
              </w:rPr>
              <w:t>The eight directors listed below were elected to a one-year term:</w:t>
            </w: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338"/>
        </w:trPr>
        <w:tc>
          <w:tcPr>
            <w:tcW w:w="4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85"/>
              </w:rPr>
              <w:t>Shares For</w:t>
            </w:r>
          </w:p>
        </w:tc>
        <w:tc>
          <w:tcPr>
            <w:tcW w:w="320" w:type="dxa"/>
            <w:vAlign w:val="bottom"/>
          </w:tcPr>
          <w:p>
            <w:pPr>
              <w:spacing w:after="0"/>
              <w:rPr>
                <w:sz w:val="24"/>
                <w:szCs w:val="24"/>
                <w:color w:val="auto"/>
              </w:rPr>
            </w:pPr>
          </w:p>
        </w:tc>
        <w:tc>
          <w:tcPr>
            <w:tcW w:w="3620" w:type="dxa"/>
            <w:vAlign w:val="bottom"/>
          </w:tcPr>
          <w:p>
            <w:pPr>
              <w:jc w:val="right"/>
              <w:ind w:right="1130"/>
              <w:spacing w:after="0"/>
              <w:rPr>
                <w:sz w:val="20"/>
                <w:szCs w:val="20"/>
                <w:color w:val="auto"/>
              </w:rPr>
            </w:pPr>
            <w:r>
              <w:rPr>
                <w:rFonts w:ascii="Arial" w:cs="Arial" w:eastAsia="Arial" w:hAnsi="Arial"/>
                <w:sz w:val="18"/>
                <w:szCs w:val="18"/>
                <w:color w:val="auto"/>
              </w:rPr>
              <w:t>Shares Withheld</w:t>
            </w:r>
          </w:p>
        </w:tc>
      </w:tr>
      <w:tr>
        <w:trPr>
          <w:trHeight w:val="209"/>
        </w:trPr>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Pastora San Juan Cafferty</w:t>
            </w:r>
          </w:p>
        </w:tc>
        <w:tc>
          <w:tcPr>
            <w:tcW w:w="320" w:type="dxa"/>
            <w:vAlign w:val="bottom"/>
          </w:tcPr>
          <w:p>
            <w:pPr>
              <w:spacing w:after="0"/>
              <w:rPr>
                <w:sz w:val="18"/>
                <w:szCs w:val="18"/>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491,077,364</w:t>
            </w:r>
          </w:p>
        </w:tc>
        <w:tc>
          <w:tcPr>
            <w:tcW w:w="320" w:type="dxa"/>
            <w:vAlign w:val="bottom"/>
          </w:tcPr>
          <w:p>
            <w:pPr>
              <w:spacing w:after="0"/>
              <w:rPr>
                <w:sz w:val="18"/>
                <w:szCs w:val="18"/>
                <w:color w:val="auto"/>
              </w:rPr>
            </w:pPr>
          </w:p>
        </w:tc>
        <w:tc>
          <w:tcPr>
            <w:tcW w:w="3620" w:type="dxa"/>
            <w:vAlign w:val="bottom"/>
            <w:tcBorders>
              <w:top w:val="single" w:sz="8" w:color="auto"/>
            </w:tcBorders>
          </w:tcPr>
          <w:p>
            <w:pPr>
              <w:jc w:val="right"/>
              <w:ind w:right="1310"/>
              <w:spacing w:after="0"/>
              <w:rPr>
                <w:sz w:val="20"/>
                <w:szCs w:val="20"/>
                <w:color w:val="auto"/>
              </w:rPr>
            </w:pPr>
            <w:r>
              <w:rPr>
                <w:rFonts w:ascii="Arial" w:cs="Arial" w:eastAsia="Arial" w:hAnsi="Arial"/>
                <w:sz w:val="18"/>
                <w:szCs w:val="18"/>
                <w:color w:val="auto"/>
              </w:rPr>
              <w:t>9,301,713</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492,688,365</w:t>
            </w:r>
          </w:p>
        </w:tc>
        <w:tc>
          <w:tcPr>
            <w:tcW w:w="3940" w:type="dxa"/>
            <w:vAlign w:val="bottom"/>
            <w:gridSpan w:val="2"/>
          </w:tcPr>
          <w:p>
            <w:pPr>
              <w:jc w:val="right"/>
              <w:ind w:right="1310"/>
              <w:spacing w:after="0"/>
              <w:rPr>
                <w:sz w:val="20"/>
                <w:szCs w:val="20"/>
                <w:color w:val="auto"/>
              </w:rPr>
            </w:pPr>
            <w:r>
              <w:rPr>
                <w:rFonts w:ascii="Arial" w:cs="Arial" w:eastAsia="Arial" w:hAnsi="Arial"/>
                <w:sz w:val="18"/>
                <w:szCs w:val="18"/>
                <w:color w:val="auto"/>
              </w:rPr>
              <w:t>7,690,712</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Robert S. Miller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483,258,324</w:t>
            </w:r>
          </w:p>
        </w:tc>
        <w:tc>
          <w:tcPr>
            <w:tcW w:w="3940" w:type="dxa"/>
            <w:vAlign w:val="bottom"/>
            <w:gridSpan w:val="2"/>
          </w:tcPr>
          <w:p>
            <w:pPr>
              <w:jc w:val="right"/>
              <w:ind w:right="1310"/>
              <w:spacing w:after="0"/>
              <w:rPr>
                <w:sz w:val="20"/>
                <w:szCs w:val="20"/>
                <w:color w:val="auto"/>
              </w:rPr>
            </w:pPr>
            <w:r>
              <w:rPr>
                <w:rFonts w:ascii="Arial" w:cs="Arial" w:eastAsia="Arial" w:hAnsi="Arial"/>
                <w:sz w:val="18"/>
                <w:szCs w:val="18"/>
                <w:color w:val="auto"/>
              </w:rPr>
              <w:t>17,120,753</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John C. Pope</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476,449,259</w:t>
            </w:r>
          </w:p>
        </w:tc>
        <w:tc>
          <w:tcPr>
            <w:tcW w:w="3940" w:type="dxa"/>
            <w:vAlign w:val="bottom"/>
            <w:gridSpan w:val="2"/>
          </w:tcPr>
          <w:p>
            <w:pPr>
              <w:jc w:val="right"/>
              <w:ind w:right="1310"/>
              <w:spacing w:after="0"/>
              <w:rPr>
                <w:sz w:val="20"/>
                <w:szCs w:val="20"/>
                <w:color w:val="auto"/>
              </w:rPr>
            </w:pPr>
            <w:r>
              <w:rPr>
                <w:rFonts w:ascii="Arial" w:cs="Arial" w:eastAsia="Arial" w:hAnsi="Arial"/>
                <w:sz w:val="18"/>
                <w:szCs w:val="18"/>
                <w:color w:val="auto"/>
              </w:rPr>
              <w:t>23,929,818</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492,657,018</w:t>
            </w:r>
          </w:p>
        </w:tc>
        <w:tc>
          <w:tcPr>
            <w:tcW w:w="3940" w:type="dxa"/>
            <w:vAlign w:val="bottom"/>
            <w:gridSpan w:val="2"/>
          </w:tcPr>
          <w:p>
            <w:pPr>
              <w:jc w:val="right"/>
              <w:ind w:right="1310"/>
              <w:spacing w:after="0"/>
              <w:rPr>
                <w:sz w:val="20"/>
                <w:szCs w:val="20"/>
                <w:color w:val="auto"/>
              </w:rPr>
            </w:pPr>
            <w:r>
              <w:rPr>
                <w:rFonts w:ascii="Arial" w:cs="Arial" w:eastAsia="Arial" w:hAnsi="Arial"/>
                <w:sz w:val="18"/>
                <w:szCs w:val="18"/>
                <w:color w:val="auto"/>
              </w:rPr>
              <w:t>7,722,059</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Steven G. Rothmeier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491,129,207</w:t>
            </w:r>
          </w:p>
        </w:tc>
        <w:tc>
          <w:tcPr>
            <w:tcW w:w="3940" w:type="dxa"/>
            <w:vAlign w:val="bottom"/>
            <w:gridSpan w:val="2"/>
          </w:tcPr>
          <w:p>
            <w:pPr>
              <w:jc w:val="right"/>
              <w:ind w:right="1310"/>
              <w:spacing w:after="0"/>
              <w:rPr>
                <w:sz w:val="20"/>
                <w:szCs w:val="20"/>
                <w:color w:val="auto"/>
              </w:rPr>
            </w:pPr>
            <w:r>
              <w:rPr>
                <w:rFonts w:ascii="Arial" w:cs="Arial" w:eastAsia="Arial" w:hAnsi="Arial"/>
                <w:sz w:val="18"/>
                <w:szCs w:val="18"/>
                <w:color w:val="auto"/>
              </w:rPr>
              <w:t>9,249,870</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David P. Steiner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492,791,805</w:t>
            </w:r>
          </w:p>
        </w:tc>
        <w:tc>
          <w:tcPr>
            <w:tcW w:w="3940" w:type="dxa"/>
            <w:vAlign w:val="bottom"/>
            <w:gridSpan w:val="2"/>
          </w:tcPr>
          <w:p>
            <w:pPr>
              <w:jc w:val="right"/>
              <w:ind w:right="1310"/>
              <w:spacing w:after="0"/>
              <w:rPr>
                <w:sz w:val="20"/>
                <w:szCs w:val="20"/>
                <w:color w:val="auto"/>
              </w:rPr>
            </w:pPr>
            <w:r>
              <w:rPr>
                <w:rFonts w:ascii="Arial" w:cs="Arial" w:eastAsia="Arial" w:hAnsi="Arial"/>
                <w:sz w:val="18"/>
                <w:szCs w:val="18"/>
                <w:color w:val="auto"/>
              </w:rPr>
              <w:t>7,587,272</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492,578,276</w:t>
            </w:r>
          </w:p>
        </w:tc>
        <w:tc>
          <w:tcPr>
            <w:tcW w:w="3940" w:type="dxa"/>
            <w:vAlign w:val="bottom"/>
            <w:gridSpan w:val="2"/>
          </w:tcPr>
          <w:p>
            <w:pPr>
              <w:jc w:val="right"/>
              <w:ind w:right="1310"/>
              <w:spacing w:after="0"/>
              <w:rPr>
                <w:sz w:val="20"/>
                <w:szCs w:val="20"/>
                <w:color w:val="auto"/>
              </w:rPr>
            </w:pPr>
            <w:r>
              <w:rPr>
                <w:rFonts w:ascii="Arial" w:cs="Arial" w:eastAsia="Arial" w:hAnsi="Arial"/>
                <w:sz w:val="18"/>
                <w:szCs w:val="18"/>
                <w:color w:val="auto"/>
              </w:rPr>
              <w:t>7,800,801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appointment of Ernst &amp; Young LLP as the Company’s Independent Registered Public Accounting Firm was ratified: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Shares For</w:t>
            </w:r>
          </w:p>
        </w:tc>
        <w:tc>
          <w:tcPr>
            <w:tcW w:w="34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Shares Against</w:t>
            </w:r>
          </w:p>
        </w:tc>
        <w:tc>
          <w:tcPr>
            <w:tcW w:w="34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Shares Withheld</w:t>
            </w:r>
          </w:p>
        </w:tc>
      </w:tr>
      <w:tr>
        <w:trPr>
          <w:trHeight w:val="224"/>
        </w:trPr>
        <w:tc>
          <w:tcPr>
            <w:tcW w:w="3900" w:type="dxa"/>
            <w:vAlign w:val="bottom"/>
          </w:tcPr>
          <w:p>
            <w:pPr>
              <w:jc w:val="right"/>
              <w:ind w:right="1410"/>
              <w:spacing w:after="0"/>
              <w:rPr>
                <w:sz w:val="20"/>
                <w:szCs w:val="20"/>
                <w:color w:val="auto"/>
              </w:rPr>
            </w:pPr>
            <w:r>
              <w:rPr>
                <w:rFonts w:ascii="Arial" w:cs="Arial" w:eastAsia="Arial" w:hAnsi="Arial"/>
                <w:sz w:val="18"/>
                <w:szCs w:val="18"/>
                <w:color w:val="auto"/>
              </w:rPr>
              <w:t>493,704,167</w:t>
            </w:r>
          </w:p>
        </w:tc>
        <w:tc>
          <w:tcPr>
            <w:tcW w:w="340" w:type="dxa"/>
            <w:vAlign w:val="bottom"/>
          </w:tcPr>
          <w:p>
            <w:pPr>
              <w:spacing w:after="0"/>
              <w:rPr>
                <w:sz w:val="19"/>
                <w:szCs w:val="19"/>
                <w:color w:val="auto"/>
              </w:rPr>
            </w:pPr>
          </w:p>
        </w:tc>
        <w:tc>
          <w:tcPr>
            <w:tcW w:w="3880" w:type="dxa"/>
            <w:vAlign w:val="bottom"/>
          </w:tcPr>
          <w:p>
            <w:pPr>
              <w:jc w:val="right"/>
              <w:ind w:right="1490"/>
              <w:spacing w:after="0"/>
              <w:rPr>
                <w:sz w:val="20"/>
                <w:szCs w:val="20"/>
                <w:color w:val="auto"/>
              </w:rPr>
            </w:pPr>
            <w:r>
              <w:rPr>
                <w:rFonts w:ascii="Arial" w:cs="Arial" w:eastAsia="Arial" w:hAnsi="Arial"/>
                <w:sz w:val="18"/>
                <w:szCs w:val="18"/>
                <w:color w:val="auto"/>
              </w:rPr>
              <w:t>3,145,794</w:t>
            </w:r>
          </w:p>
        </w:tc>
        <w:tc>
          <w:tcPr>
            <w:tcW w:w="340" w:type="dxa"/>
            <w:vAlign w:val="bottom"/>
          </w:tcPr>
          <w:p>
            <w:pPr>
              <w:spacing w:after="0"/>
              <w:rPr>
                <w:sz w:val="19"/>
                <w:szCs w:val="19"/>
                <w:color w:val="auto"/>
              </w:rPr>
            </w:pPr>
          </w:p>
        </w:tc>
        <w:tc>
          <w:tcPr>
            <w:tcW w:w="2960" w:type="dxa"/>
            <w:vAlign w:val="bottom"/>
          </w:tcPr>
          <w:p>
            <w:pPr>
              <w:jc w:val="right"/>
              <w:ind w:right="1030"/>
              <w:spacing w:after="0"/>
              <w:rPr>
                <w:sz w:val="20"/>
                <w:szCs w:val="20"/>
                <w:color w:val="auto"/>
              </w:rPr>
            </w:pPr>
            <w:r>
              <w:rPr>
                <w:rFonts w:ascii="Arial" w:cs="Arial" w:eastAsia="Arial" w:hAnsi="Arial"/>
                <w:sz w:val="18"/>
                <w:szCs w:val="18"/>
                <w:color w:val="auto"/>
              </w:rPr>
              <w:t>3,529,116</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majority of shares voted were voted against a stockholder proposal requiring us to disclose our strategy on opposition to privatization: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Shares For</w:t>
            </w:r>
          </w:p>
        </w:tc>
        <w:tc>
          <w:tcPr>
            <w:tcW w:w="34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Shares Against</w:t>
            </w:r>
          </w:p>
        </w:tc>
        <w:tc>
          <w:tcPr>
            <w:tcW w:w="34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Shares Withheld</w:t>
            </w:r>
          </w:p>
        </w:tc>
      </w:tr>
      <w:tr>
        <w:trPr>
          <w:trHeight w:val="224"/>
        </w:trPr>
        <w:tc>
          <w:tcPr>
            <w:tcW w:w="3900" w:type="dxa"/>
            <w:vAlign w:val="bottom"/>
          </w:tcPr>
          <w:p>
            <w:pPr>
              <w:ind w:left="1540"/>
              <w:spacing w:after="0"/>
              <w:rPr>
                <w:sz w:val="20"/>
                <w:szCs w:val="20"/>
                <w:color w:val="auto"/>
              </w:rPr>
            </w:pPr>
            <w:r>
              <w:rPr>
                <w:rFonts w:ascii="Arial" w:cs="Arial" w:eastAsia="Arial" w:hAnsi="Arial"/>
                <w:sz w:val="18"/>
                <w:szCs w:val="18"/>
                <w:color w:val="auto"/>
              </w:rPr>
              <w:t>13,304,846</w:t>
            </w:r>
          </w:p>
        </w:tc>
        <w:tc>
          <w:tcPr>
            <w:tcW w:w="340" w:type="dxa"/>
            <w:vAlign w:val="bottom"/>
          </w:tcPr>
          <w:p>
            <w:pPr>
              <w:spacing w:after="0"/>
              <w:rPr>
                <w:sz w:val="19"/>
                <w:szCs w:val="19"/>
                <w:color w:val="auto"/>
              </w:rPr>
            </w:pPr>
          </w:p>
        </w:tc>
        <w:tc>
          <w:tcPr>
            <w:tcW w:w="3880" w:type="dxa"/>
            <w:vAlign w:val="bottom"/>
          </w:tcPr>
          <w:p>
            <w:pPr>
              <w:jc w:val="right"/>
              <w:ind w:right="1390"/>
              <w:spacing w:after="0"/>
              <w:rPr>
                <w:sz w:val="20"/>
                <w:szCs w:val="20"/>
                <w:color w:val="auto"/>
              </w:rPr>
            </w:pPr>
            <w:r>
              <w:rPr>
                <w:rFonts w:ascii="Arial" w:cs="Arial" w:eastAsia="Arial" w:hAnsi="Arial"/>
                <w:sz w:val="18"/>
                <w:szCs w:val="18"/>
                <w:color w:val="auto"/>
              </w:rPr>
              <w:t>408,158,075</w:t>
            </w:r>
          </w:p>
        </w:tc>
        <w:tc>
          <w:tcPr>
            <w:tcW w:w="340" w:type="dxa"/>
            <w:vAlign w:val="bottom"/>
          </w:tcPr>
          <w:p>
            <w:pPr>
              <w:spacing w:after="0"/>
              <w:rPr>
                <w:sz w:val="19"/>
                <w:szCs w:val="19"/>
                <w:color w:val="auto"/>
              </w:rPr>
            </w:pPr>
          </w:p>
        </w:tc>
        <w:tc>
          <w:tcPr>
            <w:tcW w:w="2960" w:type="dxa"/>
            <w:vAlign w:val="bottom"/>
          </w:tcPr>
          <w:p>
            <w:pPr>
              <w:jc w:val="right"/>
              <w:ind w:right="990"/>
              <w:spacing w:after="0"/>
              <w:rPr>
                <w:sz w:val="20"/>
                <w:szCs w:val="20"/>
                <w:color w:val="auto"/>
              </w:rPr>
            </w:pPr>
            <w:r>
              <w:rPr>
                <w:rFonts w:ascii="Arial" w:cs="Arial" w:eastAsia="Arial" w:hAnsi="Arial"/>
                <w:sz w:val="18"/>
                <w:szCs w:val="18"/>
                <w:color w:val="auto"/>
              </w:rPr>
              <w:t>24,164,762</w:t>
            </w:r>
          </w:p>
        </w:tc>
      </w:tr>
    </w:tbl>
    <w:p>
      <w:pPr>
        <w:spacing w:after="0" w:line="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A majority of shares voted were voted against a stockholder proposal that would have changed our method of electing directors from plurality voting to majority voting: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Shares For</w:t>
            </w:r>
          </w:p>
        </w:tc>
        <w:tc>
          <w:tcPr>
            <w:tcW w:w="34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Shares Against</w:t>
            </w:r>
          </w:p>
        </w:tc>
        <w:tc>
          <w:tcPr>
            <w:tcW w:w="34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Shares Withheld</w:t>
            </w:r>
          </w:p>
        </w:tc>
      </w:tr>
      <w:tr>
        <w:trPr>
          <w:trHeight w:val="224"/>
        </w:trPr>
        <w:tc>
          <w:tcPr>
            <w:tcW w:w="3900" w:type="dxa"/>
            <w:vAlign w:val="bottom"/>
          </w:tcPr>
          <w:p>
            <w:pPr>
              <w:jc w:val="right"/>
              <w:ind w:right="1410"/>
              <w:spacing w:after="0"/>
              <w:rPr>
                <w:sz w:val="20"/>
                <w:szCs w:val="20"/>
                <w:color w:val="auto"/>
              </w:rPr>
            </w:pPr>
            <w:r>
              <w:rPr>
                <w:rFonts w:ascii="Arial" w:cs="Arial" w:eastAsia="Arial" w:hAnsi="Arial"/>
                <w:sz w:val="18"/>
                <w:szCs w:val="18"/>
                <w:color w:val="auto"/>
              </w:rPr>
              <w:t>194,614,836</w:t>
            </w:r>
          </w:p>
        </w:tc>
        <w:tc>
          <w:tcPr>
            <w:tcW w:w="340" w:type="dxa"/>
            <w:vAlign w:val="bottom"/>
          </w:tcPr>
          <w:p>
            <w:pPr>
              <w:spacing w:after="0"/>
              <w:rPr>
                <w:sz w:val="19"/>
                <w:szCs w:val="19"/>
                <w:color w:val="auto"/>
              </w:rPr>
            </w:pPr>
          </w:p>
        </w:tc>
        <w:tc>
          <w:tcPr>
            <w:tcW w:w="3880" w:type="dxa"/>
            <w:vAlign w:val="bottom"/>
          </w:tcPr>
          <w:p>
            <w:pPr>
              <w:jc w:val="right"/>
              <w:ind w:right="1390"/>
              <w:spacing w:after="0"/>
              <w:rPr>
                <w:sz w:val="20"/>
                <w:szCs w:val="20"/>
                <w:color w:val="auto"/>
              </w:rPr>
            </w:pPr>
            <w:r>
              <w:rPr>
                <w:rFonts w:ascii="Arial" w:cs="Arial" w:eastAsia="Arial" w:hAnsi="Arial"/>
                <w:sz w:val="18"/>
                <w:szCs w:val="18"/>
                <w:color w:val="auto"/>
              </w:rPr>
              <w:t>246,733,337</w:t>
            </w:r>
          </w:p>
        </w:tc>
        <w:tc>
          <w:tcPr>
            <w:tcW w:w="340" w:type="dxa"/>
            <w:vAlign w:val="bottom"/>
          </w:tcPr>
          <w:p>
            <w:pPr>
              <w:spacing w:after="0"/>
              <w:rPr>
                <w:sz w:val="19"/>
                <w:szCs w:val="19"/>
                <w:color w:val="auto"/>
              </w:rPr>
            </w:pPr>
          </w:p>
        </w:tc>
        <w:tc>
          <w:tcPr>
            <w:tcW w:w="2960" w:type="dxa"/>
            <w:vAlign w:val="bottom"/>
          </w:tcPr>
          <w:p>
            <w:pPr>
              <w:jc w:val="right"/>
              <w:ind w:right="1030"/>
              <w:spacing w:after="0"/>
              <w:rPr>
                <w:sz w:val="20"/>
                <w:szCs w:val="20"/>
                <w:color w:val="auto"/>
              </w:rPr>
            </w:pPr>
            <w:r>
              <w:rPr>
                <w:rFonts w:ascii="Arial" w:cs="Arial" w:eastAsia="Arial" w:hAnsi="Arial"/>
                <w:sz w:val="18"/>
                <w:szCs w:val="18"/>
                <w:color w:val="auto"/>
              </w:rPr>
              <w:t>4,277,835</w:t>
            </w:r>
          </w:p>
        </w:tc>
      </w:tr>
    </w:tbl>
    <w:p>
      <w:pPr>
        <w:spacing w:after="0" w:line="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 majority of shares voted were voted against a stockholder proposal requiring annual disclosure of our political contributions and the reasons for such political contributions: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Shares For</w:t>
            </w:r>
          </w:p>
        </w:tc>
        <w:tc>
          <w:tcPr>
            <w:tcW w:w="34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Shares Against</w:t>
            </w:r>
          </w:p>
        </w:tc>
        <w:tc>
          <w:tcPr>
            <w:tcW w:w="34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Shares Withheld</w:t>
            </w:r>
          </w:p>
        </w:tc>
      </w:tr>
      <w:tr>
        <w:trPr>
          <w:trHeight w:val="224"/>
        </w:trPr>
        <w:tc>
          <w:tcPr>
            <w:tcW w:w="3900" w:type="dxa"/>
            <w:vAlign w:val="bottom"/>
          </w:tcPr>
          <w:p>
            <w:pPr>
              <w:ind w:left="1540"/>
              <w:spacing w:after="0"/>
              <w:rPr>
                <w:sz w:val="20"/>
                <w:szCs w:val="20"/>
                <w:color w:val="auto"/>
              </w:rPr>
            </w:pPr>
            <w:r>
              <w:rPr>
                <w:rFonts w:ascii="Arial" w:cs="Arial" w:eastAsia="Arial" w:hAnsi="Arial"/>
                <w:sz w:val="18"/>
                <w:szCs w:val="18"/>
                <w:color w:val="auto"/>
              </w:rPr>
              <w:t>25,037,586</w:t>
            </w:r>
          </w:p>
        </w:tc>
        <w:tc>
          <w:tcPr>
            <w:tcW w:w="340" w:type="dxa"/>
            <w:vAlign w:val="bottom"/>
          </w:tcPr>
          <w:p>
            <w:pPr>
              <w:spacing w:after="0"/>
              <w:rPr>
                <w:sz w:val="19"/>
                <w:szCs w:val="19"/>
                <w:color w:val="auto"/>
              </w:rPr>
            </w:pPr>
          </w:p>
        </w:tc>
        <w:tc>
          <w:tcPr>
            <w:tcW w:w="3880" w:type="dxa"/>
            <w:vAlign w:val="bottom"/>
          </w:tcPr>
          <w:p>
            <w:pPr>
              <w:jc w:val="right"/>
              <w:ind w:right="1390"/>
              <w:spacing w:after="0"/>
              <w:rPr>
                <w:sz w:val="20"/>
                <w:szCs w:val="20"/>
                <w:color w:val="auto"/>
              </w:rPr>
            </w:pPr>
            <w:r>
              <w:rPr>
                <w:rFonts w:ascii="Arial" w:cs="Arial" w:eastAsia="Arial" w:hAnsi="Arial"/>
                <w:sz w:val="18"/>
                <w:szCs w:val="18"/>
                <w:color w:val="auto"/>
              </w:rPr>
              <w:t>380,228,903</w:t>
            </w:r>
          </w:p>
        </w:tc>
        <w:tc>
          <w:tcPr>
            <w:tcW w:w="340" w:type="dxa"/>
            <w:vAlign w:val="bottom"/>
          </w:tcPr>
          <w:p>
            <w:pPr>
              <w:spacing w:after="0"/>
              <w:rPr>
                <w:sz w:val="19"/>
                <w:szCs w:val="19"/>
                <w:color w:val="auto"/>
              </w:rPr>
            </w:pPr>
          </w:p>
        </w:tc>
        <w:tc>
          <w:tcPr>
            <w:tcW w:w="2960" w:type="dxa"/>
            <w:vAlign w:val="bottom"/>
          </w:tcPr>
          <w:p>
            <w:pPr>
              <w:jc w:val="right"/>
              <w:ind w:right="990"/>
              <w:spacing w:after="0"/>
              <w:rPr>
                <w:sz w:val="20"/>
                <w:szCs w:val="20"/>
                <w:color w:val="auto"/>
              </w:rPr>
            </w:pPr>
            <w:r>
              <w:rPr>
                <w:rFonts w:ascii="Arial" w:cs="Arial" w:eastAsia="Arial" w:hAnsi="Arial"/>
                <w:sz w:val="18"/>
                <w:szCs w:val="18"/>
                <w:color w:val="auto"/>
              </w:rPr>
              <w:t>40,360,994</w:t>
            </w:r>
          </w:p>
        </w:tc>
      </w:tr>
    </w:tbl>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A majority of shares voted were voted for a stockholder proposal asking the Board of Directors to adopt a policy limiting the amount of severance payments to executive officers to 2.99 times the average of the executive’s W-2 income over the preceding five years: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Shares For</w:t>
            </w:r>
          </w:p>
        </w:tc>
        <w:tc>
          <w:tcPr>
            <w:tcW w:w="340" w:type="dxa"/>
            <w:vAlign w:val="bottom"/>
          </w:tcPr>
          <w:p>
            <w:pPr>
              <w:spacing w:after="0"/>
              <w:rPr>
                <w:sz w:val="20"/>
                <w:szCs w:val="20"/>
                <w:color w:val="auto"/>
              </w:rPr>
            </w:pPr>
          </w:p>
        </w:tc>
        <w:tc>
          <w:tcPr>
            <w:tcW w:w="38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Shares Against</w:t>
            </w:r>
          </w:p>
        </w:tc>
        <w:tc>
          <w:tcPr>
            <w:tcW w:w="34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Shares Withheld</w:t>
            </w:r>
          </w:p>
        </w:tc>
      </w:tr>
      <w:tr>
        <w:trPr>
          <w:trHeight w:val="224"/>
        </w:trPr>
        <w:tc>
          <w:tcPr>
            <w:tcW w:w="3900" w:type="dxa"/>
            <w:vAlign w:val="bottom"/>
          </w:tcPr>
          <w:p>
            <w:pPr>
              <w:jc w:val="right"/>
              <w:ind w:right="1410"/>
              <w:spacing w:after="0"/>
              <w:rPr>
                <w:sz w:val="20"/>
                <w:szCs w:val="20"/>
                <w:color w:val="auto"/>
              </w:rPr>
            </w:pPr>
            <w:r>
              <w:rPr>
                <w:rFonts w:ascii="Arial" w:cs="Arial" w:eastAsia="Arial" w:hAnsi="Arial"/>
                <w:sz w:val="18"/>
                <w:szCs w:val="18"/>
                <w:color w:val="auto"/>
              </w:rPr>
              <w:t>242,833,427</w:t>
            </w:r>
          </w:p>
        </w:tc>
        <w:tc>
          <w:tcPr>
            <w:tcW w:w="340" w:type="dxa"/>
            <w:vAlign w:val="bottom"/>
          </w:tcPr>
          <w:p>
            <w:pPr>
              <w:spacing w:after="0"/>
              <w:rPr>
                <w:sz w:val="19"/>
                <w:szCs w:val="19"/>
                <w:color w:val="auto"/>
              </w:rPr>
            </w:pPr>
          </w:p>
        </w:tc>
        <w:tc>
          <w:tcPr>
            <w:tcW w:w="3880" w:type="dxa"/>
            <w:vAlign w:val="bottom"/>
          </w:tcPr>
          <w:p>
            <w:pPr>
              <w:jc w:val="right"/>
              <w:ind w:right="1390"/>
              <w:spacing w:after="0"/>
              <w:rPr>
                <w:sz w:val="20"/>
                <w:szCs w:val="20"/>
                <w:color w:val="auto"/>
              </w:rPr>
            </w:pPr>
            <w:r>
              <w:rPr>
                <w:rFonts w:ascii="Arial" w:cs="Arial" w:eastAsia="Arial" w:hAnsi="Arial"/>
                <w:sz w:val="18"/>
                <w:szCs w:val="18"/>
                <w:color w:val="auto"/>
              </w:rPr>
              <w:t>198,583,771</w:t>
            </w:r>
          </w:p>
        </w:tc>
        <w:tc>
          <w:tcPr>
            <w:tcW w:w="340" w:type="dxa"/>
            <w:vAlign w:val="bottom"/>
          </w:tcPr>
          <w:p>
            <w:pPr>
              <w:spacing w:after="0"/>
              <w:rPr>
                <w:sz w:val="19"/>
                <w:szCs w:val="19"/>
                <w:color w:val="auto"/>
              </w:rPr>
            </w:pPr>
          </w:p>
        </w:tc>
        <w:tc>
          <w:tcPr>
            <w:tcW w:w="2960" w:type="dxa"/>
            <w:vAlign w:val="bottom"/>
          </w:tcPr>
          <w:p>
            <w:pPr>
              <w:jc w:val="right"/>
              <w:ind w:right="1030"/>
              <w:spacing w:after="0"/>
              <w:rPr>
                <w:sz w:val="20"/>
                <w:szCs w:val="20"/>
                <w:color w:val="auto"/>
              </w:rPr>
            </w:pPr>
            <w:r>
              <w:rPr>
                <w:rFonts w:ascii="Arial" w:cs="Arial" w:eastAsia="Arial" w:hAnsi="Arial"/>
                <w:sz w:val="18"/>
                <w:szCs w:val="18"/>
                <w:color w:val="auto"/>
              </w:rPr>
              <w:t>4,209,710</w:t>
            </w:r>
          </w:p>
        </w:tc>
      </w:tr>
      <w:tr>
        <w:trPr>
          <w:trHeight w:val="404"/>
        </w:trPr>
        <w:tc>
          <w:tcPr>
            <w:tcW w:w="3900" w:type="dxa"/>
            <w:vAlign w:val="bottom"/>
          </w:tcPr>
          <w:p>
            <w:pPr>
              <w:spacing w:after="0"/>
              <w:rPr>
                <w:sz w:val="24"/>
                <w:szCs w:val="24"/>
                <w:color w:val="auto"/>
              </w:rPr>
            </w:pPr>
          </w:p>
        </w:tc>
        <w:tc>
          <w:tcPr>
            <w:tcW w:w="4220" w:type="dxa"/>
            <w:vAlign w:val="bottom"/>
            <w:gridSpan w:val="2"/>
          </w:tcPr>
          <w:p>
            <w:pPr>
              <w:ind w:left="172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26"/>
        </w:trPr>
        <w:tc>
          <w:tcPr>
            <w:tcW w:w="3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00" w:type="dxa"/>
            <w:vAlign w:val="bottom"/>
          </w:tcPr>
          <w:p>
            <w:pPr>
              <w:spacing w:after="0"/>
              <w:rPr>
                <w:sz w:val="17"/>
                <w:szCs w:val="17"/>
                <w:color w:val="auto"/>
              </w:rPr>
            </w:pPr>
          </w:p>
        </w:tc>
      </w:tr>
      <w:tr>
        <w:trPr>
          <w:trHeight w:val="5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427"/>
        </w:trPr>
        <w:tc>
          <w:tcPr>
            <w:tcW w:w="64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r>
      <w:tr>
        <w:trPr>
          <w:trHeight w:val="234"/>
        </w:trPr>
        <w:tc>
          <w:tcPr>
            <w:tcW w:w="6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No.</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rPr>
              <w:t>Description</w:t>
            </w:r>
          </w:p>
        </w:tc>
      </w:tr>
      <w:tr>
        <w:trPr>
          <w:trHeight w:val="209"/>
        </w:trPr>
        <w:tc>
          <w:tcPr>
            <w:tcW w:w="6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w w:val="90"/>
              </w:rPr>
              <w:t>Employment Agreement between the Company and David A. Aardsma, dated as of June 16, 2005 (Incorporated by</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 of the Form 8-K dated June 16, 2005).</w:t>
            </w:r>
          </w:p>
        </w:tc>
      </w:tr>
      <w:tr>
        <w:trPr>
          <w:trHeight w:val="216"/>
        </w:trPr>
        <w:tc>
          <w:tcPr>
            <w:tcW w:w="6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6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 Pursuant to Rule 15d — 14(a) under the Securities Exchange Act of 1934, as amended, of David P.</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Steiner, Chief Executive Officer.</w:t>
            </w:r>
          </w:p>
        </w:tc>
      </w:tr>
      <w:tr>
        <w:trPr>
          <w:trHeight w:val="216"/>
        </w:trPr>
        <w:tc>
          <w:tcPr>
            <w:tcW w:w="6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Robert G.</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Simpson, Senior Vice President and Chief Financial Officer.</w:t>
            </w:r>
          </w:p>
        </w:tc>
      </w:tr>
      <w:tr>
        <w:trPr>
          <w:trHeight w:val="216"/>
        </w:trPr>
        <w:tc>
          <w:tcPr>
            <w:tcW w:w="6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Certification Pursuant to 18 U.S.C. §1350 of David P. Steiner, Chief Executive Officer.</w:t>
            </w:r>
          </w:p>
        </w:tc>
      </w:tr>
      <w:tr>
        <w:trPr>
          <w:trHeight w:val="216"/>
        </w:trPr>
        <w:tc>
          <w:tcPr>
            <w:tcW w:w="6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w w:val="97"/>
              </w:rPr>
              <w:t>Certification Pursuant to 18 U.S.C. §1350 of Robert G. Simpson, Senior Vice President and Chief Financial</w:t>
            </w:r>
          </w:p>
        </w:tc>
      </w:tr>
      <w:tr>
        <w:trPr>
          <w:trHeight w:val="230"/>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Officer.</w:t>
            </w:r>
          </w:p>
        </w:tc>
      </w:tr>
      <w:tr>
        <w:trPr>
          <w:trHeight w:val="405"/>
        </w:trPr>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0" w:type="dxa"/>
            <w:vAlign w:val="bottom"/>
            <w:gridSpan w:val="2"/>
          </w:tcPr>
          <w:p>
            <w:pPr>
              <w:ind w:left="2800"/>
              <w:spacing w:after="0"/>
              <w:rPr>
                <w:sz w:val="20"/>
                <w:szCs w:val="20"/>
                <w:color w:val="auto"/>
              </w:rPr>
            </w:pPr>
            <w:r>
              <w:rPr>
                <w:rFonts w:ascii="Arial" w:cs="Arial" w:eastAsia="Arial" w:hAnsi="Arial"/>
                <w:sz w:val="18"/>
                <w:szCs w:val="18"/>
                <w:color w:val="auto"/>
              </w:rPr>
              <w:t>53</w:t>
            </w:r>
          </w:p>
        </w:tc>
      </w:tr>
      <w:tr>
        <w:trPr>
          <w:trHeight w:val="226"/>
        </w:trPr>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ASTE</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G. S</w:t>
      </w:r>
      <w:r>
        <w:rPr>
          <w:rFonts w:ascii="Arial" w:cs="Arial" w:eastAsia="Arial" w:hAnsi="Arial"/>
          <w:sz w:val="12"/>
          <w:szCs w:val="12"/>
          <w:color w:val="auto"/>
        </w:rPr>
        <w:t>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ASTE</w:t>
      </w:r>
      <w:r>
        <w:rPr>
          <w:rFonts w:ascii="Arial" w:cs="Arial" w:eastAsia="Arial" w:hAnsi="Arial"/>
          <w:sz w:val="18"/>
          <w:szCs w:val="18"/>
          <w:color w:val="auto"/>
        </w:rPr>
        <w:t xml:space="preserve"> M</w:t>
      </w:r>
      <w:r>
        <w:rPr>
          <w:rFonts w:ascii="Arial" w:cs="Arial" w:eastAsia="Arial" w:hAnsi="Arial"/>
          <w:sz w:val="12"/>
          <w:szCs w:val="12"/>
          <w:color w:val="auto"/>
        </w:rPr>
        <w:t>ANAGEMENT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w:t>
      </w:r>
      <w:r>
        <w:rPr>
          <w:rFonts w:ascii="Arial" w:cs="Arial" w:eastAsia="Arial" w:hAnsi="Arial"/>
          <w:sz w:val="12"/>
          <w:szCs w:val="12"/>
          <w:color w:val="auto"/>
        </w:rPr>
        <w:t>REG</w:t>
      </w:r>
      <w:r>
        <w:rPr>
          <w:rFonts w:ascii="Arial" w:cs="Arial" w:eastAsia="Arial" w:hAnsi="Arial"/>
          <w:sz w:val="18"/>
          <w:szCs w:val="18"/>
          <w:color w:val="auto"/>
        </w:rPr>
        <w:t xml:space="preserve"> A. R</w:t>
      </w:r>
      <w:r>
        <w:rPr>
          <w:rFonts w:ascii="Arial" w:cs="Arial" w:eastAsia="Arial" w:hAnsi="Arial"/>
          <w:sz w:val="12"/>
          <w:szCs w:val="12"/>
          <w:color w:val="auto"/>
        </w:rPr>
        <w:t>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Greg A. Robertson</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2005</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8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gridSpan w:val="2"/>
            <w:vMerge w:val="restart"/>
          </w:tcPr>
          <w:p>
            <w:pPr>
              <w:jc w:val="center"/>
              <w:ind w:right="190"/>
              <w:spacing w:after="0"/>
              <w:rPr>
                <w:sz w:val="20"/>
                <w:szCs w:val="20"/>
                <w:color w:val="auto"/>
              </w:rPr>
            </w:pPr>
            <w:r>
              <w:rPr>
                <w:rFonts w:ascii="Arial" w:cs="Arial" w:eastAsia="Arial" w:hAnsi="Arial"/>
                <w:sz w:val="18"/>
                <w:szCs w:val="18"/>
                <w:b w:val="1"/>
                <w:bCs w:val="1"/>
                <w:color w:val="auto"/>
                <w:w w:val="96"/>
              </w:rPr>
              <w:t>Exhibit</w:t>
            </w:r>
          </w:p>
        </w:tc>
        <w:tc>
          <w:tcPr>
            <w:tcW w:w="480" w:type="dxa"/>
            <w:vAlign w:val="bottom"/>
            <w:vMerge w:val="restart"/>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ind w:left="17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89"/>
              </w:rPr>
              <w:t>No.</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Pr>
          <w:p>
            <w:pPr>
              <w:ind w:left="37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w w:val="71"/>
              </w:rPr>
              <w:t>10.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3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Employment Agreement between the Company and David A. Aardsma, dated as of June 16, 2005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 of the Form 8-K dated June 16, 2005).</w:t>
            </w:r>
          </w:p>
        </w:tc>
        <w:tc>
          <w:tcPr>
            <w:tcW w:w="0" w:type="dxa"/>
            <w:vAlign w:val="bottom"/>
          </w:tcPr>
          <w:p>
            <w:pPr>
              <w:spacing w:after="0"/>
              <w:rPr>
                <w:sz w:val="1"/>
                <w:szCs w:val="1"/>
                <w:color w:val="auto"/>
              </w:rPr>
            </w:pPr>
          </w:p>
        </w:tc>
      </w:tr>
      <w:tr>
        <w:trPr>
          <w:trHeight w:val="216"/>
        </w:trPr>
        <w:tc>
          <w:tcPr>
            <w:tcW w:w="1080" w:type="dxa"/>
            <w:vAlign w:val="bottom"/>
            <w:gridSpan w:val="2"/>
          </w:tcPr>
          <w:p>
            <w:pPr>
              <w:ind w:left="900"/>
              <w:spacing w:after="0"/>
              <w:rPr>
                <w:sz w:val="20"/>
                <w:szCs w:val="20"/>
                <w:color w:val="auto"/>
              </w:rPr>
            </w:pPr>
            <w:r>
              <w:rPr>
                <w:rFonts w:ascii="Arial" w:cs="Arial" w:eastAsia="Arial" w:hAnsi="Arial"/>
                <w:sz w:val="18"/>
                <w:szCs w:val="18"/>
                <w:color w:val="auto"/>
                <w:w w:val="79"/>
              </w:rPr>
              <w:t>12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 Pursuant to Rule 15d — 14(a) under the Securities Exchange Act of 1934, as amended, of David 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Steiner, Chief Executive Officer.</w:t>
            </w:r>
          </w:p>
        </w:tc>
        <w:tc>
          <w:tcPr>
            <w:tcW w:w="0" w:type="dxa"/>
            <w:vAlign w:val="bottom"/>
          </w:tcPr>
          <w:p>
            <w:pPr>
              <w:spacing w:after="0"/>
              <w:rPr>
                <w:sz w:val="1"/>
                <w:szCs w:val="1"/>
                <w:color w:val="auto"/>
              </w:rPr>
            </w:pP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w w:val="91"/>
              </w:rPr>
              <w:t>Certification Pursuant to Rule 15d — 14(a) under the Securities Exchange Act of 1934, as amended, of Robert 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Simpson, Senior Vice President and Chief Financial Officer.</w:t>
            </w:r>
          </w:p>
        </w:tc>
        <w:tc>
          <w:tcPr>
            <w:tcW w:w="0" w:type="dxa"/>
            <w:vAlign w:val="bottom"/>
          </w:tcPr>
          <w:p>
            <w:pPr>
              <w:spacing w:after="0"/>
              <w:rPr>
                <w:sz w:val="1"/>
                <w:szCs w:val="1"/>
                <w:color w:val="auto"/>
              </w:rPr>
            </w:pP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Certification Pursuant to 18 U.S.C. §1350 of David P. Steiner, Chief Executive Officer.</w:t>
            </w:r>
          </w:p>
        </w:tc>
        <w:tc>
          <w:tcPr>
            <w:tcW w:w="0" w:type="dxa"/>
            <w:vAlign w:val="bottom"/>
          </w:tcPr>
          <w:p>
            <w:pPr>
              <w:spacing w:after="0"/>
              <w:rPr>
                <w:sz w:val="1"/>
                <w:szCs w:val="1"/>
                <w:color w:val="auto"/>
              </w:rPr>
            </w:pPr>
          </w:p>
        </w:tc>
      </w:tr>
      <w:tr>
        <w:trPr>
          <w:trHeight w:val="216"/>
        </w:trPr>
        <w:tc>
          <w:tcPr>
            <w:tcW w:w="1360" w:type="dxa"/>
            <w:vAlign w:val="bottom"/>
            <w:gridSpan w:val="3"/>
          </w:tcPr>
          <w:p>
            <w:pPr>
              <w:ind w:left="900"/>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18"/>
                <w:szCs w:val="18"/>
                <w:color w:val="auto"/>
              </w:rPr>
            </w:pPr>
          </w:p>
        </w:tc>
        <w:tc>
          <w:tcPr>
            <w:tcW w:w="980" w:type="dxa"/>
            <w:vAlign w:val="bottom"/>
          </w:tcPr>
          <w:p>
            <w:pPr>
              <w:ind w:left="500"/>
              <w:spacing w:after="0"/>
              <w:rPr>
                <w:sz w:val="20"/>
                <w:szCs w:val="20"/>
                <w:color w:val="auto"/>
              </w:rPr>
            </w:pPr>
            <w:r>
              <w:rPr>
                <w:rFonts w:ascii="Arial" w:cs="Arial" w:eastAsia="Arial" w:hAnsi="Arial"/>
                <w:sz w:val="18"/>
                <w:szCs w:val="18"/>
                <w:color w:val="auto"/>
              </w:rPr>
              <w:t>—</w:t>
            </w: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w w:val="97"/>
              </w:rPr>
              <w:t>Certification Pursuant to 18 U.S.C. §1350 of Robert G. Simpson, Senior Vice President and Chief Financial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0" w:type="dxa"/>
            <w:vAlign w:val="bottom"/>
            <w:gridSpan w:val="2"/>
          </w:tcPr>
          <w:p>
            <w:pPr>
              <w:ind w:left="3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12</w:t>
      </w:r>
    </w:p>
    <w:p>
      <w:pPr>
        <w:spacing w:after="0" w:line="32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WASTE MANAGEMENT, INC.</w:t>
      </w:r>
    </w:p>
    <w:p>
      <w:pPr>
        <w:spacing w:after="0" w:line="333"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jc w:val="center"/>
        <w:ind w:left="7200"/>
        <w:spacing w:after="0"/>
        <w:rPr>
          <w:sz w:val="20"/>
          <w:szCs w:val="20"/>
          <w:color w:val="auto"/>
        </w:rPr>
      </w:pPr>
      <w:r>
        <w:rPr>
          <w:rFonts w:ascii="Arial" w:cs="Arial" w:eastAsia="Arial" w:hAnsi="Arial"/>
          <w:sz w:val="14"/>
          <w:szCs w:val="14"/>
          <w:color w:val="auto"/>
        </w:rPr>
        <w:t>Six Months Ended</w:t>
      </w:r>
    </w:p>
    <w:p>
      <w:pPr>
        <w:jc w:val="center"/>
        <w:ind w:left="720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2005</w:t>
            </w: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2004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before income taxes, cumulative</w:t>
            </w:r>
          </w:p>
        </w:tc>
        <w:tc>
          <w:tcPr>
            <w:tcW w:w="20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changes in accounting principles,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in equity investments and</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2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Implicit interest in rents</w:t>
            </w: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600"/>
              <w:spacing w:after="0"/>
              <w:rPr>
                <w:sz w:val="20"/>
                <w:szCs w:val="20"/>
                <w:color w:val="auto"/>
              </w:rPr>
            </w:pPr>
            <w:r>
              <w:rPr>
                <w:rFonts w:ascii="Arial" w:cs="Arial" w:eastAsia="Arial" w:hAnsi="Arial"/>
                <w:sz w:val="18"/>
                <w:szCs w:val="18"/>
                <w:color w:val="auto"/>
              </w:rPr>
              <w:t>Earnings available for fixed charges</w:t>
            </w:r>
          </w:p>
        </w:tc>
        <w:tc>
          <w:tcPr>
            <w:tcW w:w="20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6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Capitalized interest</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2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600"/>
              <w:spacing w:after="0"/>
              <w:rPr>
                <w:sz w:val="20"/>
                <w:szCs w:val="20"/>
                <w:color w:val="auto"/>
              </w:rPr>
            </w:pPr>
            <w:r>
              <w:rPr>
                <w:rFonts w:ascii="Arial" w:cs="Arial" w:eastAsia="Arial" w:hAnsi="Arial"/>
                <w:sz w:val="18"/>
                <w:szCs w:val="18"/>
                <w:color w:val="auto"/>
              </w:rPr>
              <w:t>Total fixed charges</w:t>
            </w:r>
          </w:p>
        </w:tc>
        <w:tc>
          <w:tcPr>
            <w:tcW w:w="20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Ratio of earnings to fixed charges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 x</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 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80"/>
          </w:cols>
          <w:pgMar w:left="1380" w:top="93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660" w:hanging="43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00" w:hanging="436"/>
        <w:spacing w:after="0" w:line="29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 15d</w:t>
      </w:r>
    </w:p>
    <w:p>
      <w:pPr>
        <w:ind w:left="660"/>
        <w:spacing w:after="0"/>
        <w:rPr>
          <w:rFonts w:ascii="Arial" w:cs="Arial" w:eastAsia="Arial" w:hAnsi="Arial"/>
          <w:sz w:val="16"/>
          <w:szCs w:val="16"/>
          <w:color w:val="auto"/>
        </w:rPr>
      </w:pPr>
      <w:r>
        <w:rPr>
          <w:rFonts w:ascii="Arial" w:cs="Arial" w:eastAsia="Arial" w:hAnsi="Arial"/>
          <w:sz w:val="18"/>
          <w:szCs w:val="18"/>
          <w:color w:val="auto"/>
        </w:rPr>
        <w:t>– 15 (f))for the registrant and have:</w:t>
      </w:r>
    </w:p>
    <w:p>
      <w:pPr>
        <w:spacing w:after="0" w:line="102" w:lineRule="exact"/>
        <w:rPr>
          <w:rFonts w:ascii="Arial" w:cs="Arial" w:eastAsia="Arial" w:hAnsi="Arial"/>
          <w:sz w:val="16"/>
          <w:szCs w:val="16"/>
          <w:color w:val="auto"/>
        </w:rPr>
      </w:pPr>
    </w:p>
    <w:p>
      <w:pPr>
        <w:ind w:left="1480" w:right="120" w:hanging="446"/>
        <w:spacing w:after="0" w:line="264" w:lineRule="auto"/>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446"/>
        <w:spacing w:after="0" w:line="264" w:lineRule="auto"/>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446"/>
        <w:spacing w:after="0" w:line="342" w:lineRule="auto"/>
        <w:tabs>
          <w:tab w:leader="none" w:pos="1480" w:val="left"/>
        </w:tabs>
        <w:numPr>
          <w:ilvl w:val="2"/>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160" w:hanging="446"/>
        <w:spacing w:after="0" w:line="264" w:lineRule="auto"/>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480" w:right="440" w:hanging="446"/>
        <w:spacing w:after="0" w:line="342" w:lineRule="auto"/>
        <w:tabs>
          <w:tab w:leader="none" w:pos="1480" w:val="left"/>
        </w:tabs>
        <w:numPr>
          <w:ilvl w:val="2"/>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200" w:hanging="446"/>
        <w:spacing w:after="0" w:line="277" w:lineRule="auto"/>
        <w:tabs>
          <w:tab w:leader="none" w:pos="14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2005</w:t>
      </w:r>
    </w:p>
    <w:p>
      <w:pPr>
        <w:spacing w:after="0" w:line="225"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9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G. Simpson, certify that:</w:t>
      </w:r>
    </w:p>
    <w:p>
      <w:pPr>
        <w:spacing w:after="0" w:line="117" w:lineRule="exact"/>
        <w:rPr>
          <w:sz w:val="20"/>
          <w:szCs w:val="20"/>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00" w:hanging="436"/>
        <w:spacing w:after="0" w:line="29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 15d</w:t>
      </w:r>
    </w:p>
    <w:p>
      <w:pPr>
        <w:ind w:left="660"/>
        <w:spacing w:after="0"/>
        <w:rPr>
          <w:rFonts w:ascii="Arial" w:cs="Arial" w:eastAsia="Arial" w:hAnsi="Arial"/>
          <w:sz w:val="16"/>
          <w:szCs w:val="16"/>
          <w:color w:val="auto"/>
        </w:rPr>
      </w:pPr>
      <w:r>
        <w:rPr>
          <w:rFonts w:ascii="Arial" w:cs="Arial" w:eastAsia="Arial" w:hAnsi="Arial"/>
          <w:sz w:val="18"/>
          <w:szCs w:val="18"/>
          <w:color w:val="auto"/>
        </w:rPr>
        <w:t>– 15 (f)) for the registrant and have:</w:t>
      </w:r>
    </w:p>
    <w:p>
      <w:pPr>
        <w:spacing w:after="0" w:line="102" w:lineRule="exact"/>
        <w:rPr>
          <w:rFonts w:ascii="Arial" w:cs="Arial" w:eastAsia="Arial" w:hAnsi="Arial"/>
          <w:sz w:val="16"/>
          <w:szCs w:val="16"/>
          <w:color w:val="auto"/>
        </w:rPr>
      </w:pPr>
    </w:p>
    <w:p>
      <w:pPr>
        <w:ind w:left="1480" w:right="120" w:hanging="446"/>
        <w:spacing w:after="0" w:line="264" w:lineRule="auto"/>
        <w:tabs>
          <w:tab w:leader="none" w:pos="14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446"/>
        <w:spacing w:after="0" w:line="264" w:lineRule="auto"/>
        <w:tabs>
          <w:tab w:leader="none" w:pos="14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446"/>
        <w:spacing w:after="0" w:line="342" w:lineRule="auto"/>
        <w:tabs>
          <w:tab w:leader="none" w:pos="1480" w:val="left"/>
        </w:tabs>
        <w:numPr>
          <w:ilvl w:val="2"/>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160" w:hanging="446"/>
        <w:spacing w:after="0" w:line="264" w:lineRule="auto"/>
        <w:tabs>
          <w:tab w:leader="none" w:pos="14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480" w:right="440" w:hanging="446"/>
        <w:spacing w:after="0" w:line="342" w:lineRule="auto"/>
        <w:tabs>
          <w:tab w:leader="none" w:pos="1480" w:val="left"/>
        </w:tabs>
        <w:numPr>
          <w:ilvl w:val="2"/>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200" w:hanging="446"/>
        <w:spacing w:after="0" w:line="277" w:lineRule="auto"/>
        <w:tabs>
          <w:tab w:leader="none" w:pos="14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2005</w:t>
      </w:r>
    </w:p>
    <w:p>
      <w:pPr>
        <w:spacing w:after="0" w:line="225"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15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2005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480" w:hanging="247"/>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1697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July 28, 2005</w:t>
      </w:r>
    </w:p>
    <w:p>
      <w:pPr>
        <w:sectPr>
          <w:pgSz w:w="11900" w:h="16838" w:orient="portrait"/>
          <w:cols w:equalWidth="0" w:num="1">
            <w:col w:w="11420"/>
          </w:cols>
          <w:pgMar w:left="240" w:top="93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2005 as filed with the Securities and Exchange Commission on the date hereof (the “Report”), I, Robert G. Simpson, Chief Financial Officer of the Company, certify, pursuant to 18 U.S.C. § 1350, as adopted pursuant to § 906 of the Sarbanes-Oxley Act of 2002, that:</w:t>
      </w:r>
    </w:p>
    <w:p>
      <w:pPr>
        <w:spacing w:after="0" w:line="73" w:lineRule="exact"/>
        <w:rPr>
          <w:sz w:val="20"/>
          <w:szCs w:val="20"/>
          <w:color w:val="auto"/>
        </w:rPr>
      </w:pPr>
    </w:p>
    <w:p>
      <w:pPr>
        <w:ind w:left="480" w:hanging="247"/>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1697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July 28, 2005</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3"/>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decimal"/>
      <w:start w:val="4"/>
    </w:lvl>
  </w:abstractNum>
  <w:abstractNum w:abstractNumId="11">
    <w:nsid w:val="189A769B"/>
    <w:multiLevelType w:val="hybridMultilevel"/>
    <w:lvl w:ilvl="0">
      <w:lvlJc w:val="left"/>
      <w:lvlText w:val="(%1)"/>
      <w:numFmt w:val="lowerRoman"/>
      <w:start w:val="3"/>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decimal"/>
      <w:start w:val="5"/>
    </w:lvl>
  </w:abstractNum>
  <w:abstractNum w:abstractNumId="14">
    <w:nsid w:val="2CA88611"/>
    <w:multiLevelType w:val="hybridMultilevel"/>
    <w:lvl w:ilvl="0">
      <w:lvlJc w:val="left"/>
      <w:lvlText w:val="%1."/>
      <w:numFmt w:val="decimal"/>
      <w:start w:val="6"/>
    </w:lvl>
  </w:abstractNum>
  <w:abstractNum w:abstractNumId="15">
    <w:nsid w:val="836C40E"/>
    <w:multiLevelType w:val="hybridMultilevel"/>
    <w:lvl w:ilvl="0">
      <w:lvlJc w:val="left"/>
      <w:lvlText w:val="%1."/>
      <w:numFmt w:val="decimal"/>
      <w:start w:val="7"/>
    </w:lvl>
  </w:abstractNum>
  <w:abstractNum w:abstractNumId="16">
    <w:nsid w:val="2901D82"/>
    <w:multiLevelType w:val="hybridMultilevel"/>
    <w:lvl w:ilvl="0">
      <w:lvlJc w:val="left"/>
      <w:lvlText w:val="%1."/>
      <w:numFmt w:val="decimal"/>
      <w:start w:val="8"/>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9"/>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5"/>
    </w:lvl>
  </w:abstractNum>
  <w:abstractNum w:abstractNumId="22">
    <w:nsid w:val="6CEAF087"/>
    <w:multiLevelType w:val="hybridMultilevel"/>
    <w:lvl w:ilvl="0">
      <w:lvlJc w:val="left"/>
      <w:lvlText w:val="%1"/>
      <w:numFmt w:val="decimal"/>
      <w:start w:val="1"/>
    </w:lvl>
    <w:lvl w:ilvl="1">
      <w:lvlJc w:val="left"/>
      <w:lvlText w:val="%2)"/>
      <w:numFmt w:val="lowerLetter"/>
      <w:start w:val="1"/>
    </w:lvl>
  </w:abstractNum>
  <w:abstractNum w:abstractNumId="23">
    <w:nsid w:val="22221A70"/>
    <w:multiLevelType w:val="hybridMultilevel"/>
    <w:lvl w:ilvl="0">
      <w:lvlJc w:val="left"/>
      <w:lvlText w:val="%1."/>
      <w:numFmt w:val="decimal"/>
      <w:start w:val="10"/>
    </w:lvl>
    <w:lvl w:ilvl="1">
      <w:lvlJc w:val="left"/>
      <w:lvlText w:val="%2"/>
      <w:numFmt w:val="lowerLetter"/>
      <w:start w:val="1"/>
    </w:lvl>
  </w:abstractNum>
  <w:abstractNum w:abstractNumId="24">
    <w:nsid w:val="4516DDE9"/>
    <w:multiLevelType w:val="hybridMultilevel"/>
    <w:lvl w:ilvl="0">
      <w:lvlJc w:val="left"/>
      <w:lvlText w:val="%1."/>
      <w:numFmt w:val="decimal"/>
      <w:start w:val="12"/>
    </w:lvl>
  </w:abstractNum>
  <w:abstractNum w:abstractNumId="25">
    <w:nsid w:val="3006C83E"/>
    <w:multiLevelType w:val="hybridMultilevel"/>
    <w:lvl w:ilvl="0">
      <w:lvlJc w:val="left"/>
      <w:lvlText w:val="%1."/>
      <w:numFmt w:val="decimal"/>
      <w:start w:val="13"/>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lowerRoman"/>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lowerRoman"/>
      <w:start w:val="5"/>
    </w:lvl>
  </w:abstractNum>
  <w:abstractNum w:abstractNumId="31">
    <w:nsid w:val="3804823E"/>
    <w:multiLevelType w:val="hybridMultilevel"/>
    <w:lvl w:ilvl="0">
      <w:lvlJc w:val="left"/>
      <w:lvlText w:val="(%1)"/>
      <w:numFmt w:val="lowerRoman"/>
      <w:start w:val="2"/>
    </w:lvl>
  </w:abstractNum>
  <w:abstractNum w:abstractNumId="32">
    <w:nsid w:val="77465F01"/>
    <w:multiLevelType w:val="hybridMultilevel"/>
    <w:lvl w:ilvl="0">
      <w:lvlJc w:val="left"/>
      <w:lvlText w:val="(%1)"/>
      <w:numFmt w:val="lowerRoman"/>
      <w:start w:val="2"/>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lowerRoman"/>
      <w:start w:val="4"/>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endash "/>
      <w:numFmt w:val="bullet"/>
      <w:start w:val="1"/>
    </w:lvl>
    <w:lvl w:ilvl="2">
      <w:lvlJc w:val="left"/>
      <w:lvlText w:val="%3."/>
      <w:numFmt w:val="lowerLetter"/>
      <w:start w:val="1"/>
    </w:lvl>
  </w:abstractNum>
  <w:abstractNum w:abstractNumId="38">
    <w:nsid w:val="2D517796"/>
    <w:multiLevelType w:val="hybridMultilevel"/>
    <w:lvl w:ilvl="0">
      <w:lvlJc w:val="left"/>
      <w:lvlText w:val="%1."/>
      <w:numFmt w:val="decimal"/>
      <w:start w:val="1"/>
    </w:lvl>
    <w:lvl w:ilvl="1">
      <w:lvlJc w:val="left"/>
      <w:lvlText w:val="\endash "/>
      <w:numFmt w:val="bullet"/>
      <w:start w:val="1"/>
    </w:lvl>
    <w:lvl w:ilvl="2">
      <w:lvlJc w:val="left"/>
      <w:lvlText w:val="%3."/>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2019-12-20T03:52:43Z</dcterms:created>
  <dcterms:modified xsi:type="dcterms:W3CDTF">2019-12-20T03:52:43Z</dcterms:modified>
</cp:coreProperties>
</file>