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2013,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31500809. To access a replay telephonically, please dial (855) 859-2056 and use the replay conference ID number 31500809.</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non-GAAP measures and reconciliations to the most comparable GAAP measures in the footnote and schedules to the press release.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18, 2014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 w:leader="none" w:pos="6620" w:val="left"/>
        </w:tabs>
        <w:rPr>
          <w:sz w:val="20"/>
          <w:szCs w:val="20"/>
          <w:color w:val="auto"/>
        </w:rPr>
      </w:pPr>
      <w:r>
        <w:rPr>
          <w:rFonts w:ascii="Arial" w:cs="Arial" w:eastAsia="Arial" w:hAnsi="Arial"/>
          <w:sz w:val="18"/>
          <w:szCs w:val="18"/>
          <w:color w:val="auto"/>
        </w:rPr>
        <w:t>Date: February 18,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2014</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Waste Management Announces Fourth Quarter and Full-Year 2013 Earnings</w:t>
      </w: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Company sees strong cash generation in 2013 and expects continued strength in 2014</w:t>
      </w:r>
    </w:p>
    <w:p>
      <w:pPr>
        <w:spacing w:after="0" w:line="2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HOUSTON — February 18, 2014 </w:t>
      </w:r>
      <w:r>
        <w:rPr>
          <w:rFonts w:ascii="Arial" w:cs="Arial" w:eastAsia="Arial" w:hAnsi="Arial"/>
          <w:sz w:val="18"/>
          <w:szCs w:val="18"/>
          <w:color w:val="auto"/>
        </w:rPr>
        <w:t>— Waste Management, Inc. (NYSE: WM)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fourth quarter and for the year ended December 31, 2013. Revenues for the fourth quarter of 2013 were $3.50 billion compared with $3.43 billion for the same 2012 period. Net loss </w:t>
      </w:r>
      <w:r>
        <w:rPr>
          <w:rFonts w:ascii="Arial" w:cs="Arial" w:eastAsia="Arial" w:hAnsi="Arial"/>
          <w:sz w:val="15"/>
          <w:szCs w:val="15"/>
          <w:color w:val="auto"/>
        </w:rPr>
        <w:t>(a)</w:t>
      </w:r>
      <w:r>
        <w:rPr>
          <w:rFonts w:ascii="Arial" w:cs="Arial" w:eastAsia="Arial" w:hAnsi="Arial"/>
          <w:sz w:val="18"/>
          <w:szCs w:val="18"/>
          <w:color w:val="auto"/>
        </w:rPr>
        <w:t xml:space="preserve"> for the quarter was $605 million, or a negative $1.29 per diluted share, compared with net income of $224 million, or $0.48 per diluted share, for the fourth quarter of 2012. Adjusting for certain items discussed below, net income would have been $263 million, or $0.56 per diluted share, in the fourth quarter of 2013 compared with $267 million, or $0.57 per diluted share, in the fourth quarter of 2012.</w:t>
      </w:r>
      <w:r>
        <w:rPr>
          <w:rFonts w:ascii="Arial" w:cs="Arial" w:eastAsia="Arial" w:hAnsi="Arial"/>
          <w:sz w:val="15"/>
          <w:szCs w:val="15"/>
          <w:color w:val="auto"/>
        </w:rPr>
        <w:t>(b)</w:t>
      </w:r>
    </w:p>
    <w:p>
      <w:pPr>
        <w:spacing w:after="0" w:line="2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full year 2013, the Company reported revenues of $13.98 billion compared with $13.65 billion for 2012. Earnings per diluted share were $0.21 for the full year 2013 compared with $1.76 for the full year 2012. On an as-adjusted basis, excluding certain items, earnings per diluted share were $2.15 for the full-year 2013 versus $2.08 for the full-year 2012.</w:t>
      </w:r>
      <w:r>
        <w:rPr>
          <w:rFonts w:ascii="Arial" w:cs="Arial" w:eastAsia="Arial" w:hAnsi="Arial"/>
          <w:sz w:val="15"/>
          <w:szCs w:val="15"/>
          <w:color w:val="auto"/>
        </w:rPr>
        <w:t>(b)</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built strong momentum during the first three quarters of 2013, and that momentum continued into the fourth quarter, with our traditional solid waste business growing both adjusted income from operations margin and adjusted operating EBITDA margins by 150 basis points,”</w:t>
      </w:r>
      <w:r>
        <w:rPr>
          <w:rFonts w:ascii="Arial" w:cs="Arial" w:eastAsia="Arial" w:hAnsi="Arial"/>
          <w:sz w:val="15"/>
          <w:szCs w:val="15"/>
          <w:color w:val="auto"/>
        </w:rPr>
        <w:t>(b)</w:t>
      </w:r>
      <w:r>
        <w:rPr>
          <w:rFonts w:ascii="Arial" w:cs="Arial" w:eastAsia="Arial" w:hAnsi="Arial"/>
          <w:sz w:val="18"/>
          <w:szCs w:val="18"/>
          <w:color w:val="auto"/>
        </w:rPr>
        <w:t xml:space="preserve"> said David P. Steiner, President and Chief Executive Officer of Waste Management.</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the fourth quarter, however, we had a year-over-year increase of $0.09 per share from accruals related to incentive compensation and risk management. Absent this, our strong year-over-year earnings momentum would have continued in the quarter. And our momentum continued into 2014, with preliminary January results showing year-over-year income from operations increasing 12% and income from operations margin growing about 110 basis points compared to January 2013.” </w:t>
      </w:r>
      <w:r>
        <w:rPr>
          <w:rFonts w:ascii="Arial" w:cs="Arial" w:eastAsia="Arial" w:hAnsi="Arial"/>
          <w:sz w:val="15"/>
          <w:szCs w:val="15"/>
          <w:color w:val="auto"/>
        </w:rPr>
        <w:t>(c)</w:t>
      </w:r>
    </w:p>
    <w:p>
      <w:pPr>
        <w:spacing w:after="0" w:line="21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fourth quarter of 2013, as-adjusted results excluded a negative $1.85 per diluted share impact from impairments primarily related to goodwill in the Company’s waste-to-energy business, as well as certain post-collection assets and investments. First, the Company’s 2013 year-end impairment testing resulted in a $483 million impairment charge to its waste-to-energy goodwill, due to the Company’s view that projected long-term energy prices and disposal volumes into the plants will not dramatically improve from current levels. As a result, the projected long-term cash flows from the Company’s waste-to-energy business no longer support the goodwill allocated to that business over 20 years ago, when the waste-to-energy business was acquired.</w:t>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Second, with respect to the Company’s post-collection assets, at year-end the Company completed an asset rationalization analysis and decided to mothball or shut down several post-collection facilities. The Company determined that the current volumes available to these facilities could be handled at other Company locations. If volumes available to the mothballed facilities increase in the future, the Company could re-activate permitting efforts or operations at these facilities.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580" w:space="480"/>
            <w:col w:w="2360"/>
          </w:cols>
          <w:pgMar w:left="240" w:top="121" w:right="239" w:bottom="1440" w:gutter="0" w:footer="0" w:header="0"/>
        </w:sectPr>
      </w:pPr>
    </w:p>
    <w:bookmarkStart w:id="5" w:name="page6"/>
    <w:bookmarkEnd w:id="5"/>
    <w:p>
      <w:pPr>
        <w:ind w:right="155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Steiner continued, “In looking at the full year, we are very pleased with our overall operating results for 2013. At the beginning of the year, we expected to grow earnings and free cash flow, increase yield, and have more discipline around SG&amp;A costs and capital spending. We achieved each of these goals, as we met our adjusted full-year earnings per share and free cash flow targets, despite much stronger than expected headwinds from our recycling and waste-to-energy businesses. We also lowered SG&amp;A costs when compared to 2012. And, our internal revenue growth from yield in the fourth quarter was at its highest level for the year and was greater than 2.0% for the full-year for the first time since 2010.</w:t>
      </w:r>
    </w:p>
    <w:p>
      <w:pPr>
        <w:spacing w:after="0" w:line="216" w:lineRule="exact"/>
        <w:rPr>
          <w:sz w:val="20"/>
          <w:szCs w:val="20"/>
          <w:color w:val="auto"/>
        </w:rPr>
      </w:pPr>
    </w:p>
    <w:p>
      <w:pPr>
        <w:ind w:right="1679"/>
        <w:spacing w:after="0" w:line="302" w:lineRule="auto"/>
        <w:rPr>
          <w:sz w:val="20"/>
          <w:szCs w:val="20"/>
          <w:color w:val="auto"/>
        </w:rPr>
      </w:pPr>
      <w:r>
        <w:rPr>
          <w:rFonts w:ascii="Arial" w:cs="Arial" w:eastAsia="Arial" w:hAnsi="Arial"/>
          <w:sz w:val="16"/>
          <w:szCs w:val="16"/>
          <w:color w:val="auto"/>
        </w:rPr>
        <w:t>“In 2013, we grew net cash provided by operating activities nearly 7%, to $2.46 billion, and free cash flow by 60%, generating $1.32 billion of free cash. We returned $922 million to our shareholders in 2013, an increase of 40% from 2012, through our dividend and common stock repurchases. For 2014, our Board has indicated its intention to increase our dividend by $0.04 to $1.50 per share annually and has authorized $600 million of share repurchases.”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2013 AND THE FULL YEAR 2013</w:t>
      </w:r>
    </w:p>
    <w:p>
      <w:pPr>
        <w:spacing w:after="0" w:line="135" w:lineRule="exact"/>
        <w:rPr>
          <w:sz w:val="20"/>
          <w:szCs w:val="20"/>
          <w:color w:val="auto"/>
        </w:rPr>
      </w:pPr>
    </w:p>
    <w:p>
      <w:pPr>
        <w:ind w:left="720" w:right="1539" w:hanging="352"/>
        <w:spacing w:after="0" w:line="277"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 the fourth quarter increased by 1.9%, or $66 million. For the full year, revenue increased by 2.4%, or $334 million.</w:t>
      </w:r>
    </w:p>
    <w:p>
      <w:pPr>
        <w:spacing w:after="0" w:line="75" w:lineRule="exact"/>
        <w:rPr>
          <w:rFonts w:ascii="Arial" w:cs="Arial" w:eastAsia="Arial" w:hAnsi="Arial"/>
          <w:sz w:val="18"/>
          <w:szCs w:val="18"/>
          <w:color w:val="auto"/>
        </w:rPr>
      </w:pPr>
    </w:p>
    <w:p>
      <w:pPr>
        <w:ind w:left="720" w:right="1599" w:hanging="352"/>
        <w:spacing w:after="0" w:line="277"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2.4% for the fourth quarter and 2.1% for the full year.</w:t>
      </w:r>
    </w:p>
    <w:p>
      <w:pPr>
        <w:spacing w:after="0" w:line="75" w:lineRule="exact"/>
        <w:rPr>
          <w:rFonts w:ascii="Arial" w:cs="Arial" w:eastAsia="Arial" w:hAnsi="Arial"/>
          <w:sz w:val="18"/>
          <w:szCs w:val="18"/>
          <w:color w:val="auto"/>
        </w:rPr>
      </w:pPr>
    </w:p>
    <w:p>
      <w:pPr>
        <w:ind w:left="720" w:right="1659" w:hanging="352"/>
        <w:spacing w:after="0" w:line="264"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increases, which consist of price increases and fees (excluding fuel surcharges), net of rollbacks, were 4.0% for the fourth quarter compared to 2.5% for the fourth quarter of 2012, and were 3.8% for the full year compared to 2.9% for the full year 2012.</w:t>
      </w:r>
    </w:p>
    <w:p>
      <w:pPr>
        <w:spacing w:after="0" w:line="86" w:lineRule="exact"/>
        <w:rPr>
          <w:rFonts w:ascii="Arial" w:cs="Arial" w:eastAsia="Arial" w:hAnsi="Arial"/>
          <w:sz w:val="18"/>
          <w:szCs w:val="18"/>
          <w:color w:val="auto"/>
        </w:rPr>
      </w:pPr>
    </w:p>
    <w:p>
      <w:pPr>
        <w:ind w:left="720" w:right="1579" w:hanging="352"/>
        <w:spacing w:after="0" w:line="264"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volume was negative 2.2% for the fourth quarter, or negative 1.5% excluding volumes from Superstorm Sandy in the fourth quarter of 2012. For the full year, internal revenue growth from volume was a negative 1.0%.</w:t>
      </w:r>
    </w:p>
    <w:p>
      <w:pPr>
        <w:spacing w:after="0" w:line="86" w:lineRule="exact"/>
        <w:rPr>
          <w:rFonts w:ascii="Arial" w:cs="Arial" w:eastAsia="Arial" w:hAnsi="Arial"/>
          <w:sz w:val="18"/>
          <w:szCs w:val="18"/>
          <w:color w:val="auto"/>
        </w:rPr>
      </w:pPr>
    </w:p>
    <w:p>
      <w:pPr>
        <w:ind w:left="720" w:right="1539" w:hanging="352"/>
        <w:spacing w:after="0" w:line="259"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Recycling operations negatively affected earnings by $0.03 per diluted share in the fourth quarter when compared to the fourth quarter of 2012. For the full year, recycling operations negatively affected earnings by $0.12 per diluted share when compared to the full year 2012, or $0.10 more than anticipated in the Company’s original earnings guidance.</w:t>
      </w:r>
    </w:p>
    <w:p>
      <w:pPr>
        <w:spacing w:after="0" w:line="92" w:lineRule="exact"/>
        <w:rPr>
          <w:rFonts w:ascii="Arial" w:cs="Arial" w:eastAsia="Arial" w:hAnsi="Arial"/>
          <w:sz w:val="18"/>
          <w:szCs w:val="18"/>
          <w:color w:val="auto"/>
        </w:rPr>
      </w:pPr>
    </w:p>
    <w:p>
      <w:pPr>
        <w:ind w:left="720" w:right="1599" w:hanging="352"/>
        <w:spacing w:after="0" w:line="264"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increased by $43 million in the fourth quarter and $233 million for the full year. In both the fourth quarter and full year, the majority of the increases were for costs associated with operating recently acquired businesses and labor expense increases.</w:t>
      </w:r>
    </w:p>
    <w:p>
      <w:pPr>
        <w:spacing w:after="0" w:line="86" w:lineRule="exact"/>
        <w:rPr>
          <w:rFonts w:ascii="Arial" w:cs="Arial" w:eastAsia="Arial" w:hAnsi="Arial"/>
          <w:sz w:val="18"/>
          <w:szCs w:val="18"/>
          <w:color w:val="auto"/>
        </w:rPr>
      </w:pPr>
    </w:p>
    <w:p>
      <w:pPr>
        <w:ind w:left="720" w:right="1879" w:hanging="352"/>
        <w:spacing w:after="0" w:line="259"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SG&amp;A expenses in the fourth quarter were 10.7% of revenue compared to 10.4% in the prior year period, primarily as a result of incentive compensation accruals. For the full year, SG&amp;A expenses improved to 10.5% of revenue from 10.8% in the prior year, despite an additional $92 million related to incentive compensation accruals.</w:t>
      </w:r>
    </w:p>
    <w:p>
      <w:pPr>
        <w:spacing w:after="0" w:line="92" w:lineRule="exact"/>
        <w:rPr>
          <w:rFonts w:ascii="Arial" w:cs="Arial" w:eastAsia="Arial" w:hAnsi="Arial"/>
          <w:sz w:val="18"/>
          <w:szCs w:val="18"/>
          <w:color w:val="auto"/>
        </w:rPr>
      </w:pPr>
    </w:p>
    <w:p>
      <w:pPr>
        <w:ind w:left="720" w:right="1639" w:hanging="352"/>
        <w:spacing w:after="0" w:line="255" w:lineRule="auto"/>
        <w:tabs>
          <w:tab w:leader="none" w:pos="73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fourth quarter, net cash provided by operating activities was $597 million; capital expenditures were $447 million; and free cash flow was $175 million.</w:t>
      </w:r>
      <w:r>
        <w:rPr>
          <w:rFonts w:ascii="Arial" w:cs="Arial" w:eastAsia="Arial" w:hAnsi="Arial"/>
          <w:sz w:val="15"/>
          <w:szCs w:val="15"/>
          <w:color w:val="auto"/>
        </w:rPr>
        <w:t>(b)</w:t>
      </w:r>
      <w:r>
        <w:rPr>
          <w:rFonts w:ascii="Arial" w:cs="Arial" w:eastAsia="Arial" w:hAnsi="Arial"/>
          <w:sz w:val="18"/>
          <w:szCs w:val="18"/>
          <w:color w:val="auto"/>
        </w:rPr>
        <w:t xml:space="preserve"> For the full year 2013, net cash provided by operating activities was $2.46 billion; capital expenditures were $1.27 billion; and free cash flow was $1.32 billion, or $1.18 billion excluding divestitures.</w:t>
      </w:r>
      <w:r>
        <w:rPr>
          <w:rFonts w:ascii="Arial" w:cs="Arial" w:eastAsia="Arial" w:hAnsi="Arial"/>
          <w:sz w:val="15"/>
          <w:szCs w:val="15"/>
          <w:color w:val="auto"/>
        </w:rPr>
        <w:t>(b)</w:t>
      </w:r>
      <w:r>
        <w:rPr>
          <w:rFonts w:ascii="Arial" w:cs="Arial" w:eastAsia="Arial" w:hAnsi="Arial"/>
          <w:sz w:val="18"/>
          <w:szCs w:val="18"/>
          <w:color w:val="auto"/>
        </w:rPr>
        <w:t xml:space="preserve"> In order to partially offset cash flow headwinds from the expiration of bonus depreciation in 2014, the Company pre-paid $51 million of 2013 earned incentive compensation that would have normally been paid in 2014, which negatively affected free cash flow in 2013, but will improve cash flow in 2014.</w:t>
      </w:r>
    </w:p>
    <w:p>
      <w:pPr>
        <w:spacing w:after="0" w:line="94" w:lineRule="exact"/>
        <w:rPr>
          <w:rFonts w:ascii="Arial" w:cs="Arial" w:eastAsia="Arial" w:hAnsi="Arial"/>
          <w:sz w:val="18"/>
          <w:szCs w:val="18"/>
          <w:color w:val="auto"/>
        </w:rPr>
      </w:pPr>
    </w:p>
    <w:p>
      <w:pPr>
        <w:ind w:left="720" w:right="1619" w:hanging="352"/>
        <w:spacing w:after="0" w:line="259"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returned $410 million to shareholders in the fourth quarter of 2013, consisting of $171 million in dividends and $239 million in common stock repurchases. For the full year, the Company returned $922 million to shareholders, consisting of $683 million in dividends and $239 million in common stock repurchases.</w:t>
      </w:r>
    </w:p>
    <w:p>
      <w:pPr>
        <w:sectPr>
          <w:pgSz w:w="11900" w:h="16838" w:orient="portrait"/>
          <w:cols w:equalWidth="0" w:num="1">
            <w:col w:w="10219"/>
          </w:cols>
          <w:pgMar w:left="240" w:top="274" w:right="1440" w:bottom="1440" w:gutter="0" w:footer="0" w:header="0"/>
        </w:sectPr>
      </w:pPr>
    </w:p>
    <w:bookmarkStart w:id="6" w:name="page7"/>
    <w:bookmarkEnd w:id="6"/>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recurring tax rate was approximately 34.6% in the fourth quarter and for the full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with regard to its financial outlook for 2014:</w:t>
      </w:r>
    </w:p>
    <w:p>
      <w:pPr>
        <w:spacing w:after="0" w:line="131" w:lineRule="exact"/>
        <w:rPr>
          <w:sz w:val="20"/>
          <w:szCs w:val="20"/>
          <w:color w:val="auto"/>
        </w:rPr>
      </w:pPr>
    </w:p>
    <w:p>
      <w:pPr>
        <w:ind w:left="900" w:right="1819" w:hanging="446"/>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2014 adjusted earnings per diluted share are expected to be between $2.30 and $2.35. Free cash flow for 2014 is projected to again exceed $1.3 billion, assuming about $100 million of divestitures.</w:t>
      </w:r>
      <w:r>
        <w:rPr>
          <w:rFonts w:ascii="Arial" w:cs="Arial" w:eastAsia="Arial" w:hAnsi="Arial"/>
          <w:sz w:val="13"/>
          <w:szCs w:val="13"/>
          <w:color w:val="auto"/>
        </w:rPr>
        <w:t>(b)</w:t>
      </w:r>
    </w:p>
    <w:p>
      <w:pPr>
        <w:spacing w:after="0" w:line="29" w:lineRule="exact"/>
        <w:rPr>
          <w:rFonts w:ascii="Arial" w:cs="Arial" w:eastAsia="Arial" w:hAnsi="Arial"/>
          <w:sz w:val="16"/>
          <w:szCs w:val="16"/>
          <w:color w:val="auto"/>
        </w:rPr>
      </w:pPr>
    </w:p>
    <w:p>
      <w:pPr>
        <w:ind w:left="900" w:right="2359"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yield on the collection and disposal business is expected to be approximately 2.0% and internal revenue growth from volume is expected to be approximately a negative 1.0%.</w:t>
      </w:r>
    </w:p>
    <w:p>
      <w:pPr>
        <w:spacing w:after="0" w:line="86" w:lineRule="exact"/>
        <w:rPr>
          <w:rFonts w:ascii="Arial" w:cs="Arial" w:eastAsia="Arial" w:hAnsi="Arial"/>
          <w:sz w:val="18"/>
          <w:szCs w:val="18"/>
          <w:color w:val="auto"/>
        </w:rPr>
      </w:pPr>
    </w:p>
    <w:p>
      <w:pPr>
        <w:ind w:left="900" w:right="2199" w:hanging="446"/>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Recycling operations improvements are expected to offset modest recycling commodity sales price declines such that the recycling line of business is expected to be flat in 2014 compared to 2013.</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rate is expected to be approximately 35.0%.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$1.2 to $1.3 billion.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expense is anticipated to be approximately $480 million.</w:t>
      </w:r>
    </w:p>
    <w:p>
      <w:pPr>
        <w:spacing w:after="0" w:line="130" w:lineRule="exact"/>
        <w:rPr>
          <w:rFonts w:ascii="Arial" w:cs="Arial" w:eastAsia="Arial" w:hAnsi="Arial"/>
          <w:sz w:val="18"/>
          <w:szCs w:val="18"/>
          <w:color w:val="auto"/>
        </w:rPr>
      </w:pPr>
    </w:p>
    <w:p>
      <w:pPr>
        <w:ind w:left="900" w:right="1859"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to spend between $100 and $250 million on tuck-in acquisitions in its traditional solid waste operations.</w:t>
      </w:r>
    </w:p>
    <w:p>
      <w:pPr>
        <w:spacing w:after="0" w:line="75" w:lineRule="exact"/>
        <w:rPr>
          <w:rFonts w:ascii="Arial" w:cs="Arial" w:eastAsia="Arial" w:hAnsi="Arial"/>
          <w:sz w:val="18"/>
          <w:szCs w:val="18"/>
          <w:color w:val="auto"/>
        </w:rPr>
      </w:pPr>
    </w:p>
    <w:p>
      <w:pPr>
        <w:ind w:left="900" w:right="1979" w:hanging="446"/>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Board of Directors has announced its intention to increase the dividend to $1.50 per share on an annual basis, for an approximate annual cost of $700 million. The Board must separately declare each dividend. The Board has also authorized up to $600 million of share repurchases.</w:t>
      </w:r>
    </w:p>
    <w:p>
      <w:pPr>
        <w:spacing w:after="0" w:line="166" w:lineRule="exact"/>
        <w:rPr>
          <w:sz w:val="20"/>
          <w:szCs w:val="20"/>
          <w:color w:val="auto"/>
        </w:rPr>
      </w:pPr>
    </w:p>
    <w:p>
      <w:pPr>
        <w:ind w:right="1919"/>
        <w:spacing w:after="0" w:line="255" w:lineRule="auto"/>
        <w:rPr>
          <w:sz w:val="20"/>
          <w:szCs w:val="20"/>
          <w:color w:val="auto"/>
        </w:rPr>
      </w:pPr>
      <w:r>
        <w:rPr>
          <w:rFonts w:ascii="Arial" w:cs="Arial" w:eastAsia="Arial" w:hAnsi="Arial"/>
          <w:sz w:val="18"/>
          <w:szCs w:val="18"/>
          <w:color w:val="auto"/>
        </w:rPr>
        <w:t>Steiner concluded, “We expect 2014 to show solid earnings and cash flow driven by increased yield and continued cost controls. In 2013, we laid a foundation that we expect will continue to benefit us in 2014. In the full-year 2013 and in the fourth quarter of 2013, we grew income from operations dollars and margins in each of our collection lines of business, despite negative volumes. This demonstrates that we are making the right trade-off between yield and volumes. That trade-off should once again lead to strong free cash flow in 2014. We expect to continue to use our free cash to pay our dividend, repurchase shares, reduce debt, and to make acquisitions in our traditional solid waste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5" w:lineRule="exact"/>
        <w:rPr>
          <w:sz w:val="20"/>
          <w:szCs w:val="20"/>
          <w:color w:val="auto"/>
        </w:rPr>
      </w:pPr>
    </w:p>
    <w:p>
      <w:pPr>
        <w:ind w:left="460" w:right="1759"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loss” and “Net income” refer to the financial statement line items “Net income (loss) attributable to Waste Management, Inc.” and “Net income attributable to Waste Management, Inc.,” respectively.</w:t>
      </w:r>
    </w:p>
    <w:p>
      <w:pPr>
        <w:ind w:left="460" w:right="1579"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and earnings per diluted share have been presented in certain instances excluding items identified in the reconciliations provided.</w:t>
      </w:r>
    </w:p>
    <w:p>
      <w:pPr>
        <w:spacing w:after="0" w:line="83" w:lineRule="exact"/>
        <w:rPr>
          <w:rFonts w:ascii="Arial" w:cs="Arial" w:eastAsia="Arial" w:hAnsi="Arial"/>
          <w:sz w:val="18"/>
          <w:szCs w:val="18"/>
          <w:color w:val="auto"/>
        </w:rPr>
      </w:pPr>
    </w:p>
    <w:p>
      <w:pPr>
        <w:ind w:left="460" w:right="1539"/>
        <w:spacing w:after="0" w:line="273" w:lineRule="auto"/>
        <w:rPr>
          <w:rFonts w:ascii="Arial" w:cs="Arial" w:eastAsia="Arial" w:hAnsi="Arial"/>
          <w:sz w:val="18"/>
          <w:szCs w:val="18"/>
          <w:color w:val="auto"/>
        </w:rPr>
      </w:pPr>
      <w:r>
        <w:rPr>
          <w:rFonts w:ascii="Arial" w:cs="Arial" w:eastAsia="Arial" w:hAnsi="Arial"/>
          <w:sz w:val="17"/>
          <w:szCs w:val="17"/>
          <w:color w:val="auto"/>
        </w:rPr>
        <w:t>The Company’s projected full year 2014 earnings per diluted share is not based on GAAP net earnings per diluted share and are anticipated to be adjusted to exclude the effects of events or circumstances in 2014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w:t>
      </w:r>
    </w:p>
    <w:p>
      <w:pPr>
        <w:sectPr>
          <w:pgSz w:w="11900" w:h="16838" w:orient="portrait"/>
          <w:cols w:equalWidth="0" w:num="1">
            <w:col w:w="10219"/>
          </w:cols>
          <w:pgMar w:left="240" w:top="274" w:right="1440" w:bottom="1440" w:gutter="0" w:footer="0" w:header="0"/>
        </w:sectPr>
      </w:pPr>
    </w:p>
    <w:bookmarkStart w:id="7" w:name="page8"/>
    <w:bookmarkEnd w:id="7"/>
    <w:p>
      <w:pPr>
        <w:ind w:left="352" w:right="159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87" w:lineRule="exact"/>
        <w:rPr>
          <w:sz w:val="20"/>
          <w:szCs w:val="20"/>
          <w:color w:val="auto"/>
        </w:rPr>
      </w:pPr>
    </w:p>
    <w:p>
      <w:pPr>
        <w:ind w:left="352" w:right="1539"/>
        <w:spacing w:after="0" w:line="268" w:lineRule="auto"/>
        <w:rPr>
          <w:sz w:val="20"/>
          <w:szCs w:val="20"/>
          <w:color w:val="auto"/>
        </w:rPr>
      </w:pPr>
      <w:r>
        <w:rPr>
          <w:rFonts w:ascii="Arial" w:cs="Arial" w:eastAsia="Arial" w:hAnsi="Arial"/>
          <w:sz w:val="17"/>
          <w:szCs w:val="17"/>
          <w:color w:val="auto"/>
        </w:rPr>
        <w:t>This press release includes adjusted income from operations margin and adjusted operating EBITDA margin for our traditional solid waste business, which is comprised of collection, transfer and disposal services. The Company defines operating EBITDA margin as income from operations, before depreciation and amortization, as a percent of revenues. This measure may not be comparable to similarly titled measures reported by other companies. Management uses operating EBITDA as an indicator of the Company’s operating performance and ability to pay dividends, fund acquisitions, capital expenditures and other investments and, in the absence of refinancing, to repay debt obligations. The Company’s calculation of adjusted income from operations margin and adjusted operating EBITDA margin excludes the impact of the impairment charges noted in the press release. Management believes adjusted income from operations and adjusted operating EBITDA are helpful to investors evaluating the Company’s operating performance because certain non-cash costs and other items that management believes are not representative of our performance or indicative of our results of operations are excluded. Adjusted income from operations margin and adjusted operating EBITDA margin are supplemental non-GAAP measures and should not be considered an alternative to net income or income from operations.</w:t>
      </w:r>
    </w:p>
    <w:p>
      <w:pPr>
        <w:spacing w:after="0" w:line="91" w:lineRule="exact"/>
        <w:rPr>
          <w:sz w:val="20"/>
          <w:szCs w:val="20"/>
          <w:color w:val="auto"/>
        </w:rPr>
      </w:pPr>
    </w:p>
    <w:p>
      <w:pPr>
        <w:ind w:left="352" w:right="1559"/>
        <w:spacing w:after="0" w:line="270" w:lineRule="auto"/>
        <w:rPr>
          <w:sz w:val="20"/>
          <w:szCs w:val="20"/>
          <w:color w:val="auto"/>
        </w:rPr>
      </w:pPr>
      <w:r>
        <w:rPr>
          <w:rFonts w:ascii="Arial" w:cs="Arial" w:eastAsia="Arial" w:hAnsi="Arial"/>
          <w:sz w:val="17"/>
          <w:szCs w:val="17"/>
          <w:color w:val="auto"/>
        </w:rPr>
        <w:t>The Company also discusses free cash flow and provides a projection of free cash flow, which is a non-GAAP measure,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87" w:lineRule="exact"/>
        <w:rPr>
          <w:sz w:val="20"/>
          <w:szCs w:val="20"/>
          <w:color w:val="auto"/>
        </w:rPr>
      </w:pPr>
    </w:p>
    <w:p>
      <w:pPr>
        <w:ind w:left="732" w:hanging="372"/>
        <w:spacing w:after="0"/>
        <w:tabs>
          <w:tab w:leader="none" w:pos="732"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732" w:hanging="372"/>
        <w:spacing w:after="0"/>
        <w:tabs>
          <w:tab w:leader="none" w:pos="732"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732" w:hanging="372"/>
        <w:spacing w:after="0"/>
        <w:tabs>
          <w:tab w:leader="none" w:pos="732"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proceeds from divestitures of businesses (net of cash divested) and other sales of assets.</w:t>
      </w:r>
    </w:p>
    <w:p>
      <w:pPr>
        <w:spacing w:after="0" w:line="142" w:lineRule="exact"/>
        <w:rPr>
          <w:sz w:val="20"/>
          <w:szCs w:val="20"/>
          <w:color w:val="auto"/>
        </w:rPr>
      </w:pPr>
    </w:p>
    <w:p>
      <w:pPr>
        <w:ind w:left="352" w:right="1659"/>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76" w:lineRule="exact"/>
        <w:rPr>
          <w:sz w:val="20"/>
          <w:szCs w:val="20"/>
          <w:color w:val="auto"/>
        </w:rPr>
      </w:pPr>
    </w:p>
    <w:p>
      <w:pPr>
        <w:ind w:left="352" w:right="1559"/>
        <w:spacing w:after="0" w:line="291" w:lineRule="auto"/>
        <w:rPr>
          <w:sz w:val="20"/>
          <w:szCs w:val="20"/>
          <w:color w:val="auto"/>
        </w:rPr>
      </w:pPr>
      <w:r>
        <w:rPr>
          <w:rFonts w:ascii="Arial" w:cs="Arial" w:eastAsia="Arial" w:hAnsi="Arial"/>
          <w:sz w:val="16"/>
          <w:szCs w:val="16"/>
          <w:color w:val="auto"/>
        </w:rPr>
        <w:t>The quantitative reconciliations of non-GAAP measures used herein to the most comparable GAAP measures are included in the accompanying schedules, with the exception of (i) projected earnings per diluted share and</w:t>
      </w:r>
    </w:p>
    <w:p>
      <w:pPr>
        <w:ind w:left="352" w:right="1559"/>
        <w:spacing w:after="0" w:line="271" w:lineRule="auto"/>
        <w:rPr>
          <w:sz w:val="20"/>
          <w:szCs w:val="20"/>
          <w:color w:val="auto"/>
        </w:rPr>
      </w:pPr>
      <w:r>
        <w:rPr>
          <w:rFonts w:ascii="Arial" w:cs="Arial" w:eastAsia="Arial" w:hAnsi="Arial"/>
          <w:sz w:val="17"/>
          <w:szCs w:val="17"/>
          <w:color w:val="auto"/>
        </w:rPr>
        <w:t>(ii) adjusted income from operations and adjusted operating EBITDA margins for our traditional solid waste business, as such measures focus only on a subset of our operations and are not calculated using GAAP measures available in our financial statements. Non-GAAP measures should not be considered a substitute for financial measures presented in accordance with GAAP, and investors are urged to take into account GAAP measures as well as non-GAAP measures in evaluating the Company.</w:t>
      </w:r>
    </w:p>
    <w:p>
      <w:pPr>
        <w:spacing w:after="0" w:line="84" w:lineRule="exact"/>
        <w:rPr>
          <w:sz w:val="20"/>
          <w:szCs w:val="20"/>
          <w:color w:val="auto"/>
        </w:rPr>
      </w:pPr>
    </w:p>
    <w:p>
      <w:pPr>
        <w:ind w:left="352" w:right="1539" w:hanging="352"/>
        <w:spacing w:after="0" w:line="255" w:lineRule="auto"/>
        <w:tabs>
          <w:tab w:leader="none" w:pos="37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January results are drawn from the monthly general ledger; as such, these results remain subject to review and adjustment in connection with the full rigor of our quarterly financial reporting process. This information is provided to evidence trends observed during January, but readers should not rely on the precision of this information. Additionally, readers should not assume that January results are indicative of the full first quarter of 2014. The Company’s business is subject to many risks and uncertainties that could cause final, reported results for the month of January and the first quarter of 2014 to be materially different from these preliminary indicators.</w:t>
      </w:r>
    </w:p>
    <w:p>
      <w:pPr>
        <w:sectPr>
          <w:pgSz w:w="11900" w:h="16838" w:orient="portrait"/>
          <w:cols w:equalWidth="0" w:num="1">
            <w:col w:w="9851"/>
          </w:cols>
          <w:pgMar w:left="608" w:top="274" w:right="1440" w:bottom="1440" w:gutter="0" w:footer="0" w:header="0"/>
        </w:sectPr>
      </w:pPr>
    </w:p>
    <w:bookmarkStart w:id="8" w:name="page9"/>
    <w:bookmarkEnd w:id="8"/>
    <w:p>
      <w:pPr>
        <w:ind w:right="161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fourth quarter and full year 2013 results. Information contained within this press release will be referenced and should be considered in conjunction with the call.</w:t>
      </w:r>
    </w:p>
    <w:p>
      <w:pPr>
        <w:spacing w:after="0" w:line="208" w:lineRule="exact"/>
        <w:rPr>
          <w:sz w:val="20"/>
          <w:szCs w:val="20"/>
          <w:color w:val="auto"/>
        </w:rPr>
      </w:pPr>
    </w:p>
    <w:p>
      <w:pPr>
        <w:ind w:right="1659"/>
        <w:spacing w:after="0" w:line="279"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31500809 when prompted by the conference call operator.</w:t>
      </w:r>
    </w:p>
    <w:p>
      <w:pPr>
        <w:spacing w:after="0" w:line="198" w:lineRule="exact"/>
        <w:rPr>
          <w:sz w:val="20"/>
          <w:szCs w:val="20"/>
          <w:color w:val="auto"/>
        </w:rPr>
      </w:pPr>
    </w:p>
    <w:p>
      <w:pPr>
        <w:ind w:right="171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Tuesday, February 18, 2014 through 5:00 PM (Eastern) on Tuesday, March 4, 2014. To access the replay telephonically, please dial (855) 859-2056, or from outside of the United States or Canada dial (404) 537-3406, and use the replay conference ID number 31500809.</w:t>
      </w:r>
    </w:p>
    <w:p>
      <w:pPr>
        <w:spacing w:after="0" w:line="214" w:lineRule="exact"/>
        <w:rPr>
          <w:sz w:val="20"/>
          <w:szCs w:val="20"/>
          <w:color w:val="auto"/>
        </w:rPr>
      </w:pPr>
    </w:p>
    <w:p>
      <w:pPr>
        <w:ind w:right="1559"/>
        <w:spacing w:after="0" w:line="267"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“2014 Outlook” and statements regarding, 2014 earnings per diluted share and earnings growth; 2014 free cash flow; future internal revenue growth from yield and volume; results from pricing, capital management and cost control and reduction initiatives; future recycling commodity prices; results from recycling operations; future uses of free cash flow; future acquisitions and investments; future dividend rates and shares repurchases; plant closures and other actions in response to our asset rationalization analysis and the ability to use impaired assets in the future.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579"/>
        <w:spacing w:after="0" w:line="255" w:lineRule="auto"/>
        <w:rPr>
          <w:sz w:val="20"/>
          <w:szCs w:val="20"/>
          <w:color w:val="auto"/>
        </w:rPr>
      </w:pPr>
      <w:r>
        <w:rPr>
          <w:rFonts w:ascii="Arial" w:cs="Arial" w:eastAsia="Arial" w:hAnsi="Arial"/>
          <w:sz w:val="18"/>
          <w:szCs w:val="18"/>
          <w:color w:val="auto"/>
        </w:rPr>
        <w:t xml:space="preserve">Waste Management, Inc., based in Houston, Texas, is the leading provider of comprehensive waste management environmental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Consolidated net income (loss)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13,983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9,112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12,904</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6,070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2,288</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Years Ended December 31,</w:t>
            </w:r>
          </w:p>
        </w:tc>
      </w:tr>
      <w:tr>
        <w:trPr>
          <w:trHeight w:val="142"/>
        </w:trPr>
        <w:tc>
          <w:tcPr>
            <w:tcW w:w="20" w:type="dxa"/>
            <w:vAlign w:val="bottom"/>
          </w:tcPr>
          <w:p>
            <w:pPr>
              <w:spacing w:after="0"/>
              <w:rPr>
                <w:sz w:val="12"/>
                <w:szCs w:val="12"/>
                <w:color w:val="auto"/>
              </w:rPr>
            </w:pPr>
          </w:p>
        </w:tc>
        <w:tc>
          <w:tcPr>
            <w:tcW w:w="9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130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1,333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23"/>
        </w:trPr>
        <w:tc>
          <w:tcPr>
            <w:tcW w:w="20" w:type="dxa"/>
            <w:vAlign w:val="bottom"/>
          </w:tcPr>
          <w:p>
            <w:pPr>
              <w:spacing w:after="0"/>
              <w:rPr>
                <w:sz w:val="19"/>
                <w:szCs w:val="19"/>
                <w:color w:val="auto"/>
              </w:rPr>
            </w:pPr>
          </w:p>
        </w:tc>
        <w:tc>
          <w:tcPr>
            <w:tcW w:w="920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8"/>
                <w:szCs w:val="18"/>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(1,900)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4"/>
                <w:szCs w:val="14"/>
                <w:b w:val="1"/>
                <w:bCs w:val="1"/>
                <w:color w:val="auto"/>
                <w:w w:val="93"/>
              </w:rPr>
              <w:t>Quarters Ended</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c>
          <w:tcPr>
            <w:tcW w:w="9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16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360"/>
              <w:spacing w:after="0"/>
              <w:rPr>
                <w:sz w:val="20"/>
                <w:szCs w:val="20"/>
                <w:color w:val="auto"/>
              </w:rPr>
            </w:pPr>
            <w:r>
              <w:rPr>
                <w:rFonts w:ascii="Arial" w:cs="Arial" w:eastAsia="Arial" w:hAnsi="Arial"/>
                <w:sz w:val="18"/>
                <w:szCs w:val="18"/>
                <w:color w:val="auto"/>
              </w:rPr>
              <w:t>Collection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857</w:t>
            </w:r>
          </w:p>
        </w:tc>
        <w:tc>
          <w:tcPr>
            <w:tcW w:w="5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72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8"/>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Industrial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0" w:type="dxa"/>
            <w:vAlign w:val="bottom"/>
            <w:gridSpan w:val="4"/>
          </w:tcPr>
          <w:p>
            <w:pPr>
              <w:ind w:left="7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2,132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360"/>
              <w:spacing w:after="0"/>
              <w:rPr>
                <w:sz w:val="20"/>
                <w:szCs w:val="20"/>
                <w:color w:val="auto"/>
              </w:rPr>
            </w:pPr>
            <w:r>
              <w:rPr>
                <w:rFonts w:ascii="Arial" w:cs="Arial" w:eastAsia="Arial" w:hAnsi="Arial"/>
                <w:sz w:val="18"/>
                <w:szCs w:val="18"/>
                <w:color w:val="auto"/>
              </w:rPr>
              <w:t>Landfill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8"/>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Transfer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360"/>
              <w:spacing w:after="0"/>
              <w:rPr>
                <w:sz w:val="20"/>
                <w:szCs w:val="20"/>
                <w:color w:val="auto"/>
              </w:rPr>
            </w:pPr>
            <w:r>
              <w:rPr>
                <w:rFonts w:ascii="Arial" w:cs="Arial" w:eastAsia="Arial" w:hAnsi="Arial"/>
                <w:sz w:val="18"/>
                <w:szCs w:val="18"/>
                <w:color w:val="auto"/>
              </w:rPr>
              <w:t>Wheelabrator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8"/>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Recycling</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8"/>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0" w:type="dxa"/>
            <w:vAlign w:val="bottom"/>
            <w:gridSpan w:val="4"/>
          </w:tcPr>
          <w:p>
            <w:pPr>
              <w:ind w:left="720"/>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3,500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8"/>
              </w:rPr>
              <w:t>Quarters Ended</w:t>
            </w: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8"/>
          </w:tcPr>
          <w:p>
            <w:pPr>
              <w:jc w:val="right"/>
              <w:ind w:right="440"/>
              <w:spacing w:after="0" w:line="142" w:lineRule="exact"/>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120"/>
              <w:spacing w:after="0" w:line="123" w:lineRule="exact"/>
              <w:rPr>
                <w:sz w:val="20"/>
                <w:szCs w:val="20"/>
                <w:color w:val="auto"/>
              </w:rPr>
            </w:pPr>
            <w:r>
              <w:rPr>
                <w:rFonts w:ascii="Arial" w:cs="Arial" w:eastAsia="Arial" w:hAnsi="Arial"/>
                <w:sz w:val="14"/>
                <w:szCs w:val="14"/>
                <w:color w:val="auto"/>
                <w:w w:val="96"/>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gridSpan w:val="4"/>
          </w:tcPr>
          <w:p>
            <w:pPr>
              <w:jc w:val="center"/>
              <w:ind w:right="108"/>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4"/>
                <w:szCs w:val="14"/>
                <w:color w:val="auto"/>
                <w:w w:val="92"/>
              </w:rPr>
              <w:t>Total Company</w:t>
            </w:r>
          </w:p>
        </w:tc>
        <w:tc>
          <w:tcPr>
            <w:tcW w:w="48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color w:val="auto"/>
                <w:w w:val="94"/>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2.0%</w:t>
            </w:r>
          </w:p>
        </w:tc>
        <w:tc>
          <w:tcPr>
            <w:tcW w:w="6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Volume</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5"/>
            <w:vMerge w:val="restart"/>
          </w:tcPr>
          <w:p>
            <w:pPr>
              <w:ind w:left="340"/>
              <w:spacing w:after="0"/>
              <w:rPr>
                <w:sz w:val="20"/>
                <w:szCs w:val="20"/>
                <w:color w:val="auto"/>
              </w:rPr>
            </w:pPr>
            <w:r>
              <w:rPr>
                <w:rFonts w:ascii="Arial" w:cs="Arial" w:eastAsia="Arial" w:hAnsi="Arial"/>
                <w:sz w:val="18"/>
                <w:szCs w:val="18"/>
                <w:color w:val="auto"/>
              </w:rPr>
              <w:t>Internal revenue growth</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-0.2%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(21)</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ind w:left="340"/>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18"/>
                <w:szCs w:val="18"/>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-0.1%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4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As a % of</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left="268"/>
              <w:spacing w:after="0" w:line="149" w:lineRule="exact"/>
              <w:rPr>
                <w:sz w:val="20"/>
                <w:szCs w:val="20"/>
                <w:color w:val="auto"/>
              </w:rPr>
            </w:pPr>
            <w:r>
              <w:rPr>
                <w:rFonts w:ascii="Arial" w:cs="Arial" w:eastAsia="Arial" w:hAnsi="Arial"/>
                <w:sz w:val="14"/>
                <w:szCs w:val="14"/>
                <w:color w:val="auto"/>
                <w:w w:val="91"/>
              </w:rPr>
              <w:t>Related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gridSpan w:val="4"/>
          </w:tcPr>
          <w:p>
            <w:pPr>
              <w:jc w:val="center"/>
              <w:ind w:right="108"/>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Business</w:t>
            </w:r>
          </w:p>
        </w:tc>
        <w:tc>
          <w:tcPr>
            <w:tcW w:w="48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gridSpan w:val="5"/>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620"/>
              <w:spacing w:after="0"/>
              <w:rPr>
                <w:sz w:val="20"/>
                <w:szCs w:val="20"/>
                <w:color w:val="auto"/>
              </w:rPr>
            </w:pPr>
            <w:r>
              <w:rPr>
                <w:rFonts w:ascii="Arial" w:cs="Arial" w:eastAsia="Arial" w:hAnsi="Arial"/>
                <w:sz w:val="18"/>
                <w:szCs w:val="18"/>
                <w:color w:val="auto"/>
              </w:rPr>
              <w:t>Collection, landfill and transfer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Waste-to-energy disposal</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rPr>
              <w:t>Collection and disposal</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Recycling commodities</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rPr>
              <w:t>Electricity</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Fuel surcharges and mandated fees</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5"/>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10"/>
          </w:tcPr>
          <w:p>
            <w:pPr>
              <w:jc w:val="center"/>
              <w:ind w:right="320"/>
              <w:spacing w:after="0"/>
              <w:rPr>
                <w:sz w:val="20"/>
                <w:szCs w:val="20"/>
                <w:color w:val="auto"/>
              </w:rPr>
            </w:pPr>
            <w:r>
              <w:rPr>
                <w:rFonts w:ascii="Arial" w:cs="Arial" w:eastAsia="Arial" w:hAnsi="Arial"/>
                <w:sz w:val="14"/>
                <w:szCs w:val="14"/>
                <w:b w:val="1"/>
                <w:bCs w:val="1"/>
                <w:color w:val="auto"/>
                <w:w w:val="92"/>
              </w:rPr>
              <w:t>Quarters Ended December 31,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left="512"/>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center"/>
              <w:ind w:left="53"/>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30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577</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$ 2,455</w:t>
            </w: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(378)</w:t>
            </w: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gridSpan w:val="5"/>
          </w:tcPr>
          <w:p>
            <w:pPr>
              <w:spacing w:after="0" w:line="201" w:lineRule="exact"/>
              <w:rPr>
                <w:sz w:val="20"/>
                <w:szCs w:val="20"/>
                <w:color w:val="auto"/>
              </w:rPr>
            </w:pPr>
            <w:r>
              <w:rPr>
                <w:rFonts w:ascii="Arial" w:cs="Arial" w:eastAsia="Arial" w:hAnsi="Arial"/>
                <w:sz w:val="18"/>
                <w:szCs w:val="18"/>
                <w:color w:val="auto"/>
              </w:rPr>
              <w:t>Proceeds from divestitures of businesses (net of cash divested)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gridSpan w:val="5"/>
          </w:tcPr>
          <w:p>
            <w:pPr>
              <w:ind w:left="160"/>
              <w:spacing w:after="0"/>
              <w:rPr>
                <w:sz w:val="20"/>
                <w:szCs w:val="20"/>
                <w:color w:val="auto"/>
              </w:rPr>
            </w:pPr>
            <w:r>
              <w:rPr>
                <w:rFonts w:ascii="Arial" w:cs="Arial" w:eastAsia="Arial" w:hAnsi="Arial"/>
                <w:sz w:val="18"/>
                <w:szCs w:val="18"/>
                <w:color w:val="auto"/>
              </w:rPr>
              <w:t>and other sales of assets</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$ 1,322</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34" w:lineRule="exact"/>
        <w:rPr>
          <w:rFonts w:ascii="Arial" w:cs="Arial" w:eastAsia="Arial" w:hAnsi="Arial"/>
          <w:sz w:val="17"/>
          <w:szCs w:val="17"/>
          <w:color w:val="auto"/>
        </w:rPr>
      </w:pPr>
    </w:p>
    <w:p>
      <w:pPr>
        <w:ind w:left="452" w:hanging="452"/>
        <w:spacing w:after="0" w:line="255"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ectPr>
          <w:pgSz w:w="11900" w:h="16838" w:orient="portrait"/>
          <w:cols w:equalWidth="0" w:num="1">
            <w:col w:w="11332"/>
          </w:cols>
          <w:pgMar w:left="248" w:top="270"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584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10,226</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10,059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32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60" w:type="dxa"/>
            <w:vAlign w:val="bottom"/>
            <w:gridSpan w:val="6"/>
            <w:vMerge w:val="restart"/>
          </w:tcPr>
          <w:p>
            <w:pPr>
              <w:ind w:left="180"/>
              <w:spacing w:after="0"/>
              <w:rPr>
                <w:sz w:val="20"/>
                <w:szCs w:val="20"/>
                <w:color w:val="auto"/>
              </w:rPr>
            </w:pPr>
            <w:r>
              <w:rPr>
                <w:rFonts w:ascii="Arial" w:cs="Arial" w:eastAsia="Arial" w:hAnsi="Arial"/>
                <w:sz w:val="18"/>
                <w:szCs w:val="18"/>
                <w:color w:val="auto"/>
              </w:rPr>
              <w:t>Cash paid for acquisitions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48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4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auto"/>
            </w:tcBorders>
            <w:gridSpan w:val="6"/>
          </w:tcPr>
          <w:p>
            <w:pPr>
              <w:ind w:left="160"/>
              <w:spacing w:after="0" w:line="196" w:lineRule="exact"/>
              <w:rPr>
                <w:sz w:val="20"/>
                <w:szCs w:val="20"/>
                <w:color w:val="auto"/>
              </w:rPr>
            </w:pPr>
            <w:r>
              <w:rPr>
                <w:rFonts w:ascii="Arial" w:cs="Arial" w:eastAsia="Arial" w:hAnsi="Arial"/>
                <w:sz w:val="18"/>
                <w:szCs w:val="18"/>
                <w:b w:val="1"/>
                <w:bCs w:val="1"/>
                <w:color w:val="auto"/>
              </w:rPr>
              <w:t>Groups: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89.4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landfill amortization expense (b)</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44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 ended December 31, 2013 as compared to the quarter ended September 30, 2013 reflects a decrease in amortization expense of approximately $20 million, primarily due to changes in landfill estimates identified in both quarters and by a decrease in volumes primarily due to seasonality.</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5"/>
          </w:tcPr>
          <w:p>
            <w:pPr>
              <w:jc w:val="center"/>
              <w:ind w:left="153"/>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center"/>
              <w:ind w:left="74"/>
              <w:spacing w:after="0"/>
              <w:rPr>
                <w:sz w:val="20"/>
                <w:szCs w:val="20"/>
                <w:color w:val="auto"/>
              </w:rPr>
            </w:pPr>
            <w:r>
              <w:rPr>
                <w:rFonts w:ascii="Arial" w:cs="Arial" w:eastAsia="Arial" w:hAnsi="Arial"/>
                <w:sz w:val="14"/>
                <w:szCs w:val="14"/>
                <w:b w:val="1"/>
                <w:bCs w:val="1"/>
                <w:color w:val="auto"/>
                <w:w w:val="96"/>
              </w:rPr>
              <w:t>Quarter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center"/>
              <w:ind w:left="54"/>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42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Per Share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vMerge w:val="continue"/>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w w:val="96"/>
              </w:rPr>
              <w:t>Net income (loss) and diluted earnings (loss) per common share, as reported</w:t>
            </w:r>
          </w:p>
        </w:tc>
        <w:tc>
          <w:tcPr>
            <w:tcW w:w="7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(605)</w:t>
            </w:r>
          </w:p>
        </w:tc>
        <w:tc>
          <w:tcPr>
            <w:tcW w:w="42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(1.29)</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224</w:t>
            </w:r>
          </w:p>
        </w:tc>
        <w:tc>
          <w:tcPr>
            <w:tcW w:w="5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0.48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net income (loss) and diluted earnings (loss) per share: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(b)</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865</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Restructuring charges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Oakleaf related integration activities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Legal reserve and landfill operating costs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868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0.09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 and diluted EPS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263</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0.56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0.57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4"/>
          </w:tcPr>
          <w:p>
            <w:pPr>
              <w:jc w:val="center"/>
              <w:ind w:right="71"/>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jc w:val="center"/>
              <w:ind w:left="54"/>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jc w:val="center"/>
              <w:ind w:left="54"/>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42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(a)</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Per Share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vMerge w:val="continue"/>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7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220"/>
              <w:spacing w:after="0"/>
              <w:rPr>
                <w:sz w:val="20"/>
                <w:szCs w:val="20"/>
                <w:color w:val="auto"/>
              </w:rPr>
            </w:pPr>
            <w:r>
              <w:rPr>
                <w:rFonts w:ascii="Arial" w:cs="Arial" w:eastAsia="Arial" w:hAnsi="Arial"/>
                <w:sz w:val="18"/>
                <w:szCs w:val="18"/>
                <w:b w:val="1"/>
                <w:bCs w:val="1"/>
                <w:color w:val="auto"/>
                <w:w w:val="79"/>
              </w:rPr>
              <w:t>98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0.21</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817</w:t>
            </w:r>
          </w:p>
        </w:tc>
        <w:tc>
          <w:tcPr>
            <w:tcW w:w="5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1.76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(b)</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896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Restructuring</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Partial withdrawal from multiemployer pension plan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Oakleaf related integration activities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Legal reserve and landfill operating costs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Labor dispute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910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5"/>
              </w:rPr>
              <w:t>0.32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 and diluted EPS</w:t>
            </w:r>
          </w:p>
        </w:tc>
        <w:tc>
          <w:tcPr>
            <w:tcW w:w="5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b w:val="1"/>
                <w:bCs w:val="1"/>
                <w:color w:val="auto"/>
                <w:w w:val="89"/>
              </w:rPr>
              <w:t>$ 1,008</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2.08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for the tax expense associated with each of the after-tax adjustments to net income and diluted EPS in the fourth quarter and full year of 2013 and 2012.</w:t>
      </w:r>
    </w:p>
    <w:p>
      <w:pPr>
        <w:spacing w:after="0" w:line="1" w:lineRule="exact"/>
        <w:rPr>
          <w:rFonts w:ascii="Arial" w:cs="Arial" w:eastAsia="Arial" w:hAnsi="Arial"/>
          <w:sz w:val="18"/>
          <w:szCs w:val="18"/>
          <w:b w:val="1"/>
          <w:bCs w:val="1"/>
          <w:color w:val="auto"/>
        </w:rPr>
      </w:pPr>
    </w:p>
    <w:p>
      <w:pPr>
        <w:ind w:left="460" w:right="100" w:hanging="452"/>
        <w:spacing w:after="0" w:line="281"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Adjustments in 2013 and 2012 include impairment charges (net of non-controlling interest associated with certain of our 2013 impaired assets) associated with assets in the “Asset Impairments and Unusual Items” financial caption as well as impairment charges associated with certain of our investments in unconsolidated entities that are included in “Equity in Earnings (Losses) of Unconsolidated Entities” and “Other, net” financial caption.</w:t>
      </w:r>
    </w:p>
    <w:p>
      <w:pPr>
        <w:spacing w:after="0" w:line="2" w:lineRule="exact"/>
        <w:rPr>
          <w:rFonts w:ascii="Arial" w:cs="Arial" w:eastAsia="Arial" w:hAnsi="Arial"/>
          <w:sz w:val="16"/>
          <w:szCs w:val="16"/>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Adjustments in the fourth quarter of 2013 consist of after-tax charges of:</w:t>
      </w:r>
    </w:p>
    <w:p>
      <w:pPr>
        <w:spacing w:after="0" w:line="9" w:lineRule="exact"/>
        <w:rPr>
          <w:rFonts w:ascii="Arial" w:cs="Arial" w:eastAsia="Arial" w:hAnsi="Arial"/>
          <w:sz w:val="18"/>
          <w:szCs w:val="18"/>
          <w:b w:val="1"/>
          <w:bCs w:val="1"/>
          <w:color w:val="auto"/>
        </w:rPr>
      </w:pPr>
    </w:p>
    <w:p>
      <w:pPr>
        <w:ind w:left="620" w:hanging="156"/>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$493 million in impairments of goodwill, primarily related to the Company’s waste-to-energy operations;</w:t>
      </w:r>
    </w:p>
    <w:p>
      <w:pPr>
        <w:spacing w:after="0" w:line="9" w:lineRule="exact"/>
        <w:rPr>
          <w:rFonts w:ascii="Arial" w:cs="Arial" w:eastAsia="Arial" w:hAnsi="Arial"/>
          <w:sz w:val="18"/>
          <w:szCs w:val="18"/>
          <w:color w:val="auto"/>
        </w:rPr>
      </w:pPr>
    </w:p>
    <w:p>
      <w:pPr>
        <w:ind w:left="460" w:right="480" w:firstLine="4"/>
        <w:spacing w:after="0" w:line="265"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$284 million in impairments resulting from the Company’s year-end finalization of our asset rationalization and capital allocation analysis and consideration of management decisions to defer active pursuit of expansion or mothball certain post-collection facilities; and</w:t>
      </w:r>
    </w:p>
    <w:p>
      <w:pPr>
        <w:ind w:left="720" w:hanging="256"/>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$88 million to write down the carrying value of investments and other assets to their fair value.</w:t>
      </w:r>
    </w:p>
    <w:p>
      <w:pPr>
        <w:sectPr>
          <w:pgSz w:w="11900" w:h="16838" w:orient="portrait"/>
          <w:cols w:equalWidth="0" w:num="1">
            <w:col w:w="11420"/>
          </w:cols>
          <w:pgMar w:left="240" w:top="270" w:right="239" w:bottom="1440" w:gutter="0" w:footer="0" w:header="0"/>
        </w:sectPr>
      </w:pPr>
    </w:p>
    <w:bookmarkStart w:id="18" w:name="page19"/>
    <w:bookmarkEnd w:id="18"/>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left="113"/>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left="93"/>
              <w:spacing w:after="0"/>
              <w:rPr>
                <w:sz w:val="20"/>
                <w:szCs w:val="20"/>
                <w:color w:val="auto"/>
              </w:rPr>
            </w:pPr>
            <w:r>
              <w:rPr>
                <w:rFonts w:ascii="Arial" w:cs="Arial" w:eastAsia="Arial" w:hAnsi="Arial"/>
                <w:sz w:val="14"/>
                <w:szCs w:val="14"/>
                <w:b w:val="1"/>
                <w:bCs w:val="1"/>
                <w:color w:val="auto"/>
                <w:w w:val="91"/>
              </w:rPr>
              <w:t>December 31, 2013</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Pre-tax</w:t>
            </w:r>
          </w:p>
        </w:tc>
        <w:tc>
          <w:tcPr>
            <w:tcW w:w="540" w:type="dxa"/>
            <w:vAlign w:val="bottom"/>
          </w:tcPr>
          <w:p>
            <w:pPr>
              <w:spacing w:after="0"/>
              <w:rPr>
                <w:sz w:val="10"/>
                <w:szCs w:val="10"/>
                <w:color w:val="auto"/>
              </w:rPr>
            </w:pPr>
          </w:p>
        </w:tc>
        <w:tc>
          <w:tcPr>
            <w:tcW w:w="1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Tax Expense</w:t>
            </w:r>
          </w:p>
        </w:tc>
        <w:tc>
          <w:tcPr>
            <w:tcW w:w="5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Pre-tax</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Expense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5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Income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Tax Expense Reconciliation</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As reported amounts</w:t>
            </w: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rPr>
              <w:t>$ (603)</w:t>
            </w:r>
          </w:p>
        </w:tc>
        <w:tc>
          <w:tcPr>
            <w:tcW w:w="96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w:t>
            </w:r>
          </w:p>
        </w:tc>
        <w:tc>
          <w:tcPr>
            <w:tcW w:w="1060" w:type="dxa"/>
            <w:vAlign w:val="bottom"/>
            <w:gridSpan w:val="4"/>
          </w:tcPr>
          <w:p>
            <w:pPr>
              <w:ind w:left="60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114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00" w:type="dxa"/>
            <w:vAlign w:val="bottom"/>
          </w:tcPr>
          <w:p>
            <w:pPr>
              <w:spacing w:after="0"/>
              <w:rPr>
                <w:sz w:val="7"/>
                <w:szCs w:val="7"/>
                <w:color w:val="auto"/>
              </w:rPr>
            </w:pPr>
          </w:p>
        </w:tc>
        <w:tc>
          <w:tcPr>
            <w:tcW w:w="4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Tax Expense: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Asset impairments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Oakleaf related integration activities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Legal reserve and landfill operating costs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As adjusted amounts</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128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415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left="93"/>
              <w:spacing w:after="0"/>
              <w:rPr>
                <w:sz w:val="20"/>
                <w:szCs w:val="20"/>
                <w:color w:val="auto"/>
              </w:rPr>
            </w:pPr>
            <w:r>
              <w:rPr>
                <w:rFonts w:ascii="Arial" w:cs="Arial" w:eastAsia="Arial" w:hAnsi="Arial"/>
                <w:sz w:val="14"/>
                <w:szCs w:val="14"/>
                <w:b w:val="1"/>
                <w:bCs w:val="1"/>
                <w:color w:val="auto"/>
                <w:w w:val="91"/>
              </w:rPr>
              <w:t>December 31, 2013</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Pre-tax</w:t>
            </w:r>
          </w:p>
        </w:tc>
        <w:tc>
          <w:tcPr>
            <w:tcW w:w="540" w:type="dxa"/>
            <w:vAlign w:val="bottom"/>
          </w:tcPr>
          <w:p>
            <w:pPr>
              <w:spacing w:after="0"/>
              <w:rPr>
                <w:sz w:val="10"/>
                <w:szCs w:val="10"/>
                <w:color w:val="auto"/>
              </w:rPr>
            </w:pPr>
          </w:p>
        </w:tc>
        <w:tc>
          <w:tcPr>
            <w:tcW w:w="1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Tax Expense</w:t>
            </w:r>
          </w:p>
        </w:tc>
        <w:tc>
          <w:tcPr>
            <w:tcW w:w="5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Pre-tax</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Expense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5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Income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Tax Expense Reconciliation</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As reported amounts</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494</w:t>
            </w:r>
          </w:p>
        </w:tc>
        <w:tc>
          <w:tcPr>
            <w:tcW w:w="96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364</w:t>
            </w:r>
          </w:p>
        </w:tc>
        <w:tc>
          <w:tcPr>
            <w:tcW w:w="3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$1,303</w:t>
            </w:r>
          </w:p>
        </w:tc>
        <w:tc>
          <w:tcPr>
            <w:tcW w:w="1060" w:type="dxa"/>
            <w:vAlign w:val="bottom"/>
            <w:gridSpan w:val="4"/>
          </w:tcPr>
          <w:p>
            <w:pPr>
              <w:ind w:left="60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443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00" w:type="dxa"/>
            <w:vAlign w:val="bottom"/>
          </w:tcPr>
          <w:p>
            <w:pPr>
              <w:spacing w:after="0"/>
              <w:rPr>
                <w:sz w:val="7"/>
                <w:szCs w:val="7"/>
                <w:color w:val="auto"/>
              </w:rPr>
            </w:pPr>
          </w:p>
        </w:tc>
        <w:tc>
          <w:tcPr>
            <w:tcW w:w="4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Tax Expense: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Asset impairments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1,048</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Oakleaf related integration activities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Legal reserve and landfill operating costs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Labor dispute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Litigation</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1,565</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515</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1,523</w:t>
            </w:r>
          </w:p>
        </w:tc>
        <w:tc>
          <w:tcPr>
            <w:tcW w:w="1060" w:type="dxa"/>
            <w:vAlign w:val="bottom"/>
            <w:gridSpan w:val="4"/>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gridSpan w:val="5"/>
          </w:tcPr>
          <w:p>
            <w:pPr>
              <w:ind w:left="420"/>
              <w:spacing w:after="0"/>
              <w:rPr>
                <w:sz w:val="20"/>
                <w:szCs w:val="20"/>
                <w:color w:val="auto"/>
              </w:rPr>
            </w:pPr>
            <w:r>
              <w:rPr>
                <w:rFonts w:ascii="Arial" w:cs="Arial" w:eastAsia="Arial" w:hAnsi="Arial"/>
                <w:sz w:val="14"/>
                <w:szCs w:val="14"/>
                <w:b w:val="1"/>
                <w:bCs w:val="1"/>
                <w:color w:val="auto"/>
              </w:rPr>
              <w:t>Scenario 1</w:t>
            </w:r>
          </w:p>
        </w:tc>
        <w:tc>
          <w:tcPr>
            <w:tcW w:w="160" w:type="dxa"/>
            <w:vAlign w:val="bottom"/>
          </w:tcPr>
          <w:p>
            <w:pPr>
              <w:spacing w:after="0"/>
              <w:rPr>
                <w:sz w:val="24"/>
                <w:szCs w:val="24"/>
                <w:color w:val="auto"/>
              </w:rPr>
            </w:pPr>
          </w:p>
        </w:tc>
        <w:tc>
          <w:tcPr>
            <w:tcW w:w="1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Scenario 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 xml:space="preserve">Full Year 2014 Free Cash Flow Reconciliation </w:t>
            </w:r>
            <w:r>
              <w:rPr>
                <w:rFonts w:ascii="Arial" w:cs="Arial" w:eastAsia="Arial" w:hAnsi="Arial"/>
                <w:sz w:val="18"/>
                <w:szCs w:val="18"/>
                <w:b w:val="1"/>
                <w:bCs w:val="1"/>
                <w:color w:val="auto"/>
              </w:rPr>
              <w:t>(a)</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ind w:left="9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2,475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720" w:type="dxa"/>
            <w:vAlign w:val="bottom"/>
            <w:gridSpan w:val="8"/>
          </w:tcPr>
          <w:p>
            <w:pPr>
              <w:spacing w:after="0" w:line="201" w:lineRule="exact"/>
              <w:rPr>
                <w:sz w:val="20"/>
                <w:szCs w:val="20"/>
                <w:color w:val="auto"/>
              </w:rPr>
            </w:pPr>
            <w:r>
              <w:rPr>
                <w:rFonts w:ascii="Arial" w:cs="Arial" w:eastAsia="Arial" w:hAnsi="Arial"/>
                <w:sz w:val="18"/>
                <w:szCs w:val="18"/>
                <w:color w:val="auto"/>
              </w:rPr>
              <w:t>Proceeds from divestitures of businesses (net of cash divested) and other sales of</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assets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line="277"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2014. The amounts used in the reconciliation are subject to many variables, some of which are not under our control and, therefore, are not necessarily indicative of actual results.</w:t>
      </w:r>
    </w:p>
    <w:sectPr>
      <w:pgSz w:w="11900" w:h="16838" w:orient="portrait"/>
      <w:cols w:equalWidth="0" w:num="1">
        <w:col w:w="11332"/>
      </w:cols>
      <w:pgMar w:left="248"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2019-12-06T01:25:35Z</dcterms:created>
  <dcterms:modified xsi:type="dcterms:W3CDTF">2019-12-06T01:25:35Z</dcterms:modified>
</cp:coreProperties>
</file>