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00" w:type="dxa"/>
            <w:vAlign w:val="bottom"/>
            <w:gridSpan w:val="2"/>
            <w:vMerge w:val="restart"/>
          </w:tcPr>
          <w:p>
            <w:pPr>
              <w:spacing w:after="0"/>
              <w:rPr>
                <w:rFonts w:ascii="Times New Roman" w:cs="Times New Roman" w:eastAsia="Times New Roman" w:hAnsi="Times New Roman"/>
                <w:sz w:val="22"/>
                <w:szCs w:val="22"/>
                <w:color w:val="0000EE"/>
                <w:w w:val="98"/>
              </w:rPr>
            </w:pPr>
            <w:hyperlink r:id="rId12">
              <w:r>
                <w:rPr>
                  <w:rFonts w:ascii="Times New Roman" w:cs="Times New Roman" w:eastAsia="Times New Roman" w:hAnsi="Times New Roman"/>
                  <w:sz w:val="22"/>
                  <w:szCs w:val="22"/>
                  <w:color w:val="0000EE"/>
                  <w:w w:val="98"/>
                </w:rPr>
                <w:t>WEIDMAN MARK A</w:t>
              </w:r>
            </w:hyperlink>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WASTE MANAGEMENT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0" w:type="dxa"/>
            <w:vAlign w:val="bottom"/>
            <w:tcBorders>
              <w:bottom w:val="single" w:sz="8" w:color="0000EE"/>
            </w:tcBorders>
            <w:gridSpan w:val="2"/>
            <w:vMerge w:val="continue"/>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840" w:type="dxa"/>
            <w:vAlign w:val="bottom"/>
          </w:tcPr>
          <w:p>
            <w:pPr>
              <w:ind w:left="120"/>
              <w:spacing w:after="0"/>
              <w:rPr>
                <w:sz w:val="20"/>
                <w:szCs w:val="20"/>
                <w:color w:val="auto"/>
              </w:rPr>
            </w:pPr>
            <w:r>
              <w:rPr>
                <w:rFonts w:ascii="Arial" w:cs="Arial" w:eastAsia="Arial" w:hAnsi="Arial"/>
                <w:sz w:val="14"/>
                <w:szCs w:val="14"/>
                <w:color w:val="auto"/>
              </w:rPr>
              <w:t>(First)</w:t>
            </w:r>
          </w:p>
        </w:tc>
        <w:tc>
          <w:tcPr>
            <w:tcW w:w="1800" w:type="dxa"/>
            <w:vAlign w:val="bottom"/>
          </w:tcPr>
          <w:p>
            <w:pPr>
              <w:ind w:left="5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1001 FANNIN</w:t>
            </w:r>
          </w:p>
        </w:tc>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SUITE 4000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0"/>
          <w:szCs w:val="20"/>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0000FF"/>
        </w:rPr>
        <w:t>President, Wheelabrator</w:t>
      </w:r>
    </w:p>
    <w:p>
      <w:pPr>
        <w:spacing w:after="0" w:line="406" w:lineRule="exact"/>
        <w:rPr>
          <w:sz w:val="20"/>
          <w:szCs w:val="20"/>
          <w:color w:val="auto"/>
        </w:rPr>
      </w:pPr>
    </w:p>
    <w:p>
      <w:pPr>
        <w:sectPr>
          <w:pgSz w:w="11900" w:h="16838" w:orient="portrait"/>
          <w:cols w:equalWidth="0" w:num="2">
            <w:col w:w="7980" w:space="77"/>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91"/>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w w:val="97"/>
              </w:rPr>
              <w:t>Common Stock</w:t>
            </w:r>
            <w:r>
              <w:rPr>
                <w:rFonts w:ascii="Times New Roman" w:cs="Times New Roman" w:eastAsia="Times New Roman" w:hAnsi="Times New Roman"/>
                <w:sz w:val="22"/>
                <w:szCs w:val="22"/>
                <w:color w:val="008000"/>
                <w:w w:val="97"/>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w w:val="98"/>
              </w:rPr>
              <w:t>2,845</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8"/>
                <w:szCs w:val="18"/>
                <w:color w:val="0000FF"/>
              </w:rPr>
              <w:t>13,695.3887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Restricted stock units granted pursuant to the Waste Management, Inc. 2004 Stock Incentive Plan. The restricted stock units vest in their entirety on the third anniversary of the date of grant.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4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281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2019-12-16T05:20:21Z</dcterms:created>
  <dcterms:modified xsi:type="dcterms:W3CDTF">2019-12-16T05:20:21Z</dcterms:modified>
</cp:coreProperties>
</file>