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175895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212725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1,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197485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On March 1, 2007, the Board of Directors adopted amendments to the Company’s Bylaws, effective as of that date, to revise certain provisions for administrative reasons. The amendments include adding the office of Assistant Treasurer to the list of officers provided for in Article VI and providing in Section 11.4 that resignations of members of the Board of Directors shall be delivered to the Chairman of the Board or Secretary of the Company rather than the Chief Executive Officer or Secretary. A copy of the amended and restated Bylaws is attached hereto as Exhibit 3.2.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Exhibit No.</w:t>
            </w:r>
          </w:p>
        </w:tc>
        <w:tc>
          <w:tcPr>
            <w:tcW w:w="10300" w:type="dxa"/>
            <w:vAlign w:val="bottom"/>
            <w:gridSpan w:val="3"/>
          </w:tcPr>
          <w:p>
            <w:pPr>
              <w:ind w:left="340"/>
              <w:spacing w:after="0"/>
              <w:rPr>
                <w:sz w:val="20"/>
                <w:szCs w:val="20"/>
                <w:color w:val="auto"/>
              </w:rPr>
            </w:pPr>
            <w:r>
              <w:rPr>
                <w:rFonts w:ascii="Arial" w:cs="Arial" w:eastAsia="Arial" w:hAnsi="Arial"/>
                <w:sz w:val="14"/>
                <w:szCs w:val="14"/>
                <w:color w:val="auto"/>
              </w:rPr>
              <w:t>Description</w:t>
            </w:r>
          </w:p>
        </w:tc>
      </w:tr>
      <w:tr>
        <w:trPr>
          <w:trHeight w:val="224"/>
        </w:trPr>
        <w:tc>
          <w:tcPr>
            <w:tcW w:w="120" w:type="dxa"/>
            <w:vAlign w:val="bottom"/>
          </w:tcPr>
          <w:p>
            <w:pPr>
              <w:spacing w:after="0"/>
              <w:rPr>
                <w:sz w:val="19"/>
                <w:szCs w:val="19"/>
                <w:color w:val="auto"/>
              </w:rPr>
            </w:pPr>
          </w:p>
        </w:tc>
        <w:tc>
          <w:tcPr>
            <w:tcW w:w="66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Amended</w:t>
            </w:r>
          </w:p>
        </w:tc>
        <w:tc>
          <w:tcPr>
            <w:tcW w:w="9280" w:type="dxa"/>
            <w:vAlign w:val="bottom"/>
          </w:tcPr>
          <w:p>
            <w:pPr>
              <w:ind w:left="80"/>
              <w:spacing w:after="0"/>
              <w:rPr>
                <w:sz w:val="20"/>
                <w:szCs w:val="20"/>
                <w:color w:val="auto"/>
              </w:rPr>
            </w:pPr>
            <w:r>
              <w:rPr>
                <w:rFonts w:ascii="Arial" w:cs="Arial" w:eastAsia="Arial" w:hAnsi="Arial"/>
                <w:sz w:val="18"/>
                <w:szCs w:val="18"/>
                <w:color w:val="auto"/>
              </w:rPr>
              <w:t>and Restated Bylaws</w:t>
            </w:r>
          </w:p>
        </w:tc>
      </w:tr>
      <w:tr>
        <w:trPr>
          <w:trHeight w:val="617"/>
        </w:trPr>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630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648"/>
        </w:trPr>
        <w:tc>
          <w:tcPr>
            <w:tcW w:w="3440" w:type="dxa"/>
            <w:vAlign w:val="bottom"/>
          </w:tcPr>
          <w:p>
            <w:pPr>
              <w:spacing w:after="0"/>
              <w:rPr>
                <w:sz w:val="20"/>
                <w:szCs w:val="20"/>
                <w:color w:val="auto"/>
              </w:rPr>
            </w:pPr>
            <w:r>
              <w:rPr>
                <w:rFonts w:ascii="Arial" w:cs="Arial" w:eastAsia="Arial" w:hAnsi="Arial"/>
                <w:sz w:val="18"/>
                <w:szCs w:val="18"/>
                <w:color w:val="auto"/>
              </w:rPr>
              <w:t>Date: March 2, 2007</w:t>
            </w:r>
          </w:p>
        </w:tc>
        <w:tc>
          <w:tcPr>
            <w:tcW w:w="630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right"/>
        <w:ind w:right="4039"/>
        <w:spacing w:after="0"/>
        <w:rPr>
          <w:sz w:val="20"/>
          <w:szCs w:val="20"/>
          <w:color w:val="auto"/>
        </w:rPr>
      </w:pPr>
      <w:r>
        <w:rPr>
          <w:rFonts w:ascii="Arial" w:cs="Arial" w:eastAsia="Arial" w:hAnsi="Arial"/>
          <w:sz w:val="18"/>
          <w:szCs w:val="18"/>
          <w:b w:val="1"/>
          <w:bCs w:val="1"/>
          <w:color w:val="auto"/>
        </w:rPr>
        <w:t>Exhibit List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Exhibit No.</w:t>
            </w:r>
          </w:p>
        </w:tc>
        <w:tc>
          <w:tcPr>
            <w:tcW w:w="2600" w:type="dxa"/>
            <w:vAlign w:val="bottom"/>
            <w:gridSpan w:val="3"/>
          </w:tcPr>
          <w:p>
            <w:pPr>
              <w:ind w:left="340"/>
              <w:spacing w:after="0"/>
              <w:rPr>
                <w:sz w:val="20"/>
                <w:szCs w:val="20"/>
                <w:color w:val="auto"/>
              </w:rPr>
            </w:pPr>
            <w:r>
              <w:rPr>
                <w:rFonts w:ascii="Arial" w:cs="Arial" w:eastAsia="Arial" w:hAnsi="Arial"/>
                <w:sz w:val="14"/>
                <w:szCs w:val="14"/>
                <w:color w:val="auto"/>
              </w:rPr>
              <w:t>Description</w:t>
            </w:r>
          </w:p>
        </w:tc>
      </w:tr>
      <w:tr>
        <w:trPr>
          <w:trHeight w:val="224"/>
        </w:trPr>
        <w:tc>
          <w:tcPr>
            <w:tcW w:w="66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Amended</w:t>
            </w:r>
          </w:p>
        </w:tc>
        <w:tc>
          <w:tcPr>
            <w:tcW w:w="1580" w:type="dxa"/>
            <w:vAlign w:val="bottom"/>
          </w:tcPr>
          <w:p>
            <w:pPr>
              <w:ind w:left="80"/>
              <w:spacing w:after="0"/>
              <w:rPr>
                <w:sz w:val="20"/>
                <w:szCs w:val="20"/>
                <w:color w:val="auto"/>
              </w:rPr>
            </w:pPr>
            <w:r>
              <w:rPr>
                <w:rFonts w:ascii="Arial" w:cs="Arial" w:eastAsia="Arial" w:hAnsi="Arial"/>
                <w:sz w:val="18"/>
                <w:szCs w:val="18"/>
                <w:color w:val="auto"/>
                <w:w w:val="87"/>
              </w:rPr>
              <w:t>and Restated Bylaws</w:t>
            </w:r>
          </w:p>
        </w:tc>
      </w:tr>
    </w:tbl>
    <w:p>
      <w:pPr>
        <w:sectPr>
          <w:pgSz w:w="11900" w:h="16838" w:orient="portrait"/>
          <w:cols w:equalWidth="0" w:num="1">
            <w:col w:w="10099"/>
          </w:cols>
          <w:pgMar w:left="36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1, 2007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1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4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73"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who has charge of the stock ledger of the Corporation shall prepare and make, at least 10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t>during ordinary business hours at the principal place of business of the Corporation. The list shall also be produced and kept at the time and place of the meeting during the whole time thereof, and may be inspected by any stockholder who is present.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79"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73" w:lineRule="exact"/>
        <w:rPr>
          <w:sz w:val="20"/>
          <w:szCs w:val="20"/>
          <w:color w:val="auto"/>
        </w:rPr>
      </w:pPr>
    </w:p>
    <w:p>
      <w:pPr>
        <w:jc w:val="both"/>
        <w:ind w:right="160" w:firstLine="225"/>
        <w:spacing w:after="0" w:line="28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Special Meeting</w:t>
      </w:r>
      <w:r>
        <w:rPr>
          <w:rFonts w:ascii="Arial" w:cs="Arial" w:eastAsia="Arial" w:hAnsi="Arial"/>
          <w:sz w:val="17"/>
          <w:szCs w:val="17"/>
          <w:color w:val="auto"/>
        </w:rPr>
        <w:t>. Special meetings of the stockholders, for any purpose or purposes, may be called by the Chairman of the Board (if any), the Chief Executive Officer, or by written order of a majority of the Board of Directors, but such special meetings may not be called by any other person or persons. Business transacted at any special meeting of stockholders shall be limited to the purposes stated in the notice.</w:t>
      </w:r>
    </w:p>
    <w:p>
      <w:pPr>
        <w:spacing w:after="0" w:line="5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thereat.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and reviewed by a recipient thereof, and that may be directly reproduced in paper form by such a recipient.</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4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or if after the adjournment a new record date is fixed for the adjourned meeting, a notice of the adjourned meeting shall be given to each stockholder of record entitled to vote at the meeting.</w:t>
      </w:r>
    </w:p>
    <w:p>
      <w:pPr>
        <w:spacing w:after="0" w:line="81"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firstLine="225"/>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85"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71"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46" w:lineRule="exact"/>
        <w:rPr>
          <w:sz w:val="20"/>
          <w:szCs w:val="20"/>
          <w:color w:val="auto"/>
        </w:rPr>
      </w:pPr>
    </w:p>
    <w:p>
      <w:pPr>
        <w:ind w:left="700" w:hanging="23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117" w:lineRule="exact"/>
        <w:rPr>
          <w:rFonts w:ascii="Arial" w:cs="Arial" w:eastAsia="Arial" w:hAnsi="Arial"/>
          <w:sz w:val="18"/>
          <w:szCs w:val="18"/>
          <w:color w:val="auto"/>
        </w:rPr>
      </w:pPr>
    </w:p>
    <w:p>
      <w:pPr>
        <w:ind w:left="240" w:right="120" w:firstLine="221"/>
        <w:spacing w:after="0" w:line="257" w:lineRule="auto"/>
        <w:tabs>
          <w:tab w:leader="none" w:pos="71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80" w:lineRule="exact"/>
        <w:rPr>
          <w:sz w:val="20"/>
          <w:szCs w:val="20"/>
          <w:color w:val="auto"/>
        </w:rPr>
      </w:pPr>
    </w:p>
    <w:p>
      <w:pPr>
        <w:ind w:right="800" w:firstLine="215"/>
        <w:spacing w:after="0" w:line="277" w:lineRule="auto"/>
        <w:rPr>
          <w:sz w:val="20"/>
          <w:szCs w:val="20"/>
          <w:color w:val="auto"/>
        </w:rPr>
      </w:pPr>
      <w:r>
        <w:rPr>
          <w:rFonts w:ascii="Arial" w:cs="Arial" w:eastAsia="Arial" w:hAnsi="Arial"/>
          <w:sz w:val="18"/>
          <w:szCs w:val="18"/>
          <w:color w:val="auto"/>
        </w:rPr>
        <w:t>All voting of stockholders shall be taken by written ballots, each of which shall state the name of the stockholder or proxy voting and such other information as may be required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under the procedure established for the meeting. All proxies submitted to management may be voted by a master ballot.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17"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8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Calling of meeting to order.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2" w:lineRule="exact"/>
        <w:rPr>
          <w:sz w:val="20"/>
          <w:szCs w:val="20"/>
          <w:color w:val="auto"/>
        </w:rPr>
      </w:pPr>
    </w:p>
    <w:p>
      <w:pPr>
        <w:ind w:right="100" w:firstLine="8"/>
        <w:spacing w:after="0" w:line="253"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8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17" w:lineRule="exact"/>
        <w:rPr>
          <w:sz w:val="20"/>
          <w:szCs w:val="20"/>
          <w:color w:val="auto"/>
        </w:rPr>
      </w:pPr>
    </w:p>
    <w:p>
      <w:pPr>
        <w:ind w:firstLine="233"/>
        <w:spacing w:after="0" w:line="257"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7"/>
          <w:szCs w:val="17"/>
          <w:color w:val="auto"/>
        </w:rPr>
        <w:t>in the case of determination of stockholders entitled to vote at any meeting of stockholders or adjournment thereof, shall, unless otherwise required by law, not be more than 60 nor less than 10 days before the date of such meeting; (2) in the case of determination of stockholders entitled to express consent to corporate action in writing without a meeting, shall not be more than 10 days after the date upon which the resolution fixing the record date is adopted by the Board of Directors; and (3) in the case of any other action, shall not be more than 60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80" w:lineRule="exact"/>
        <w:rPr>
          <w:sz w:val="20"/>
          <w:szCs w:val="20"/>
          <w:color w:val="auto"/>
        </w:rPr>
      </w:pPr>
    </w:p>
    <w:p>
      <w:pPr>
        <w:ind w:right="40" w:firstLine="233"/>
        <w:spacing w:after="0" w:line="270"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2.12(b)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69" w:lineRule="exact"/>
        <w:rPr>
          <w:rFonts w:ascii="Arial" w:cs="Arial" w:eastAsia="Arial" w:hAnsi="Arial"/>
          <w:sz w:val="17"/>
          <w:szCs w:val="17"/>
          <w:color w:val="auto"/>
        </w:rPr>
      </w:pPr>
    </w:p>
    <w:p>
      <w:pPr>
        <w:ind w:right="20" w:firstLine="233"/>
        <w:spacing w:after="0" w:line="259" w:lineRule="auto"/>
        <w:tabs>
          <w:tab w:leader="none" w:pos="47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180" w:firstLine="225"/>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Stockholder Proposals</w:t>
      </w:r>
      <w:r>
        <w:rPr>
          <w:rFonts w:ascii="Arial" w:cs="Arial" w:eastAsia="Arial" w:hAnsi="Arial"/>
          <w:sz w:val="18"/>
          <w:szCs w:val="18"/>
          <w:color w:val="auto"/>
        </w:rPr>
        <w:t>.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Chief Executive Officer, or the Board of Directors, (b) otherwise properly brought before the meeting by or at the direction of the Chairman of the Board, the Chief Executive Officer, or the Board of Directors, or (c) otherwise properly brought before the meeting by a stockholder.</w:t>
      </w:r>
    </w:p>
    <w:p>
      <w:pPr>
        <w:spacing w:after="0" w:line="80"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(e) any material interest of the stockholder in such proposal, (f) a representation that the stockholder is a holder of record of stock of the Corporation entitled to vote at such meeting and intends to appear in person or by proxy at the meeting to propose such business and (g) a representation whether the stockholder or the beneficial owner, if any, intends or is part of a group which intends (x) to deliver a proxy statement and/or form of proxy to holders of at least the percentage of the Corporation’s outstanding capital stock required to approve or adopt the proposal and/or (y) otherwise solicit proxies from stockholders in support of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in the event that the date of the annual meeting is more than</w:t>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20" w:firstLine="222"/>
        <w:spacing w:after="0" w:line="273" w:lineRule="auto"/>
        <w:rPr>
          <w:sz w:val="20"/>
          <w:szCs w:val="20"/>
          <w:color w:val="auto"/>
        </w:rPr>
      </w:pPr>
      <w:r>
        <w:rPr>
          <w:rFonts w:ascii="Arial" w:cs="Arial" w:eastAsia="Arial" w:hAnsi="Arial"/>
          <w:sz w:val="17"/>
          <w:szCs w:val="17"/>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2.13. Notwithstanding anything in these by-laws to the contrary, no business shall be conducted at any annual or special meeting except in accordance with the procedures set forth in this Section 2.13. The chairman of the annual meeting or a special meeting shall, if the facts warrant, determine and declare to the meeting that business was not properly brought before the meeting and in accordance with the provisions of this Section 2.13, and if he should so determine, he shall so declare to the meeting and any such business not properly brought before the meeting shall not be transacted.</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64"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2.14.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8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Each such notice shall set forth: (a) the name and address of the stockholder who intends to make the nomination; (b) the name, age, business address, and home address of the person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t>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74"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No person shall be eligible for election as a director of the Corporation unless nominated in accordance with the procedures set forth in this Section 2.14. The chairman of the meeting shall, if the facts warrant, determine and declare to the meeting that a nomination was not made in accordance with the procedures prescribed by these by-laws, and if he should so determine, he shall so declare to the meeting and the defective nomination shall be disregarded.</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BOARD OF DIRECTORS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7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six and no more than ten. Unless otherwise provided in the Certificate of Incorporation, directors need not be residents of the State of Delaware or stockholders of the Corporation.</w:t>
      </w:r>
    </w:p>
    <w:p>
      <w:pPr>
        <w:spacing w:after="0" w:line="5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Each director, other than those who may be elected by the holders of any class or series of Preferred Stock, voting separately by class or series, shall be elected by the vote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t>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59"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85"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57" w:lineRule="exact"/>
        <w:rPr>
          <w:sz w:val="20"/>
          <w:szCs w:val="20"/>
          <w:color w:val="auto"/>
        </w:rPr>
      </w:pPr>
    </w:p>
    <w:p>
      <w:pPr>
        <w:ind w:right="660" w:firstLine="225"/>
        <w:spacing w:after="0" w:line="30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Special Meeting</w:t>
      </w:r>
      <w:r>
        <w:rPr>
          <w:rFonts w:ascii="Arial" w:cs="Arial" w:eastAsia="Arial" w:hAnsi="Arial"/>
          <w:sz w:val="17"/>
          <w:szCs w:val="17"/>
          <w:color w:val="auto"/>
        </w:rPr>
        <w:t>. A special meeting of the Board of Directors may be called by the Chairman of the Board (if any) or by the Chief Executive Officer and shall be called by the Secretary on the written request of a majority of the directors. The Chairman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ind w:right="740"/>
        <w:spacing w:after="0" w:line="277" w:lineRule="auto"/>
        <w:rPr>
          <w:sz w:val="20"/>
          <w:szCs w:val="20"/>
          <w:color w:val="auto"/>
        </w:rPr>
      </w:pPr>
      <w:r>
        <w:rPr>
          <w:rFonts w:ascii="Arial" w:cs="Arial" w:eastAsia="Arial" w:hAnsi="Arial"/>
          <w:sz w:val="18"/>
          <w:szCs w:val="18"/>
          <w:color w:val="auto"/>
        </w:rPr>
        <w:t>Chief Executive Officer so calling, or the directors so requesting, any such meeting shall fix the time and place, either within or without the State of Delaware, of holding such meeting.</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85"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Place of Meetings; Order of Business</w:t>
      </w:r>
      <w:r>
        <w:rPr>
          <w:rFonts w:ascii="Arial" w:cs="Arial" w:eastAsia="Arial" w:hAnsi="Arial"/>
          <w:sz w:val="17"/>
          <w:szCs w:val="17"/>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7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4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60"/>
        <w:spacing w:after="0" w:line="342" w:lineRule="auto"/>
        <w:rPr>
          <w:sz w:val="20"/>
          <w:szCs w:val="20"/>
          <w:color w:val="auto"/>
        </w:rPr>
      </w:pPr>
      <w:r>
        <w:rPr>
          <w:rFonts w:ascii="Arial" w:cs="Arial" w:eastAsia="Arial" w:hAnsi="Arial"/>
          <w:sz w:val="16"/>
          <w:szCs w:val="16"/>
          <w:color w:val="auto"/>
        </w:rPr>
        <w:t>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6"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85"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73"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5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ARTICLE IV</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Designation, Powers and Name</w:t>
      </w:r>
      <w:r>
        <w:rPr>
          <w:rFonts w:ascii="Arial" w:cs="Arial" w:eastAsia="Arial" w:hAnsi="Arial"/>
          <w:sz w:val="17"/>
          <w:szCs w:val="17"/>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75"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Meetings; Quorum</w:t>
      </w:r>
      <w:r>
        <w:rPr>
          <w:rFonts w:ascii="Arial" w:cs="Arial" w:eastAsia="Arial" w:hAnsi="Arial"/>
          <w:sz w:val="17"/>
          <w:szCs w:val="17"/>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70"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Compensation</w:t>
      </w:r>
      <w:r>
        <w:rPr>
          <w:rFonts w:ascii="Arial" w:cs="Arial" w:eastAsia="Arial" w:hAnsi="Arial"/>
          <w:sz w:val="17"/>
          <w:szCs w:val="17"/>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ARTICLE V</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Methods of Giving Notice</w:t>
      </w:r>
      <w:r>
        <w:rPr>
          <w:rFonts w:ascii="Arial" w:cs="Arial" w:eastAsia="Arial" w:hAnsi="Arial"/>
          <w:sz w:val="18"/>
          <w:szCs w:val="18"/>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Any such notice shall be deemed to have been given on the date such transmission is sent.</w:t>
      </w:r>
    </w:p>
    <w:p>
      <w:pPr>
        <w:spacing w:after="0" w:line="8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Written Waiver</w:t>
      </w:r>
      <w:r>
        <w:rPr>
          <w:rFonts w:ascii="Arial" w:cs="Arial" w:eastAsia="Arial" w:hAnsi="Arial"/>
          <w:sz w:val="17"/>
          <w:szCs w:val="17"/>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117"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Officers</w:t>
      </w:r>
      <w:r>
        <w:rPr>
          <w:rFonts w:ascii="Arial" w:cs="Arial" w:eastAsia="Arial" w:hAnsi="Arial"/>
          <w:sz w:val="18"/>
          <w:szCs w:val="18"/>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7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85"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Succession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80"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85"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Vice Chairman of the Board</w:t>
      </w:r>
      <w:r>
        <w:rPr>
          <w:rFonts w:ascii="Arial" w:cs="Arial" w:eastAsia="Arial" w:hAnsi="Arial"/>
          <w:sz w:val="18"/>
          <w:szCs w:val="18"/>
          <w:color w:val="auto"/>
        </w:rPr>
        <w:t>. In the absence of the Chairman of the Board, or in the event of his inability or refusal to act, the Vice Chairman (if any, but if there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240"/>
        <w:spacing w:after="0" w:line="276" w:lineRule="auto"/>
        <w:rPr>
          <w:sz w:val="20"/>
          <w:szCs w:val="20"/>
          <w:color w:val="auto"/>
        </w:rPr>
      </w:pPr>
      <w:r>
        <w:rPr>
          <w:rFonts w:ascii="Arial" w:cs="Arial" w:eastAsia="Arial" w:hAnsi="Arial"/>
          <w:sz w:val="17"/>
          <w:szCs w:val="17"/>
          <w:color w:val="auto"/>
        </w:rPr>
        <w:t>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6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70"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39"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40"/>
        <w:spacing w:after="0" w:line="254" w:lineRule="auto"/>
        <w:rPr>
          <w:sz w:val="20"/>
          <w:szCs w:val="20"/>
          <w:color w:val="auto"/>
        </w:rPr>
      </w:pPr>
      <w:r>
        <w:rPr>
          <w:rFonts w:ascii="Arial" w:cs="Arial" w:eastAsia="Arial" w:hAnsi="Arial"/>
          <w:sz w:val="18"/>
          <w:szCs w:val="18"/>
          <w:color w:val="auto"/>
        </w:rPr>
        <w:t>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8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8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8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79"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right="100"/>
        <w:spacing w:after="0" w:line="293" w:lineRule="auto"/>
        <w:rPr>
          <w:sz w:val="20"/>
          <w:szCs w:val="20"/>
          <w:color w:val="auto"/>
        </w:rPr>
      </w:pPr>
      <w:r>
        <w:rPr>
          <w:rFonts w:ascii="Arial" w:cs="Arial" w:eastAsia="Arial" w:hAnsi="Arial"/>
          <w:sz w:val="16"/>
          <w:szCs w:val="16"/>
          <w:color w:val="auto"/>
        </w:rPr>
        <w:t>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5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8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Assistant Secretary, Assistant Treasurer or Assistant Controller</w:t>
      </w:r>
      <w:r>
        <w:rPr>
          <w:rFonts w:ascii="Arial" w:cs="Arial" w:eastAsia="Arial" w:hAnsi="Arial"/>
          <w:sz w:val="18"/>
          <w:szCs w:val="18"/>
          <w:color w:val="auto"/>
        </w:rPr>
        <w:t>. The Assistant Secretaries, Assistant Treasurers and Assistant Controllers shall, in general, perform such duties and have such powers as shall be assigned to them by the Secretary, the Treasurer or the Controller,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give bonds for the faithful discharge of their duties in such sums and with such sureties as the Board of Directors shall determine.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1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6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7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63"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Loans</w:t>
      </w:r>
      <w:r>
        <w:rPr>
          <w:rFonts w:ascii="Arial" w:cs="Arial" w:eastAsia="Arial" w:hAnsi="Arial"/>
          <w:sz w:val="17"/>
          <w:szCs w:val="17"/>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right="100"/>
        <w:spacing w:after="0" w:line="259" w:lineRule="auto"/>
        <w:rPr>
          <w:sz w:val="20"/>
          <w:szCs w:val="20"/>
          <w:color w:val="auto"/>
        </w:rPr>
      </w:pPr>
      <w:r>
        <w:rPr>
          <w:rFonts w:ascii="Arial" w:cs="Arial" w:eastAsia="Arial" w:hAnsi="Arial"/>
          <w:sz w:val="18"/>
          <w:szCs w:val="18"/>
          <w:color w:val="auto"/>
        </w:rPr>
        <w:t>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17"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Issuance</w:t>
      </w:r>
      <w:r>
        <w:rPr>
          <w:rFonts w:ascii="Arial" w:cs="Arial" w:eastAsia="Arial" w:hAnsi="Arial"/>
          <w:sz w:val="17"/>
          <w:szCs w:val="17"/>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shall send to the registered owner thereof a written notice containing the information required to be set forth or stated on certificates pursuant to this</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53" w:lineRule="exact"/>
        <w:rPr>
          <w:sz w:val="20"/>
          <w:szCs w:val="20"/>
          <w:color w:val="auto"/>
        </w:rPr>
      </w:pPr>
    </w:p>
    <w:p>
      <w:pPr>
        <w:ind w:right="320" w:firstLine="215"/>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57" w:lineRule="exact"/>
        <w:rPr>
          <w:sz w:val="20"/>
          <w:szCs w:val="20"/>
          <w:color w:val="auto"/>
        </w:rPr>
      </w:pPr>
    </w:p>
    <w:p>
      <w:pPr>
        <w:ind w:right="260" w:firstLine="225"/>
        <w:spacing w:after="0" w:line="27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Lost, Stolen or Destroyed; Issuance of New Certificates</w:t>
      </w:r>
      <w:r>
        <w:rPr>
          <w:rFonts w:ascii="Arial" w:cs="Arial" w:eastAsia="Arial" w:hAnsi="Arial"/>
          <w:sz w:val="17"/>
          <w:szCs w:val="17"/>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70"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7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right="260" w:firstLine="225"/>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7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Reserve</w:t>
      </w:r>
      <w:r>
        <w:rPr>
          <w:rFonts w:ascii="Arial" w:cs="Arial" w:eastAsia="Arial" w:hAnsi="Arial"/>
          <w:sz w:val="17"/>
          <w:szCs w:val="17"/>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Third Party Actions</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right="60"/>
        <w:spacing w:after="0" w:line="257" w:lineRule="auto"/>
        <w:rPr>
          <w:sz w:val="20"/>
          <w:szCs w:val="20"/>
          <w:color w:val="auto"/>
        </w:rPr>
      </w:pPr>
      <w:r>
        <w:rPr>
          <w:rFonts w:ascii="Arial" w:cs="Arial" w:eastAsia="Arial" w:hAnsi="Arial"/>
          <w:sz w:val="18"/>
          <w:szCs w:val="18"/>
          <w:color w:val="auto"/>
        </w:rPr>
        <w:t>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8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6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73"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8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t>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57"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79"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Survival; Preservation of Other Rights</w:t>
      </w:r>
      <w:r>
        <w:rPr>
          <w:rFonts w:ascii="Arial" w:cs="Arial" w:eastAsia="Arial" w:hAnsi="Arial"/>
          <w:sz w:val="18"/>
          <w:szCs w:val="18"/>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89"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repeal or modification of the foregoing provisions of this Article X shall not adversely affect any right or protection hereunder of any person entitled to indemnification hereunder in respect of any act or omission occurring prior to the time of such repeal or modification.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THIS PAGE INTENTIONALLY LEFT BLANK</w:t>
      </w:r>
    </w:p>
    <w:p>
      <w:pPr>
        <w:sectPr>
          <w:pgSz w:w="11900" w:h="16838" w:orient="portrait"/>
          <w:cols w:equalWidth="0" w:num="1">
            <w:col w:w="9019"/>
          </w:cols>
          <w:pgMar w:left="1440" w:top="958"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color w:val="auto"/>
        </w:rPr>
        <w:t>ARTICLE XI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38"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(i) the Chairman of the Board or Secretary if the resignation is from a director or committee member, or (ii) the Chief Executive Officer or Secretary if the resignation is from an officer. The acceptance of a resignation shall not be necessary to make it effective, unless expressly so provided in the resignation.</w:t>
      </w:r>
    </w:p>
    <w:p>
      <w:pPr>
        <w:spacing w:after="0" w:line="79"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3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9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2019-12-11T20:47:54Z</dcterms:created>
  <dcterms:modified xsi:type="dcterms:W3CDTF">2019-12-11T20:47:54Z</dcterms:modified>
</cp:coreProperties>
</file>