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320" w:type="dxa"/>
            <w:vAlign w:val="bottom"/>
          </w:tcPr>
          <w:p>
            <w:pPr>
              <w:jc w:val="right"/>
              <w:spacing w:after="0"/>
              <w:rPr>
                <w:sz w:val="20"/>
                <w:szCs w:val="20"/>
                <w:color w:val="auto"/>
              </w:rPr>
            </w:pPr>
            <w:r>
              <w:rPr>
                <w:rFonts w:ascii="Arial" w:cs="Arial" w:eastAsia="Arial" w:hAnsi="Arial"/>
                <w:sz w:val="18"/>
                <w:szCs w:val="18"/>
                <w:color w:val="auto"/>
              </w:rPr>
              <w:t>Filed Pursuant to Rule 433</w:t>
            </w:r>
          </w:p>
        </w:tc>
      </w:tr>
      <w:tr>
        <w:trPr>
          <w:trHeight w:val="216"/>
        </w:trPr>
        <w:tc>
          <w:tcPr>
            <w:tcW w:w="3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320" w:type="dxa"/>
            <w:vAlign w:val="bottom"/>
          </w:tcPr>
          <w:p>
            <w:pPr>
              <w:jc w:val="right"/>
              <w:spacing w:after="0"/>
              <w:rPr>
                <w:sz w:val="20"/>
                <w:szCs w:val="20"/>
                <w:color w:val="auto"/>
              </w:rPr>
            </w:pPr>
            <w:r>
              <w:rPr>
                <w:rFonts w:ascii="Arial" w:cs="Arial" w:eastAsia="Arial" w:hAnsi="Arial"/>
                <w:sz w:val="18"/>
                <w:szCs w:val="18"/>
                <w:color w:val="auto"/>
                <w:w w:val="98"/>
              </w:rPr>
              <w:t>Issuer Free Writing Prospectus dated February 23, 2009 Relating to</w:t>
            </w:r>
          </w:p>
        </w:tc>
      </w:tr>
      <w:tr>
        <w:trPr>
          <w:trHeight w:val="216"/>
        </w:trPr>
        <w:tc>
          <w:tcPr>
            <w:tcW w:w="3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320" w:type="dxa"/>
            <w:vAlign w:val="bottom"/>
          </w:tcPr>
          <w:p>
            <w:pPr>
              <w:jc w:val="right"/>
              <w:spacing w:after="0"/>
              <w:rPr>
                <w:sz w:val="20"/>
                <w:szCs w:val="20"/>
                <w:color w:val="auto"/>
              </w:rPr>
            </w:pPr>
            <w:r>
              <w:rPr>
                <w:rFonts w:ascii="Arial" w:cs="Arial" w:eastAsia="Arial" w:hAnsi="Arial"/>
                <w:sz w:val="18"/>
                <w:szCs w:val="18"/>
                <w:color w:val="auto"/>
              </w:rPr>
              <w:t>Preliminary Prospectus Supplement dated February 23, 2009</w:t>
            </w:r>
          </w:p>
        </w:tc>
      </w:tr>
      <w:tr>
        <w:trPr>
          <w:trHeight w:val="216"/>
        </w:trPr>
        <w:tc>
          <w:tcPr>
            <w:tcW w:w="3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320" w:type="dxa"/>
            <w:vAlign w:val="bottom"/>
          </w:tcPr>
          <w:p>
            <w:pPr>
              <w:jc w:val="right"/>
              <w:spacing w:after="0"/>
              <w:rPr>
                <w:sz w:val="20"/>
                <w:szCs w:val="20"/>
                <w:color w:val="auto"/>
              </w:rPr>
            </w:pPr>
            <w:r>
              <w:rPr>
                <w:rFonts w:ascii="Arial" w:cs="Arial" w:eastAsia="Arial" w:hAnsi="Arial"/>
                <w:sz w:val="18"/>
                <w:szCs w:val="18"/>
                <w:color w:val="auto"/>
              </w:rPr>
              <w:t>to Prospectus dated September 22, 2006</w:t>
            </w:r>
          </w:p>
        </w:tc>
      </w:tr>
      <w:tr>
        <w:trPr>
          <w:trHeight w:val="230"/>
        </w:trPr>
        <w:tc>
          <w:tcPr>
            <w:tcW w:w="36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20" w:type="dxa"/>
            <w:vAlign w:val="bottom"/>
          </w:tcPr>
          <w:p>
            <w:pPr>
              <w:jc w:val="right"/>
              <w:spacing w:after="0"/>
              <w:rPr>
                <w:sz w:val="20"/>
                <w:szCs w:val="20"/>
                <w:color w:val="auto"/>
              </w:rPr>
            </w:pPr>
            <w:r>
              <w:rPr>
                <w:rFonts w:ascii="Arial" w:cs="Arial" w:eastAsia="Arial" w:hAnsi="Arial"/>
                <w:sz w:val="18"/>
                <w:szCs w:val="18"/>
                <w:color w:val="auto"/>
              </w:rPr>
              <w:t>Registration Statement No. 333-137526</w:t>
            </w:r>
          </w:p>
        </w:tc>
      </w:tr>
      <w:tr>
        <w:trPr>
          <w:trHeight w:val="522"/>
        </w:trPr>
        <w:tc>
          <w:tcPr>
            <w:tcW w:w="3640" w:type="dxa"/>
            <w:vAlign w:val="bottom"/>
          </w:tcPr>
          <w:p>
            <w:pPr>
              <w:spacing w:after="0"/>
              <w:rPr>
                <w:sz w:val="24"/>
                <w:szCs w:val="24"/>
                <w:color w:val="auto"/>
              </w:rPr>
            </w:pPr>
          </w:p>
        </w:tc>
        <w:tc>
          <w:tcPr>
            <w:tcW w:w="7780" w:type="dxa"/>
            <w:vAlign w:val="bottom"/>
            <w:gridSpan w:val="2"/>
          </w:tcPr>
          <w:p>
            <w:pPr>
              <w:ind w:left="1100"/>
              <w:spacing w:after="0"/>
              <w:rPr>
                <w:sz w:val="20"/>
                <w:szCs w:val="20"/>
                <w:color w:val="auto"/>
              </w:rPr>
            </w:pPr>
            <w:r>
              <w:rPr>
                <w:rFonts w:ascii="Arial" w:cs="Arial" w:eastAsia="Arial" w:hAnsi="Arial"/>
                <w:sz w:val="18"/>
                <w:szCs w:val="18"/>
                <w:b w:val="1"/>
                <w:bCs w:val="1"/>
                <w:color w:val="auto"/>
              </w:rPr>
              <w:t>Final Pricing Term Sheet</w:t>
            </w:r>
          </w:p>
        </w:tc>
      </w:tr>
      <w:tr>
        <w:trPr>
          <w:trHeight w:val="216"/>
        </w:trPr>
        <w:tc>
          <w:tcPr>
            <w:tcW w:w="3640" w:type="dxa"/>
            <w:vAlign w:val="bottom"/>
          </w:tcPr>
          <w:p>
            <w:pPr>
              <w:spacing w:after="0"/>
              <w:rPr>
                <w:sz w:val="18"/>
                <w:szCs w:val="18"/>
                <w:color w:val="auto"/>
              </w:rPr>
            </w:pPr>
          </w:p>
        </w:tc>
        <w:tc>
          <w:tcPr>
            <w:tcW w:w="7780" w:type="dxa"/>
            <w:vAlign w:val="bottom"/>
            <w:gridSpan w:val="2"/>
          </w:tcPr>
          <w:p>
            <w:pPr>
              <w:ind w:left="900"/>
              <w:spacing w:after="0"/>
              <w:rPr>
                <w:sz w:val="20"/>
                <w:szCs w:val="20"/>
                <w:color w:val="auto"/>
              </w:rPr>
            </w:pPr>
            <w:r>
              <w:rPr>
                <w:rFonts w:ascii="Arial" w:cs="Arial" w:eastAsia="Arial" w:hAnsi="Arial"/>
                <w:sz w:val="18"/>
                <w:szCs w:val="18"/>
                <w:b w:val="1"/>
                <w:bCs w:val="1"/>
                <w:color w:val="auto"/>
              </w:rPr>
              <w:t>6.375% Senior Notes due 2015</w:t>
            </w:r>
          </w:p>
        </w:tc>
      </w:tr>
      <w:tr>
        <w:trPr>
          <w:trHeight w:val="234"/>
        </w:trPr>
        <w:tc>
          <w:tcPr>
            <w:tcW w:w="3640" w:type="dxa"/>
            <w:vAlign w:val="bottom"/>
          </w:tcPr>
          <w:p>
            <w:pPr>
              <w:spacing w:after="0"/>
              <w:rPr>
                <w:sz w:val="20"/>
                <w:szCs w:val="20"/>
                <w:color w:val="auto"/>
              </w:rPr>
            </w:pPr>
          </w:p>
        </w:tc>
        <w:tc>
          <w:tcPr>
            <w:tcW w:w="7780" w:type="dxa"/>
            <w:vAlign w:val="bottom"/>
            <w:gridSpan w:val="2"/>
          </w:tcPr>
          <w:p>
            <w:pPr>
              <w:ind w:left="900"/>
              <w:spacing w:after="0"/>
              <w:rPr>
                <w:sz w:val="20"/>
                <w:szCs w:val="20"/>
                <w:color w:val="auto"/>
              </w:rPr>
            </w:pPr>
            <w:r>
              <w:rPr>
                <w:rFonts w:ascii="Arial" w:cs="Arial" w:eastAsia="Arial" w:hAnsi="Arial"/>
                <w:sz w:val="18"/>
                <w:szCs w:val="18"/>
                <w:b w:val="1"/>
                <w:bCs w:val="1"/>
                <w:color w:val="auto"/>
              </w:rPr>
              <w:t>7.375% Senior Notes due 2019</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Issuer:</w:t>
            </w: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Waste Management,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Guarantor:</w:t>
            </w: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Waste Management Holdings, Inc.</w:t>
            </w:r>
          </w:p>
        </w:tc>
      </w:tr>
      <w:tr>
        <w:trPr>
          <w:trHeight w:val="418"/>
        </w:trPr>
        <w:tc>
          <w:tcPr>
            <w:tcW w:w="3640" w:type="dxa"/>
            <w:vAlign w:val="bottom"/>
          </w:tcPr>
          <w:p>
            <w:pPr>
              <w:spacing w:after="0"/>
              <w:rPr>
                <w:sz w:val="20"/>
                <w:szCs w:val="20"/>
                <w:color w:val="auto"/>
              </w:rPr>
            </w:pPr>
            <w:r>
              <w:rPr>
                <w:rFonts w:ascii="Arial" w:cs="Arial" w:eastAsia="Arial" w:hAnsi="Arial"/>
                <w:sz w:val="18"/>
                <w:szCs w:val="18"/>
                <w:color w:val="auto"/>
              </w:rPr>
              <w:t>Size:</w:t>
            </w: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w w:val="97"/>
              </w:rPr>
              <w:t>$800,000,000 (including $350,000,000 aggregate principal amount of the</w:t>
            </w:r>
          </w:p>
        </w:tc>
      </w:tr>
      <w:tr>
        <w:trPr>
          <w:trHeight w:val="216"/>
        </w:trPr>
        <w:tc>
          <w:tcPr>
            <w:tcW w:w="3640" w:type="dxa"/>
            <w:vAlign w:val="bottom"/>
          </w:tcPr>
          <w:p>
            <w:pPr>
              <w:spacing w:after="0"/>
              <w:rPr>
                <w:sz w:val="18"/>
                <w:szCs w:val="18"/>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w w:val="93"/>
              </w:rPr>
              <w:t>6.375% Senior Notes due 2015 (“2015 Notes”) and $450,000,000 aggregate</w:t>
            </w:r>
          </w:p>
        </w:tc>
      </w:tr>
      <w:tr>
        <w:trPr>
          <w:trHeight w:val="230"/>
        </w:trPr>
        <w:tc>
          <w:tcPr>
            <w:tcW w:w="3640" w:type="dxa"/>
            <w:vAlign w:val="bottom"/>
          </w:tcPr>
          <w:p>
            <w:pPr>
              <w:spacing w:after="0"/>
              <w:rPr>
                <w:sz w:val="20"/>
                <w:szCs w:val="20"/>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principal amount of the 7.375% Senior Notes due 2019 (“2019 Notes”))</w:t>
            </w:r>
          </w:p>
        </w:tc>
      </w:tr>
      <w:tr>
        <w:trPr>
          <w:trHeight w:val="418"/>
        </w:trPr>
        <w:tc>
          <w:tcPr>
            <w:tcW w:w="3640" w:type="dxa"/>
            <w:vAlign w:val="bottom"/>
          </w:tcPr>
          <w:p>
            <w:pPr>
              <w:spacing w:after="0"/>
              <w:rPr>
                <w:sz w:val="20"/>
                <w:szCs w:val="20"/>
                <w:color w:val="auto"/>
              </w:rPr>
            </w:pPr>
            <w:r>
              <w:rPr>
                <w:rFonts w:ascii="Arial" w:cs="Arial" w:eastAsia="Arial" w:hAnsi="Arial"/>
                <w:sz w:val="18"/>
                <w:szCs w:val="18"/>
                <w:color w:val="auto"/>
              </w:rPr>
              <w:t>Maturity:</w:t>
            </w:r>
          </w:p>
        </w:tc>
        <w:tc>
          <w:tcPr>
            <w:tcW w:w="2460" w:type="dxa"/>
            <w:vAlign w:val="bottom"/>
          </w:tcPr>
          <w:p>
            <w:pPr>
              <w:ind w:left="2080"/>
              <w:spacing w:after="0"/>
              <w:rPr>
                <w:sz w:val="20"/>
                <w:szCs w:val="20"/>
                <w:color w:val="auto"/>
              </w:rPr>
            </w:pPr>
            <w:r>
              <w:rPr>
                <w:rFonts w:ascii="Arial" w:cs="Arial" w:eastAsia="Arial" w:hAnsi="Arial"/>
                <w:sz w:val="18"/>
                <w:szCs w:val="18"/>
                <w:color w:val="auto"/>
                <w:w w:val="89"/>
              </w:rPr>
              <w:t>2015</w:t>
            </w:r>
          </w:p>
        </w:tc>
        <w:tc>
          <w:tcPr>
            <w:tcW w:w="5320" w:type="dxa"/>
            <w:vAlign w:val="bottom"/>
          </w:tcPr>
          <w:p>
            <w:pPr>
              <w:ind w:left="20"/>
              <w:spacing w:after="0"/>
              <w:rPr>
                <w:sz w:val="20"/>
                <w:szCs w:val="20"/>
                <w:color w:val="auto"/>
              </w:rPr>
            </w:pPr>
            <w:r>
              <w:rPr>
                <w:rFonts w:ascii="Arial" w:cs="Arial" w:eastAsia="Arial" w:hAnsi="Arial"/>
                <w:sz w:val="18"/>
                <w:szCs w:val="18"/>
                <w:color w:val="auto"/>
              </w:rPr>
              <w:t>Notes — March 11, 2015</w:t>
            </w:r>
          </w:p>
        </w:tc>
      </w:tr>
      <w:tr>
        <w:trPr>
          <w:trHeight w:val="230"/>
        </w:trPr>
        <w:tc>
          <w:tcPr>
            <w:tcW w:w="3640" w:type="dxa"/>
            <w:vAlign w:val="bottom"/>
          </w:tcPr>
          <w:p>
            <w:pPr>
              <w:spacing w:after="0"/>
              <w:rPr>
                <w:sz w:val="20"/>
                <w:szCs w:val="20"/>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2019 Notes — March 11, 2019</w:t>
            </w:r>
          </w:p>
        </w:tc>
      </w:tr>
      <w:tr>
        <w:trPr>
          <w:trHeight w:val="418"/>
        </w:trPr>
        <w:tc>
          <w:tcPr>
            <w:tcW w:w="3640" w:type="dxa"/>
            <w:vAlign w:val="bottom"/>
          </w:tcPr>
          <w:p>
            <w:pPr>
              <w:spacing w:after="0"/>
              <w:rPr>
                <w:sz w:val="20"/>
                <w:szCs w:val="20"/>
                <w:color w:val="auto"/>
              </w:rPr>
            </w:pPr>
            <w:r>
              <w:rPr>
                <w:rFonts w:ascii="Arial" w:cs="Arial" w:eastAsia="Arial" w:hAnsi="Arial"/>
                <w:sz w:val="18"/>
                <w:szCs w:val="18"/>
                <w:color w:val="auto"/>
              </w:rPr>
              <w:t>Coupon:</w:t>
            </w: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2015 Notes — 6.375%</w:t>
            </w:r>
          </w:p>
        </w:tc>
      </w:tr>
      <w:tr>
        <w:trPr>
          <w:trHeight w:val="230"/>
        </w:trPr>
        <w:tc>
          <w:tcPr>
            <w:tcW w:w="3640" w:type="dxa"/>
            <w:vAlign w:val="bottom"/>
          </w:tcPr>
          <w:p>
            <w:pPr>
              <w:spacing w:after="0"/>
              <w:rPr>
                <w:sz w:val="20"/>
                <w:szCs w:val="20"/>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2019 Notes — 7.375%</w:t>
            </w:r>
          </w:p>
        </w:tc>
      </w:tr>
      <w:tr>
        <w:trPr>
          <w:trHeight w:val="418"/>
        </w:trPr>
        <w:tc>
          <w:tcPr>
            <w:tcW w:w="3640" w:type="dxa"/>
            <w:vAlign w:val="bottom"/>
          </w:tcPr>
          <w:p>
            <w:pPr>
              <w:spacing w:after="0"/>
              <w:rPr>
                <w:sz w:val="20"/>
                <w:szCs w:val="20"/>
                <w:color w:val="auto"/>
              </w:rPr>
            </w:pPr>
            <w:r>
              <w:rPr>
                <w:rFonts w:ascii="Arial" w:cs="Arial" w:eastAsia="Arial" w:hAnsi="Arial"/>
                <w:sz w:val="18"/>
                <w:szCs w:val="18"/>
                <w:color w:val="auto"/>
              </w:rPr>
              <w:t>Price to Public:</w:t>
            </w:r>
          </w:p>
        </w:tc>
        <w:tc>
          <w:tcPr>
            <w:tcW w:w="2460" w:type="dxa"/>
            <w:vAlign w:val="bottom"/>
          </w:tcPr>
          <w:p>
            <w:pPr>
              <w:ind w:left="2080"/>
              <w:spacing w:after="0"/>
              <w:rPr>
                <w:sz w:val="20"/>
                <w:szCs w:val="20"/>
                <w:color w:val="auto"/>
              </w:rPr>
            </w:pPr>
            <w:r>
              <w:rPr>
                <w:rFonts w:ascii="Arial" w:cs="Arial" w:eastAsia="Arial" w:hAnsi="Arial"/>
                <w:sz w:val="18"/>
                <w:szCs w:val="18"/>
                <w:color w:val="auto"/>
                <w:w w:val="89"/>
              </w:rPr>
              <w:t>2015</w:t>
            </w:r>
          </w:p>
        </w:tc>
        <w:tc>
          <w:tcPr>
            <w:tcW w:w="5320" w:type="dxa"/>
            <w:vAlign w:val="bottom"/>
          </w:tcPr>
          <w:p>
            <w:pPr>
              <w:ind w:left="20"/>
              <w:spacing w:after="0"/>
              <w:rPr>
                <w:sz w:val="20"/>
                <w:szCs w:val="20"/>
                <w:color w:val="auto"/>
              </w:rPr>
            </w:pPr>
            <w:r>
              <w:rPr>
                <w:rFonts w:ascii="Arial" w:cs="Arial" w:eastAsia="Arial" w:hAnsi="Arial"/>
                <w:sz w:val="18"/>
                <w:szCs w:val="18"/>
                <w:color w:val="auto"/>
              </w:rPr>
              <w:t>Notes — 99.650% of face amount</w:t>
            </w:r>
          </w:p>
        </w:tc>
      </w:tr>
      <w:tr>
        <w:trPr>
          <w:trHeight w:val="230"/>
        </w:trPr>
        <w:tc>
          <w:tcPr>
            <w:tcW w:w="3640" w:type="dxa"/>
            <w:vAlign w:val="bottom"/>
          </w:tcPr>
          <w:p>
            <w:pPr>
              <w:spacing w:after="0"/>
              <w:rPr>
                <w:sz w:val="20"/>
                <w:szCs w:val="20"/>
                <w:color w:val="auto"/>
              </w:rPr>
            </w:pPr>
          </w:p>
        </w:tc>
        <w:tc>
          <w:tcPr>
            <w:tcW w:w="2460" w:type="dxa"/>
            <w:vAlign w:val="bottom"/>
          </w:tcPr>
          <w:p>
            <w:pPr>
              <w:ind w:left="2080"/>
              <w:spacing w:after="0"/>
              <w:rPr>
                <w:sz w:val="20"/>
                <w:szCs w:val="20"/>
                <w:color w:val="auto"/>
              </w:rPr>
            </w:pPr>
            <w:r>
              <w:rPr>
                <w:rFonts w:ascii="Arial" w:cs="Arial" w:eastAsia="Arial" w:hAnsi="Arial"/>
                <w:sz w:val="18"/>
                <w:szCs w:val="18"/>
                <w:color w:val="auto"/>
                <w:w w:val="89"/>
              </w:rPr>
              <w:t>2019</w:t>
            </w:r>
          </w:p>
        </w:tc>
        <w:tc>
          <w:tcPr>
            <w:tcW w:w="5320" w:type="dxa"/>
            <w:vAlign w:val="bottom"/>
          </w:tcPr>
          <w:p>
            <w:pPr>
              <w:ind w:left="20"/>
              <w:spacing w:after="0"/>
              <w:rPr>
                <w:sz w:val="20"/>
                <w:szCs w:val="20"/>
                <w:color w:val="auto"/>
              </w:rPr>
            </w:pPr>
            <w:r>
              <w:rPr>
                <w:rFonts w:ascii="Arial" w:cs="Arial" w:eastAsia="Arial" w:hAnsi="Arial"/>
                <w:sz w:val="18"/>
                <w:szCs w:val="18"/>
                <w:color w:val="auto"/>
              </w:rPr>
              <w:t>Notes — 99.882% of face amount</w:t>
            </w:r>
          </w:p>
        </w:tc>
      </w:tr>
      <w:tr>
        <w:trPr>
          <w:trHeight w:val="418"/>
        </w:trPr>
        <w:tc>
          <w:tcPr>
            <w:tcW w:w="3640" w:type="dxa"/>
            <w:vAlign w:val="bottom"/>
          </w:tcPr>
          <w:p>
            <w:pPr>
              <w:spacing w:after="0"/>
              <w:rPr>
                <w:sz w:val="20"/>
                <w:szCs w:val="20"/>
                <w:color w:val="auto"/>
              </w:rPr>
            </w:pPr>
            <w:r>
              <w:rPr>
                <w:rFonts w:ascii="Arial" w:cs="Arial" w:eastAsia="Arial" w:hAnsi="Arial"/>
                <w:sz w:val="18"/>
                <w:szCs w:val="18"/>
                <w:color w:val="auto"/>
              </w:rPr>
              <w:t>Underwriting Discount:</w:t>
            </w:r>
          </w:p>
        </w:tc>
        <w:tc>
          <w:tcPr>
            <w:tcW w:w="2460" w:type="dxa"/>
            <w:vAlign w:val="bottom"/>
          </w:tcPr>
          <w:p>
            <w:pPr>
              <w:ind w:left="2080"/>
              <w:spacing w:after="0"/>
              <w:rPr>
                <w:sz w:val="20"/>
                <w:szCs w:val="20"/>
                <w:color w:val="auto"/>
              </w:rPr>
            </w:pPr>
            <w:r>
              <w:rPr>
                <w:rFonts w:ascii="Arial" w:cs="Arial" w:eastAsia="Arial" w:hAnsi="Arial"/>
                <w:sz w:val="18"/>
                <w:szCs w:val="18"/>
                <w:color w:val="auto"/>
                <w:w w:val="89"/>
              </w:rPr>
              <w:t>2015</w:t>
            </w:r>
          </w:p>
        </w:tc>
        <w:tc>
          <w:tcPr>
            <w:tcW w:w="5320" w:type="dxa"/>
            <w:vAlign w:val="bottom"/>
          </w:tcPr>
          <w:p>
            <w:pPr>
              <w:ind w:left="20"/>
              <w:spacing w:after="0"/>
              <w:rPr>
                <w:sz w:val="20"/>
                <w:szCs w:val="20"/>
                <w:color w:val="auto"/>
              </w:rPr>
            </w:pPr>
            <w:r>
              <w:rPr>
                <w:rFonts w:ascii="Arial" w:cs="Arial" w:eastAsia="Arial" w:hAnsi="Arial"/>
                <w:sz w:val="18"/>
                <w:szCs w:val="18"/>
                <w:color w:val="auto"/>
              </w:rPr>
              <w:t>Notes — 0.60% of face amount</w:t>
            </w:r>
          </w:p>
        </w:tc>
      </w:tr>
      <w:tr>
        <w:trPr>
          <w:trHeight w:val="230"/>
        </w:trPr>
        <w:tc>
          <w:tcPr>
            <w:tcW w:w="3640" w:type="dxa"/>
            <w:vAlign w:val="bottom"/>
          </w:tcPr>
          <w:p>
            <w:pPr>
              <w:spacing w:after="0"/>
              <w:rPr>
                <w:sz w:val="20"/>
                <w:szCs w:val="20"/>
                <w:color w:val="auto"/>
              </w:rPr>
            </w:pPr>
          </w:p>
        </w:tc>
        <w:tc>
          <w:tcPr>
            <w:tcW w:w="2460" w:type="dxa"/>
            <w:vAlign w:val="bottom"/>
          </w:tcPr>
          <w:p>
            <w:pPr>
              <w:ind w:left="2080"/>
              <w:spacing w:after="0"/>
              <w:rPr>
                <w:sz w:val="20"/>
                <w:szCs w:val="20"/>
                <w:color w:val="auto"/>
              </w:rPr>
            </w:pPr>
            <w:r>
              <w:rPr>
                <w:rFonts w:ascii="Arial" w:cs="Arial" w:eastAsia="Arial" w:hAnsi="Arial"/>
                <w:sz w:val="18"/>
                <w:szCs w:val="18"/>
                <w:color w:val="auto"/>
                <w:w w:val="89"/>
              </w:rPr>
              <w:t>2019</w:t>
            </w:r>
          </w:p>
        </w:tc>
        <w:tc>
          <w:tcPr>
            <w:tcW w:w="5320" w:type="dxa"/>
            <w:vAlign w:val="bottom"/>
          </w:tcPr>
          <w:p>
            <w:pPr>
              <w:ind w:left="20"/>
              <w:spacing w:after="0"/>
              <w:rPr>
                <w:sz w:val="20"/>
                <w:szCs w:val="20"/>
                <w:color w:val="auto"/>
              </w:rPr>
            </w:pPr>
            <w:r>
              <w:rPr>
                <w:rFonts w:ascii="Arial" w:cs="Arial" w:eastAsia="Arial" w:hAnsi="Arial"/>
                <w:sz w:val="18"/>
                <w:szCs w:val="18"/>
                <w:color w:val="auto"/>
              </w:rPr>
              <w:t>Notes — 0.65% of face amount</w:t>
            </w:r>
          </w:p>
        </w:tc>
      </w:tr>
      <w:tr>
        <w:trPr>
          <w:trHeight w:val="418"/>
        </w:trPr>
        <w:tc>
          <w:tcPr>
            <w:tcW w:w="3640" w:type="dxa"/>
            <w:vAlign w:val="bottom"/>
          </w:tcPr>
          <w:p>
            <w:pPr>
              <w:spacing w:after="0"/>
              <w:rPr>
                <w:sz w:val="20"/>
                <w:szCs w:val="20"/>
                <w:color w:val="auto"/>
              </w:rPr>
            </w:pPr>
            <w:r>
              <w:rPr>
                <w:rFonts w:ascii="Arial" w:cs="Arial" w:eastAsia="Arial" w:hAnsi="Arial"/>
                <w:sz w:val="18"/>
                <w:szCs w:val="18"/>
                <w:color w:val="auto"/>
              </w:rPr>
              <w:t>Yield to maturity:</w:t>
            </w:r>
          </w:p>
        </w:tc>
        <w:tc>
          <w:tcPr>
            <w:tcW w:w="2460" w:type="dxa"/>
            <w:vAlign w:val="bottom"/>
          </w:tcPr>
          <w:p>
            <w:pPr>
              <w:ind w:left="2080"/>
              <w:spacing w:after="0"/>
              <w:rPr>
                <w:sz w:val="20"/>
                <w:szCs w:val="20"/>
                <w:color w:val="auto"/>
              </w:rPr>
            </w:pPr>
            <w:r>
              <w:rPr>
                <w:rFonts w:ascii="Arial" w:cs="Arial" w:eastAsia="Arial" w:hAnsi="Arial"/>
                <w:sz w:val="18"/>
                <w:szCs w:val="18"/>
                <w:color w:val="auto"/>
                <w:w w:val="89"/>
              </w:rPr>
              <w:t>2015</w:t>
            </w:r>
          </w:p>
        </w:tc>
        <w:tc>
          <w:tcPr>
            <w:tcW w:w="5320" w:type="dxa"/>
            <w:vAlign w:val="bottom"/>
          </w:tcPr>
          <w:p>
            <w:pPr>
              <w:ind w:left="20"/>
              <w:spacing w:after="0"/>
              <w:rPr>
                <w:sz w:val="20"/>
                <w:szCs w:val="20"/>
                <w:color w:val="auto"/>
              </w:rPr>
            </w:pPr>
            <w:r>
              <w:rPr>
                <w:rFonts w:ascii="Arial" w:cs="Arial" w:eastAsia="Arial" w:hAnsi="Arial"/>
                <w:sz w:val="18"/>
                <w:szCs w:val="18"/>
                <w:color w:val="auto"/>
              </w:rPr>
              <w:t>Notes — 6.445%</w:t>
            </w:r>
          </w:p>
        </w:tc>
      </w:tr>
      <w:tr>
        <w:trPr>
          <w:trHeight w:val="230"/>
        </w:trPr>
        <w:tc>
          <w:tcPr>
            <w:tcW w:w="3640" w:type="dxa"/>
            <w:vAlign w:val="bottom"/>
          </w:tcPr>
          <w:p>
            <w:pPr>
              <w:spacing w:after="0"/>
              <w:rPr>
                <w:sz w:val="20"/>
                <w:szCs w:val="20"/>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2019 Notes — 7.391%</w:t>
            </w:r>
          </w:p>
        </w:tc>
      </w:tr>
      <w:tr>
        <w:trPr>
          <w:trHeight w:val="418"/>
        </w:trPr>
        <w:tc>
          <w:tcPr>
            <w:tcW w:w="364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2460" w:type="dxa"/>
            <w:vAlign w:val="bottom"/>
          </w:tcPr>
          <w:p>
            <w:pPr>
              <w:ind w:left="2080"/>
              <w:spacing w:after="0"/>
              <w:rPr>
                <w:sz w:val="20"/>
                <w:szCs w:val="20"/>
                <w:color w:val="auto"/>
              </w:rPr>
            </w:pPr>
            <w:r>
              <w:rPr>
                <w:rFonts w:ascii="Arial" w:cs="Arial" w:eastAsia="Arial" w:hAnsi="Arial"/>
                <w:sz w:val="18"/>
                <w:szCs w:val="18"/>
                <w:color w:val="auto"/>
                <w:w w:val="89"/>
              </w:rPr>
              <w:t>2015</w:t>
            </w:r>
          </w:p>
        </w:tc>
        <w:tc>
          <w:tcPr>
            <w:tcW w:w="5320" w:type="dxa"/>
            <w:vAlign w:val="bottom"/>
          </w:tcPr>
          <w:p>
            <w:pPr>
              <w:ind w:left="20"/>
              <w:spacing w:after="0"/>
              <w:rPr>
                <w:sz w:val="20"/>
                <w:szCs w:val="20"/>
                <w:color w:val="auto"/>
              </w:rPr>
            </w:pPr>
            <w:r>
              <w:rPr>
                <w:rFonts w:ascii="Arial" w:cs="Arial" w:eastAsia="Arial" w:hAnsi="Arial"/>
                <w:sz w:val="18"/>
                <w:szCs w:val="18"/>
                <w:color w:val="auto"/>
              </w:rPr>
              <w:t>Notes — 4.625%</w:t>
            </w:r>
          </w:p>
        </w:tc>
      </w:tr>
      <w:tr>
        <w:trPr>
          <w:trHeight w:val="230"/>
        </w:trPr>
        <w:tc>
          <w:tcPr>
            <w:tcW w:w="3640" w:type="dxa"/>
            <w:vAlign w:val="bottom"/>
          </w:tcPr>
          <w:p>
            <w:pPr>
              <w:spacing w:after="0"/>
              <w:rPr>
                <w:sz w:val="20"/>
                <w:szCs w:val="20"/>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2019 Notes — 4.625%</w:t>
            </w:r>
          </w:p>
        </w:tc>
      </w:tr>
      <w:tr>
        <w:trPr>
          <w:trHeight w:val="418"/>
        </w:trPr>
        <w:tc>
          <w:tcPr>
            <w:tcW w:w="3640" w:type="dxa"/>
            <w:vAlign w:val="bottom"/>
          </w:tcPr>
          <w:p>
            <w:pPr>
              <w:spacing w:after="0"/>
              <w:rPr>
                <w:sz w:val="20"/>
                <w:szCs w:val="20"/>
                <w:color w:val="auto"/>
              </w:rPr>
            </w:pPr>
            <w:r>
              <w:rPr>
                <w:rFonts w:ascii="Arial" w:cs="Arial" w:eastAsia="Arial" w:hAnsi="Arial"/>
                <w:sz w:val="18"/>
                <w:szCs w:val="18"/>
                <w:color w:val="auto"/>
              </w:rPr>
              <w:t>Benchmark Treasury:</w:t>
            </w:r>
          </w:p>
        </w:tc>
        <w:tc>
          <w:tcPr>
            <w:tcW w:w="2460" w:type="dxa"/>
            <w:vAlign w:val="bottom"/>
          </w:tcPr>
          <w:p>
            <w:pPr>
              <w:ind w:left="2080"/>
              <w:spacing w:after="0"/>
              <w:rPr>
                <w:sz w:val="20"/>
                <w:szCs w:val="20"/>
                <w:color w:val="auto"/>
              </w:rPr>
            </w:pPr>
            <w:r>
              <w:rPr>
                <w:rFonts w:ascii="Arial" w:cs="Arial" w:eastAsia="Arial" w:hAnsi="Arial"/>
                <w:sz w:val="18"/>
                <w:szCs w:val="18"/>
                <w:color w:val="auto"/>
                <w:w w:val="89"/>
              </w:rPr>
              <w:t>2015</w:t>
            </w:r>
          </w:p>
        </w:tc>
        <w:tc>
          <w:tcPr>
            <w:tcW w:w="5320" w:type="dxa"/>
            <w:vAlign w:val="bottom"/>
          </w:tcPr>
          <w:p>
            <w:pPr>
              <w:ind w:left="20"/>
              <w:spacing w:after="0"/>
              <w:rPr>
                <w:sz w:val="20"/>
                <w:szCs w:val="20"/>
                <w:color w:val="auto"/>
              </w:rPr>
            </w:pPr>
            <w:r>
              <w:rPr>
                <w:rFonts w:ascii="Arial" w:cs="Arial" w:eastAsia="Arial" w:hAnsi="Arial"/>
                <w:sz w:val="18"/>
                <w:szCs w:val="18"/>
                <w:color w:val="auto"/>
              </w:rPr>
              <w:t>Notes — 1.75% 1/31/14</w:t>
            </w:r>
          </w:p>
        </w:tc>
      </w:tr>
      <w:tr>
        <w:trPr>
          <w:trHeight w:val="230"/>
        </w:trPr>
        <w:tc>
          <w:tcPr>
            <w:tcW w:w="3640" w:type="dxa"/>
            <w:vAlign w:val="bottom"/>
          </w:tcPr>
          <w:p>
            <w:pPr>
              <w:spacing w:after="0"/>
              <w:rPr>
                <w:sz w:val="20"/>
                <w:szCs w:val="20"/>
                <w:color w:val="auto"/>
              </w:rPr>
            </w:pPr>
          </w:p>
        </w:tc>
        <w:tc>
          <w:tcPr>
            <w:tcW w:w="2460" w:type="dxa"/>
            <w:vAlign w:val="bottom"/>
          </w:tcPr>
          <w:p>
            <w:pPr>
              <w:ind w:left="2080"/>
              <w:spacing w:after="0"/>
              <w:rPr>
                <w:sz w:val="20"/>
                <w:szCs w:val="20"/>
                <w:color w:val="auto"/>
              </w:rPr>
            </w:pPr>
            <w:r>
              <w:rPr>
                <w:rFonts w:ascii="Arial" w:cs="Arial" w:eastAsia="Arial" w:hAnsi="Arial"/>
                <w:sz w:val="18"/>
                <w:szCs w:val="18"/>
                <w:color w:val="auto"/>
                <w:w w:val="89"/>
              </w:rPr>
              <w:t>2019</w:t>
            </w:r>
          </w:p>
        </w:tc>
        <w:tc>
          <w:tcPr>
            <w:tcW w:w="5320" w:type="dxa"/>
            <w:vAlign w:val="bottom"/>
          </w:tcPr>
          <w:p>
            <w:pPr>
              <w:ind w:left="20"/>
              <w:spacing w:after="0"/>
              <w:rPr>
                <w:sz w:val="20"/>
                <w:szCs w:val="20"/>
                <w:color w:val="auto"/>
              </w:rPr>
            </w:pPr>
            <w:r>
              <w:rPr>
                <w:rFonts w:ascii="Arial" w:cs="Arial" w:eastAsia="Arial" w:hAnsi="Arial"/>
                <w:sz w:val="18"/>
                <w:szCs w:val="18"/>
                <w:color w:val="auto"/>
              </w:rPr>
              <w:t>Notes — 2.75% 2/15/19</w:t>
            </w:r>
          </w:p>
        </w:tc>
      </w:tr>
      <w:tr>
        <w:trPr>
          <w:trHeight w:val="418"/>
        </w:trPr>
        <w:tc>
          <w:tcPr>
            <w:tcW w:w="364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2460" w:type="dxa"/>
            <w:vAlign w:val="bottom"/>
          </w:tcPr>
          <w:p>
            <w:pPr>
              <w:ind w:left="2080"/>
              <w:spacing w:after="0"/>
              <w:rPr>
                <w:sz w:val="20"/>
                <w:szCs w:val="20"/>
                <w:color w:val="auto"/>
              </w:rPr>
            </w:pPr>
            <w:r>
              <w:rPr>
                <w:rFonts w:ascii="Arial" w:cs="Arial" w:eastAsia="Arial" w:hAnsi="Arial"/>
                <w:sz w:val="18"/>
                <w:szCs w:val="18"/>
                <w:color w:val="auto"/>
                <w:w w:val="89"/>
              </w:rPr>
              <w:t>2015</w:t>
            </w:r>
          </w:p>
        </w:tc>
        <w:tc>
          <w:tcPr>
            <w:tcW w:w="5320" w:type="dxa"/>
            <w:vAlign w:val="bottom"/>
          </w:tcPr>
          <w:p>
            <w:pPr>
              <w:ind w:left="20"/>
              <w:spacing w:after="0"/>
              <w:rPr>
                <w:sz w:val="20"/>
                <w:szCs w:val="20"/>
                <w:color w:val="auto"/>
              </w:rPr>
            </w:pPr>
            <w:r>
              <w:rPr>
                <w:rFonts w:ascii="Arial" w:cs="Arial" w:eastAsia="Arial" w:hAnsi="Arial"/>
                <w:sz w:val="18"/>
                <w:szCs w:val="18"/>
                <w:color w:val="auto"/>
              </w:rPr>
              <w:t>Notes — 99-21+ 1.820%</w:t>
            </w:r>
          </w:p>
        </w:tc>
      </w:tr>
      <w:tr>
        <w:trPr>
          <w:trHeight w:val="230"/>
        </w:trPr>
        <w:tc>
          <w:tcPr>
            <w:tcW w:w="3640" w:type="dxa"/>
            <w:vAlign w:val="bottom"/>
          </w:tcPr>
          <w:p>
            <w:pPr>
              <w:spacing w:after="0"/>
              <w:rPr>
                <w:sz w:val="20"/>
                <w:szCs w:val="20"/>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2019 Notes — 99-27+ 2.766%</w:t>
            </w:r>
          </w:p>
        </w:tc>
      </w:tr>
      <w:tr>
        <w:trPr>
          <w:trHeight w:val="618"/>
        </w:trPr>
        <w:tc>
          <w:tcPr>
            <w:tcW w:w="364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53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600" w:type="dxa"/>
            <w:vAlign w:val="bottom"/>
          </w:tcPr>
          <w:p>
            <w:pPr>
              <w:ind w:left="1900"/>
              <w:spacing w:after="0"/>
              <w:rPr>
                <w:sz w:val="20"/>
                <w:szCs w:val="20"/>
                <w:color w:val="auto"/>
              </w:rPr>
            </w:pPr>
            <w:r>
              <w:rPr>
                <w:rFonts w:ascii="Arial" w:cs="Arial" w:eastAsia="Arial" w:hAnsi="Arial"/>
                <w:sz w:val="18"/>
                <w:szCs w:val="18"/>
                <w:color w:val="auto"/>
                <w:w w:val="93"/>
              </w:rPr>
              <w:t>Semi-annually on March 11 and September 11, commencing September 11,</w:t>
            </w:r>
          </w:p>
        </w:tc>
      </w:tr>
      <w:tr>
        <w:trPr>
          <w:trHeight w:val="230"/>
        </w:trPr>
        <w:tc>
          <w:tcPr>
            <w:tcW w:w="3820" w:type="dxa"/>
            <w:vAlign w:val="bottom"/>
          </w:tcPr>
          <w:p>
            <w:pPr>
              <w:spacing w:after="0"/>
              <w:rPr>
                <w:sz w:val="20"/>
                <w:szCs w:val="20"/>
                <w:color w:val="auto"/>
              </w:rPr>
            </w:pPr>
          </w:p>
        </w:tc>
        <w:tc>
          <w:tcPr>
            <w:tcW w:w="7600" w:type="dxa"/>
            <w:vAlign w:val="bottom"/>
          </w:tcPr>
          <w:p>
            <w:pPr>
              <w:ind w:left="1900"/>
              <w:spacing w:after="0"/>
              <w:rPr>
                <w:sz w:val="20"/>
                <w:szCs w:val="20"/>
                <w:color w:val="auto"/>
              </w:rPr>
            </w:pPr>
            <w:r>
              <w:rPr>
                <w:rFonts w:ascii="Arial" w:cs="Arial" w:eastAsia="Arial" w:hAnsi="Arial"/>
                <w:sz w:val="18"/>
                <w:szCs w:val="18"/>
                <w:color w:val="auto"/>
              </w:rPr>
              <w:t>2009</w:t>
            </w:r>
          </w:p>
        </w:tc>
      </w:tr>
      <w:tr>
        <w:trPr>
          <w:trHeight w:val="418"/>
        </w:trPr>
        <w:tc>
          <w:tcPr>
            <w:tcW w:w="3820" w:type="dxa"/>
            <w:vAlign w:val="bottom"/>
          </w:tcPr>
          <w:p>
            <w:pPr>
              <w:spacing w:after="0"/>
              <w:rPr>
                <w:sz w:val="20"/>
                <w:szCs w:val="20"/>
                <w:color w:val="auto"/>
              </w:rPr>
            </w:pPr>
            <w:r>
              <w:rPr>
                <w:rFonts w:ascii="Arial" w:cs="Arial" w:eastAsia="Arial" w:hAnsi="Arial"/>
                <w:sz w:val="18"/>
                <w:szCs w:val="18"/>
                <w:color w:val="auto"/>
              </w:rPr>
              <w:t>Redemption Provisions:</w:t>
            </w:r>
          </w:p>
        </w:tc>
        <w:tc>
          <w:tcPr>
            <w:tcW w:w="7600" w:type="dxa"/>
            <w:vAlign w:val="bottom"/>
          </w:tcPr>
          <w:p>
            <w:pPr>
              <w:spacing w:after="0"/>
              <w:rPr>
                <w:sz w:val="24"/>
                <w:szCs w:val="24"/>
                <w:color w:val="auto"/>
              </w:rPr>
            </w:pPr>
          </w:p>
        </w:tc>
      </w:tr>
      <w:tr>
        <w:trPr>
          <w:trHeight w:val="216"/>
        </w:trPr>
        <w:tc>
          <w:tcPr>
            <w:tcW w:w="3820" w:type="dxa"/>
            <w:vAlign w:val="bottom"/>
          </w:tcPr>
          <w:p>
            <w:pPr>
              <w:ind w:left="240"/>
              <w:spacing w:after="0"/>
              <w:rPr>
                <w:sz w:val="20"/>
                <w:szCs w:val="20"/>
                <w:color w:val="auto"/>
              </w:rPr>
            </w:pPr>
            <w:r>
              <w:rPr>
                <w:rFonts w:ascii="Arial" w:cs="Arial" w:eastAsia="Arial" w:hAnsi="Arial"/>
                <w:sz w:val="18"/>
                <w:szCs w:val="18"/>
                <w:color w:val="auto"/>
              </w:rPr>
              <w:t>Optional Redemption:</w:t>
            </w:r>
          </w:p>
        </w:tc>
        <w:tc>
          <w:tcPr>
            <w:tcW w:w="7600" w:type="dxa"/>
            <w:vAlign w:val="bottom"/>
          </w:tcPr>
          <w:p>
            <w:pPr>
              <w:ind w:left="1900"/>
              <w:spacing w:after="0"/>
              <w:rPr>
                <w:sz w:val="20"/>
                <w:szCs w:val="20"/>
                <w:color w:val="auto"/>
              </w:rPr>
            </w:pPr>
            <w:r>
              <w:rPr>
                <w:rFonts w:ascii="Arial" w:cs="Arial" w:eastAsia="Arial" w:hAnsi="Arial"/>
                <w:sz w:val="18"/>
                <w:szCs w:val="18"/>
                <w:color w:val="auto"/>
                <w:w w:val="96"/>
              </w:rPr>
              <w:t>At any time for an amount equal to the greater of (1) 100% of the principal</w:t>
            </w:r>
          </w:p>
        </w:tc>
      </w:tr>
      <w:tr>
        <w:trPr>
          <w:trHeight w:val="216"/>
        </w:trPr>
        <w:tc>
          <w:tcPr>
            <w:tcW w:w="3820" w:type="dxa"/>
            <w:vAlign w:val="bottom"/>
          </w:tcPr>
          <w:p>
            <w:pPr>
              <w:spacing w:after="0"/>
              <w:rPr>
                <w:sz w:val="18"/>
                <w:szCs w:val="18"/>
                <w:color w:val="auto"/>
              </w:rPr>
            </w:pPr>
          </w:p>
        </w:tc>
        <w:tc>
          <w:tcPr>
            <w:tcW w:w="7600" w:type="dxa"/>
            <w:vAlign w:val="bottom"/>
          </w:tcPr>
          <w:p>
            <w:pPr>
              <w:ind w:left="1900"/>
              <w:spacing w:after="0"/>
              <w:rPr>
                <w:sz w:val="20"/>
                <w:szCs w:val="20"/>
                <w:color w:val="auto"/>
              </w:rPr>
            </w:pPr>
            <w:r>
              <w:rPr>
                <w:rFonts w:ascii="Arial" w:cs="Arial" w:eastAsia="Arial" w:hAnsi="Arial"/>
                <w:sz w:val="18"/>
                <w:szCs w:val="18"/>
                <w:color w:val="auto"/>
                <w:w w:val="90"/>
              </w:rPr>
              <w:t>amount of the notes redeemed and repaid, or (2) the sum of the present values</w:t>
            </w:r>
          </w:p>
        </w:tc>
      </w:tr>
      <w:tr>
        <w:trPr>
          <w:trHeight w:val="216"/>
        </w:trPr>
        <w:tc>
          <w:tcPr>
            <w:tcW w:w="3820" w:type="dxa"/>
            <w:vAlign w:val="bottom"/>
          </w:tcPr>
          <w:p>
            <w:pPr>
              <w:spacing w:after="0"/>
              <w:rPr>
                <w:sz w:val="18"/>
                <w:szCs w:val="18"/>
                <w:color w:val="auto"/>
              </w:rPr>
            </w:pPr>
          </w:p>
        </w:tc>
        <w:tc>
          <w:tcPr>
            <w:tcW w:w="7600" w:type="dxa"/>
            <w:vAlign w:val="bottom"/>
          </w:tcPr>
          <w:p>
            <w:pPr>
              <w:ind w:left="1900"/>
              <w:spacing w:after="0"/>
              <w:rPr>
                <w:sz w:val="20"/>
                <w:szCs w:val="20"/>
                <w:color w:val="auto"/>
              </w:rPr>
            </w:pPr>
            <w:r>
              <w:rPr>
                <w:rFonts w:ascii="Arial" w:cs="Arial" w:eastAsia="Arial" w:hAnsi="Arial"/>
                <w:sz w:val="18"/>
                <w:szCs w:val="18"/>
                <w:color w:val="auto"/>
                <w:w w:val="93"/>
              </w:rPr>
              <w:t>of the remaining scheduled payments of principal and interest on such notes</w:t>
            </w:r>
          </w:p>
        </w:tc>
      </w:tr>
      <w:tr>
        <w:trPr>
          <w:trHeight w:val="216"/>
        </w:trPr>
        <w:tc>
          <w:tcPr>
            <w:tcW w:w="3820" w:type="dxa"/>
            <w:vAlign w:val="bottom"/>
          </w:tcPr>
          <w:p>
            <w:pPr>
              <w:spacing w:after="0"/>
              <w:rPr>
                <w:sz w:val="18"/>
                <w:szCs w:val="18"/>
                <w:color w:val="auto"/>
              </w:rPr>
            </w:pPr>
          </w:p>
        </w:tc>
        <w:tc>
          <w:tcPr>
            <w:tcW w:w="7600" w:type="dxa"/>
            <w:vAlign w:val="bottom"/>
          </w:tcPr>
          <w:p>
            <w:pPr>
              <w:ind w:left="1900"/>
              <w:spacing w:after="0"/>
              <w:rPr>
                <w:sz w:val="20"/>
                <w:szCs w:val="20"/>
                <w:color w:val="auto"/>
              </w:rPr>
            </w:pPr>
            <w:r>
              <w:rPr>
                <w:rFonts w:ascii="Arial" w:cs="Arial" w:eastAsia="Arial" w:hAnsi="Arial"/>
                <w:sz w:val="18"/>
                <w:szCs w:val="18"/>
                <w:color w:val="auto"/>
                <w:w w:val="95"/>
              </w:rPr>
              <w:t>discounted to the redemption date at the applicable Treasury Yield plus 50</w:t>
            </w:r>
          </w:p>
        </w:tc>
      </w:tr>
      <w:tr>
        <w:trPr>
          <w:trHeight w:val="230"/>
        </w:trPr>
        <w:tc>
          <w:tcPr>
            <w:tcW w:w="3820" w:type="dxa"/>
            <w:vAlign w:val="bottom"/>
          </w:tcPr>
          <w:p>
            <w:pPr>
              <w:spacing w:after="0"/>
              <w:rPr>
                <w:sz w:val="20"/>
                <w:szCs w:val="20"/>
                <w:color w:val="auto"/>
              </w:rPr>
            </w:pPr>
          </w:p>
        </w:tc>
        <w:tc>
          <w:tcPr>
            <w:tcW w:w="7600" w:type="dxa"/>
            <w:vAlign w:val="bottom"/>
          </w:tcPr>
          <w:p>
            <w:pPr>
              <w:ind w:left="1900"/>
              <w:spacing w:after="0"/>
              <w:rPr>
                <w:sz w:val="20"/>
                <w:szCs w:val="20"/>
                <w:color w:val="auto"/>
              </w:rPr>
            </w:pPr>
            <w:r>
              <w:rPr>
                <w:rFonts w:ascii="Arial" w:cs="Arial" w:eastAsia="Arial" w:hAnsi="Arial"/>
                <w:sz w:val="18"/>
                <w:szCs w:val="18"/>
                <w:color w:val="auto"/>
              </w:rPr>
              <w:t>basis points.</w:t>
            </w:r>
          </w:p>
        </w:tc>
      </w:tr>
      <w:tr>
        <w:trPr>
          <w:trHeight w:val="418"/>
        </w:trPr>
        <w:tc>
          <w:tcPr>
            <w:tcW w:w="3820" w:type="dxa"/>
            <w:vAlign w:val="bottom"/>
          </w:tcPr>
          <w:p>
            <w:pPr>
              <w:ind w:left="240"/>
              <w:spacing w:after="0"/>
              <w:rPr>
                <w:sz w:val="20"/>
                <w:szCs w:val="20"/>
                <w:color w:val="auto"/>
              </w:rPr>
            </w:pPr>
            <w:r>
              <w:rPr>
                <w:rFonts w:ascii="Arial" w:cs="Arial" w:eastAsia="Arial" w:hAnsi="Arial"/>
                <w:sz w:val="18"/>
                <w:szCs w:val="18"/>
                <w:color w:val="auto"/>
              </w:rPr>
              <w:t>Change of Control Put:</w:t>
            </w:r>
          </w:p>
        </w:tc>
        <w:tc>
          <w:tcPr>
            <w:tcW w:w="7600" w:type="dxa"/>
            <w:vAlign w:val="bottom"/>
          </w:tcPr>
          <w:p>
            <w:pPr>
              <w:ind w:left="1900"/>
              <w:spacing w:after="0"/>
              <w:rPr>
                <w:sz w:val="20"/>
                <w:szCs w:val="20"/>
                <w:color w:val="auto"/>
              </w:rPr>
            </w:pPr>
            <w:r>
              <w:rPr>
                <w:rFonts w:ascii="Arial" w:cs="Arial" w:eastAsia="Arial" w:hAnsi="Arial"/>
                <w:sz w:val="18"/>
                <w:szCs w:val="18"/>
                <w:color w:val="auto"/>
                <w:w w:val="97"/>
              </w:rPr>
              <w:t>A put right upon the occurrence of a change of control triggering event as</w:t>
            </w:r>
          </w:p>
        </w:tc>
      </w:tr>
      <w:tr>
        <w:trPr>
          <w:trHeight w:val="230"/>
        </w:trPr>
        <w:tc>
          <w:tcPr>
            <w:tcW w:w="3820" w:type="dxa"/>
            <w:vAlign w:val="bottom"/>
          </w:tcPr>
          <w:p>
            <w:pPr>
              <w:spacing w:after="0"/>
              <w:rPr>
                <w:sz w:val="20"/>
                <w:szCs w:val="20"/>
                <w:color w:val="auto"/>
              </w:rPr>
            </w:pPr>
          </w:p>
        </w:tc>
        <w:tc>
          <w:tcPr>
            <w:tcW w:w="7600" w:type="dxa"/>
            <w:vAlign w:val="bottom"/>
          </w:tcPr>
          <w:p>
            <w:pPr>
              <w:ind w:left="1900"/>
              <w:spacing w:after="0"/>
              <w:rPr>
                <w:sz w:val="20"/>
                <w:szCs w:val="20"/>
                <w:color w:val="auto"/>
              </w:rPr>
            </w:pPr>
            <w:r>
              <w:rPr>
                <w:rFonts w:ascii="Arial" w:cs="Arial" w:eastAsia="Arial" w:hAnsi="Arial"/>
                <w:sz w:val="18"/>
                <w:szCs w:val="18"/>
                <w:color w:val="auto"/>
              </w:rPr>
              <w:t>described in the Preliminary Prospectus dated February 23, 2009.</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Settlement:</w:t>
            </w:r>
          </w:p>
        </w:tc>
        <w:tc>
          <w:tcPr>
            <w:tcW w:w="7600" w:type="dxa"/>
            <w:vAlign w:val="bottom"/>
          </w:tcPr>
          <w:p>
            <w:pPr>
              <w:ind w:left="1900"/>
              <w:spacing w:after="0"/>
              <w:rPr>
                <w:sz w:val="20"/>
                <w:szCs w:val="20"/>
                <w:color w:val="auto"/>
              </w:rPr>
            </w:pPr>
            <w:r>
              <w:rPr>
                <w:rFonts w:ascii="Arial" w:cs="Arial" w:eastAsia="Arial" w:hAnsi="Arial"/>
                <w:sz w:val="18"/>
                <w:szCs w:val="18"/>
                <w:color w:val="auto"/>
              </w:rPr>
              <w:t>T+3; February 26, 2009</w:t>
            </w:r>
          </w:p>
        </w:tc>
      </w:tr>
      <w:tr>
        <w:trPr>
          <w:trHeight w:val="418"/>
        </w:trPr>
        <w:tc>
          <w:tcPr>
            <w:tcW w:w="3820" w:type="dxa"/>
            <w:vAlign w:val="bottom"/>
          </w:tcPr>
          <w:p>
            <w:pPr>
              <w:spacing w:after="0"/>
              <w:rPr>
                <w:sz w:val="20"/>
                <w:szCs w:val="20"/>
                <w:color w:val="auto"/>
              </w:rPr>
            </w:pPr>
            <w:r>
              <w:rPr>
                <w:rFonts w:ascii="Arial" w:cs="Arial" w:eastAsia="Arial" w:hAnsi="Arial"/>
                <w:sz w:val="18"/>
                <w:szCs w:val="18"/>
                <w:color w:val="auto"/>
              </w:rPr>
              <w:t>CUSIP:</w:t>
            </w:r>
          </w:p>
        </w:tc>
        <w:tc>
          <w:tcPr>
            <w:tcW w:w="7600" w:type="dxa"/>
            <w:vAlign w:val="bottom"/>
          </w:tcPr>
          <w:p>
            <w:pPr>
              <w:ind w:left="1900"/>
              <w:spacing w:after="0"/>
              <w:rPr>
                <w:sz w:val="20"/>
                <w:szCs w:val="20"/>
                <w:color w:val="auto"/>
              </w:rPr>
            </w:pPr>
            <w:r>
              <w:rPr>
                <w:rFonts w:ascii="Arial" w:cs="Arial" w:eastAsia="Arial" w:hAnsi="Arial"/>
                <w:sz w:val="18"/>
                <w:szCs w:val="18"/>
                <w:color w:val="auto"/>
              </w:rPr>
              <w:t>2015 Notes — 94106LAT6</w:t>
            </w:r>
          </w:p>
        </w:tc>
      </w:tr>
      <w:tr>
        <w:trPr>
          <w:trHeight w:val="230"/>
        </w:trPr>
        <w:tc>
          <w:tcPr>
            <w:tcW w:w="3820" w:type="dxa"/>
            <w:vAlign w:val="bottom"/>
          </w:tcPr>
          <w:p>
            <w:pPr>
              <w:spacing w:after="0"/>
              <w:rPr>
                <w:sz w:val="20"/>
                <w:szCs w:val="20"/>
                <w:color w:val="auto"/>
              </w:rPr>
            </w:pPr>
          </w:p>
        </w:tc>
        <w:tc>
          <w:tcPr>
            <w:tcW w:w="7600" w:type="dxa"/>
            <w:vAlign w:val="bottom"/>
          </w:tcPr>
          <w:p>
            <w:pPr>
              <w:ind w:left="1900"/>
              <w:spacing w:after="0"/>
              <w:rPr>
                <w:sz w:val="20"/>
                <w:szCs w:val="20"/>
                <w:color w:val="auto"/>
              </w:rPr>
            </w:pPr>
            <w:r>
              <w:rPr>
                <w:rFonts w:ascii="Arial" w:cs="Arial" w:eastAsia="Arial" w:hAnsi="Arial"/>
                <w:sz w:val="18"/>
                <w:szCs w:val="18"/>
                <w:color w:val="auto"/>
              </w:rPr>
              <w:t>2019 Notes — 94106LAU3</w:t>
            </w:r>
          </w:p>
        </w:tc>
      </w:tr>
      <w:tr>
        <w:trPr>
          <w:trHeight w:val="418"/>
        </w:trPr>
        <w:tc>
          <w:tcPr>
            <w:tcW w:w="3820" w:type="dxa"/>
            <w:vAlign w:val="bottom"/>
          </w:tcPr>
          <w:p>
            <w:pPr>
              <w:spacing w:after="0"/>
              <w:rPr>
                <w:sz w:val="20"/>
                <w:szCs w:val="20"/>
                <w:color w:val="auto"/>
              </w:rPr>
            </w:pPr>
            <w:r>
              <w:rPr>
                <w:rFonts w:ascii="Arial" w:cs="Arial" w:eastAsia="Arial" w:hAnsi="Arial"/>
                <w:sz w:val="18"/>
                <w:szCs w:val="18"/>
                <w:color w:val="auto"/>
              </w:rPr>
              <w:t>Joint Book-Running and</w:t>
            </w:r>
          </w:p>
        </w:tc>
        <w:tc>
          <w:tcPr>
            <w:tcW w:w="7600" w:type="dxa"/>
            <w:vAlign w:val="bottom"/>
          </w:tcPr>
          <w:p>
            <w:pPr>
              <w:ind w:left="1900"/>
              <w:spacing w:after="0"/>
              <w:rPr>
                <w:sz w:val="20"/>
                <w:szCs w:val="20"/>
                <w:color w:val="auto"/>
              </w:rPr>
            </w:pPr>
            <w:r>
              <w:rPr>
                <w:rFonts w:ascii="Arial" w:cs="Arial" w:eastAsia="Arial" w:hAnsi="Arial"/>
                <w:sz w:val="18"/>
                <w:szCs w:val="18"/>
                <w:color w:val="auto"/>
              </w:rPr>
              <w:t>Barclays Capital Inc.</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Joint Lead Managers</w:t>
            </w:r>
          </w:p>
        </w:tc>
        <w:tc>
          <w:tcPr>
            <w:tcW w:w="7600" w:type="dxa"/>
            <w:vAlign w:val="bottom"/>
          </w:tcPr>
          <w:p>
            <w:pPr>
              <w:ind w:left="1900"/>
              <w:spacing w:after="0"/>
              <w:rPr>
                <w:sz w:val="20"/>
                <w:szCs w:val="20"/>
                <w:color w:val="auto"/>
              </w:rPr>
            </w:pPr>
            <w:r>
              <w:rPr>
                <w:rFonts w:ascii="Arial" w:cs="Arial" w:eastAsia="Arial" w:hAnsi="Arial"/>
                <w:sz w:val="18"/>
                <w:szCs w:val="18"/>
                <w:color w:val="auto"/>
              </w:rPr>
              <w:t>Credit Suisse Securities (USA) LLC,</w:t>
            </w:r>
          </w:p>
        </w:tc>
      </w:tr>
      <w:tr>
        <w:trPr>
          <w:trHeight w:val="216"/>
        </w:trPr>
        <w:tc>
          <w:tcPr>
            <w:tcW w:w="3820" w:type="dxa"/>
            <w:vAlign w:val="bottom"/>
          </w:tcPr>
          <w:p>
            <w:pPr>
              <w:spacing w:after="0"/>
              <w:rPr>
                <w:sz w:val="18"/>
                <w:szCs w:val="18"/>
                <w:color w:val="auto"/>
              </w:rPr>
            </w:pPr>
          </w:p>
        </w:tc>
        <w:tc>
          <w:tcPr>
            <w:tcW w:w="7600" w:type="dxa"/>
            <w:vAlign w:val="bottom"/>
          </w:tcPr>
          <w:p>
            <w:pPr>
              <w:ind w:left="1900"/>
              <w:spacing w:after="0"/>
              <w:rPr>
                <w:sz w:val="20"/>
                <w:szCs w:val="20"/>
                <w:color w:val="auto"/>
              </w:rPr>
            </w:pPr>
            <w:r>
              <w:rPr>
                <w:rFonts w:ascii="Arial" w:cs="Arial" w:eastAsia="Arial" w:hAnsi="Arial"/>
                <w:sz w:val="18"/>
                <w:szCs w:val="18"/>
                <w:color w:val="auto"/>
              </w:rPr>
              <w:t>Deutsche Bank Securities Inc.</w:t>
            </w:r>
          </w:p>
        </w:tc>
      </w:tr>
      <w:tr>
        <w:trPr>
          <w:trHeight w:val="230"/>
        </w:trPr>
        <w:tc>
          <w:tcPr>
            <w:tcW w:w="3820" w:type="dxa"/>
            <w:vAlign w:val="bottom"/>
          </w:tcPr>
          <w:p>
            <w:pPr>
              <w:spacing w:after="0"/>
              <w:rPr>
                <w:sz w:val="20"/>
                <w:szCs w:val="20"/>
                <w:color w:val="auto"/>
              </w:rPr>
            </w:pPr>
          </w:p>
        </w:tc>
        <w:tc>
          <w:tcPr>
            <w:tcW w:w="7600" w:type="dxa"/>
            <w:vAlign w:val="bottom"/>
          </w:tcPr>
          <w:p>
            <w:pPr>
              <w:ind w:left="1900"/>
              <w:spacing w:after="0"/>
              <w:rPr>
                <w:sz w:val="20"/>
                <w:szCs w:val="20"/>
                <w:color w:val="auto"/>
              </w:rPr>
            </w:pPr>
            <w:r>
              <w:rPr>
                <w:rFonts w:ascii="Arial" w:cs="Arial" w:eastAsia="Arial" w:hAnsi="Arial"/>
                <w:sz w:val="18"/>
                <w:szCs w:val="18"/>
                <w:color w:val="auto"/>
              </w:rPr>
              <w:t>Greenwich Capital Markets, Inc.</w:t>
            </w:r>
          </w:p>
        </w:tc>
      </w:tr>
      <w:tr>
        <w:trPr>
          <w:trHeight w:val="418"/>
        </w:trPr>
        <w:tc>
          <w:tcPr>
            <w:tcW w:w="3820" w:type="dxa"/>
            <w:vAlign w:val="bottom"/>
          </w:tcPr>
          <w:p>
            <w:pPr>
              <w:spacing w:after="0"/>
              <w:rPr>
                <w:sz w:val="20"/>
                <w:szCs w:val="20"/>
                <w:color w:val="auto"/>
              </w:rPr>
            </w:pPr>
            <w:r>
              <w:rPr>
                <w:rFonts w:ascii="Arial" w:cs="Arial" w:eastAsia="Arial" w:hAnsi="Arial"/>
                <w:sz w:val="18"/>
                <w:szCs w:val="18"/>
                <w:color w:val="auto"/>
              </w:rPr>
              <w:t>Co-Managers</w:t>
            </w:r>
          </w:p>
        </w:tc>
        <w:tc>
          <w:tcPr>
            <w:tcW w:w="7600" w:type="dxa"/>
            <w:vAlign w:val="bottom"/>
          </w:tcPr>
          <w:p>
            <w:pPr>
              <w:ind w:left="1900"/>
              <w:spacing w:after="0"/>
              <w:rPr>
                <w:sz w:val="20"/>
                <w:szCs w:val="20"/>
                <w:color w:val="auto"/>
              </w:rPr>
            </w:pPr>
            <w:r>
              <w:rPr>
                <w:rFonts w:ascii="Arial" w:cs="Arial" w:eastAsia="Arial" w:hAnsi="Arial"/>
                <w:sz w:val="18"/>
                <w:szCs w:val="18"/>
                <w:color w:val="auto"/>
              </w:rPr>
              <w:t>2015 Notes -</w:t>
            </w:r>
          </w:p>
        </w:tc>
      </w:tr>
      <w:tr>
        <w:trPr>
          <w:trHeight w:val="216"/>
        </w:trPr>
        <w:tc>
          <w:tcPr>
            <w:tcW w:w="3820" w:type="dxa"/>
            <w:vAlign w:val="bottom"/>
          </w:tcPr>
          <w:p>
            <w:pPr>
              <w:spacing w:after="0"/>
              <w:rPr>
                <w:sz w:val="18"/>
                <w:szCs w:val="18"/>
                <w:color w:val="auto"/>
              </w:rPr>
            </w:pPr>
          </w:p>
        </w:tc>
        <w:tc>
          <w:tcPr>
            <w:tcW w:w="7600" w:type="dxa"/>
            <w:vAlign w:val="bottom"/>
          </w:tcPr>
          <w:p>
            <w:pPr>
              <w:ind w:left="1900"/>
              <w:spacing w:after="0"/>
              <w:rPr>
                <w:sz w:val="20"/>
                <w:szCs w:val="20"/>
                <w:color w:val="auto"/>
              </w:rPr>
            </w:pPr>
            <w:r>
              <w:rPr>
                <w:rFonts w:ascii="Arial" w:cs="Arial" w:eastAsia="Arial" w:hAnsi="Arial"/>
                <w:sz w:val="18"/>
                <w:szCs w:val="18"/>
                <w:color w:val="auto"/>
              </w:rPr>
              <w:t>BNP Paribas Securities Corp</w:t>
            </w:r>
          </w:p>
        </w:tc>
      </w:tr>
      <w:tr>
        <w:trPr>
          <w:trHeight w:val="216"/>
        </w:trPr>
        <w:tc>
          <w:tcPr>
            <w:tcW w:w="3820" w:type="dxa"/>
            <w:vAlign w:val="bottom"/>
          </w:tcPr>
          <w:p>
            <w:pPr>
              <w:spacing w:after="0"/>
              <w:rPr>
                <w:sz w:val="18"/>
                <w:szCs w:val="18"/>
                <w:color w:val="auto"/>
              </w:rPr>
            </w:pPr>
          </w:p>
        </w:tc>
        <w:tc>
          <w:tcPr>
            <w:tcW w:w="7600" w:type="dxa"/>
            <w:vAlign w:val="bottom"/>
          </w:tcPr>
          <w:p>
            <w:pPr>
              <w:ind w:left="1900"/>
              <w:spacing w:after="0"/>
              <w:rPr>
                <w:sz w:val="20"/>
                <w:szCs w:val="20"/>
                <w:color w:val="auto"/>
              </w:rPr>
            </w:pPr>
            <w:r>
              <w:rPr>
                <w:rFonts w:ascii="Arial" w:cs="Arial" w:eastAsia="Arial" w:hAnsi="Arial"/>
                <w:sz w:val="18"/>
                <w:szCs w:val="18"/>
                <w:color w:val="auto"/>
              </w:rPr>
              <w:t>BNY Mellon Capital Markets LLC</w:t>
            </w:r>
          </w:p>
        </w:tc>
      </w:tr>
      <w:tr>
        <w:trPr>
          <w:trHeight w:val="216"/>
        </w:trPr>
        <w:tc>
          <w:tcPr>
            <w:tcW w:w="3820" w:type="dxa"/>
            <w:vAlign w:val="bottom"/>
          </w:tcPr>
          <w:p>
            <w:pPr>
              <w:spacing w:after="0"/>
              <w:rPr>
                <w:sz w:val="18"/>
                <w:szCs w:val="18"/>
                <w:color w:val="auto"/>
              </w:rPr>
            </w:pPr>
          </w:p>
        </w:tc>
        <w:tc>
          <w:tcPr>
            <w:tcW w:w="7600" w:type="dxa"/>
            <w:vAlign w:val="bottom"/>
          </w:tcPr>
          <w:p>
            <w:pPr>
              <w:ind w:left="1900"/>
              <w:spacing w:after="0"/>
              <w:rPr>
                <w:sz w:val="20"/>
                <w:szCs w:val="20"/>
                <w:color w:val="auto"/>
              </w:rPr>
            </w:pPr>
            <w:r>
              <w:rPr>
                <w:rFonts w:ascii="Arial" w:cs="Arial" w:eastAsia="Arial" w:hAnsi="Arial"/>
                <w:sz w:val="18"/>
                <w:szCs w:val="18"/>
                <w:color w:val="auto"/>
              </w:rPr>
              <w:t>Calyon Securities (USA) Inc.</w:t>
            </w:r>
          </w:p>
        </w:tc>
      </w:tr>
      <w:tr>
        <w:trPr>
          <w:trHeight w:val="216"/>
        </w:trPr>
        <w:tc>
          <w:tcPr>
            <w:tcW w:w="3820" w:type="dxa"/>
            <w:vAlign w:val="bottom"/>
          </w:tcPr>
          <w:p>
            <w:pPr>
              <w:spacing w:after="0"/>
              <w:rPr>
                <w:sz w:val="18"/>
                <w:szCs w:val="18"/>
                <w:color w:val="auto"/>
              </w:rPr>
            </w:pPr>
          </w:p>
        </w:tc>
        <w:tc>
          <w:tcPr>
            <w:tcW w:w="7600" w:type="dxa"/>
            <w:vAlign w:val="bottom"/>
          </w:tcPr>
          <w:p>
            <w:pPr>
              <w:ind w:left="1900"/>
              <w:spacing w:after="0"/>
              <w:rPr>
                <w:sz w:val="20"/>
                <w:szCs w:val="20"/>
                <w:color w:val="auto"/>
              </w:rPr>
            </w:pPr>
            <w:r>
              <w:rPr>
                <w:rFonts w:ascii="Arial" w:cs="Arial" w:eastAsia="Arial" w:hAnsi="Arial"/>
                <w:sz w:val="18"/>
                <w:szCs w:val="18"/>
                <w:color w:val="auto"/>
              </w:rPr>
              <w:t>PNC Capital Markets LLC</w:t>
            </w:r>
          </w:p>
        </w:tc>
      </w:tr>
      <w:tr>
        <w:trPr>
          <w:trHeight w:val="216"/>
        </w:trPr>
        <w:tc>
          <w:tcPr>
            <w:tcW w:w="3820" w:type="dxa"/>
            <w:vAlign w:val="bottom"/>
          </w:tcPr>
          <w:p>
            <w:pPr>
              <w:spacing w:after="0"/>
              <w:rPr>
                <w:sz w:val="18"/>
                <w:szCs w:val="18"/>
                <w:color w:val="auto"/>
              </w:rPr>
            </w:pPr>
          </w:p>
        </w:tc>
        <w:tc>
          <w:tcPr>
            <w:tcW w:w="7600" w:type="dxa"/>
            <w:vAlign w:val="bottom"/>
          </w:tcPr>
          <w:p>
            <w:pPr>
              <w:ind w:left="1900"/>
              <w:spacing w:after="0"/>
              <w:rPr>
                <w:sz w:val="20"/>
                <w:szCs w:val="20"/>
                <w:color w:val="auto"/>
              </w:rPr>
            </w:pPr>
            <w:r>
              <w:rPr>
                <w:rFonts w:ascii="Arial" w:cs="Arial" w:eastAsia="Arial" w:hAnsi="Arial"/>
                <w:sz w:val="18"/>
                <w:szCs w:val="18"/>
                <w:color w:val="auto"/>
              </w:rPr>
              <w:t>Scotia Capital (USA) Inc.</w:t>
            </w:r>
          </w:p>
        </w:tc>
      </w:tr>
      <w:tr>
        <w:trPr>
          <w:trHeight w:val="230"/>
        </w:trPr>
        <w:tc>
          <w:tcPr>
            <w:tcW w:w="3820" w:type="dxa"/>
            <w:vAlign w:val="bottom"/>
          </w:tcPr>
          <w:p>
            <w:pPr>
              <w:spacing w:after="0"/>
              <w:rPr>
                <w:sz w:val="20"/>
                <w:szCs w:val="20"/>
                <w:color w:val="auto"/>
              </w:rPr>
            </w:pPr>
          </w:p>
        </w:tc>
        <w:tc>
          <w:tcPr>
            <w:tcW w:w="7600" w:type="dxa"/>
            <w:vAlign w:val="bottom"/>
          </w:tcPr>
          <w:p>
            <w:pPr>
              <w:ind w:left="1900"/>
              <w:spacing w:after="0"/>
              <w:rPr>
                <w:sz w:val="20"/>
                <w:szCs w:val="20"/>
                <w:color w:val="auto"/>
              </w:rPr>
            </w:pPr>
            <w:r>
              <w:rPr>
                <w:rFonts w:ascii="Arial" w:cs="Arial" w:eastAsia="Arial" w:hAnsi="Arial"/>
                <w:sz w:val="18"/>
                <w:szCs w:val="18"/>
                <w:color w:val="auto"/>
              </w:rPr>
              <w:t>Wells Fargo Securities LLC</w:t>
            </w:r>
          </w:p>
        </w:tc>
      </w:tr>
      <w:tr>
        <w:trPr>
          <w:trHeight w:val="418"/>
        </w:trPr>
        <w:tc>
          <w:tcPr>
            <w:tcW w:w="3820" w:type="dxa"/>
            <w:vAlign w:val="bottom"/>
          </w:tcPr>
          <w:p>
            <w:pPr>
              <w:spacing w:after="0"/>
              <w:rPr>
                <w:sz w:val="24"/>
                <w:szCs w:val="24"/>
                <w:color w:val="auto"/>
              </w:rPr>
            </w:pPr>
          </w:p>
        </w:tc>
        <w:tc>
          <w:tcPr>
            <w:tcW w:w="7600" w:type="dxa"/>
            <w:vAlign w:val="bottom"/>
          </w:tcPr>
          <w:p>
            <w:pPr>
              <w:ind w:left="1900"/>
              <w:spacing w:after="0"/>
              <w:rPr>
                <w:sz w:val="20"/>
                <w:szCs w:val="20"/>
                <w:color w:val="auto"/>
              </w:rPr>
            </w:pPr>
            <w:r>
              <w:rPr>
                <w:rFonts w:ascii="Arial" w:cs="Arial" w:eastAsia="Arial" w:hAnsi="Arial"/>
                <w:sz w:val="18"/>
                <w:szCs w:val="18"/>
                <w:color w:val="auto"/>
              </w:rPr>
              <w:t>2019 Notes —</w:t>
            </w:r>
          </w:p>
        </w:tc>
      </w:tr>
      <w:tr>
        <w:trPr>
          <w:trHeight w:val="216"/>
        </w:trPr>
        <w:tc>
          <w:tcPr>
            <w:tcW w:w="3820" w:type="dxa"/>
            <w:vAlign w:val="bottom"/>
          </w:tcPr>
          <w:p>
            <w:pPr>
              <w:spacing w:after="0"/>
              <w:rPr>
                <w:sz w:val="18"/>
                <w:szCs w:val="18"/>
                <w:color w:val="auto"/>
              </w:rPr>
            </w:pPr>
          </w:p>
        </w:tc>
        <w:tc>
          <w:tcPr>
            <w:tcW w:w="7600" w:type="dxa"/>
            <w:vAlign w:val="bottom"/>
          </w:tcPr>
          <w:p>
            <w:pPr>
              <w:ind w:left="1900"/>
              <w:spacing w:after="0"/>
              <w:rPr>
                <w:sz w:val="20"/>
                <w:szCs w:val="20"/>
                <w:color w:val="auto"/>
              </w:rPr>
            </w:pPr>
            <w:r>
              <w:rPr>
                <w:rFonts w:ascii="Arial" w:cs="Arial" w:eastAsia="Arial" w:hAnsi="Arial"/>
                <w:sz w:val="18"/>
                <w:szCs w:val="18"/>
                <w:color w:val="auto"/>
              </w:rPr>
              <w:t>BNP Paribas Securities Corp</w:t>
            </w:r>
          </w:p>
        </w:tc>
      </w:tr>
      <w:tr>
        <w:trPr>
          <w:trHeight w:val="216"/>
        </w:trPr>
        <w:tc>
          <w:tcPr>
            <w:tcW w:w="3820" w:type="dxa"/>
            <w:vAlign w:val="bottom"/>
          </w:tcPr>
          <w:p>
            <w:pPr>
              <w:spacing w:after="0"/>
              <w:rPr>
                <w:sz w:val="18"/>
                <w:szCs w:val="18"/>
                <w:color w:val="auto"/>
              </w:rPr>
            </w:pPr>
          </w:p>
        </w:tc>
        <w:tc>
          <w:tcPr>
            <w:tcW w:w="7600" w:type="dxa"/>
            <w:vAlign w:val="bottom"/>
          </w:tcPr>
          <w:p>
            <w:pPr>
              <w:ind w:left="1900"/>
              <w:spacing w:after="0"/>
              <w:rPr>
                <w:sz w:val="20"/>
                <w:szCs w:val="20"/>
                <w:color w:val="auto"/>
              </w:rPr>
            </w:pPr>
            <w:r>
              <w:rPr>
                <w:rFonts w:ascii="Arial" w:cs="Arial" w:eastAsia="Arial" w:hAnsi="Arial"/>
                <w:sz w:val="18"/>
                <w:szCs w:val="18"/>
                <w:color w:val="auto"/>
              </w:rPr>
              <w:t>Goldman, Sachs &amp; Co.</w:t>
            </w:r>
          </w:p>
        </w:tc>
      </w:tr>
      <w:tr>
        <w:trPr>
          <w:trHeight w:val="216"/>
        </w:trPr>
        <w:tc>
          <w:tcPr>
            <w:tcW w:w="3820" w:type="dxa"/>
            <w:vAlign w:val="bottom"/>
          </w:tcPr>
          <w:p>
            <w:pPr>
              <w:spacing w:after="0"/>
              <w:rPr>
                <w:sz w:val="18"/>
                <w:szCs w:val="18"/>
                <w:color w:val="auto"/>
              </w:rPr>
            </w:pPr>
          </w:p>
        </w:tc>
        <w:tc>
          <w:tcPr>
            <w:tcW w:w="7600" w:type="dxa"/>
            <w:vAlign w:val="bottom"/>
          </w:tcPr>
          <w:p>
            <w:pPr>
              <w:ind w:left="1900"/>
              <w:spacing w:after="0"/>
              <w:rPr>
                <w:sz w:val="20"/>
                <w:szCs w:val="20"/>
                <w:color w:val="auto"/>
              </w:rPr>
            </w:pPr>
            <w:r>
              <w:rPr>
                <w:rFonts w:ascii="Arial" w:cs="Arial" w:eastAsia="Arial" w:hAnsi="Arial"/>
                <w:sz w:val="18"/>
                <w:szCs w:val="18"/>
                <w:color w:val="auto"/>
              </w:rPr>
              <w:t>Mizuho Securities USA Inc.</w:t>
            </w:r>
          </w:p>
        </w:tc>
      </w:tr>
      <w:tr>
        <w:trPr>
          <w:trHeight w:val="216"/>
        </w:trPr>
        <w:tc>
          <w:tcPr>
            <w:tcW w:w="3820" w:type="dxa"/>
            <w:vAlign w:val="bottom"/>
          </w:tcPr>
          <w:p>
            <w:pPr>
              <w:spacing w:after="0"/>
              <w:rPr>
                <w:sz w:val="18"/>
                <w:szCs w:val="18"/>
                <w:color w:val="auto"/>
              </w:rPr>
            </w:pPr>
          </w:p>
        </w:tc>
        <w:tc>
          <w:tcPr>
            <w:tcW w:w="7600" w:type="dxa"/>
            <w:vAlign w:val="bottom"/>
          </w:tcPr>
          <w:p>
            <w:pPr>
              <w:ind w:left="1900"/>
              <w:spacing w:after="0"/>
              <w:rPr>
                <w:sz w:val="20"/>
                <w:szCs w:val="20"/>
                <w:color w:val="auto"/>
              </w:rPr>
            </w:pPr>
            <w:r>
              <w:rPr>
                <w:rFonts w:ascii="Arial" w:cs="Arial" w:eastAsia="Arial" w:hAnsi="Arial"/>
                <w:sz w:val="18"/>
                <w:szCs w:val="18"/>
                <w:color w:val="auto"/>
              </w:rPr>
              <w:t>Morgan Keegan &amp; Company, Inc.</w:t>
            </w:r>
          </w:p>
        </w:tc>
      </w:tr>
      <w:tr>
        <w:trPr>
          <w:trHeight w:val="216"/>
        </w:trPr>
        <w:tc>
          <w:tcPr>
            <w:tcW w:w="3820" w:type="dxa"/>
            <w:vAlign w:val="bottom"/>
          </w:tcPr>
          <w:p>
            <w:pPr>
              <w:spacing w:after="0"/>
              <w:rPr>
                <w:sz w:val="18"/>
                <w:szCs w:val="18"/>
                <w:color w:val="auto"/>
              </w:rPr>
            </w:pPr>
          </w:p>
        </w:tc>
        <w:tc>
          <w:tcPr>
            <w:tcW w:w="7600" w:type="dxa"/>
            <w:vAlign w:val="bottom"/>
          </w:tcPr>
          <w:p>
            <w:pPr>
              <w:ind w:left="1900"/>
              <w:spacing w:after="0"/>
              <w:rPr>
                <w:sz w:val="20"/>
                <w:szCs w:val="20"/>
                <w:color w:val="auto"/>
              </w:rPr>
            </w:pPr>
            <w:r>
              <w:rPr>
                <w:rFonts w:ascii="Arial" w:cs="Arial" w:eastAsia="Arial" w:hAnsi="Arial"/>
                <w:sz w:val="18"/>
                <w:szCs w:val="18"/>
                <w:color w:val="auto"/>
              </w:rPr>
              <w:t>Scotia Capital (USA) Inc.</w:t>
            </w:r>
          </w:p>
        </w:tc>
      </w:tr>
      <w:tr>
        <w:trPr>
          <w:trHeight w:val="230"/>
        </w:trPr>
        <w:tc>
          <w:tcPr>
            <w:tcW w:w="3820" w:type="dxa"/>
            <w:vAlign w:val="bottom"/>
          </w:tcPr>
          <w:p>
            <w:pPr>
              <w:spacing w:after="0"/>
              <w:rPr>
                <w:sz w:val="20"/>
                <w:szCs w:val="20"/>
                <w:color w:val="auto"/>
              </w:rPr>
            </w:pPr>
          </w:p>
        </w:tc>
        <w:tc>
          <w:tcPr>
            <w:tcW w:w="7600" w:type="dxa"/>
            <w:vAlign w:val="bottom"/>
          </w:tcPr>
          <w:p>
            <w:pPr>
              <w:ind w:left="1900"/>
              <w:spacing w:after="0"/>
              <w:rPr>
                <w:sz w:val="20"/>
                <w:szCs w:val="20"/>
                <w:color w:val="auto"/>
              </w:rPr>
            </w:pPr>
            <w:r>
              <w:rPr>
                <w:rFonts w:ascii="Arial" w:cs="Arial" w:eastAsia="Arial" w:hAnsi="Arial"/>
                <w:sz w:val="18"/>
                <w:szCs w:val="18"/>
                <w:color w:val="auto"/>
              </w:rPr>
              <w:t>SunTrust Robinson Humphrey, Inc.</w:t>
            </w:r>
          </w:p>
        </w:tc>
      </w:tr>
      <w:tr>
        <w:trPr>
          <w:trHeight w:val="418"/>
        </w:trPr>
        <w:tc>
          <w:tcPr>
            <w:tcW w:w="3820" w:type="dxa"/>
            <w:vAlign w:val="bottom"/>
          </w:tcPr>
          <w:p>
            <w:pPr>
              <w:spacing w:after="0"/>
              <w:rPr>
                <w:sz w:val="20"/>
                <w:szCs w:val="20"/>
                <w:color w:val="auto"/>
              </w:rPr>
            </w:pPr>
            <w:r>
              <w:rPr>
                <w:rFonts w:ascii="Arial" w:cs="Arial" w:eastAsia="Arial" w:hAnsi="Arial"/>
                <w:sz w:val="18"/>
                <w:szCs w:val="18"/>
                <w:color w:val="auto"/>
              </w:rPr>
              <w:t>Anticipated Ratings:</w:t>
            </w:r>
          </w:p>
        </w:tc>
        <w:tc>
          <w:tcPr>
            <w:tcW w:w="7600" w:type="dxa"/>
            <w:vAlign w:val="bottom"/>
          </w:tcPr>
          <w:p>
            <w:pPr>
              <w:ind w:left="1900"/>
              <w:spacing w:after="0"/>
              <w:rPr>
                <w:sz w:val="20"/>
                <w:szCs w:val="20"/>
                <w:color w:val="auto"/>
              </w:rPr>
            </w:pPr>
            <w:r>
              <w:rPr>
                <w:rFonts w:ascii="Arial" w:cs="Arial" w:eastAsia="Arial" w:hAnsi="Arial"/>
                <w:sz w:val="18"/>
                <w:szCs w:val="18"/>
                <w:color w:val="auto"/>
              </w:rPr>
              <w:t>Moody’s: Baa3 (Stable)</w:t>
            </w:r>
          </w:p>
        </w:tc>
      </w:tr>
      <w:tr>
        <w:trPr>
          <w:trHeight w:val="216"/>
        </w:trPr>
        <w:tc>
          <w:tcPr>
            <w:tcW w:w="3820" w:type="dxa"/>
            <w:vAlign w:val="bottom"/>
          </w:tcPr>
          <w:p>
            <w:pPr>
              <w:spacing w:after="0"/>
              <w:rPr>
                <w:sz w:val="18"/>
                <w:szCs w:val="18"/>
                <w:color w:val="auto"/>
              </w:rPr>
            </w:pPr>
          </w:p>
        </w:tc>
        <w:tc>
          <w:tcPr>
            <w:tcW w:w="7600" w:type="dxa"/>
            <w:vAlign w:val="bottom"/>
          </w:tcPr>
          <w:p>
            <w:pPr>
              <w:ind w:left="1900"/>
              <w:spacing w:after="0"/>
              <w:rPr>
                <w:sz w:val="20"/>
                <w:szCs w:val="20"/>
                <w:color w:val="auto"/>
              </w:rPr>
            </w:pPr>
            <w:r>
              <w:rPr>
                <w:rFonts w:ascii="Arial" w:cs="Arial" w:eastAsia="Arial" w:hAnsi="Arial"/>
                <w:sz w:val="18"/>
                <w:szCs w:val="18"/>
                <w:color w:val="auto"/>
              </w:rPr>
              <w:t>S&amp;P: BBB (Stable)</w:t>
            </w:r>
          </w:p>
        </w:tc>
      </w:tr>
      <w:tr>
        <w:trPr>
          <w:trHeight w:val="230"/>
        </w:trPr>
        <w:tc>
          <w:tcPr>
            <w:tcW w:w="3820" w:type="dxa"/>
            <w:vAlign w:val="bottom"/>
          </w:tcPr>
          <w:p>
            <w:pPr>
              <w:spacing w:after="0"/>
              <w:rPr>
                <w:sz w:val="20"/>
                <w:szCs w:val="20"/>
                <w:color w:val="auto"/>
              </w:rPr>
            </w:pPr>
          </w:p>
        </w:tc>
        <w:tc>
          <w:tcPr>
            <w:tcW w:w="7600" w:type="dxa"/>
            <w:vAlign w:val="bottom"/>
          </w:tcPr>
          <w:p>
            <w:pPr>
              <w:ind w:left="1900"/>
              <w:spacing w:after="0"/>
              <w:rPr>
                <w:sz w:val="20"/>
                <w:szCs w:val="20"/>
                <w:color w:val="auto"/>
              </w:rPr>
            </w:pPr>
            <w:r>
              <w:rPr>
                <w:rFonts w:ascii="Arial" w:cs="Arial" w:eastAsia="Arial" w:hAnsi="Arial"/>
                <w:sz w:val="18"/>
                <w:szCs w:val="18"/>
                <w:color w:val="auto"/>
              </w:rPr>
              <w:t>Fitch: BBB (Stable)</w:t>
            </w:r>
          </w:p>
        </w:tc>
      </w:tr>
      <w:tr>
        <w:trPr>
          <w:trHeight w:val="632"/>
        </w:trPr>
        <w:tc>
          <w:tcPr>
            <w:tcW w:w="3820" w:type="dxa"/>
            <w:vAlign w:val="bottom"/>
            <w:tcBorders>
              <w:bottom w:val="single" w:sz="8" w:color="808080"/>
            </w:tcBorders>
          </w:tcPr>
          <w:p>
            <w:pPr>
              <w:spacing w:after="0"/>
              <w:rPr>
                <w:sz w:val="24"/>
                <w:szCs w:val="24"/>
                <w:color w:val="auto"/>
              </w:rPr>
            </w:pPr>
          </w:p>
        </w:tc>
        <w:tc>
          <w:tcPr>
            <w:tcW w:w="7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Note: A securities rating is not a recommendation to buy, sell or hold securities and may be subject to revision or withdrawal at any time.</w:t>
      </w:r>
    </w:p>
    <w:p>
      <w:pPr>
        <w:spacing w:after="0" w:line="113"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Barclays Capital Inc. toll-free at 1-888-227-2275, Ext. 2663</w:t>
      </w:r>
      <w:r>
        <w:rPr>
          <w:rFonts w:ascii="Arial" w:cs="Arial" w:eastAsia="Arial" w:hAnsi="Arial"/>
          <w:sz w:val="16"/>
          <w:szCs w:val="16"/>
          <w:color w:val="auto"/>
        </w:rPr>
        <w:t>,</w:t>
      </w:r>
      <w:r>
        <w:rPr>
          <w:rFonts w:ascii="Arial" w:cs="Arial" w:eastAsia="Arial" w:hAnsi="Arial"/>
          <w:sz w:val="16"/>
          <w:szCs w:val="16"/>
          <w:b w:val="1"/>
          <w:bCs w:val="1"/>
          <w:color w:val="auto"/>
        </w:rPr>
        <w:t xml:space="preserve"> Credit Suisse Securities (USA) LLC at 212-325-3225, Deutsche Bank Inc. toll-free at 1-800-503-4611 or Greenwich Capital Markets, Inc. toll-free at 1-866-884-2071.</w:t>
      </w:r>
    </w:p>
    <w:p>
      <w:pPr>
        <w:spacing w:after="0" w:line="5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were automatically generated as a result of this communication being sent via email or another communication system</w:t>
      </w:r>
      <w:r>
        <w:rPr>
          <w:rFonts w:ascii="Arial" w:cs="Arial" w:eastAsia="Arial" w:hAnsi="Arial"/>
          <w:sz w:val="18"/>
          <w:szCs w:val="18"/>
          <w:b w:val="1"/>
          <w:bCs w:val="1"/>
          <w:color w:val="auto"/>
        </w:rPr>
        <w:t>.</w:t>
      </w:r>
    </w:p>
    <w:sectPr>
      <w:pgSz w:w="11900" w:h="16838" w:orient="portrait"/>
      <w:cols w:equalWidth="0" w:num="1">
        <w:col w:w="11340"/>
      </w:cols>
      <w:pgMar w:left="240" w:top="93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2019-12-10T07:46:11Z</dcterms:created>
  <dcterms:modified xsi:type="dcterms:W3CDTF">2019-12-10T07:46:11Z</dcterms:modified>
</cp:coreProperties>
</file>