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CALCULATION OF REGISTRATION FEE</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4820" w:type="dxa"/>
            <w:vAlign w:val="bottom"/>
            <w:tcBorders>
              <w:top w:val="single" w:sz="8" w:color="auto"/>
              <w:bottom w:val="single" w:sz="8" w:color="auto"/>
              <w:right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right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20" w:type="dxa"/>
            <w:vAlign w:val="bottom"/>
            <w:tcBorders>
              <w:right w:val="single" w:sz="8" w:color="auto"/>
            </w:tcBorders>
          </w:tcPr>
          <w:p>
            <w:pPr>
              <w:jc w:val="center"/>
              <w:ind w:right="302"/>
              <w:spacing w:after="0" w:line="106" w:lineRule="exact"/>
              <w:rPr>
                <w:sz w:val="20"/>
                <w:szCs w:val="20"/>
                <w:color w:val="auto"/>
              </w:rPr>
            </w:pPr>
            <w:r>
              <w:rPr>
                <w:rFonts w:ascii="Arial" w:cs="Arial" w:eastAsia="Arial" w:hAnsi="Arial"/>
                <w:sz w:val="12"/>
                <w:szCs w:val="12"/>
                <w:b w:val="1"/>
                <w:bCs w:val="1"/>
                <w:color w:val="auto"/>
              </w:rPr>
              <w:t>Title of Each Class of</w:t>
            </w:r>
          </w:p>
        </w:tc>
        <w:tc>
          <w:tcPr>
            <w:tcW w:w="460" w:type="dxa"/>
            <w:vAlign w:val="bottom"/>
          </w:tcPr>
          <w:p>
            <w:pPr>
              <w:spacing w:after="0"/>
              <w:rPr>
                <w:sz w:val="9"/>
                <w:szCs w:val="9"/>
                <w:color w:val="auto"/>
              </w:rPr>
            </w:pPr>
          </w:p>
        </w:tc>
        <w:tc>
          <w:tcPr>
            <w:tcW w:w="2020" w:type="dxa"/>
            <w:vAlign w:val="bottom"/>
            <w:tcBorders>
              <w:right w:val="single" w:sz="8" w:color="auto"/>
            </w:tcBorders>
          </w:tcPr>
          <w:p>
            <w:pPr>
              <w:jc w:val="center"/>
              <w:ind w:right="399"/>
              <w:spacing w:after="0" w:line="106" w:lineRule="exact"/>
              <w:rPr>
                <w:sz w:val="20"/>
                <w:szCs w:val="20"/>
                <w:color w:val="auto"/>
              </w:rPr>
            </w:pPr>
            <w:r>
              <w:rPr>
                <w:rFonts w:ascii="Arial" w:cs="Arial" w:eastAsia="Arial" w:hAnsi="Arial"/>
                <w:sz w:val="12"/>
                <w:szCs w:val="12"/>
                <w:b w:val="1"/>
                <w:bCs w:val="1"/>
                <w:color w:val="auto"/>
              </w:rPr>
              <w:t>Offering</w:t>
            </w:r>
          </w:p>
        </w:tc>
        <w:tc>
          <w:tcPr>
            <w:tcW w:w="2360" w:type="dxa"/>
            <w:vAlign w:val="bottom"/>
          </w:tcPr>
          <w:p>
            <w:pPr>
              <w:ind w:left="840"/>
              <w:spacing w:after="0" w:line="106" w:lineRule="exact"/>
              <w:rPr>
                <w:sz w:val="20"/>
                <w:szCs w:val="20"/>
                <w:color w:val="auto"/>
              </w:rPr>
            </w:pPr>
            <w:r>
              <w:rPr>
                <w:rFonts w:ascii="Arial" w:cs="Arial" w:eastAsia="Arial" w:hAnsi="Arial"/>
                <w:sz w:val="12"/>
                <w:szCs w:val="12"/>
                <w:b w:val="1"/>
                <w:bCs w:val="1"/>
                <w:color w:val="auto"/>
              </w:rPr>
              <w:t>Registration</w:t>
            </w:r>
          </w:p>
        </w:tc>
      </w:tr>
      <w:tr>
        <w:trPr>
          <w:trHeight w:val="171"/>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1"/>
              </w:rPr>
              <w:t>Securities to be Offered</w:t>
            </w:r>
          </w:p>
        </w:tc>
        <w:tc>
          <w:tcPr>
            <w:tcW w:w="460" w:type="dxa"/>
            <w:vAlign w:val="bottom"/>
            <w:tcBorders>
              <w:bottom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3"/>
              </w:rPr>
              <w:t>Price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Fee(1)</w:t>
            </w:r>
          </w:p>
        </w:tc>
      </w:tr>
      <w:tr>
        <w:trPr>
          <w:trHeight w:val="210"/>
        </w:trPr>
        <w:tc>
          <w:tcPr>
            <w:tcW w:w="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2.60% Senior Notes due 2016</w:t>
            </w:r>
          </w:p>
        </w:tc>
        <w:tc>
          <w:tcPr>
            <w:tcW w:w="4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399"/>
              <w:spacing w:after="0"/>
              <w:rPr>
                <w:sz w:val="20"/>
                <w:szCs w:val="20"/>
                <w:color w:val="auto"/>
              </w:rPr>
            </w:pPr>
            <w:r>
              <w:rPr>
                <w:rFonts w:ascii="Arial" w:cs="Arial" w:eastAsia="Arial" w:hAnsi="Arial"/>
                <w:sz w:val="18"/>
                <w:szCs w:val="18"/>
                <w:color w:val="auto"/>
                <w:w w:val="88"/>
              </w:rPr>
              <w:t>$500,000,000</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$58,050</w:t>
            </w:r>
          </w:p>
        </w:tc>
      </w:tr>
      <w:tr>
        <w:trPr>
          <w:trHeight w:val="210"/>
        </w:trPr>
        <w:tc>
          <w:tcPr>
            <w:tcW w:w="50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Guarantee of 2016 Notes(2)</w:t>
            </w:r>
          </w:p>
        </w:tc>
        <w:tc>
          <w:tcPr>
            <w:tcW w:w="4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399"/>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50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2020" w:type="dxa"/>
            <w:vAlign w:val="bottom"/>
            <w:tcBorders>
              <w:right w:val="single" w:sz="8" w:color="auto"/>
            </w:tcBorders>
          </w:tcPr>
          <w:p>
            <w:pPr>
              <w:jc w:val="center"/>
              <w:ind w:right="399"/>
              <w:spacing w:after="0"/>
              <w:rPr>
                <w:sz w:val="20"/>
                <w:szCs w:val="20"/>
                <w:color w:val="auto"/>
              </w:rPr>
            </w:pPr>
            <w:r>
              <w:rPr>
                <w:rFonts w:ascii="Arial" w:cs="Arial" w:eastAsia="Arial" w:hAnsi="Arial"/>
                <w:sz w:val="18"/>
                <w:szCs w:val="18"/>
                <w:color w:val="auto"/>
                <w:w w:val="88"/>
              </w:rPr>
              <w:t>$500,000,000</w:t>
            </w:r>
          </w:p>
        </w:tc>
        <w:tc>
          <w:tcPr>
            <w:tcW w:w="2360" w:type="dxa"/>
            <w:vAlign w:val="bottom"/>
          </w:tcPr>
          <w:p>
            <w:pPr>
              <w:jc w:val="center"/>
              <w:spacing w:after="0"/>
              <w:rPr>
                <w:sz w:val="20"/>
                <w:szCs w:val="20"/>
                <w:color w:val="auto"/>
              </w:rPr>
            </w:pPr>
            <w:r>
              <w:rPr>
                <w:rFonts w:ascii="Arial" w:cs="Arial" w:eastAsia="Arial" w:hAnsi="Arial"/>
                <w:sz w:val="18"/>
                <w:szCs w:val="18"/>
                <w:color w:val="auto"/>
                <w:w w:val="92"/>
              </w:rPr>
              <w:t>$58,050</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gridSpan w:val="3"/>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60" w:type="dxa"/>
            <w:vAlign w:val="bottom"/>
            <w:gridSpan w:val="2"/>
          </w:tcPr>
          <w:p>
            <w:pPr>
              <w:spacing w:after="0"/>
              <w:rPr>
                <w:sz w:val="20"/>
                <w:szCs w:val="20"/>
                <w:color w:val="auto"/>
              </w:rPr>
            </w:pPr>
            <w:r>
              <w:rPr>
                <w:rFonts w:ascii="Arial" w:cs="Arial" w:eastAsia="Arial" w:hAnsi="Arial"/>
                <w:sz w:val="18"/>
                <w:szCs w:val="18"/>
                <w:color w:val="auto"/>
              </w:rPr>
              <w:t>(1)</w:t>
            </w:r>
          </w:p>
        </w:tc>
        <w:tc>
          <w:tcPr>
            <w:tcW w:w="7300" w:type="dxa"/>
            <w:vAlign w:val="bottom"/>
            <w:gridSpan w:val="3"/>
          </w:tcPr>
          <w:p>
            <w:pPr>
              <w:ind w:left="40"/>
              <w:spacing w:after="0"/>
              <w:rPr>
                <w:sz w:val="20"/>
                <w:szCs w:val="20"/>
                <w:color w:val="auto"/>
              </w:rPr>
            </w:pPr>
            <w:r>
              <w:rPr>
                <w:rFonts w:ascii="Arial" w:cs="Arial" w:eastAsia="Arial" w:hAnsi="Arial"/>
                <w:sz w:val="18"/>
                <w:szCs w:val="18"/>
                <w:color w:val="auto"/>
              </w:rPr>
              <w:t>Calculated in accordance with Rule 457(r) of the Securities Act of 1933, as amended.</w:t>
            </w:r>
          </w:p>
        </w:tc>
        <w:tc>
          <w:tcPr>
            <w:tcW w:w="2360" w:type="dxa"/>
            <w:vAlign w:val="bottom"/>
          </w:tcPr>
          <w:p>
            <w:pPr>
              <w:spacing w:after="0"/>
              <w:rPr>
                <w:sz w:val="24"/>
                <w:szCs w:val="24"/>
                <w:color w:val="auto"/>
              </w:rPr>
            </w:pPr>
          </w:p>
        </w:tc>
      </w:tr>
      <w:tr>
        <w:trPr>
          <w:trHeight w:val="270"/>
        </w:trPr>
        <w:tc>
          <w:tcPr>
            <w:tcW w:w="260" w:type="dxa"/>
            <w:vAlign w:val="bottom"/>
            <w:gridSpan w:val="2"/>
          </w:tcPr>
          <w:p>
            <w:pPr>
              <w:spacing w:after="0"/>
              <w:rPr>
                <w:sz w:val="20"/>
                <w:szCs w:val="20"/>
                <w:color w:val="auto"/>
              </w:rPr>
            </w:pPr>
            <w:r>
              <w:rPr>
                <w:rFonts w:ascii="Arial" w:cs="Arial" w:eastAsia="Arial" w:hAnsi="Arial"/>
                <w:sz w:val="18"/>
                <w:szCs w:val="18"/>
                <w:color w:val="auto"/>
              </w:rPr>
              <w:t>(2)</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w w:val="93"/>
              </w:rPr>
              <w:t>Pursuant to Rule 457(n), no separate fee for the guarantee is payable.</w:t>
            </w:r>
          </w:p>
        </w:tc>
        <w:tc>
          <w:tcPr>
            <w:tcW w:w="2020" w:type="dxa"/>
            <w:vAlign w:val="bottom"/>
          </w:tcPr>
          <w:p>
            <w:pPr>
              <w:spacing w:after="0"/>
              <w:rPr>
                <w:sz w:val="23"/>
                <w:szCs w:val="23"/>
                <w:color w:val="auto"/>
              </w:rPr>
            </w:pPr>
          </w:p>
        </w:tc>
        <w:tc>
          <w:tcPr>
            <w:tcW w:w="2360" w:type="dxa"/>
            <w:vAlign w:val="bottom"/>
          </w:tcPr>
          <w:p>
            <w:pPr>
              <w:spacing w:after="0"/>
              <w:rPr>
                <w:sz w:val="23"/>
                <w:szCs w:val="23"/>
                <w:color w:val="auto"/>
              </w:rPr>
            </w:pPr>
          </w:p>
        </w:tc>
      </w:tr>
    </w:tbl>
    <w:p>
      <w:pPr>
        <w:jc w:val="right"/>
        <w:ind w:right="800"/>
        <w:spacing w:after="0"/>
        <w:rPr>
          <w:sz w:val="20"/>
          <w:szCs w:val="20"/>
          <w:color w:val="auto"/>
        </w:rPr>
      </w:pPr>
      <w:r>
        <w:rPr>
          <w:rFonts w:ascii="Arial" w:cs="Arial" w:eastAsia="Arial" w:hAnsi="Arial"/>
          <w:sz w:val="18"/>
          <w:szCs w:val="18"/>
          <w:b w:val="1"/>
          <w:bCs w:val="1"/>
          <w:color w:val="auto"/>
        </w:rPr>
        <w:t>Filed Pursuant to Rule 424(b)(5)</w:t>
      </w:r>
    </w:p>
    <w:p>
      <w:pPr>
        <w:spacing w:after="0" w:line="9"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Registration No. 333-162059</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97790</wp:posOffset>
            </wp:positionV>
            <wp:extent cx="126936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2.60% Senior Notes due 2016</w:t>
      </w:r>
    </w:p>
    <w:p>
      <w:pPr>
        <w:spacing w:after="0" w:line="207" w:lineRule="exact"/>
        <w:rPr>
          <w:sz w:val="20"/>
          <w:szCs w:val="20"/>
          <w:color w:val="auto"/>
        </w:rPr>
      </w:pPr>
    </w:p>
    <w:p>
      <w:pPr>
        <w:ind w:left="700" w:right="920" w:firstLine="397"/>
        <w:spacing w:after="0" w:line="342" w:lineRule="auto"/>
        <w:rPr>
          <w:sz w:val="20"/>
          <w:szCs w:val="20"/>
          <w:color w:val="auto"/>
        </w:rPr>
      </w:pPr>
      <w:r>
        <w:rPr>
          <w:rFonts w:ascii="Arial" w:cs="Arial" w:eastAsia="Arial" w:hAnsi="Arial"/>
          <w:sz w:val="16"/>
          <w:szCs w:val="16"/>
          <w:color w:val="auto"/>
        </w:rPr>
        <w:t>We are offering $500,000,000 of our 2.60% senior notes due 2016. Interest on the notes will accrue from August 29, 2011 and will be payable on March 1 and September 1 of each year, beginning March 1, 2012. The notes will mature on September 1, 2016.</w:t>
      </w:r>
    </w:p>
    <w:p>
      <w:pPr>
        <w:spacing w:after="0" w:line="29" w:lineRule="exact"/>
        <w:rPr>
          <w:sz w:val="20"/>
          <w:szCs w:val="20"/>
          <w:color w:val="auto"/>
        </w:rPr>
      </w:pPr>
    </w:p>
    <w:p>
      <w:pPr>
        <w:jc w:val="both"/>
        <w:ind w:left="700" w:right="840" w:firstLine="397"/>
        <w:spacing w:after="0" w:line="286" w:lineRule="auto"/>
        <w:rPr>
          <w:sz w:val="20"/>
          <w:szCs w:val="20"/>
          <w:color w:val="auto"/>
        </w:rPr>
      </w:pPr>
      <w:r>
        <w:rPr>
          <w:rFonts w:ascii="Arial" w:cs="Arial" w:eastAsia="Arial" w:hAnsi="Arial"/>
          <w:sz w:val="17"/>
          <w:szCs w:val="17"/>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right="820" w:firstLine="397"/>
        <w:spacing w:after="0" w:line="342" w:lineRule="auto"/>
        <w:rPr>
          <w:sz w:val="20"/>
          <w:szCs w:val="20"/>
          <w:color w:val="auto"/>
        </w:rPr>
      </w:pPr>
      <w:r>
        <w:rPr>
          <w:rFonts w:ascii="Arial" w:cs="Arial" w:eastAsia="Arial" w:hAnsi="Arial"/>
          <w:sz w:val="16"/>
          <w:szCs w:val="16"/>
          <w:color w:val="auto"/>
        </w:rPr>
        <w:t>We may redeem the notes, in whole or in part, at any time at the redemption prices described beginning on page S-11. If a change of control triggering event as described beginning on page S-14 occurs, we may be required to offer to purchase the notes from holders.</w:t>
      </w:r>
    </w:p>
    <w:p>
      <w:pPr>
        <w:spacing w:after="0" w:line="16" w:lineRule="exact"/>
        <w:rPr>
          <w:sz w:val="20"/>
          <w:szCs w:val="20"/>
          <w:color w:val="auto"/>
        </w:rPr>
      </w:pPr>
    </w:p>
    <w:p>
      <w:pPr>
        <w:ind w:left="700" w:right="136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77" w:lineRule="exact"/>
        <w:rPr>
          <w:sz w:val="20"/>
          <w:szCs w:val="20"/>
          <w:color w:val="auto"/>
        </w:rPr>
      </w:pPr>
    </w:p>
    <w:p>
      <w:pPr>
        <w:ind w:left="700" w:right="8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5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Per Note</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249"/>
        </w:trPr>
        <w:tc>
          <w:tcPr>
            <w:tcW w:w="7620" w:type="dxa"/>
            <w:vAlign w:val="bottom"/>
          </w:tcPr>
          <w:p>
            <w:pPr>
              <w:spacing w:after="0"/>
              <w:rPr>
                <w:sz w:val="20"/>
                <w:szCs w:val="20"/>
                <w:color w:val="auto"/>
              </w:rPr>
            </w:pPr>
            <w:r>
              <w:rPr>
                <w:rFonts w:ascii="Arial" w:cs="Arial" w:eastAsia="Arial" w:hAnsi="Arial"/>
                <w:sz w:val="18"/>
                <w:szCs w:val="18"/>
                <w:color w:val="auto"/>
              </w:rPr>
              <w:t>Public Offering Price(1)</w:t>
            </w:r>
          </w:p>
        </w:tc>
        <w:tc>
          <w:tcPr>
            <w:tcW w:w="740" w:type="dxa"/>
            <w:vAlign w:val="bottom"/>
          </w:tcPr>
          <w:p>
            <w:pPr>
              <w:jc w:val="right"/>
              <w:spacing w:after="0"/>
              <w:rPr>
                <w:sz w:val="20"/>
                <w:szCs w:val="20"/>
                <w:color w:val="auto"/>
              </w:rPr>
            </w:pPr>
            <w:r>
              <w:rPr>
                <w:rFonts w:ascii="Arial" w:cs="Arial" w:eastAsia="Arial" w:hAnsi="Arial"/>
                <w:sz w:val="18"/>
                <w:szCs w:val="18"/>
                <w:color w:val="auto"/>
              </w:rPr>
              <w:t>99.991%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499,955,000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Underwriting Discount</w:t>
            </w:r>
          </w:p>
        </w:tc>
        <w:tc>
          <w:tcPr>
            <w:tcW w:w="740" w:type="dxa"/>
            <w:vAlign w:val="bottom"/>
          </w:tcPr>
          <w:p>
            <w:pPr>
              <w:jc w:val="right"/>
              <w:spacing w:after="0"/>
              <w:rPr>
                <w:sz w:val="20"/>
                <w:szCs w:val="20"/>
                <w:color w:val="auto"/>
              </w:rPr>
            </w:pPr>
            <w:r>
              <w:rPr>
                <w:rFonts w:ascii="Arial" w:cs="Arial" w:eastAsia="Arial" w:hAnsi="Arial"/>
                <w:sz w:val="18"/>
                <w:szCs w:val="18"/>
                <w:color w:val="auto"/>
              </w:rPr>
              <w:t>0.600%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Proceeds to Us (excluding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99.391%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496,955,000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Plus accrued interest from August 29, 2011 if delivery occurs after that date.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jc w:val="both"/>
        <w:ind w:left="700" w:right="860" w:firstLine="397"/>
        <w:spacing w:after="0" w:line="264" w:lineRule="auto"/>
        <w:rPr>
          <w:sz w:val="20"/>
          <w:szCs w:val="20"/>
          <w:color w:val="auto"/>
        </w:rPr>
      </w:pPr>
      <w:r>
        <w:rPr>
          <w:rFonts w:ascii="Arial" w:cs="Arial" w:eastAsia="Arial" w:hAnsi="Arial"/>
          <w:sz w:val="18"/>
          <w:szCs w:val="18"/>
          <w:color w:val="auto"/>
        </w:rPr>
        <w:t>The underwriters expect to deliver the notes to investors on or about August 29, 2011 only in book-entry form through the facilities of The Depository Trust Company and its participants, including Clearstream Banking, société anonyme, and Euroclear Bank S.A./N.V., as operator of the Euroclear System.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3980" w:type="dxa"/>
            <w:vAlign w:val="bottom"/>
          </w:tcPr>
          <w:p>
            <w:pPr>
              <w:jc w:val="center"/>
              <w:ind w:left="335"/>
              <w:spacing w:after="0"/>
              <w:rPr>
                <w:sz w:val="20"/>
                <w:szCs w:val="20"/>
                <w:color w:val="auto"/>
              </w:rPr>
            </w:pPr>
            <w:r>
              <w:rPr>
                <w:rFonts w:ascii="Arial" w:cs="Arial" w:eastAsia="Arial" w:hAnsi="Arial"/>
                <w:sz w:val="18"/>
                <w:szCs w:val="18"/>
                <w:i w:val="1"/>
                <w:iCs w:val="1"/>
                <w:color w:val="auto"/>
                <w:w w:val="91"/>
              </w:rPr>
              <w:t>Joint Book-Running and Joint Lead Managers</w:t>
            </w:r>
          </w:p>
        </w:tc>
        <w:tc>
          <w:tcPr>
            <w:tcW w:w="4000" w:type="dxa"/>
            <w:vAlign w:val="bottom"/>
          </w:tcPr>
          <w:p>
            <w:pPr>
              <w:spacing w:after="0"/>
              <w:rPr>
                <w:sz w:val="20"/>
                <w:szCs w:val="20"/>
                <w:color w:val="auto"/>
              </w:rPr>
            </w:pPr>
          </w:p>
        </w:tc>
      </w:tr>
      <w:tr>
        <w:trPr>
          <w:trHeight w:val="447"/>
        </w:trPr>
        <w:tc>
          <w:tcPr>
            <w:tcW w:w="3440" w:type="dxa"/>
            <w:vAlign w:val="bottom"/>
          </w:tcPr>
          <w:p>
            <w:pPr>
              <w:ind w:left="700"/>
              <w:spacing w:after="0"/>
              <w:rPr>
                <w:sz w:val="20"/>
                <w:szCs w:val="20"/>
                <w:color w:val="auto"/>
              </w:rPr>
            </w:pPr>
            <w:r>
              <w:rPr>
                <w:rFonts w:ascii="Arial" w:cs="Arial" w:eastAsia="Arial" w:hAnsi="Arial"/>
                <w:sz w:val="32"/>
                <w:szCs w:val="32"/>
                <w:b w:val="1"/>
                <w:bCs w:val="1"/>
                <w:color w:val="auto"/>
              </w:rPr>
              <w:t>Credit Suisse</w:t>
            </w:r>
          </w:p>
        </w:tc>
        <w:tc>
          <w:tcPr>
            <w:tcW w:w="3980" w:type="dxa"/>
            <w:vAlign w:val="bottom"/>
          </w:tcPr>
          <w:p>
            <w:pPr>
              <w:jc w:val="center"/>
              <w:ind w:left="355"/>
              <w:spacing w:after="0"/>
              <w:rPr>
                <w:sz w:val="20"/>
                <w:szCs w:val="20"/>
                <w:color w:val="auto"/>
              </w:rPr>
            </w:pPr>
            <w:r>
              <w:rPr>
                <w:rFonts w:ascii="Arial" w:cs="Arial" w:eastAsia="Arial" w:hAnsi="Arial"/>
                <w:sz w:val="32"/>
                <w:szCs w:val="32"/>
                <w:b w:val="1"/>
                <w:bCs w:val="1"/>
                <w:color w:val="auto"/>
                <w:w w:val="92"/>
              </w:rPr>
              <w:t>J.P. Morgan</w:t>
            </w:r>
          </w:p>
        </w:tc>
        <w:tc>
          <w:tcPr>
            <w:tcW w:w="4000" w:type="dxa"/>
            <w:vAlign w:val="bottom"/>
          </w:tcPr>
          <w:p>
            <w:pPr>
              <w:jc w:val="right"/>
              <w:ind w:right="680"/>
              <w:spacing w:after="0"/>
              <w:rPr>
                <w:sz w:val="20"/>
                <w:szCs w:val="20"/>
                <w:color w:val="auto"/>
              </w:rPr>
            </w:pPr>
            <w:r>
              <w:rPr>
                <w:rFonts w:ascii="Arial" w:cs="Arial" w:eastAsia="Arial" w:hAnsi="Arial"/>
                <w:sz w:val="32"/>
                <w:szCs w:val="32"/>
                <w:b w:val="1"/>
                <w:bCs w:val="1"/>
                <w:color w:val="auto"/>
                <w:w w:val="92"/>
              </w:rPr>
              <w:t>Wells Fargo Securities</w:t>
            </w:r>
          </w:p>
        </w:tc>
      </w:tr>
      <w:tr>
        <w:trPr>
          <w:trHeight w:val="269"/>
        </w:trPr>
        <w:tc>
          <w:tcPr>
            <w:tcW w:w="3440" w:type="dxa"/>
            <w:vAlign w:val="bottom"/>
          </w:tcPr>
          <w:p>
            <w:pPr>
              <w:spacing w:after="0"/>
              <w:rPr>
                <w:sz w:val="23"/>
                <w:szCs w:val="23"/>
                <w:color w:val="auto"/>
              </w:rPr>
            </w:pPr>
          </w:p>
        </w:tc>
        <w:tc>
          <w:tcPr>
            <w:tcW w:w="3980" w:type="dxa"/>
            <w:vAlign w:val="bottom"/>
          </w:tcPr>
          <w:p>
            <w:pPr>
              <w:jc w:val="center"/>
              <w:ind w:left="355"/>
              <w:spacing w:after="0"/>
              <w:rPr>
                <w:sz w:val="20"/>
                <w:szCs w:val="20"/>
                <w:color w:val="auto"/>
              </w:rPr>
            </w:pPr>
            <w:r>
              <w:rPr>
                <w:rFonts w:ascii="Arial" w:cs="Arial" w:eastAsia="Arial" w:hAnsi="Arial"/>
                <w:sz w:val="18"/>
                <w:szCs w:val="18"/>
                <w:i w:val="1"/>
                <w:iCs w:val="1"/>
                <w:color w:val="auto"/>
                <w:w w:val="91"/>
              </w:rPr>
              <w:t>Co-Managers</w:t>
            </w:r>
          </w:p>
        </w:tc>
        <w:tc>
          <w:tcPr>
            <w:tcW w:w="4000" w:type="dxa"/>
            <w:vAlign w:val="bottom"/>
          </w:tcPr>
          <w:p>
            <w:pPr>
              <w:spacing w:after="0"/>
              <w:rPr>
                <w:sz w:val="23"/>
                <w:szCs w:val="23"/>
                <w:color w:val="auto"/>
              </w:rPr>
            </w:pPr>
          </w:p>
        </w:tc>
      </w:tr>
      <w:tr>
        <w:trPr>
          <w:trHeight w:val="288"/>
        </w:trPr>
        <w:tc>
          <w:tcPr>
            <w:tcW w:w="3440" w:type="dxa"/>
            <w:vAlign w:val="bottom"/>
          </w:tcPr>
          <w:p>
            <w:pPr>
              <w:ind w:left="700"/>
              <w:spacing w:after="0"/>
              <w:rPr>
                <w:sz w:val="20"/>
                <w:szCs w:val="20"/>
                <w:color w:val="auto"/>
              </w:rPr>
            </w:pPr>
            <w:r>
              <w:rPr>
                <w:rFonts w:ascii="Arial" w:cs="Arial" w:eastAsia="Arial" w:hAnsi="Arial"/>
                <w:sz w:val="20"/>
                <w:szCs w:val="20"/>
                <w:b w:val="1"/>
                <w:bCs w:val="1"/>
                <w:color w:val="auto"/>
              </w:rPr>
              <w:t>BBVA</w:t>
            </w:r>
          </w:p>
        </w:tc>
        <w:tc>
          <w:tcPr>
            <w:tcW w:w="3980" w:type="dxa"/>
            <w:vAlign w:val="bottom"/>
          </w:tcPr>
          <w:p>
            <w:pPr>
              <w:jc w:val="center"/>
              <w:ind w:left="555"/>
              <w:spacing w:after="0"/>
              <w:rPr>
                <w:sz w:val="20"/>
                <w:szCs w:val="20"/>
                <w:color w:val="auto"/>
              </w:rPr>
            </w:pPr>
            <w:r>
              <w:rPr>
                <w:rFonts w:ascii="Arial" w:cs="Arial" w:eastAsia="Arial" w:hAnsi="Arial"/>
                <w:sz w:val="20"/>
                <w:szCs w:val="20"/>
                <w:b w:val="1"/>
                <w:bCs w:val="1"/>
                <w:color w:val="auto"/>
                <w:w w:val="95"/>
              </w:rPr>
              <w:t>BNY Mellon Capital Markets, LLC</w:t>
            </w:r>
          </w:p>
        </w:tc>
        <w:tc>
          <w:tcPr>
            <w:tcW w:w="4000" w:type="dxa"/>
            <w:vAlign w:val="bottom"/>
          </w:tcPr>
          <w:p>
            <w:pPr>
              <w:jc w:val="right"/>
              <w:ind w:right="680"/>
              <w:spacing w:after="0"/>
              <w:rPr>
                <w:sz w:val="20"/>
                <w:szCs w:val="20"/>
                <w:color w:val="auto"/>
              </w:rPr>
            </w:pPr>
            <w:r>
              <w:rPr>
                <w:rFonts w:ascii="Arial" w:cs="Arial" w:eastAsia="Arial" w:hAnsi="Arial"/>
                <w:sz w:val="20"/>
                <w:szCs w:val="20"/>
                <w:b w:val="1"/>
                <w:bCs w:val="1"/>
                <w:color w:val="auto"/>
              </w:rPr>
              <w:t>Comerica Securities</w:t>
            </w:r>
          </w:p>
        </w:tc>
      </w:tr>
      <w:tr>
        <w:trPr>
          <w:trHeight w:val="256"/>
        </w:trPr>
        <w:tc>
          <w:tcPr>
            <w:tcW w:w="3440" w:type="dxa"/>
            <w:vAlign w:val="bottom"/>
          </w:tcPr>
          <w:p>
            <w:pPr>
              <w:ind w:left="700"/>
              <w:spacing w:after="0"/>
              <w:rPr>
                <w:sz w:val="20"/>
                <w:szCs w:val="20"/>
                <w:color w:val="auto"/>
              </w:rPr>
            </w:pPr>
            <w:r>
              <w:rPr>
                <w:rFonts w:ascii="Arial" w:cs="Arial" w:eastAsia="Arial" w:hAnsi="Arial"/>
                <w:sz w:val="20"/>
                <w:szCs w:val="20"/>
                <w:b w:val="1"/>
                <w:bCs w:val="1"/>
                <w:color w:val="auto"/>
              </w:rPr>
              <w:t>Mitsubishi UFJ Securities</w:t>
            </w:r>
          </w:p>
        </w:tc>
        <w:tc>
          <w:tcPr>
            <w:tcW w:w="3980" w:type="dxa"/>
            <w:vAlign w:val="bottom"/>
          </w:tcPr>
          <w:p>
            <w:pPr>
              <w:jc w:val="center"/>
              <w:ind w:left="555"/>
              <w:spacing w:after="0"/>
              <w:rPr>
                <w:sz w:val="20"/>
                <w:szCs w:val="20"/>
                <w:color w:val="auto"/>
              </w:rPr>
            </w:pPr>
            <w:r>
              <w:rPr>
                <w:rFonts w:ascii="Arial" w:cs="Arial" w:eastAsia="Arial" w:hAnsi="Arial"/>
                <w:sz w:val="20"/>
                <w:szCs w:val="20"/>
                <w:b w:val="1"/>
                <w:bCs w:val="1"/>
                <w:color w:val="auto"/>
                <w:w w:val="89"/>
              </w:rPr>
              <w:t>Mizuho Securities</w:t>
            </w:r>
          </w:p>
        </w:tc>
        <w:tc>
          <w:tcPr>
            <w:tcW w:w="4000" w:type="dxa"/>
            <w:vAlign w:val="bottom"/>
          </w:tcPr>
          <w:p>
            <w:pPr>
              <w:jc w:val="right"/>
              <w:ind w:right="680"/>
              <w:spacing w:after="0"/>
              <w:rPr>
                <w:sz w:val="20"/>
                <w:szCs w:val="20"/>
                <w:color w:val="auto"/>
              </w:rPr>
            </w:pPr>
            <w:r>
              <w:rPr>
                <w:rFonts w:ascii="Arial" w:cs="Arial" w:eastAsia="Arial" w:hAnsi="Arial"/>
                <w:sz w:val="20"/>
                <w:szCs w:val="20"/>
                <w:b w:val="1"/>
                <w:bCs w:val="1"/>
                <w:color w:val="auto"/>
              </w:rPr>
              <w:t>SMBC Nikko</w:t>
            </w:r>
          </w:p>
        </w:tc>
      </w:tr>
      <w:tr>
        <w:trPr>
          <w:trHeight w:val="280"/>
        </w:trPr>
        <w:tc>
          <w:tcPr>
            <w:tcW w:w="3440" w:type="dxa"/>
            <w:vAlign w:val="bottom"/>
          </w:tcPr>
          <w:p>
            <w:pPr>
              <w:spacing w:after="0"/>
              <w:rPr>
                <w:sz w:val="24"/>
                <w:szCs w:val="24"/>
                <w:color w:val="auto"/>
              </w:rPr>
            </w:pPr>
          </w:p>
        </w:tc>
        <w:tc>
          <w:tcPr>
            <w:tcW w:w="3980" w:type="dxa"/>
            <w:vAlign w:val="bottom"/>
          </w:tcPr>
          <w:p>
            <w:pPr>
              <w:jc w:val="center"/>
              <w:ind w:left="355"/>
              <w:spacing w:after="0"/>
              <w:rPr>
                <w:sz w:val="20"/>
                <w:szCs w:val="20"/>
                <w:color w:val="auto"/>
              </w:rPr>
            </w:pPr>
            <w:r>
              <w:rPr>
                <w:rFonts w:ascii="Arial" w:cs="Arial" w:eastAsia="Arial" w:hAnsi="Arial"/>
                <w:sz w:val="18"/>
                <w:szCs w:val="18"/>
                <w:color w:val="auto"/>
                <w:w w:val="91"/>
              </w:rPr>
              <w:t>August 24, 2011</w:t>
            </w:r>
          </w:p>
        </w:tc>
        <w:tc>
          <w:tcPr>
            <w:tcW w:w="400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700" w:right="820" w:firstLine="397"/>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20" w:type="dxa"/>
            <w:vAlign w:val="bottom"/>
            <w:gridSpan w:val="2"/>
          </w:tcPr>
          <w:p>
            <w:pPr>
              <w:jc w:val="center"/>
              <w:ind w:right="3711"/>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443"/>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800" w:type="dxa"/>
            <w:vAlign w:val="bottom"/>
          </w:tcPr>
          <w:p>
            <w:pPr>
              <w:spacing w:after="0"/>
              <w:rPr>
                <w:sz w:val="24"/>
                <w:szCs w:val="24"/>
                <w:color w:val="auto"/>
              </w:rPr>
            </w:pPr>
          </w:p>
        </w:tc>
      </w:tr>
      <w:tr>
        <w:trPr>
          <w:trHeight w:val="252"/>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20" w:type="dxa"/>
            <w:vAlign w:val="bottom"/>
            <w:gridSpan w:val="2"/>
          </w:tcPr>
          <w:p>
            <w:pPr>
              <w:jc w:val="center"/>
              <w:ind w:right="3711"/>
              <w:spacing w:after="0"/>
              <w:rPr>
                <w:sz w:val="20"/>
                <w:szCs w:val="20"/>
                <w:color w:val="auto"/>
              </w:rPr>
            </w:pPr>
            <w:r>
              <w:rPr>
                <w:rFonts w:ascii="Arial" w:cs="Arial" w:eastAsia="Arial" w:hAnsi="Arial"/>
                <w:sz w:val="18"/>
                <w:szCs w:val="18"/>
                <w:b w:val="1"/>
                <w:bCs w:val="1"/>
                <w:color w:val="auto"/>
                <w:w w:val="86"/>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8"/>
          </w:tcPr>
          <w:p>
            <w:pPr>
              <w:spacing w:after="0"/>
              <w:rPr>
                <w:sz w:val="16"/>
                <w:szCs w:val="16"/>
                <w:color w:val="auto"/>
              </w:rPr>
            </w:pPr>
          </w:p>
        </w:tc>
        <w:tc>
          <w:tcPr>
            <w:tcW w:w="5620" w:type="dxa"/>
            <w:vAlign w:val="bottom"/>
          </w:tcPr>
          <w:p>
            <w:pPr>
              <w:spacing w:after="0"/>
              <w:rPr>
                <w:sz w:val="16"/>
                <w:szCs w:val="16"/>
                <w:color w:val="auto"/>
              </w:rPr>
            </w:pPr>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7"/>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3"/>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Notes</w:t>
              </w:r>
            </w:hyperlink>
          </w:p>
        </w:tc>
        <w:tc>
          <w:tcPr>
            <w:tcW w:w="2300" w:type="dxa"/>
            <w:vAlign w:val="bottom"/>
            <w:gridSpan w:val="2"/>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Underwriting</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Legal Matters</w:t>
              </w:r>
            </w:hyperlink>
          </w:p>
        </w:tc>
        <w:tc>
          <w:tcPr>
            <w:tcW w:w="2800" w:type="dxa"/>
            <w:vAlign w:val="bottom"/>
            <w:gridSpan w:val="5"/>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Incorporation of Certain Documents by Reference</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S-24</w:t>
            </w:r>
          </w:p>
        </w:tc>
        <w:tc>
          <w:tcPr>
            <w:tcW w:w="800" w:type="dxa"/>
            <w:vAlign w:val="bottom"/>
          </w:tcPr>
          <w:p>
            <w:pPr>
              <w:spacing w:after="0"/>
              <w:rPr>
                <w:sz w:val="17"/>
                <w:szCs w:val="17"/>
                <w:color w:val="auto"/>
              </w:rPr>
            </w:pPr>
          </w:p>
        </w:tc>
      </w:tr>
      <w:tr>
        <w:trPr>
          <w:trHeight w:val="384"/>
        </w:trPr>
        <w:tc>
          <w:tcPr>
            <w:tcW w:w="7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120" w:type="dxa"/>
            <w:vAlign w:val="bottom"/>
            <w:gridSpan w:val="2"/>
          </w:tcPr>
          <w:p>
            <w:pPr>
              <w:jc w:val="center"/>
              <w:ind w:right="3711"/>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Forward-Looking Statements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About This Prospectus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w w:val="95"/>
              </w:rPr>
              <w:t>Incorporation of Certain Documents by Reference</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Where You Can Find More Information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The Company</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Risk Factors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Ratio of Earnings to Fixed Charges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the Debt Securities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Guarantees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Capital Stock</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Other Securities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Plan of Distribution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Selling Securityholders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Legal Matters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Experts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0"/>
                <w:szCs w:val="20"/>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34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4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Waste Management, Inc.</w:t>
      </w:r>
    </w:p>
    <w:p>
      <w:pPr>
        <w:spacing w:after="0" w:line="135" w:lineRule="exact"/>
        <w:rPr>
          <w:sz w:val="20"/>
          <w:szCs w:val="20"/>
          <w:color w:val="auto"/>
        </w:rPr>
      </w:pPr>
    </w:p>
    <w:p>
      <w:pPr>
        <w:ind w:left="920" w:right="140" w:firstLine="397"/>
        <w:spacing w:after="0" w:line="259"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340" w:firstLine="2"/>
        <w:spacing w:after="0" w:line="273" w:lineRule="auto"/>
        <w:tabs>
          <w:tab w:leader="none" w:pos="1355" w:val="left"/>
        </w:tabs>
        <w:numPr>
          <w:ilvl w:val="0"/>
          <w:numId w:val="1"/>
        </w:numPr>
        <w:rPr>
          <w:rFonts w:ascii="Arial" w:cs="Arial" w:eastAsia="Arial" w:hAnsi="Arial"/>
          <w:sz w:val="17"/>
          <w:szCs w:val="17"/>
          <w:color w:val="auto"/>
        </w:rPr>
      </w:pPr>
      <w:r>
        <w:rPr>
          <w:rFonts w:ascii="Arial" w:cs="Arial" w:eastAsia="Arial" w:hAnsi="Arial"/>
          <w:sz w:val="17"/>
          <w:szCs w:val="17"/>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9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pacing w:after="0" w:line="29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920" w:right="60" w:firstLine="397"/>
        <w:spacing w:after="0" w:line="259" w:lineRule="auto"/>
        <w:rPr>
          <w:sz w:val="20"/>
          <w:szCs w:val="20"/>
          <w:color w:val="auto"/>
        </w:rPr>
      </w:pPr>
      <w:r>
        <w:rPr>
          <w:rFonts w:ascii="Arial" w:cs="Arial" w:eastAsia="Arial" w:hAnsi="Arial"/>
          <w:sz w:val="18"/>
          <w:szCs w:val="18"/>
          <w:color w:val="auto"/>
        </w:rPr>
        <w:t>On July 28, 2011, we acquired the primary operations of Oakleaf Global Holdings, a privately-owned waste services company providing outsourced waste and recycling services through a nationwide network of third-party haulers, for $425 million, subject to working capital and other adjustments. The combination pairs our extensive network of directly owned hauling, recycling, diversion and disposal assets with Oakleaf’s extensive managed third-party network.</w:t>
      </w:r>
    </w:p>
    <w:p>
      <w:pPr>
        <w:spacing w:after="0" w:line="92" w:lineRule="exact"/>
        <w:rPr>
          <w:sz w:val="20"/>
          <w:szCs w:val="20"/>
          <w:color w:val="auto"/>
        </w:rPr>
      </w:pPr>
    </w:p>
    <w:p>
      <w:pPr>
        <w:ind w:left="920" w:firstLine="397"/>
        <w:spacing w:after="0" w:line="312" w:lineRule="auto"/>
        <w:rPr>
          <w:sz w:val="20"/>
          <w:szCs w:val="20"/>
          <w:color w:val="auto"/>
        </w:rPr>
      </w:pPr>
      <w:r>
        <w:rPr>
          <w:rFonts w:ascii="Arial" w:cs="Arial" w:eastAsia="Arial" w:hAnsi="Arial"/>
          <w:sz w:val="16"/>
          <w:szCs w:val="16"/>
          <w:color w:val="auto"/>
        </w:rPr>
        <w:t>The acquired operations of Oakleaf generated approximately $580 million in revenues in 2010. The acquisition is intended to increase our national accounts customer base and enhance our ability to provide comprehensive environmental solutions. The acquisition was funded with a combination of cash on hand and $100 million of cash borrowed under our $2.0 billion revolving credit facility.</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right="500" w:firstLine="397"/>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71"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17"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$500 million aggregate principal amount of 2.60% Senior Notes due 2016.</w:t>
      </w:r>
    </w:p>
    <w:p>
      <w:pPr>
        <w:spacing w:after="0" w:line="117"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Subsidiary Guarantee</w:t>
      </w:r>
      <w:r>
        <w:rPr>
          <w:sz w:val="20"/>
          <w:szCs w:val="20"/>
          <w:color w:val="auto"/>
        </w:rPr>
        <w:tab/>
      </w:r>
      <w:r>
        <w:rPr>
          <w:rFonts w:ascii="Arial" w:cs="Arial" w:eastAsia="Arial" w:hAnsi="Arial"/>
          <w:sz w:val="16"/>
          <w:szCs w:val="16"/>
          <w:color w:val="auto"/>
        </w:rPr>
        <w:t>WM Holdings will fully and unconditionally guarantee, on a senior unsecured basis, the full and</w:t>
      </w:r>
    </w:p>
    <w:p>
      <w:pPr>
        <w:spacing w:after="0" w:line="23" w:lineRule="exact"/>
        <w:rPr>
          <w:sz w:val="20"/>
          <w:szCs w:val="20"/>
          <w:color w:val="auto"/>
        </w:rPr>
      </w:pPr>
    </w:p>
    <w:p>
      <w:pPr>
        <w:ind w:left="3520" w:right="540"/>
        <w:spacing w:after="0" w:line="261" w:lineRule="auto"/>
        <w:rPr>
          <w:sz w:val="20"/>
          <w:szCs w:val="20"/>
          <w:color w:val="auto"/>
        </w:rPr>
      </w:pPr>
      <w:r>
        <w:rPr>
          <w:rFonts w:ascii="Arial" w:cs="Arial" w:eastAsia="Arial" w:hAnsi="Arial"/>
          <w:sz w:val="18"/>
          <w:szCs w:val="18"/>
          <w:color w:val="auto"/>
        </w:rPr>
        <w:t>prompt payment of the principal and any premium and interest on the notes, when and as they become due and payable, whether at maturity or otherwise.</w:t>
      </w:r>
    </w:p>
    <w:p>
      <w:pPr>
        <w:spacing w:after="0" w:line="76"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5"/>
          <w:szCs w:val="15"/>
          <w:color w:val="auto"/>
        </w:rPr>
        <w:t>September 1, 2016.</w:t>
      </w:r>
    </w:p>
    <w:p>
      <w:pPr>
        <w:spacing w:after="0" w:line="117"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5"/>
          <w:szCs w:val="15"/>
          <w:color w:val="auto"/>
        </w:rPr>
        <w:t>2.60% per year.</w:t>
      </w:r>
    </w:p>
    <w:p>
      <w:pPr>
        <w:spacing w:after="0" w:line="117"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March 1 and September 1 of each year, beginning March 1, 2012.</w:t>
      </w:r>
    </w:p>
    <w:p>
      <w:pPr>
        <w:spacing w:after="0" w:line="117"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 any time in minimum principal amounts</w:t>
      </w:r>
    </w:p>
    <w:p>
      <w:pPr>
        <w:spacing w:after="0" w:line="23" w:lineRule="exact"/>
        <w:rPr>
          <w:sz w:val="20"/>
          <w:szCs w:val="20"/>
          <w:color w:val="auto"/>
        </w:rPr>
      </w:pPr>
    </w:p>
    <w:p>
      <w:pPr>
        <w:ind w:left="3520" w:right="120"/>
        <w:spacing w:after="0" w:line="252" w:lineRule="auto"/>
        <w:rPr>
          <w:sz w:val="20"/>
          <w:szCs w:val="20"/>
          <w:color w:val="auto"/>
        </w:rPr>
      </w:pPr>
      <w:r>
        <w:rPr>
          <w:rFonts w:ascii="Arial" w:cs="Arial" w:eastAsia="Arial" w:hAnsi="Arial"/>
          <w:sz w:val="18"/>
          <w:szCs w:val="18"/>
          <w:color w:val="auto"/>
        </w:rPr>
        <w:t>of $2,000 or any integral multiple of $1,000 in excess thereof. If we elect to redeem and repay the notes prior to the maturity date, we will pay an amount equal to the greater of 100% of the principal amount of the notes redeemed and repaid, or the sum of the present values of the remaining scheduled payments of principal and interest on the notes. We will pay accrued interest on the notes redeemed to the redemption date. See “Description of Notes — Optional Redemption” in this prospectus supplement.</w:t>
      </w:r>
    </w:p>
    <w:p>
      <w:pPr>
        <w:spacing w:after="0" w:line="86"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Change of Control Offer</w:t>
      </w:r>
      <w:r>
        <w:rPr>
          <w:sz w:val="20"/>
          <w:szCs w:val="20"/>
          <w:color w:val="auto"/>
        </w:rPr>
        <w:tab/>
      </w:r>
      <w:r>
        <w:rPr>
          <w:rFonts w:ascii="Arial" w:cs="Arial" w:eastAsia="Arial" w:hAnsi="Arial"/>
          <w:sz w:val="16"/>
          <w:szCs w:val="16"/>
          <w:color w:val="auto"/>
        </w:rPr>
        <w:t>If a change of control triggering event occurs, holders of the notes may require us to purchase all or a</w:t>
      </w:r>
    </w:p>
    <w:p>
      <w:pPr>
        <w:spacing w:after="0" w:line="23" w:lineRule="exact"/>
        <w:rPr>
          <w:sz w:val="20"/>
          <w:szCs w:val="20"/>
          <w:color w:val="auto"/>
        </w:rPr>
      </w:pPr>
    </w:p>
    <w:p>
      <w:pPr>
        <w:ind w:left="3520" w:right="20"/>
        <w:spacing w:after="0" w:line="255" w:lineRule="auto"/>
        <w:rPr>
          <w:sz w:val="20"/>
          <w:szCs w:val="20"/>
          <w:color w:val="auto"/>
        </w:rPr>
      </w:pPr>
      <w:r>
        <w:rPr>
          <w:rFonts w:ascii="Arial" w:cs="Arial" w:eastAsia="Arial" w:hAnsi="Arial"/>
          <w:sz w:val="18"/>
          <w:szCs w:val="18"/>
          <w:color w:val="auto"/>
        </w:rPr>
        <w:t>portion of such holders’ notes at a price equal to 101% of the principal amount, plus accrued interest, if any, to the date of purchase. See “Description of Notes — Change of Control Offer” in this prospectus supplement.</w:t>
      </w:r>
    </w:p>
    <w:p>
      <w:pPr>
        <w:spacing w:after="0" w:line="82"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6"/>
          <w:szCs w:val="16"/>
          <w:color w:val="auto"/>
        </w:rPr>
        <w:t>Ranking</w:t>
      </w:r>
      <w:r>
        <w:rPr>
          <w:sz w:val="20"/>
          <w:szCs w:val="20"/>
          <w:color w:val="auto"/>
        </w:rPr>
        <w:tab/>
      </w:r>
      <w:r>
        <w:rPr>
          <w:rFonts w:ascii="Arial" w:cs="Arial" w:eastAsia="Arial" w:hAnsi="Arial"/>
          <w:sz w:val="16"/>
          <w:szCs w:val="16"/>
          <w:color w:val="auto"/>
        </w:rPr>
        <w:t>The notes and the guarantees will constitute the senior unsecured debt of Waste Management, Inc.</w:t>
      </w:r>
    </w:p>
    <w:p>
      <w:pPr>
        <w:spacing w:after="0" w:line="46" w:lineRule="exact"/>
        <w:rPr>
          <w:sz w:val="20"/>
          <w:szCs w:val="20"/>
          <w:color w:val="auto"/>
        </w:rPr>
      </w:pPr>
    </w:p>
    <w:p>
      <w:pPr>
        <w:ind w:left="3520"/>
        <w:spacing w:after="0" w:line="261" w:lineRule="auto"/>
        <w:rPr>
          <w:sz w:val="20"/>
          <w:szCs w:val="20"/>
          <w:color w:val="auto"/>
        </w:rPr>
      </w:pPr>
      <w:r>
        <w:rPr>
          <w:rFonts w:ascii="Arial" w:cs="Arial" w:eastAsia="Arial" w:hAnsi="Arial"/>
          <w:sz w:val="18"/>
          <w:szCs w:val="18"/>
          <w:color w:val="auto"/>
        </w:rPr>
        <w:t>and WM Holdings, respectively, and will rank equally with all of our and its other existing and future senior indebtedness from time to time outstanding.</w:t>
      </w:r>
    </w:p>
    <w:p>
      <w:pPr>
        <w:spacing w:after="0" w:line="76"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6"/>
          <w:szCs w:val="16"/>
          <w:color w:val="auto"/>
        </w:rPr>
        <w:t>Covenants</w:t>
      </w:r>
      <w:r>
        <w:rPr>
          <w:sz w:val="20"/>
          <w:szCs w:val="20"/>
          <w:color w:val="auto"/>
        </w:rPr>
        <w:tab/>
      </w:r>
      <w:r>
        <w:rPr>
          <w:rFonts w:ascii="Arial" w:cs="Arial" w:eastAsia="Arial" w:hAnsi="Arial"/>
          <w:sz w:val="16"/>
          <w:szCs w:val="16"/>
          <w:color w:val="auto"/>
        </w:rPr>
        <w:t>We will issue the notes under an indenture containing covenants for your benefit. These covenants</w:t>
      </w:r>
    </w:p>
    <w:p>
      <w:pPr>
        <w:spacing w:after="0" w:line="4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restrict our ability, with certain exceptions, to:</w:t>
      </w:r>
    </w:p>
    <w:p>
      <w:pPr>
        <w:spacing w:after="0" w:line="10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create, incur or assume debt secured by liens;</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engage in sale and leaseback transactions; and</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merge, consolidate or transfer all or substantially all of our assets.</w:t>
      </w:r>
    </w:p>
    <w:p>
      <w:pPr>
        <w:spacing w:after="0" w:line="117"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 be $496.3 million, after deducting the</w:t>
      </w:r>
    </w:p>
    <w:p>
      <w:pPr>
        <w:spacing w:after="0" w:line="23" w:lineRule="exact"/>
        <w:rPr>
          <w:sz w:val="20"/>
          <w:szCs w:val="20"/>
          <w:color w:val="auto"/>
        </w:rPr>
      </w:pPr>
    </w:p>
    <w:p>
      <w:pPr>
        <w:ind w:left="3520" w:right="80"/>
        <w:spacing w:after="0" w:line="271" w:lineRule="auto"/>
        <w:rPr>
          <w:sz w:val="20"/>
          <w:szCs w:val="20"/>
          <w:color w:val="auto"/>
        </w:rPr>
      </w:pPr>
      <w:r>
        <w:rPr>
          <w:rFonts w:ascii="Arial" w:cs="Arial" w:eastAsia="Arial" w:hAnsi="Arial"/>
          <w:sz w:val="17"/>
          <w:szCs w:val="17"/>
          <w:color w:val="auto"/>
        </w:rPr>
        <w:t>underwriting discount and estimated expenses of the offering that we will pay. We intend to use a portion of the net proceeds from the offering of the notes to repay in full the outstanding borrowings under our $2.0 billion revolving credit facility, which totaled approximately $100 million as of August 23, 2011. All remaining proceeds will be used for general corporate purposes, including additions to working capital, capital expenditures and the funding</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520" w:right="60"/>
        <w:spacing w:after="0" w:line="277" w:lineRule="auto"/>
        <w:rPr>
          <w:sz w:val="20"/>
          <w:szCs w:val="20"/>
          <w:color w:val="auto"/>
        </w:rPr>
      </w:pPr>
      <w:r>
        <w:rPr>
          <w:rFonts w:ascii="Arial" w:cs="Arial" w:eastAsia="Arial" w:hAnsi="Arial"/>
          <w:sz w:val="18"/>
          <w:szCs w:val="18"/>
          <w:color w:val="auto"/>
        </w:rPr>
        <w:t>of potential share repurchases and acquisitions and investments in businesses. See “Use of Proceeds” in this prospectus supplement.</w:t>
      </w:r>
    </w:p>
    <w:p>
      <w:pPr>
        <w:spacing w:after="0" w:line="62"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117"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Additional Issues</w:t>
      </w:r>
      <w:r>
        <w:rPr>
          <w:sz w:val="20"/>
          <w:szCs w:val="20"/>
          <w:color w:val="auto"/>
        </w:rPr>
        <w:tab/>
      </w:r>
      <w:r>
        <w:rPr>
          <w:rFonts w:ascii="Arial" w:cs="Arial" w:eastAsia="Arial" w:hAnsi="Arial"/>
          <w:sz w:val="16"/>
          <w:szCs w:val="16"/>
          <w:color w:val="auto"/>
        </w:rPr>
        <w:t>We may create and issue additional notes ranking equally and ratably with the notes offered by this</w:t>
      </w:r>
    </w:p>
    <w:p>
      <w:pPr>
        <w:spacing w:after="0" w:line="23" w:lineRule="exact"/>
        <w:rPr>
          <w:sz w:val="20"/>
          <w:szCs w:val="20"/>
          <w:color w:val="auto"/>
        </w:rPr>
      </w:pPr>
    </w:p>
    <w:p>
      <w:pPr>
        <w:ind w:left="3520" w:right="60"/>
        <w:spacing w:after="0" w:line="295" w:lineRule="auto"/>
        <w:rPr>
          <w:sz w:val="20"/>
          <w:szCs w:val="20"/>
          <w:color w:val="auto"/>
        </w:rPr>
      </w:pPr>
      <w:r>
        <w:rPr>
          <w:rFonts w:ascii="Arial" w:cs="Arial" w:eastAsia="Arial" w:hAnsi="Arial"/>
          <w:sz w:val="16"/>
          <w:szCs w:val="16"/>
          <w:color w:val="auto"/>
        </w:rPr>
        <w:t>prospectus supplement in all respects, so that such additional notes will be consolidated and form a single series with the notes offered by this prospectus supplement and will have the same terms, as to status, redemption or otherwise except for the issue date, the initial interest payment date, if applicable, and the payment of interest accruing prior to the issue date of such additional notes.</w:t>
      </w:r>
    </w:p>
    <w:p>
      <w:pPr>
        <w:spacing w:after="0" w:line="27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10"/>
            <w:vMerge w:val="restart"/>
          </w:tcPr>
          <w:p>
            <w:pPr>
              <w:jc w:val="center"/>
              <w:ind w:right="28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Ended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4"/>
              </w:rPr>
              <w:t>(Unaudited)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1,656</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1,475</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1,801</w:t>
            </w:r>
          </w:p>
        </w:tc>
        <w:tc>
          <w:tcPr>
            <w:tcW w:w="2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gridSpan w:val="3"/>
          </w:tcPr>
          <w:p>
            <w:pPr>
              <w:spacing w:after="0"/>
              <w:rPr>
                <w:sz w:val="20"/>
                <w:szCs w:val="20"/>
                <w:color w:val="auto"/>
              </w:rPr>
            </w:pPr>
            <w:r>
              <w:rPr>
                <w:rFonts w:ascii="Arial" w:cs="Arial" w:eastAsia="Arial" w:hAnsi="Arial"/>
                <w:sz w:val="18"/>
                <w:szCs w:val="18"/>
                <w:color w:val="auto"/>
              </w:rPr>
              <w:t>Fixed charges deducted from income:</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Implicit interest in rents</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Earnings available for fixed charges(b)</w:t>
            </w:r>
          </w:p>
        </w:tc>
        <w:tc>
          <w:tcPr>
            <w:tcW w:w="6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2,294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Total fixed charges(b)</w:t>
            </w:r>
          </w:p>
        </w:tc>
        <w:tc>
          <w:tcPr>
            <w:tcW w:w="6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Ratio of earnings to fixed charges(a)</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3.6x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4.1x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4.0x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4.5x</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4.0x</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3.5x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240" w:hanging="318"/>
        <w:spacing w:after="0" w:line="279"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spacing w:after="0" w:line="9" w:lineRule="exact"/>
        <w:rPr>
          <w:rFonts w:ascii="Arial" w:cs="Arial" w:eastAsia="Arial" w:hAnsi="Arial"/>
          <w:sz w:val="17"/>
          <w:szCs w:val="17"/>
          <w:color w:val="auto"/>
        </w:rPr>
      </w:pPr>
    </w:p>
    <w:p>
      <w:pPr>
        <w:ind w:left="1240" w:right="120" w:hanging="318"/>
        <w:spacing w:after="0" w:line="259"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w:t>
      </w:r>
    </w:p>
    <w:p>
      <w:pPr>
        <w:spacing w:after="0" w:line="92" w:lineRule="exact"/>
        <w:rPr>
          <w:sz w:val="20"/>
          <w:szCs w:val="20"/>
          <w:color w:val="auto"/>
        </w:rPr>
      </w:pPr>
    </w:p>
    <w:p>
      <w:pPr>
        <w:jc w:val="both"/>
        <w:ind w:left="920" w:right="120" w:firstLine="397"/>
        <w:spacing w:after="0" w:line="302" w:lineRule="auto"/>
        <w:rPr>
          <w:sz w:val="20"/>
          <w:szCs w:val="20"/>
          <w:color w:val="auto"/>
        </w:rPr>
      </w:pPr>
      <w:r>
        <w:rPr>
          <w:rFonts w:ascii="Arial" w:cs="Arial" w:eastAsia="Arial" w:hAnsi="Arial"/>
          <w:sz w:val="16"/>
          <w:szCs w:val="16"/>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2010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6" w:lineRule="exact"/>
        <w:rPr>
          <w:sz w:val="20"/>
          <w:szCs w:val="20"/>
          <w:color w:val="auto"/>
        </w:rPr>
      </w:pPr>
    </w:p>
    <w:p>
      <w:pPr>
        <w:ind w:left="700" w:right="400" w:firstLine="397"/>
        <w:spacing w:after="0" w:line="279" w:lineRule="auto"/>
        <w:rPr>
          <w:sz w:val="20"/>
          <w:szCs w:val="20"/>
          <w:color w:val="auto"/>
        </w:rPr>
      </w:pPr>
      <w:r>
        <w:rPr>
          <w:rFonts w:ascii="Arial" w:cs="Arial" w:eastAsia="Arial" w:hAnsi="Arial"/>
          <w:sz w:val="17"/>
          <w:szCs w:val="17"/>
          <w:color w:val="auto"/>
        </w:rPr>
        <w:t>We have substantial indebtedness. At June 30, 2011, our ratio of total debt to total capitalization was 57.7% and our total consolidated indebtedness was $9.04 billion. In addition, as of June 30, 2011, we had approximately $1.5 billion of letters of credit outstanding under our $2.0 billion revolving credit facility and letter of credit facilities. Our level of indebtedness and the covenants contained in the agreements governing our debt could have important consequences, including:</w:t>
      </w:r>
    </w:p>
    <w:p>
      <w:pPr>
        <w:spacing w:after="0" w:line="77" w:lineRule="exact"/>
        <w:rPr>
          <w:sz w:val="20"/>
          <w:szCs w:val="20"/>
          <w:color w:val="auto"/>
        </w:rPr>
      </w:pPr>
    </w:p>
    <w:p>
      <w:pPr>
        <w:ind w:left="1300" w:right="2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1300" w:right="300" w:hanging="202"/>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117"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$2.14 billion of our total debt as of June 30, 2011 is exposed to changes in market interest rates within the next twelve months.</w:t>
      </w:r>
    </w:p>
    <w:p>
      <w:pPr>
        <w:spacing w:after="0" w:line="76"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$2.0 billion revolving credit facility requires us to comply with specified ratios of Total Debt to EBITDA and EBIT to Consolidated Total Interest Expense (each as defined in our revolving credit facility), as of June 30, 2011 and after giving effect to the offering of the notes, we have the ability to incur substantial additional indebtedness while remaining in compliance with these ratios. Our incurrence of significant additional indebtedness would exacerbate the negative consequences mentioned above, and could adversely affect our ability to service and repay the notes.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color w:val="auto"/>
        </w:rPr>
        <w:t>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131"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As of June 30, 2011, we had no outstanding secured indebtedness. As of June 30, 2011, our operating subsidiaries had $3.23 billion of indebtedness and WM Holdings had $449 million of indebtedness (excluding guarantees of $5.18 billion of our senior debt), in each case excluding intercompany loans. For a description of the ranking of the notes, see “Description of Notes — Ranking” in this prospectus supplement.</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8"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60"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77"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expect the net proceeds from the offering of the notes to be $496.3 million, after deducting the underwriting discount and estimated expenses of the offering that we will pay. We intend to use a portion of the net proceeds from the offering of the notes to repay in full the outstanding borrowings under our $2.0 billion revolving credit facility, which totaled approximately $100 million as of August 23, 2011. All remaining net proceeds will be used for general corporate purposes, including additions to working capital, capital expenditures and the funding of potential share repurchases and acquisitions and investments in businesses. Pending application of the net proceeds from the offering as described, we may temporarily invest the proceeds in short-term investments.</w:t>
      </w:r>
    </w:p>
    <w:p>
      <w:pPr>
        <w:spacing w:after="0" w:line="8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Outstanding borrowings under our revolving credit facility were incurred to finance a portion of the purchase price for Oakleaf Global Holdings, which we purchased on July 28, 2011 for $425 million, subject to working capital and other adjustments. See “Recent Developments” in the prospectus supplement.</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As of August 23, 2011, outstanding borrowings under our revolving credit facility bore an interest rate of 1.36%. The maturity date of the revolving credit facility is May 9, 2016.</w:t>
      </w:r>
    </w:p>
    <w:p>
      <w:pPr>
        <w:spacing w:after="0" w:line="76"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Affiliates of each of the underwriters are lenders under our revolving credit facility and, accordingly, will receive a portion of the net proceeds from this offering. See “Underwriting” in this prospectus supplement.</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jc w:val="both"/>
        <w:ind w:left="700" w:right="920" w:firstLine="397"/>
        <w:spacing w:after="0" w:line="312" w:lineRule="auto"/>
        <w:rPr>
          <w:sz w:val="20"/>
          <w:szCs w:val="20"/>
          <w:color w:val="auto"/>
        </w:rPr>
      </w:pPr>
      <w:r>
        <w:rPr>
          <w:rFonts w:ascii="Arial" w:cs="Arial" w:eastAsia="Arial" w:hAnsi="Arial"/>
          <w:sz w:val="16"/>
          <w:szCs w:val="16"/>
          <w:color w:val="auto"/>
        </w:rPr>
        <w:t>The following table sets forth our consolidated cash and cash equivalents and consolidated capitalization as of June 30, 2011 on an actual basis, as adjusted for our acquisition of Oakleaf Global Holdings, and as further adjusted to give effect to the offering of the notes and the application of the estimated net proceeds as described under “Use of Proceeds” in this prospectus supplement.</w:t>
      </w:r>
    </w:p>
    <w:p>
      <w:pPr>
        <w:spacing w:after="0" w:line="52" w:lineRule="exact"/>
        <w:rPr>
          <w:sz w:val="20"/>
          <w:szCs w:val="20"/>
          <w:color w:val="auto"/>
        </w:rPr>
      </w:pPr>
    </w:p>
    <w:p>
      <w:pPr>
        <w:ind w:left="700" w:right="900" w:firstLine="397"/>
        <w:spacing w:after="0" w:line="312" w:lineRule="auto"/>
        <w:rPr>
          <w:sz w:val="20"/>
          <w:szCs w:val="20"/>
          <w:color w:val="auto"/>
        </w:rPr>
      </w:pPr>
      <w:r>
        <w:rPr>
          <w:rFonts w:ascii="Arial" w:cs="Arial" w:eastAsia="Arial" w:hAnsi="Arial"/>
          <w:sz w:val="16"/>
          <w:szCs w:val="16"/>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June 30, 2011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As Adjusted</w:t>
            </w:r>
          </w:p>
        </w:tc>
        <w:tc>
          <w:tcPr>
            <w:tcW w:w="10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 Further</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Adjusted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for Oakleaf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for this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Acquisition(a)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Offering(a)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ind w:left="70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Revolving credit facility(b)(c)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Letter of credit facilities(b)</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Canadian credit facility, net of discount (weighted average interest rate of 2.3% at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2011)(d)</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Senior notes and debentures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Maturing through 2039, interest rates ranging from 4.60% to 7.75% (weighted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interest rate of 6.3% at June 30, 2011)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w w:val="97"/>
              </w:rPr>
              <w:t>2.60% Senior Notes due 2016 offered hereby (net of any unamortized discount)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Tax-exempt bonds maturing through 2039, fixed and variable interest rates ranging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from 0.1% to 7.4% (weighted average interest rate of 3.1% at June 30, 2011)(e)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tcPr>
          <w:p>
            <w:pPr>
              <w:ind w:left="180"/>
              <w:spacing w:after="0" w:line="201" w:lineRule="exact"/>
              <w:rPr>
                <w:sz w:val="20"/>
                <w:szCs w:val="20"/>
                <w:color w:val="auto"/>
              </w:rPr>
            </w:pPr>
            <w:r>
              <w:rPr>
                <w:rFonts w:ascii="Arial" w:cs="Arial" w:eastAsia="Arial" w:hAnsi="Arial"/>
                <w:sz w:val="18"/>
                <w:szCs w:val="18"/>
                <w:color w:val="auto"/>
              </w:rPr>
              <w:t>Tax-exempt project bonds, principal payable in periodic installments, maturing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w w:val="92"/>
              </w:rPr>
              <w:t>through 2029, fixed and variable interest rates ranging from 0.1% to 3.4% (weighted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average interest rate of 1.3% at June 30, 2011)(f)</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Waste Management, Inc. Stockholders’ Equity: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1,500,000,000 shares authorized; 630,282,461 shares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157,950,900 shares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Total Waste Management, Inc. stockholders’ equity</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debt and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15,660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700" w:type="dxa"/>
            <w:vAlign w:val="bottom"/>
          </w:tcPr>
          <w:p>
            <w:pPr>
              <w:spacing w:after="0"/>
              <w:rPr>
                <w:sz w:val="24"/>
                <w:szCs w:val="24"/>
                <w:color w:val="auto"/>
              </w:rPr>
            </w:pPr>
          </w:p>
        </w:tc>
        <w:tc>
          <w:tcPr>
            <w:tcW w:w="6540" w:type="dxa"/>
            <w:vAlign w:val="bottom"/>
          </w:tcPr>
          <w:p>
            <w:pPr>
              <w:ind w:left="4840"/>
              <w:spacing w:after="0"/>
              <w:rPr>
                <w:sz w:val="20"/>
                <w:szCs w:val="20"/>
                <w:color w:val="auto"/>
              </w:rPr>
            </w:pPr>
            <w:r>
              <w:rPr>
                <w:rFonts w:ascii="Arial" w:cs="Arial" w:eastAsia="Arial" w:hAnsi="Arial"/>
                <w:sz w:val="18"/>
                <w:szCs w:val="18"/>
                <w:color w:val="auto"/>
              </w:rPr>
              <w:t>S-8</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hanging="30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impact of certain acquisition-related transaction costs.</w:t>
      </w:r>
    </w:p>
    <w:p>
      <w:pPr>
        <w:spacing w:after="0" w:line="63" w:lineRule="exact"/>
        <w:rPr>
          <w:rFonts w:ascii="Arial" w:cs="Arial" w:eastAsia="Arial" w:hAnsi="Arial"/>
          <w:sz w:val="18"/>
          <w:szCs w:val="18"/>
          <w:color w:val="auto"/>
        </w:rPr>
      </w:pPr>
    </w:p>
    <w:p>
      <w:pPr>
        <w:ind w:left="1000" w:hanging="307"/>
        <w:spacing w:after="0" w:line="25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May 2011, we amended and restated our $2.0 billion revolving credit facility as a result of changes in market conditions, which significantly reduced the cost of the facility. We also extended the maturity of the facility until May 9, 2016. Our revolving credit facility can be used for either cash borrowings or to support letters of credit and is our primary source of letter of credit capacity. Our remaining letter of credit capacity is provided under facilities with terms that extend from June 2013 to June 2015. As of June 30, 2011, we had an aggregate committed capacity of $2.5 billion for letters of credit under various credit facilities, and we had an aggregate of $1.5 billion of letters of credit outstanding thereunder. Approximately $1.1 billion of these letters of credit have been issued under our revolving credit facility.</w:t>
      </w:r>
    </w:p>
    <w:p>
      <w:pPr>
        <w:spacing w:after="0" w:line="27" w:lineRule="exact"/>
        <w:rPr>
          <w:rFonts w:ascii="Arial" w:cs="Arial" w:eastAsia="Arial" w:hAnsi="Arial"/>
          <w:sz w:val="18"/>
          <w:szCs w:val="18"/>
          <w:color w:val="auto"/>
        </w:rPr>
      </w:pPr>
    </w:p>
    <w:p>
      <w:pPr>
        <w:ind w:left="1000" w:right="180" w:hanging="307"/>
        <w:spacing w:after="0" w:line="29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Outstanding borrowings under our $2.0 billion revolving credit facility were incurred to finance a portion of the purchase price for Oakleaf Global Holdings. See “Summary — Recent Developments” and “Use of Proceeds” in this prospectus supplement.</w:t>
      </w:r>
    </w:p>
    <w:p>
      <w:pPr>
        <w:ind w:left="1000" w:right="580" w:hanging="30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Waste Management of Canada Corporation, our wholly-owned subsidiary, is party to a Cdn$340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000" w:right="40" w:hanging="307"/>
        <w:spacing w:after="0" w:line="279"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capitalization table does not reflect the issuance of $80 million of tax-exempt bonds subsequent to June 30, 2011. 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22" w:lineRule="exact"/>
        <w:rPr>
          <w:rFonts w:ascii="Arial" w:cs="Arial" w:eastAsia="Arial" w:hAnsi="Arial"/>
          <w:sz w:val="17"/>
          <w:szCs w:val="17"/>
          <w:color w:val="auto"/>
        </w:rPr>
      </w:pPr>
    </w:p>
    <w:p>
      <w:pPr>
        <w:ind w:left="1000" w:right="20" w:hanging="30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project bonds are used by our Wheelabrator Group, which owns and operates waste-to-energy facilities and independent power production plants, to finance the development of the waste-to-energy facilities.</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notes will be issued under and pursuant to an Indenture dated 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copy of which is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 will:</w:t>
      </w:r>
    </w:p>
    <w:p>
      <w:pPr>
        <w:spacing w:after="0" w:line="131"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$500 million;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mature on September 1, 2016;</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117" w:lineRule="exact"/>
        <w:rPr>
          <w:rFonts w:ascii="Arial" w:cs="Arial" w:eastAsia="Arial" w:hAnsi="Arial"/>
          <w:sz w:val="18"/>
          <w:szCs w:val="18"/>
          <w:color w:val="auto"/>
        </w:rPr>
      </w:pPr>
    </w:p>
    <w:p>
      <w:pPr>
        <w:ind w:left="1300" w:right="100" w:hanging="202"/>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 on the notes at the rate of 2.60% per annum;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 from August 29, 2011 or the most recent interest payment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payable in cash semi-annually in arrears on March 1 and September 1 of each year, beginning on March 1, 2012;</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 payable to holders of record on the February 15 and August 15 immediately preceding the related interest payment dates;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60"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Prior to the maturity date, 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right="260" w:hanging="202"/>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(at the rate in effect on the date of calculation of the redemption price) on the notes to be redeemed (exclusive of interest accrued to the date of redemption) discounted to the date of redemption on a semi-annual basis (assuming a 360-day year consisting of twelve 30-day months) at the applicable Treasury Yield plus 25 basis points;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7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before the maturity date. We are currently unaware of any circumstances under which we would redeem the notes.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1080" w:right="20" w:firstLine="381"/>
        <w:spacing w:after="0" w:line="259"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w:t>
      </w:r>
      <w:r>
        <w:rPr>
          <w:rFonts w:ascii="Arial" w:cs="Arial" w:eastAsia="Arial" w:hAnsi="Arial"/>
          <w:sz w:val="18"/>
          <w:szCs w:val="18"/>
          <w:i w:val="1"/>
          <w:iCs w:val="1"/>
          <w:color w:val="auto"/>
        </w:rPr>
        <w:t xml:space="preserve"> </w:t>
      </w:r>
      <w:r>
        <w:rPr>
          <w:rFonts w:ascii="Arial" w:cs="Arial" w:eastAsia="Arial" w:hAnsi="Arial"/>
          <w:sz w:val="18"/>
          <w:szCs w:val="18"/>
          <w:color w:val="auto"/>
        </w:rPr>
        <w:t>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92" w:lineRule="exact"/>
        <w:rPr>
          <w:sz w:val="20"/>
          <w:szCs w:val="20"/>
          <w:color w:val="auto"/>
        </w:rPr>
      </w:pPr>
    </w:p>
    <w:p>
      <w:pPr>
        <w:ind w:left="1080" w:right="180" w:firstLine="381"/>
        <w:spacing w:after="0" w:line="279" w:lineRule="auto"/>
        <w:rPr>
          <w:sz w:val="20"/>
          <w:szCs w:val="20"/>
          <w:color w:val="auto"/>
        </w:rPr>
      </w:pPr>
      <w:r>
        <w:rPr>
          <w:rFonts w:ascii="Arial" w:cs="Arial" w:eastAsia="Arial" w:hAnsi="Arial"/>
          <w:sz w:val="17"/>
          <w:szCs w:val="17"/>
          <w:i w:val="1"/>
          <w:iCs w:val="1"/>
          <w:color w:val="auto"/>
        </w:rPr>
        <w:t xml:space="preserve">“Independent Investment Banker” </w:t>
      </w:r>
      <w:r>
        <w:rPr>
          <w:rFonts w:ascii="Arial" w:cs="Arial" w:eastAsia="Arial" w:hAnsi="Arial"/>
          <w:sz w:val="17"/>
          <w:szCs w:val="17"/>
          <w:color w:val="auto"/>
        </w:rPr>
        <w:t>means any of J.P. Morgan Securities LLC, Credit Suisse Securities (USA) LLC and a</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Treasury Dealer (as defined below) selected by Wells Fargo Securities, LLC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77" w:lineRule="exact"/>
        <w:rPr>
          <w:sz w:val="20"/>
          <w:szCs w:val="20"/>
          <w:color w:val="auto"/>
        </w:rPr>
      </w:pPr>
    </w:p>
    <w:p>
      <w:pPr>
        <w:ind w:left="1080" w:right="60" w:firstLine="381"/>
        <w:spacing w:after="0" w:line="259"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(i) the average of the Reference Treasury Dealer</w:t>
      </w:r>
      <w:r>
        <w:rPr>
          <w:rFonts w:ascii="Arial" w:cs="Arial" w:eastAsia="Arial" w:hAnsi="Arial"/>
          <w:sz w:val="18"/>
          <w:szCs w:val="18"/>
          <w:i w:val="1"/>
          <w:iCs w:val="1"/>
          <w:color w:val="auto"/>
        </w:rPr>
        <w:t xml:space="preserve"> </w:t>
      </w:r>
      <w:r>
        <w:rPr>
          <w:rFonts w:ascii="Arial" w:cs="Arial" w:eastAsia="Arial" w:hAnsi="Arial"/>
          <w:sz w:val="18"/>
          <w:szCs w:val="18"/>
          <w:color w:val="auto"/>
        </w:rPr>
        <w:t>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92" w:lineRule="exact"/>
        <w:rPr>
          <w:sz w:val="20"/>
          <w:szCs w:val="20"/>
          <w:color w:val="auto"/>
        </w:rPr>
      </w:pPr>
    </w:p>
    <w:p>
      <w:pPr>
        <w:ind w:left="1080" w:right="200" w:firstLine="381"/>
        <w:spacing w:after="0" w:line="302" w:lineRule="auto"/>
        <w:rPr>
          <w:sz w:val="20"/>
          <w:szCs w:val="20"/>
          <w:color w:val="auto"/>
        </w:rPr>
      </w:pPr>
      <w:r>
        <w:rPr>
          <w:rFonts w:ascii="Arial" w:cs="Arial" w:eastAsia="Arial" w:hAnsi="Arial"/>
          <w:sz w:val="16"/>
          <w:szCs w:val="16"/>
          <w:i w:val="1"/>
          <w:iCs w:val="1"/>
          <w:color w:val="auto"/>
        </w:rPr>
        <w:t xml:space="preserve">“Reference Treasury Dealer” </w:t>
      </w:r>
      <w:r>
        <w:rPr>
          <w:rFonts w:ascii="Arial" w:cs="Arial" w:eastAsia="Arial" w:hAnsi="Arial"/>
          <w:sz w:val="16"/>
          <w:szCs w:val="16"/>
          <w:color w:val="auto"/>
        </w:rPr>
        <w:t>means (i) each of J.P. Morgan Securities LLC, Credit Suisse Securities (USA) LLC and a</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Treasury Dealer (as defined below) selected by Wells Fargo Securities, LLC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60" w:lineRule="exact"/>
        <w:rPr>
          <w:sz w:val="20"/>
          <w:szCs w:val="20"/>
          <w:color w:val="auto"/>
        </w:rPr>
      </w:pPr>
    </w:p>
    <w:p>
      <w:pPr>
        <w:ind w:left="1080" w:firstLine="381"/>
        <w:spacing w:after="0" w:line="279"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redemption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87" w:lineRule="exact"/>
        <w:rPr>
          <w:sz w:val="20"/>
          <w:szCs w:val="20"/>
          <w:color w:val="auto"/>
        </w:rPr>
      </w:pPr>
    </w:p>
    <w:p>
      <w:pPr>
        <w:ind w:left="1720" w:hanging="249"/>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120" w:firstLine="372"/>
        <w:spacing w:after="0" w:line="312" w:lineRule="auto"/>
        <w:tabs>
          <w:tab w:leader="none" w:pos="209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2" w:lineRule="exact"/>
        <w:rPr>
          <w:rFonts w:ascii="Arial" w:cs="Arial" w:eastAsia="Arial" w:hAnsi="Arial"/>
          <w:sz w:val="16"/>
          <w:szCs w:val="16"/>
          <w:color w:val="auto"/>
        </w:rPr>
      </w:pPr>
    </w:p>
    <w:p>
      <w:pPr>
        <w:ind w:left="1480" w:right="100" w:firstLine="372"/>
        <w:spacing w:after="0" w:line="297" w:lineRule="auto"/>
        <w:tabs>
          <w:tab w:leader="none" w:pos="21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40"/>
        <w:spacing w:after="0" w:line="277" w:lineRule="auto"/>
        <w:rPr>
          <w:sz w:val="20"/>
          <w:szCs w:val="20"/>
          <w:color w:val="auto"/>
        </w:rPr>
      </w:pPr>
      <w:r>
        <w:rPr>
          <w:rFonts w:ascii="Arial" w:cs="Arial" w:eastAsia="Arial" w:hAnsi="Arial"/>
          <w:sz w:val="18"/>
          <w:szCs w:val="18"/>
          <w:color w:val="auto"/>
        </w:rPr>
        <w:t>date of such deposit (in the case of notes already due and payable) or to the date of stated maturity or redemption, as the case may be;</w:t>
      </w:r>
    </w:p>
    <w:p>
      <w:pPr>
        <w:spacing w:after="0" w:line="76" w:lineRule="exact"/>
        <w:rPr>
          <w:sz w:val="20"/>
          <w:szCs w:val="20"/>
          <w:color w:val="auto"/>
        </w:rPr>
      </w:pPr>
    </w:p>
    <w:p>
      <w:pPr>
        <w:ind w:left="1720" w:hanging="249"/>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130" w:lineRule="exact"/>
        <w:rPr>
          <w:rFonts w:ascii="Arial" w:cs="Arial" w:eastAsia="Arial" w:hAnsi="Arial"/>
          <w:sz w:val="18"/>
          <w:szCs w:val="18"/>
          <w:color w:val="auto"/>
        </w:rPr>
      </w:pPr>
    </w:p>
    <w:p>
      <w:pPr>
        <w:ind w:left="1080" w:right="440" w:firstLine="391"/>
        <w:spacing w:after="0" w:line="308" w:lineRule="auto"/>
        <w:tabs>
          <w:tab w:leader="none" w:pos="17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94"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85" w:lineRule="exact"/>
        <w:rPr>
          <w:sz w:val="20"/>
          <w:szCs w:val="20"/>
          <w:color w:val="auto"/>
        </w:rPr>
      </w:pPr>
    </w:p>
    <w:p>
      <w:pPr>
        <w:ind w:left="700" w:right="840" w:firstLine="397"/>
        <w:spacing w:after="0" w:line="342" w:lineRule="auto"/>
        <w:rPr>
          <w:sz w:val="20"/>
          <w:szCs w:val="20"/>
          <w:color w:val="auto"/>
        </w:rPr>
      </w:pPr>
      <w:r>
        <w:rPr>
          <w:rFonts w:ascii="Arial" w:cs="Arial" w:eastAsia="Arial" w:hAnsi="Arial"/>
          <w:sz w:val="16"/>
          <w:szCs w:val="16"/>
          <w:color w:val="auto"/>
        </w:rPr>
        <w:t>As of June 30, 2011, our operating subsidiaries had $3.23 billion of indebtedness and WM Holdings had $449 million of indebtedness (excluding guarantees of $5.18 billion of our senior debt), in each case excluding intercompany loans.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WM Holdings’ guarantees under the facilities can only be released with the written consent of each of the lenders that is a party thereto.</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84"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1080" w:right="20" w:firstLine="381"/>
        <w:spacing w:after="0" w:line="297"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 (1) the direct or indirect sale, lease, transfer, conveyance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9" w:lineRule="auto"/>
        <w:rPr>
          <w:sz w:val="20"/>
          <w:szCs w:val="20"/>
          <w:color w:val="auto"/>
        </w:rPr>
      </w:pPr>
      <w:r>
        <w:rPr>
          <w:rFonts w:ascii="Arial" w:cs="Arial" w:eastAsia="Arial" w:hAnsi="Arial"/>
          <w:sz w:val="16"/>
          <w:szCs w:val="16"/>
          <w:color w:val="auto"/>
        </w:rPr>
        <w:t>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72" w:lineRule="exact"/>
        <w:rPr>
          <w:sz w:val="20"/>
          <w:szCs w:val="20"/>
          <w:color w:val="auto"/>
        </w:rPr>
      </w:pPr>
    </w:p>
    <w:p>
      <w:pPr>
        <w:ind w:left="1080" w:firstLine="381"/>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131" w:lineRule="exact"/>
        <w:rPr>
          <w:sz w:val="20"/>
          <w:szCs w:val="20"/>
          <w:color w:val="auto"/>
        </w:rPr>
      </w:pPr>
    </w:p>
    <w:p>
      <w:pPr>
        <w:ind w:left="1080" w:right="20" w:firstLine="381"/>
        <w:spacing w:after="0" w:line="276" w:lineRule="auto"/>
        <w:rPr>
          <w:sz w:val="20"/>
          <w:szCs w:val="20"/>
          <w:color w:val="auto"/>
        </w:rPr>
      </w:pPr>
      <w:r>
        <w:rPr>
          <w:rFonts w:ascii="Arial" w:cs="Arial" w:eastAsia="Arial" w:hAnsi="Arial"/>
          <w:sz w:val="17"/>
          <w:szCs w:val="17"/>
          <w:i w:val="1"/>
          <w:iCs w:val="1"/>
          <w:color w:val="auto"/>
        </w:rPr>
        <w:t xml:space="preserve">“continuing directors” </w:t>
      </w:r>
      <w:r>
        <w:rPr>
          <w:rFonts w:ascii="Arial" w:cs="Arial" w:eastAsia="Arial" w:hAnsi="Arial"/>
          <w:sz w:val="17"/>
          <w:szCs w:val="17"/>
          <w:color w:val="auto"/>
        </w:rPr>
        <w:t>means, as of any date of determination, any member of our Board of Directors who (1) was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131" w:lineRule="exact"/>
        <w:rPr>
          <w:sz w:val="20"/>
          <w:szCs w:val="20"/>
          <w:color w:val="auto"/>
        </w:rPr>
      </w:pPr>
    </w:p>
    <w:p>
      <w:pPr>
        <w:jc w:val="both"/>
        <w:ind w:left="1080" w:right="140" w:firstLine="381"/>
        <w:spacing w:after="0" w:line="264"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131" w:lineRule="exact"/>
        <w:rPr>
          <w:sz w:val="20"/>
          <w:szCs w:val="20"/>
          <w:color w:val="auto"/>
        </w:rPr>
      </w:pPr>
    </w:p>
    <w:p>
      <w:pPr>
        <w:ind w:left="1080" w:right="40" w:firstLine="381"/>
        <w:spacing w:after="0" w:line="279" w:lineRule="auto"/>
        <w:rPr>
          <w:sz w:val="20"/>
          <w:szCs w:val="20"/>
          <w:color w:val="auto"/>
        </w:rPr>
      </w:pPr>
      <w:r>
        <w:rPr>
          <w:rFonts w:ascii="Arial" w:cs="Arial" w:eastAsia="Arial" w:hAnsi="Arial"/>
          <w:sz w:val="17"/>
          <w:szCs w:val="17"/>
          <w:i w:val="1"/>
          <w:iCs w:val="1"/>
          <w:color w:val="auto"/>
        </w:rPr>
        <w:t xml:space="preserve">“rating agencies” </w:t>
      </w:r>
      <w:r>
        <w:rPr>
          <w:rFonts w:ascii="Arial" w:cs="Arial" w:eastAsia="Arial" w:hAnsi="Arial"/>
          <w:sz w:val="17"/>
          <w:szCs w:val="17"/>
          <w:color w:val="auto"/>
        </w:rPr>
        <w:t>means (1) each of Fitch, Moody’s and S&amp;P and (2) if any of Fitch, Moody’s or S&amp;P ceases to rate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77" w:lineRule="exact"/>
        <w:rPr>
          <w:sz w:val="20"/>
          <w:szCs w:val="20"/>
          <w:color w:val="auto"/>
        </w:rPr>
      </w:pPr>
    </w:p>
    <w:p>
      <w:pPr>
        <w:ind w:left="1080" w:right="280" w:firstLine="381"/>
        <w:spacing w:after="0" w:line="297" w:lineRule="auto"/>
        <w:rPr>
          <w:sz w:val="20"/>
          <w:szCs w:val="20"/>
          <w:color w:val="auto"/>
        </w:rPr>
      </w:pPr>
      <w:r>
        <w:rPr>
          <w:rFonts w:ascii="Arial" w:cs="Arial" w:eastAsia="Arial" w:hAnsi="Arial"/>
          <w:sz w:val="16"/>
          <w:szCs w:val="16"/>
          <w:i w:val="1"/>
          <w:iCs w:val="1"/>
          <w:color w:val="auto"/>
        </w:rPr>
        <w:t xml:space="preserve">“rating event” </w:t>
      </w:r>
      <w:r>
        <w:rPr>
          <w:rFonts w:ascii="Arial" w:cs="Arial" w:eastAsia="Arial" w:hAnsi="Arial"/>
          <w:sz w:val="16"/>
          <w:szCs w:val="16"/>
          <w:color w:val="auto"/>
        </w:rPr>
        <w:t>means the rating on the notes is lowered by at least two of the three rating agencies and the notes are rated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“S&amp;P” </w:t>
      </w:r>
      <w:r>
        <w:rPr>
          <w:rFonts w:ascii="Arial" w:cs="Arial" w:eastAsia="Arial" w:hAnsi="Arial"/>
          <w:sz w:val="17"/>
          <w:szCs w:val="17"/>
          <w:color w:val="auto"/>
        </w:rPr>
        <w:t>means Standard &amp; Poor’s Ratings Services, a division of The McGraw-Hill Companies, Inc., and its successors.</w:t>
      </w: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firstLine="381"/>
        <w:spacing w:after="0" w:line="26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date, the capital stock of such person that is at the time entitled to vote generally in the election of the board of directors of such person.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3"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9"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16"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We may from time to time, without notice or the consent of the registered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94" w:lineRule="exact"/>
        <w:rPr>
          <w:sz w:val="20"/>
          <w:szCs w:val="20"/>
          <w:color w:val="auto"/>
        </w:rPr>
      </w:pPr>
    </w:p>
    <w:p>
      <w:pPr>
        <w:ind w:left="700" w:right="220" w:firstLine="397"/>
        <w:spacing w:after="0" w:line="286" w:lineRule="auto"/>
        <w:rPr>
          <w:sz w:val="20"/>
          <w:szCs w:val="20"/>
          <w:color w:val="auto"/>
        </w:rPr>
      </w:pPr>
      <w:r>
        <w:rPr>
          <w:rFonts w:ascii="Arial" w:cs="Arial" w:eastAsia="Arial" w:hAnsi="Arial"/>
          <w:sz w:val="17"/>
          <w:szCs w:val="17"/>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340" w:firstLine="397"/>
        <w:spacing w:after="0" w:line="308" w:lineRule="auto"/>
        <w:rPr>
          <w:sz w:val="20"/>
          <w:szCs w:val="20"/>
          <w:color w:val="auto"/>
        </w:rPr>
      </w:pPr>
      <w:r>
        <w:rPr>
          <w:rFonts w:ascii="Arial" w:cs="Arial" w:eastAsia="Arial" w:hAnsi="Arial"/>
          <w:sz w:val="17"/>
          <w:szCs w:val="17"/>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right="120" w:hanging="202"/>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“clearing agency” registered pursuant to the provisions of Section 17A of the Securities Exchange Act of 1934, as amended.</w:t>
      </w:r>
    </w:p>
    <w:p>
      <w:pPr>
        <w:spacing w:after="0" w:line="154" w:lineRule="exact"/>
        <w:rPr>
          <w:sz w:val="20"/>
          <w:szCs w:val="20"/>
          <w:color w:val="auto"/>
        </w:rPr>
      </w:pPr>
    </w:p>
    <w:p>
      <w:pPr>
        <w:ind w:left="1300" w:right="40" w:hanging="202"/>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right="20" w:hanging="202"/>
        <w:spacing w:after="0" w:line="279"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40" w:hanging="202"/>
        <w:spacing w:after="0" w:line="308"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8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participants to whose accounts the notes are credited on the record date (identified in a listing attached to the omnibus proxy).</w:t>
      </w:r>
    </w:p>
    <w:p>
      <w:pPr>
        <w:spacing w:after="0" w:line="142"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8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withdrawal of securities and cash from Euroclear and receipts of payments with respect to securities in Euroclear.</w:t>
      </w:r>
    </w:p>
    <w:p>
      <w:pPr>
        <w:spacing w:after="0" w:line="131"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7"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w:t>
      </w:r>
    </w:p>
    <w:p>
      <w:pPr>
        <w:ind w:left="700"/>
        <w:spacing w:after="0" w:line="254" w:lineRule="auto"/>
        <w:rPr>
          <w:sz w:val="20"/>
          <w:szCs w:val="20"/>
          <w:color w:val="auto"/>
        </w:rPr>
      </w:pPr>
      <w:r>
        <w:rPr>
          <w:rFonts w:ascii="Arial" w:cs="Arial" w:eastAsia="Arial" w:hAnsi="Arial"/>
          <w:sz w:val="18"/>
          <w:szCs w:val="18"/>
          <w:color w:val="auto"/>
        </w:rPr>
        <w:t>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95"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64" w:lineRule="auto"/>
        <w:rPr>
          <w:sz w:val="20"/>
          <w:szCs w:val="20"/>
          <w:color w:val="auto"/>
        </w:rPr>
      </w:pPr>
      <w:r>
        <w:rPr>
          <w:rFonts w:ascii="Arial" w:cs="Arial" w:eastAsia="Arial" w:hAnsi="Arial"/>
          <w:sz w:val="18"/>
          <w:szCs w:val="18"/>
          <w:color w:val="auto"/>
        </w:rPr>
        <w:t>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87"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67"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Credit Suisse Securities (USA) LLC, J.P. Morgan Securities LLC and Wells Fargo Securities, LLC are acting as joint book-running and joint lead managers of the offering and as representatives of the underwriters named below.</w:t>
      </w:r>
    </w:p>
    <w:p>
      <w:pPr>
        <w:spacing w:after="0" w:line="8"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tbl>
      <w:tblPr>
        <w:tblLayout w:type="fixed"/>
        <w:tblInd w:w="7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133,334,000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133,333,000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133,333,000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Banco Bilbao Vizcaya Argentaria, S.A.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Comerica Securities,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Mizuho Securities USA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SMBC Nikko Capital Markets Limited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0.350% of the principal amount of the notes. The underwriters may allow, and dealers may reallow, a concession not to exceed 0.225% of the principal amount of the notes on sales to other dealers. After the initial offering of the notes to the public, the representatives may change the public offering price and other selling terms applicable to the notes.</w:t>
      </w:r>
    </w:p>
    <w:p>
      <w:pPr>
        <w:spacing w:after="0" w:line="9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7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2" w:lineRule="exact"/>
        <w:rPr>
          <w:sz w:val="20"/>
          <w:szCs w:val="20"/>
          <w:color w:val="auto"/>
        </w:rPr>
      </w:pPr>
    </w:p>
    <w:p>
      <w:pPr>
        <w:jc w:val="both"/>
        <w:ind w:left="700" w:right="60" w:firstLine="397"/>
        <w:spacing w:after="0" w:line="276" w:lineRule="auto"/>
        <w:rPr>
          <w:sz w:val="20"/>
          <w:szCs w:val="20"/>
          <w:color w:val="auto"/>
        </w:rPr>
      </w:pPr>
      <w:r>
        <w:rPr>
          <w:rFonts w:ascii="Arial" w:cs="Arial" w:eastAsia="Arial" w:hAnsi="Arial"/>
          <w:sz w:val="17"/>
          <w:szCs w:val="17"/>
          <w:color w:val="auto"/>
        </w:rPr>
        <w:t>Banco Bilbao Vizcaya Argentaria, S.A., one of the underwriters, is not a broker-dealer registered with the United States Securities and Exchange Commission. Banco Bilbao Vizcaya Argentaria, S.A. will only make sales of notes in the United States, or to nationals or residents of the United States, through one or more registered broker-dealers in compliance with Rule 15a-6 of the Exchange Act and the rules of FINRA. SMBC Nikko Capital Markets Limited is not a U.S. registered broker-dealer and, therefore, intends to participate in the offering outside of the United States and, to the extent that the offering is within the United States, as</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302" w:lineRule="auto"/>
        <w:rPr>
          <w:sz w:val="20"/>
          <w:szCs w:val="20"/>
          <w:color w:val="auto"/>
        </w:rPr>
      </w:pPr>
      <w:r>
        <w:rPr>
          <w:rFonts w:ascii="Arial" w:cs="Arial" w:eastAsia="Arial" w:hAnsi="Arial"/>
          <w:sz w:val="16"/>
          <w:szCs w:val="16"/>
          <w:color w:val="auto"/>
        </w:rPr>
        <w:t>facilitated by an affiliated U.S. registered broker-dealer, SMBC Nikko Securities America, Inc. (“SMBC Nikko-SI”), as permitted under applicable law. To that end, SMBC Nikko Capital Markets Limited and SMBC Nikko-SI have entered into an agreement pursuant to which SMBC Nikko-SI provides certain advisory and/or other services with respect to this offering. In return for the provision of such services by SMBC Nikko-SI, SMBC Nikko Capital Markets Limited will pay to SMBC Nikko-SI a mutually agreed-fee.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$650,000.</w:t>
      </w:r>
    </w:p>
    <w:p>
      <w:pPr>
        <w:spacing w:after="0" w:line="131"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9" w:lineRule="exact"/>
        <w:rPr>
          <w:sz w:val="20"/>
          <w:szCs w:val="20"/>
          <w:color w:val="auto"/>
        </w:rPr>
      </w:pPr>
    </w:p>
    <w:p>
      <w:pPr>
        <w:ind w:left="700" w:right="280" w:firstLine="397"/>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94" w:lineRule="exact"/>
        <w:rPr>
          <w:sz w:val="20"/>
          <w:szCs w:val="20"/>
          <w:color w:val="auto"/>
        </w:rPr>
      </w:pPr>
    </w:p>
    <w:p>
      <w:pPr>
        <w:ind w:left="1660" w:hanging="189"/>
        <w:spacing w:after="0"/>
        <w:tabs>
          <w:tab w:leader="none" w:pos="1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80" w:right="180" w:firstLine="391"/>
        <w:spacing w:after="0" w:line="286" w:lineRule="auto"/>
        <w:tabs>
          <w:tab w:leader="none" w:pos="165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70" w:lineRule="exact"/>
        <w:rPr>
          <w:rFonts w:ascii="Arial" w:cs="Arial" w:eastAsia="Arial" w:hAnsi="Arial"/>
          <w:sz w:val="17"/>
          <w:szCs w:val="17"/>
          <w:color w:val="auto"/>
        </w:rPr>
      </w:pPr>
    </w:p>
    <w:p>
      <w:pPr>
        <w:ind w:left="1660" w:hanging="189"/>
        <w:spacing w:after="0"/>
        <w:tabs>
          <w:tab w:leader="none" w:pos="1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1"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provided that no such offer of notes shall require us or any underwriter to publish a prospectus pursuant to Article 3 of the Prospectus Directive.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9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Relationships</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 In addition, certain affiliates of each of the underwriters are lenders under our revolving credit facility and, accordingly, will receive a portion of the proceeds from this offering.</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2010, including the schedule appearing therein, and the effectiveness of Waste Management, Inc.’s internal control over financial reporting as of December 31, 2010,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1" w:lineRule="exact"/>
        <w:rPr>
          <w:sz w:val="20"/>
          <w:szCs w:val="20"/>
          <w:color w:val="auto"/>
        </w:rPr>
      </w:pPr>
    </w:p>
    <w:p>
      <w:pPr>
        <w:ind w:left="700" w:right="220" w:firstLine="397"/>
        <w:spacing w:after="0" w:line="289" w:lineRule="auto"/>
        <w:rPr>
          <w:sz w:val="20"/>
          <w:szCs w:val="20"/>
          <w:color w:val="auto"/>
        </w:rPr>
      </w:pPr>
      <w:r>
        <w:rPr>
          <w:rFonts w:ascii="Arial" w:cs="Arial" w:eastAsia="Arial" w:hAnsi="Arial"/>
          <w:sz w:val="17"/>
          <w:szCs w:val="17"/>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6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Date Filed</w:t>
            </w:r>
          </w:p>
        </w:tc>
      </w:tr>
      <w:tr>
        <w:trPr>
          <w:trHeight w:val="20"/>
        </w:trPr>
        <w:tc>
          <w:tcPr>
            <w:tcW w:w="8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49"/>
        </w:trPr>
        <w:tc>
          <w:tcPr>
            <w:tcW w:w="814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2010</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February 17,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Amendment No. 1 to Form 10-K for the year ended December 31, 2010</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February 22,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2011</w:t>
            </w: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April 28,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2011</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July 28,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February 28,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May 16,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May 17,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June 8,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June 14,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June 24, 2011</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August 16, 2011</w:t>
            </w:r>
          </w:p>
        </w:tc>
      </w:tr>
    </w:tbl>
    <w:p>
      <w:pPr>
        <w:spacing w:after="0" w:line="107"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64"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92"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231775</wp:posOffset>
            </wp:positionV>
            <wp:extent cx="1380490"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19"/>
        <w:spacing w:after="0"/>
        <w:rPr>
          <w:sz w:val="20"/>
          <w:szCs w:val="20"/>
          <w:color w:val="auto"/>
        </w:rPr>
      </w:pPr>
      <w:r>
        <w:rPr>
          <w:rFonts w:ascii="Arial" w:cs="Arial" w:eastAsia="Arial" w:hAnsi="Arial"/>
          <w:sz w:val="43"/>
          <w:szCs w:val="43"/>
          <w:b w:val="1"/>
          <w:bCs w:val="1"/>
          <w:color w:val="auto"/>
        </w:rPr>
        <w:t>WASTE MANAGEMENT, INC.</w:t>
      </w:r>
    </w:p>
    <w:p>
      <w:pPr>
        <w:spacing w:after="0" w:line="147"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18" w:lineRule="exact"/>
        <w:rPr>
          <w:sz w:val="20"/>
          <w:szCs w:val="20"/>
          <w:color w:val="auto"/>
        </w:rPr>
      </w:pPr>
    </w:p>
    <w:p>
      <w:pPr>
        <w:jc w:val="both"/>
        <w:ind w:left="700" w:right="360" w:firstLine="496"/>
        <w:spacing w:after="0" w:line="301" w:lineRule="auto"/>
        <w:rPr>
          <w:sz w:val="20"/>
          <w:szCs w:val="20"/>
          <w:color w:val="auto"/>
        </w:rPr>
      </w:pPr>
      <w:r>
        <w:rPr>
          <w:rFonts w:ascii="Arial" w:cs="Arial" w:eastAsia="Arial" w:hAnsi="Arial"/>
          <w:sz w:val="19"/>
          <w:szCs w:val="19"/>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1322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87"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96520</wp:posOffset>
            </wp:positionV>
            <wp:extent cx="11322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28" w:name="page29"/>
    <w:bookmarkEnd w:id="28"/>
    <w:p>
      <w:pPr>
        <w:ind w:right="40" w:firstLine="397"/>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40" w:type="dxa"/>
            <w:vAlign w:val="bottom"/>
          </w:tcPr>
          <w:p>
            <w:pPr>
              <w:jc w:val="right"/>
              <w:ind w:right="38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4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About this Prospectus</w:t>
              </w:r>
            </w:hyperlink>
          </w:p>
        </w:tc>
        <w:tc>
          <w:tcPr>
            <w:tcW w:w="520" w:type="dxa"/>
            <w:vAlign w:val="bottom"/>
            <w:tcBorders>
              <w:top w:val="single" w:sz="8" w:color="0000EE"/>
            </w:tcBorders>
            <w:gridSpan w:val="5"/>
          </w:tcPr>
          <w:p>
            <w:pPr>
              <w:spacing w:after="0"/>
              <w:rPr>
                <w:sz w:val="17"/>
                <w:szCs w:val="17"/>
                <w:color w:val="auto"/>
              </w:rPr>
            </w:pPr>
          </w:p>
        </w:tc>
        <w:tc>
          <w:tcPr>
            <w:tcW w:w="132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Incorporation by Reference</w:t>
              </w:r>
            </w:hyperlink>
          </w:p>
        </w:tc>
        <w:tc>
          <w:tcPr>
            <w:tcW w:w="1440" w:type="dxa"/>
            <w:vAlign w:val="bottom"/>
            <w:gridSpan w:val="7"/>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Where You Can Find More Information</w:t>
              </w:r>
            </w:hyperlink>
          </w:p>
        </w:tc>
        <w:tc>
          <w:tcPr>
            <w:tcW w:w="560" w:type="dxa"/>
            <w:vAlign w:val="bottom"/>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The Company</w:t>
              </w:r>
            </w:hyperlink>
          </w:p>
        </w:tc>
        <w:tc>
          <w:tcPr>
            <w:tcW w:w="2400" w:type="dxa"/>
            <w:vAlign w:val="bottom"/>
            <w:gridSpan w:val="1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2520" w:type="dxa"/>
            <w:vAlign w:val="bottom"/>
            <w:gridSpan w:val="1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Ratio of Earnings to Fixed Charges</w:t>
              </w:r>
            </w:hyperlink>
          </w:p>
        </w:tc>
        <w:tc>
          <w:tcPr>
            <w:tcW w:w="880" w:type="dxa"/>
            <w:vAlign w:val="bottom"/>
            <w:gridSpan w:val="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Description of Debt Securities</w:t>
              </w:r>
            </w:hyperlink>
          </w:p>
        </w:tc>
        <w:tc>
          <w:tcPr>
            <w:tcW w:w="1240" w:type="dxa"/>
            <w:vAlign w:val="bottom"/>
            <w:gridSpan w:val="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Guarantees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Other Securities</w:t>
              </w:r>
            </w:hyperlink>
          </w:p>
        </w:tc>
        <w:tc>
          <w:tcPr>
            <w:tcW w:w="1180" w:type="dxa"/>
            <w:vAlign w:val="bottom"/>
            <w:gridSpan w:val="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Selling Securityholders</w:t>
              </w:r>
            </w:hyperlink>
          </w:p>
        </w:tc>
        <w:tc>
          <w:tcPr>
            <w:tcW w:w="1740" w:type="dxa"/>
            <w:vAlign w:val="bottom"/>
            <w:gridSpan w:val="9"/>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Legal Matters</w:t>
              </w:r>
            </w:hyperlink>
          </w:p>
        </w:tc>
        <w:tc>
          <w:tcPr>
            <w:tcW w:w="2420" w:type="dxa"/>
            <w:vAlign w:val="bottom"/>
            <w:gridSpan w:val="1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right="80" w:firstLine="397"/>
        <w:spacing w:after="0" w:line="286"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6" w:lineRule="exact"/>
        <w:rPr>
          <w:sz w:val="20"/>
          <w:szCs w:val="20"/>
          <w:color w:val="auto"/>
        </w:rPr>
      </w:pPr>
    </w:p>
    <w:p>
      <w:pPr>
        <w:ind w:left="600" w:hanging="202"/>
        <w:spacing w:after="0" w:line="342"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73"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117"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62"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62"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7"/>
          <w:szCs w:val="17"/>
          <w:color w:val="auto"/>
        </w:rPr>
      </w:pPr>
    </w:p>
    <w:p>
      <w:pPr>
        <w:ind w:left="1300" w:right="1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264"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information about any securities exchanges or automated quotation systems on which the securities will be listed or traded.</w:t>
      </w:r>
    </w:p>
    <w:p>
      <w:pPr>
        <w:spacing w:after="0" w:line="154"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71"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260" w:hanging="7"/>
        <w:spacing w:after="0" w:line="261" w:lineRule="auto"/>
        <w:tabs>
          <w:tab w:leader="none" w:pos="9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840" w:type="dxa"/>
            <w:vAlign w:val="bottom"/>
          </w:tcPr>
          <w:p>
            <w:pPr>
              <w:ind w:left="9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2009 annual meeting of</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April 29,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February 26,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2,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12,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July 13, 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-1286510</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 13(a),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13(c), 14 or 15(d) of the Exchange Act from the date of this prospectus until all of the securities offered by this prospectus have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issued as described in this prospectus. These documents may include annual reports on Form 10-K, quarterly reports on Form 10-Q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current reports on Form 8-K, as well as proxy statements. We are not incorporating by reference any information furnished under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items 2.02 or 7.01 (or corresponding information furnished under item 9.01 or included as an exhibit) in any past or future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Form 8-K that we may file with the SEC, unless otherwise specified in such current report.</w:t>
      </w:r>
    </w:p>
    <w:p>
      <w:pPr>
        <w:spacing w:after="0" w:line="11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otherwise specified in the applicable prospectus supplement, we will not receive any proceeds from the sale of securities by selling securityholders.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THE DEBT SECURITIES</w:t>
      </w:r>
    </w:p>
    <w:p>
      <w:pPr>
        <w:spacing w:after="0" w:line="135"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Trust Company, N.A., as trustee. The indentures are substantially identical, except for provisions relating to subordination and covenants.</w:t>
      </w:r>
    </w:p>
    <w:p>
      <w:pPr>
        <w:spacing w:after="0" w:line="13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indentures generally prohibit a consolidation or merger of Waste Management into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person, or a lease, transfer or disposition of all or substantially all of our assets to another person unless:</w:t>
      </w:r>
    </w:p>
    <w:p>
      <w:pPr>
        <w:spacing w:after="0" w:line="29" w:lineRule="exact"/>
        <w:rPr>
          <w:sz w:val="20"/>
          <w:szCs w:val="20"/>
          <w:color w:val="auto"/>
        </w:rPr>
      </w:pPr>
    </w:p>
    <w:p>
      <w:pPr>
        <w:ind w:left="1300" w:right="60" w:hanging="202"/>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620" w:hanging="202"/>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29"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78"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Trustee. </w:t>
      </w:r>
      <w:r>
        <w:rPr>
          <w:rFonts w:ascii="Arial" w:cs="Arial" w:eastAsia="Arial" w:hAnsi="Arial"/>
          <w:sz w:val="16"/>
          <w:szCs w:val="16"/>
          <w:color w:val="auto"/>
        </w:rPr>
        <w:t>The Bank of New York Mellon Trust Company, N.A. is the trustee under the senior indenture and the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The Bank of New 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8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100" w:firstLine="391"/>
        <w:spacing w:after="0" w:line="277" w:lineRule="auto"/>
        <w:tabs>
          <w:tab w:leader="none" w:pos="17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firstLine="391"/>
        <w:spacing w:after="0" w:line="277" w:lineRule="auto"/>
        <w:tabs>
          <w:tab w:leader="none" w:pos="17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500" w:firstLine="391"/>
        <w:spacing w:after="0" w:line="277" w:lineRule="auto"/>
        <w:tabs>
          <w:tab w:leader="none" w:pos="17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1700" w:right="40" w:hanging="211"/>
        <w:spacing w:after="0" w:line="259" w:lineRule="auto"/>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rFonts w:ascii="Arial" w:cs="Arial" w:eastAsia="Arial" w:hAnsi="Arial"/>
          <w:sz w:val="18"/>
          <w:szCs w:val="18"/>
          <w:color w:val="auto"/>
        </w:rPr>
      </w:pPr>
    </w:p>
    <w:p>
      <w:pPr>
        <w:ind w:left="1700" w:hanging="229"/>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680" w:hanging="209"/>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stayed;</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6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60" w:firstLine="391"/>
        <w:spacing w:after="0" w:line="277" w:lineRule="auto"/>
        <w:tabs>
          <w:tab w:leader="none" w:pos="17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60" w:firstLine="391"/>
        <w:spacing w:after="0" w:line="264" w:lineRule="auto"/>
        <w:tabs>
          <w:tab w:leader="none" w:pos="17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firstLine="391"/>
        <w:spacing w:after="0" w:line="264"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86" w:lineRule="exact"/>
        <w:rPr>
          <w:rFonts w:ascii="Arial" w:cs="Arial" w:eastAsia="Arial" w:hAnsi="Arial"/>
          <w:sz w:val="18"/>
          <w:szCs w:val="18"/>
          <w:color w:val="auto"/>
        </w:rPr>
      </w:pPr>
    </w:p>
    <w:p>
      <w:pPr>
        <w:ind w:left="1080" w:right="120" w:firstLine="391"/>
        <w:spacing w:after="0" w:line="264" w:lineRule="auto"/>
        <w:tabs>
          <w:tab w:leader="none" w:pos="17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7"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Glossary</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reduced if the lessee terminated the lease on the first date that it could be terminated, then this lower net amount will be used.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“Consolidated Net Tangible Assets” </w:t>
      </w:r>
      <w:r>
        <w:rPr>
          <w:rFonts w:ascii="Arial" w:cs="Arial" w:eastAsia="Arial" w:hAnsi="Arial"/>
          <w:sz w:val="16"/>
          <w:szCs w:val="16"/>
          <w:color w:val="auto"/>
        </w:rPr>
        <w:t>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of the indebted party and (b) all guarantees of Indebtedness.</w:t>
      </w:r>
    </w:p>
    <w:p>
      <w:pPr>
        <w:spacing w:after="0" w:line="7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(a) principally engaged in, or whose principal assets consist of property used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by one or more other Subsidiaries, or by us and one or more other Subsidiaries.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87"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 rights. Accordingly, the holders of a majority of shares voting for the election of directors can elect all of the directors standing for election.</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BNY Mellon Shareowner Services in Jersey</w:t>
      </w:r>
      <w:r>
        <w:rPr>
          <w:rFonts w:ascii="Arial" w:cs="Arial" w:eastAsia="Arial" w:hAnsi="Arial"/>
          <w:sz w:val="18"/>
          <w:szCs w:val="18"/>
          <w:i w:val="1"/>
          <w:iCs w:val="1"/>
          <w:color w:val="auto"/>
        </w:rPr>
        <w:t xml:space="preserve"> </w:t>
      </w:r>
      <w:r>
        <w:rPr>
          <w:rFonts w:ascii="Arial" w:cs="Arial" w:eastAsia="Arial" w:hAnsi="Arial"/>
          <w:sz w:val="18"/>
          <w:szCs w:val="18"/>
          <w:color w:val="auto"/>
        </w:rPr>
        <w:t>City, New Jersey.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80" w:hanging="20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6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SELLING SECURITYHOLDERS</w:t>
      </w:r>
    </w:p>
    <w:p>
      <w:pPr>
        <w:spacing w:after="0" w:line="135"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25"/>
          <w:szCs w:val="25"/>
          <w:b w:val="1"/>
          <w:bCs w:val="1"/>
          <w:color w:val="auto"/>
        </w:rPr>
        <w:t>2.60% Senior Notes due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72390</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1" w:lineRule="exact"/>
        <w:rPr>
          <w:sz w:val="20"/>
          <w:szCs w:val="20"/>
          <w:color w:val="auto"/>
        </w:rPr>
      </w:pPr>
    </w:p>
    <w:p>
      <w:pPr>
        <w:jc w:val="center"/>
        <w:ind w:right="-108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88265</wp:posOffset>
            </wp:positionV>
            <wp:extent cx="19551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6" w:lineRule="exact"/>
        <w:rPr>
          <w:sz w:val="20"/>
          <w:szCs w:val="20"/>
          <w:color w:val="auto"/>
        </w:rPr>
      </w:pPr>
    </w:p>
    <w:p>
      <w:pPr>
        <w:jc w:val="center"/>
        <w:ind w:right="-1080"/>
        <w:spacing w:after="0"/>
        <w:rPr>
          <w:sz w:val="20"/>
          <w:szCs w:val="20"/>
          <w:color w:val="auto"/>
        </w:rPr>
      </w:pPr>
      <w:r>
        <w:rPr>
          <w:rFonts w:ascii="Arial" w:cs="Arial" w:eastAsia="Arial" w:hAnsi="Arial"/>
          <w:sz w:val="18"/>
          <w:szCs w:val="18"/>
          <w:i w:val="1"/>
          <w:iCs w:val="1"/>
          <w:color w:val="auto"/>
        </w:rPr>
        <w:t>Joint Book-Running and Joint Lead Managers</w:t>
      </w:r>
    </w:p>
    <w:p>
      <w:pPr>
        <w:spacing w:after="0" w:line="171"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Credit Suisse</w:t>
      </w:r>
    </w:p>
    <w:p>
      <w:pPr>
        <w:spacing w:after="0" w:line="226"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J.P. Morgan</w:t>
      </w:r>
    </w:p>
    <w:p>
      <w:pPr>
        <w:spacing w:after="0" w:line="226"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Wells Fargo Securities</w:t>
      </w:r>
    </w:p>
    <w:p>
      <w:pPr>
        <w:spacing w:after="0" w:line="91" w:lineRule="exact"/>
        <w:rPr>
          <w:sz w:val="20"/>
          <w:szCs w:val="20"/>
          <w:color w:val="auto"/>
        </w:rPr>
      </w:pPr>
    </w:p>
    <w:p>
      <w:pPr>
        <w:jc w:val="center"/>
        <w:ind w:right="-1080"/>
        <w:spacing w:after="0"/>
        <w:rPr>
          <w:sz w:val="20"/>
          <w:szCs w:val="20"/>
          <w:color w:val="auto"/>
        </w:rPr>
      </w:pPr>
      <w:r>
        <w:rPr>
          <w:rFonts w:ascii="Arial" w:cs="Arial" w:eastAsia="Arial" w:hAnsi="Arial"/>
          <w:sz w:val="18"/>
          <w:szCs w:val="18"/>
          <w:i w:val="1"/>
          <w:iCs w:val="1"/>
          <w:color w:val="auto"/>
        </w:rPr>
        <w:t>Co-Managers</w:t>
      </w:r>
    </w:p>
    <w:p>
      <w:pPr>
        <w:spacing w:after="0" w:line="59" w:lineRule="exact"/>
        <w:rPr>
          <w:sz w:val="20"/>
          <w:szCs w:val="20"/>
          <w:color w:val="auto"/>
        </w:rPr>
      </w:pPr>
    </w:p>
    <w:p>
      <w:pPr>
        <w:jc w:val="center"/>
        <w:ind w:right="-1080"/>
        <w:spacing w:after="0"/>
        <w:rPr>
          <w:sz w:val="20"/>
          <w:szCs w:val="20"/>
          <w:color w:val="auto"/>
        </w:rPr>
      </w:pPr>
      <w:r>
        <w:rPr>
          <w:rFonts w:ascii="Arial" w:cs="Arial" w:eastAsia="Arial" w:hAnsi="Arial"/>
          <w:sz w:val="29"/>
          <w:szCs w:val="29"/>
          <w:b w:val="1"/>
          <w:bCs w:val="1"/>
          <w:color w:val="auto"/>
        </w:rPr>
        <w:t>BBVA</w:t>
      </w:r>
    </w:p>
    <w:p>
      <w:pPr>
        <w:spacing w:after="0" w:line="36" w:lineRule="exact"/>
        <w:rPr>
          <w:sz w:val="20"/>
          <w:szCs w:val="20"/>
          <w:color w:val="auto"/>
        </w:rPr>
      </w:pPr>
    </w:p>
    <w:p>
      <w:pPr>
        <w:jc w:val="center"/>
        <w:ind w:right="-1080"/>
        <w:spacing w:after="0"/>
        <w:rPr>
          <w:sz w:val="20"/>
          <w:szCs w:val="20"/>
          <w:color w:val="auto"/>
        </w:rPr>
      </w:pPr>
      <w:r>
        <w:rPr>
          <w:rFonts w:ascii="Arial" w:cs="Arial" w:eastAsia="Arial" w:hAnsi="Arial"/>
          <w:sz w:val="27"/>
          <w:szCs w:val="27"/>
          <w:b w:val="1"/>
          <w:bCs w:val="1"/>
          <w:color w:val="auto"/>
        </w:rPr>
        <w:t>BNY Mellon Capital Markets, LLC</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29"/>
          <w:szCs w:val="29"/>
          <w:b w:val="1"/>
          <w:bCs w:val="1"/>
          <w:color w:val="auto"/>
        </w:rPr>
        <w:t>Comerica Securities</w:t>
      </w:r>
    </w:p>
    <w:p>
      <w:pPr>
        <w:spacing w:after="0" w:line="4" w:lineRule="exact"/>
        <w:rPr>
          <w:sz w:val="20"/>
          <w:szCs w:val="20"/>
          <w:color w:val="auto"/>
        </w:rPr>
      </w:pPr>
    </w:p>
    <w:p>
      <w:pPr>
        <w:jc w:val="center"/>
        <w:ind w:right="-1080"/>
        <w:spacing w:after="0"/>
        <w:rPr>
          <w:sz w:val="20"/>
          <w:szCs w:val="20"/>
          <w:color w:val="auto"/>
        </w:rPr>
      </w:pPr>
      <w:r>
        <w:rPr>
          <w:rFonts w:ascii="Arial" w:cs="Arial" w:eastAsia="Arial" w:hAnsi="Arial"/>
          <w:sz w:val="29"/>
          <w:szCs w:val="29"/>
          <w:b w:val="1"/>
          <w:bCs w:val="1"/>
          <w:color w:val="auto"/>
        </w:rPr>
        <w:t>Mitsubishi UFJ Securities</w:t>
      </w:r>
    </w:p>
    <w:p>
      <w:pPr>
        <w:spacing w:after="0" w:line="4" w:lineRule="exact"/>
        <w:rPr>
          <w:sz w:val="20"/>
          <w:szCs w:val="20"/>
          <w:color w:val="auto"/>
        </w:rPr>
      </w:pPr>
    </w:p>
    <w:p>
      <w:pPr>
        <w:jc w:val="center"/>
        <w:ind w:right="-1080"/>
        <w:spacing w:after="0"/>
        <w:rPr>
          <w:sz w:val="20"/>
          <w:szCs w:val="20"/>
          <w:color w:val="auto"/>
        </w:rPr>
      </w:pPr>
      <w:r>
        <w:rPr>
          <w:rFonts w:ascii="Arial" w:cs="Arial" w:eastAsia="Arial" w:hAnsi="Arial"/>
          <w:sz w:val="29"/>
          <w:szCs w:val="29"/>
          <w:b w:val="1"/>
          <w:bCs w:val="1"/>
          <w:color w:val="auto"/>
        </w:rPr>
        <w:t>Mizuho Securities</w:t>
      </w:r>
    </w:p>
    <w:p>
      <w:pPr>
        <w:spacing w:after="0" w:line="4" w:lineRule="exact"/>
        <w:rPr>
          <w:sz w:val="20"/>
          <w:szCs w:val="20"/>
          <w:color w:val="auto"/>
        </w:rPr>
      </w:pPr>
    </w:p>
    <w:p>
      <w:pPr>
        <w:jc w:val="center"/>
        <w:ind w:right="-1080"/>
        <w:spacing w:after="0"/>
        <w:rPr>
          <w:sz w:val="20"/>
          <w:szCs w:val="20"/>
          <w:color w:val="auto"/>
        </w:rPr>
      </w:pPr>
      <w:r>
        <w:rPr>
          <w:rFonts w:ascii="Arial" w:cs="Arial" w:eastAsia="Arial" w:hAnsi="Arial"/>
          <w:sz w:val="29"/>
          <w:szCs w:val="29"/>
          <w:b w:val="1"/>
          <w:bCs w:val="1"/>
          <w:color w:val="auto"/>
        </w:rPr>
        <w:t>SMBC Nikko</w:t>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August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160655</wp:posOffset>
            </wp:positionV>
            <wp:extent cx="630301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713"/>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lvl w:ilvl="1">
      <w:lvlJc w:val="left"/>
      <w:lvlText w:val="(%2)"/>
      <w:numFmt w:val="lowerLetter"/>
      <w:start w:val="1"/>
    </w:lvl>
  </w:abstractNum>
  <w:abstractNum w:abstractNumId="9">
    <w:nsid w:val="79838CB2"/>
    <w:multiLevelType w:val="hybridMultilevel"/>
    <w:lvl w:ilvl="0">
      <w:lvlJc w:val="left"/>
      <w:lvlText w:val="(%1)"/>
      <w:numFmt w:val="decimal"/>
      <w:start w:val="2"/>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Roman"/>
      <w:start w:val="2"/>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Letter"/>
      <w:start w:val="1"/>
    </w:lvl>
    <w:lvl w:ilvl="1">
      <w:lvlJc w:val="left"/>
      <w:lvlText w:val="•"/>
      <w:numFmt w:val="bullet"/>
      <w:start w:val="1"/>
    </w:lvl>
  </w:abstractNum>
  <w:abstractNum w:abstractNumId="34">
    <w:nsid w:val="7724C67E"/>
    <w:multiLevelType w:val="hybridMultilevel"/>
    <w:lvl w:ilvl="0">
      <w:lvlJc w:val="left"/>
      <w:lvlText w:val="(%1)"/>
      <w:numFmt w:val="lowerLetter"/>
      <w:start w:val="12"/>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2019-12-16T14:05:24Z</dcterms:created>
  <dcterms:modified xsi:type="dcterms:W3CDTF">2019-12-16T14:05:24Z</dcterms:modified>
</cp:coreProperties>
</file>